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EA136C">
        <w:rPr>
          <w:rFonts w:cs="Arial"/>
          <w:b/>
        </w:rPr>
        <w:t>0</w:t>
      </w:r>
      <w:r w:rsidR="0013214F">
        <w:rPr>
          <w:rFonts w:cs="Arial"/>
          <w:b/>
        </w:rPr>
        <w:t>9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13214F">
        <w:rPr>
          <w:rFonts w:cs="Arial"/>
          <w:b/>
        </w:rPr>
        <w:t>0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13214F">
        <w:rPr>
          <w:rFonts w:cs="Arial"/>
          <w:b/>
        </w:rPr>
        <w:t>septiembre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AA1D41">
        <w:rPr>
          <w:rFonts w:cs="Arial"/>
        </w:rPr>
        <w:t xml:space="preserve">0 </w:t>
      </w:r>
      <w:r w:rsidR="00384E40">
        <w:rPr>
          <w:rFonts w:cs="Arial"/>
        </w:rPr>
        <w:t>de</w:t>
      </w:r>
      <w:r w:rsidR="002C6D75">
        <w:rPr>
          <w:rFonts w:cs="Arial"/>
        </w:rPr>
        <w:t xml:space="preserve"> septiembre </w:t>
      </w:r>
      <w:r w:rsidR="00E858BA">
        <w:rPr>
          <w:rFonts w:cs="Arial"/>
        </w:rPr>
        <w:t>de</w:t>
      </w:r>
      <w:r w:rsidR="00384E40">
        <w:rPr>
          <w:rFonts w:cs="Arial"/>
        </w:rPr>
        <w:t xml:space="preserve">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88310C">
        <w:rPr>
          <w:rFonts w:cs="Arial"/>
        </w:rPr>
        <w:t>17</w:t>
      </w:r>
      <w:proofErr w:type="gramStart"/>
      <w:r w:rsidR="0088310C">
        <w:rPr>
          <w:rFonts w:cs="Arial"/>
        </w:rPr>
        <w:t>,</w:t>
      </w:r>
      <w:r w:rsidR="00CF37E6">
        <w:rPr>
          <w:rFonts w:cs="Arial"/>
        </w:rPr>
        <w:t>439.5</w:t>
      </w:r>
      <w:proofErr w:type="gramEnd"/>
      <w:r w:rsidR="00C21FED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C52A74">
        <w:rPr>
          <w:rFonts w:cs="Arial"/>
          <w:b/>
        </w:rPr>
        <w:t>septiembre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AC34E5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44BDFABB">
            <wp:extent cx="3134658" cy="140451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1" cy="140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Pr="00ED1B19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17,350.6 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516564">
        <w:rPr>
          <w:rFonts w:cs="Arial"/>
        </w:rPr>
        <w:t>158.24</w:t>
      </w:r>
      <w:r w:rsidR="007211B5">
        <w:rPr>
          <w:rFonts w:cs="Arial"/>
        </w:rPr>
        <w:t xml:space="preserve"> millones (70</w:t>
      </w:r>
      <w:r w:rsidRPr="003022F7">
        <w:rPr>
          <w:rFonts w:cs="Arial"/>
        </w:rPr>
        <w:t>%) otorgados a fideicomisos de categoría no reembolsable; Q. 1,52</w:t>
      </w:r>
      <w:r w:rsidR="007211B5">
        <w:rPr>
          <w:rFonts w:cs="Arial"/>
        </w:rPr>
        <w:t>9.39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3,7</w:t>
      </w:r>
      <w:r w:rsidR="00516564">
        <w:rPr>
          <w:rFonts w:cs="Arial"/>
        </w:rPr>
        <w:t>51.9</w:t>
      </w:r>
      <w:r w:rsidR="007211B5">
        <w:rPr>
          <w:rFonts w:cs="Arial"/>
        </w:rPr>
        <w:t>2</w:t>
      </w:r>
      <w:r w:rsidRPr="003022F7">
        <w:rPr>
          <w:rFonts w:cs="Arial"/>
        </w:rPr>
        <w:t xml:space="preserve"> 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2D11B2">
        <w:rPr>
          <w:rFonts w:cs="Arial"/>
          <w:b/>
        </w:rPr>
        <w:t>septiembre</w:t>
      </w:r>
      <w:r>
        <w:rPr>
          <w:rFonts w:cs="Arial"/>
          <w:b/>
        </w:rPr>
        <w:t xml:space="preserve"> </w:t>
      </w:r>
      <w:r w:rsidRPr="00343A69">
        <w:rPr>
          <w:rFonts w:cs="Arial"/>
          <w:b/>
        </w:rPr>
        <w:t>201</w:t>
      </w:r>
      <w:r>
        <w:rPr>
          <w:rFonts w:cs="Arial"/>
          <w:b/>
        </w:rPr>
        <w:t>9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2D11B2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5AADDF4B">
            <wp:extent cx="3123591" cy="163862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20" cy="164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</w:t>
      </w:r>
      <w:proofErr w:type="gramStart"/>
      <w:r w:rsidR="0093222A" w:rsidRPr="00757988">
        <w:rPr>
          <w:rFonts w:cs="Arial"/>
          <w:color w:val="000000"/>
        </w:rPr>
        <w:t>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</w:t>
      </w:r>
      <w:proofErr w:type="gramEnd"/>
      <w:r w:rsidR="0093222A" w:rsidRPr="00757988">
        <w:rPr>
          <w:rFonts w:cs="Arial"/>
          <w:color w:val="000000"/>
        </w:rPr>
        <w:t xml:space="preserve">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1E50B5">
        <w:rPr>
          <w:rFonts w:cs="Arial"/>
          <w:color w:val="000000" w:themeColor="text1"/>
        </w:rPr>
        <w:t xml:space="preserve">septiembre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1E50B5">
        <w:rPr>
          <w:rFonts w:cs="Arial"/>
          <w:color w:val="000000"/>
        </w:rPr>
        <w:t xml:space="preserve">922.1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2E4089">
        <w:rPr>
          <w:rFonts w:cs="Arial"/>
        </w:rPr>
        <w:t>septiembre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73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96"/>
        <w:gridCol w:w="715"/>
        <w:gridCol w:w="1775"/>
        <w:gridCol w:w="715"/>
        <w:gridCol w:w="997"/>
        <w:gridCol w:w="783"/>
      </w:tblGrid>
      <w:tr w:rsidR="00086716" w:rsidRPr="00103349" w:rsidTr="00A473EB">
        <w:trPr>
          <w:trHeight w:val="459"/>
          <w:jc w:val="center"/>
        </w:trPr>
        <w:tc>
          <w:tcPr>
            <w:tcW w:w="8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7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82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608.1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2A43DD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314.0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8D07A4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922.1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6E757E" w:rsidRDefault="00775A77" w:rsidP="00B92370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327529">
        <w:rPr>
          <w:rFonts w:cs="Arial"/>
          <w:color w:val="000000" w:themeColor="text1"/>
        </w:rPr>
        <w:t>septiembre</w:t>
      </w:r>
      <w:r w:rsidR="004B132B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 no presenta movimiento,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lastRenderedPageBreak/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94472A" w:rsidRDefault="001055D8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fideicomiso </w:t>
      </w:r>
      <w:r w:rsidR="009619E6" w:rsidRPr="00505F1E">
        <w:rPr>
          <w:rFonts w:cs="Arial"/>
          <w:color w:val="000000" w:themeColor="text1"/>
        </w:rPr>
        <w:t>Fondo de Inversión para la Vivienda</w:t>
      </w:r>
      <w:r w:rsidRPr="00505F1E">
        <w:rPr>
          <w:rFonts w:cs="Arial"/>
          <w:color w:val="000000" w:themeColor="text1"/>
        </w:rPr>
        <w:t xml:space="preserve">, constituido el </w:t>
      </w:r>
      <w:r w:rsidR="009619E6" w:rsidRPr="00505F1E">
        <w:rPr>
          <w:rFonts w:cs="Arial"/>
          <w:color w:val="000000" w:themeColor="text1"/>
        </w:rPr>
        <w:t xml:space="preserve">02 de julio de 2013 </w:t>
      </w:r>
      <w:r w:rsidRPr="00505F1E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505F1E">
        <w:rPr>
          <w:rFonts w:cs="Arial"/>
          <w:color w:val="000000" w:themeColor="text1"/>
        </w:rPr>
        <w:t>Q. 367.3 millones</w:t>
      </w:r>
      <w:r w:rsidRPr="00505F1E">
        <w:rPr>
          <w:rFonts w:cs="Arial"/>
          <w:color w:val="000000" w:themeColor="text1"/>
        </w:rPr>
        <w:t xml:space="preserve"> d</w:t>
      </w:r>
      <w:r w:rsidR="00334F97" w:rsidRPr="00505F1E">
        <w:rPr>
          <w:rFonts w:cs="Arial"/>
          <w:color w:val="000000" w:themeColor="text1"/>
        </w:rPr>
        <w:t>urante el ejercicio fiscal 2013 y Q.</w:t>
      </w:r>
      <w:r w:rsidR="0061667B" w:rsidRPr="00505F1E">
        <w:rPr>
          <w:rFonts w:cs="Arial"/>
          <w:color w:val="000000" w:themeColor="text1"/>
        </w:rPr>
        <w:t xml:space="preserve"> 262.6</w:t>
      </w:r>
      <w:r w:rsidR="003B342A" w:rsidRPr="00505F1E">
        <w:rPr>
          <w:rFonts w:cs="Arial"/>
          <w:color w:val="000000" w:themeColor="text1"/>
        </w:rPr>
        <w:t xml:space="preserve"> millones</w:t>
      </w:r>
      <w:r w:rsidR="00334F97" w:rsidRPr="00505F1E">
        <w:rPr>
          <w:rFonts w:cs="Arial"/>
          <w:color w:val="000000" w:themeColor="text1"/>
        </w:rPr>
        <w:t xml:space="preserve"> durante el ejercicio fiscal 2014.</w:t>
      </w:r>
      <w:r w:rsidR="00D21C58" w:rsidRPr="00505F1E">
        <w:rPr>
          <w:rFonts w:cs="Arial"/>
          <w:color w:val="000000" w:themeColor="text1"/>
        </w:rPr>
        <w:t xml:space="preserve"> </w:t>
      </w:r>
      <w:r w:rsidR="00550754" w:rsidRPr="00505F1E">
        <w:rPr>
          <w:rFonts w:cs="Arial"/>
          <w:color w:val="000000" w:themeColor="text1"/>
        </w:rPr>
        <w:t xml:space="preserve">Para el año 2015 </w:t>
      </w:r>
      <w:r w:rsidR="00D21C58" w:rsidRPr="00505F1E">
        <w:rPr>
          <w:rFonts w:cs="Arial"/>
          <w:color w:val="000000" w:themeColor="text1"/>
        </w:rPr>
        <w:t xml:space="preserve">su </w:t>
      </w:r>
      <w:r w:rsidR="00523119" w:rsidRPr="00505F1E">
        <w:rPr>
          <w:rFonts w:cs="Arial"/>
          <w:color w:val="000000" w:themeColor="text1"/>
        </w:rPr>
        <w:t xml:space="preserve">ejecución alcanzó Q </w:t>
      </w:r>
      <w:r w:rsidR="0096234C" w:rsidRPr="00505F1E">
        <w:rPr>
          <w:rFonts w:cs="Arial"/>
          <w:color w:val="000000" w:themeColor="text1"/>
        </w:rPr>
        <w:t>166.9 millones</w:t>
      </w:r>
      <w:r w:rsidR="006A2D06" w:rsidRPr="00505F1E">
        <w:rPr>
          <w:rFonts w:cs="Arial"/>
          <w:color w:val="000000" w:themeColor="text1"/>
        </w:rPr>
        <w:t>,</w:t>
      </w:r>
      <w:r w:rsidR="0096234C" w:rsidRPr="00505F1E">
        <w:rPr>
          <w:rFonts w:cs="Arial"/>
          <w:color w:val="000000" w:themeColor="text1"/>
        </w:rPr>
        <w:t xml:space="preserve"> al cierre de 2016 se registra</w:t>
      </w:r>
      <w:r w:rsidR="006A2D06" w:rsidRPr="00505F1E">
        <w:rPr>
          <w:rFonts w:cs="Arial"/>
          <w:color w:val="000000" w:themeColor="text1"/>
        </w:rPr>
        <w:t>ro</w:t>
      </w:r>
      <w:r w:rsidR="0096234C" w:rsidRPr="00505F1E">
        <w:rPr>
          <w:rFonts w:cs="Arial"/>
          <w:color w:val="000000" w:themeColor="text1"/>
        </w:rPr>
        <w:t>n Q</w:t>
      </w:r>
      <w:r w:rsidR="00F303EF" w:rsidRPr="00505F1E">
        <w:rPr>
          <w:rFonts w:cs="Arial"/>
          <w:color w:val="000000" w:themeColor="text1"/>
        </w:rPr>
        <w:t xml:space="preserve"> 92.2 </w:t>
      </w:r>
      <w:r w:rsidR="0096234C" w:rsidRPr="00505F1E">
        <w:rPr>
          <w:rFonts w:cs="Arial"/>
          <w:color w:val="000000" w:themeColor="text1"/>
        </w:rPr>
        <w:t>millones</w:t>
      </w:r>
      <w:r w:rsidR="006A2D06" w:rsidRPr="00505F1E">
        <w:rPr>
          <w:rFonts w:cs="Arial"/>
          <w:color w:val="000000" w:themeColor="text1"/>
        </w:rPr>
        <w:t>, y a</w:t>
      </w:r>
      <w:r w:rsidR="0052665C" w:rsidRPr="00505F1E">
        <w:rPr>
          <w:rFonts w:cs="Arial"/>
          <w:color w:val="000000" w:themeColor="text1"/>
        </w:rPr>
        <w:t xml:space="preserve"> </w:t>
      </w:r>
      <w:r w:rsidR="00D055DA" w:rsidRPr="00505F1E">
        <w:rPr>
          <w:rFonts w:cs="Arial"/>
          <w:color w:val="000000" w:themeColor="text1"/>
        </w:rPr>
        <w:t>diciembre</w:t>
      </w:r>
      <w:r w:rsidR="00AE5AF9" w:rsidRPr="00505F1E">
        <w:rPr>
          <w:rFonts w:cs="Arial"/>
          <w:color w:val="000000" w:themeColor="text1"/>
        </w:rPr>
        <w:t xml:space="preserve"> </w:t>
      </w:r>
      <w:r w:rsidR="006A2D06" w:rsidRPr="00505F1E">
        <w:rPr>
          <w:rFonts w:cs="Arial"/>
          <w:color w:val="000000" w:themeColor="text1"/>
        </w:rPr>
        <w:t xml:space="preserve">de </w:t>
      </w:r>
      <w:r w:rsidR="002D2153" w:rsidRPr="00505F1E">
        <w:rPr>
          <w:rFonts w:cs="Arial"/>
          <w:color w:val="000000" w:themeColor="text1"/>
        </w:rPr>
        <w:t>2017</w:t>
      </w:r>
      <w:r w:rsidR="006A2D06" w:rsidRPr="00505F1E">
        <w:rPr>
          <w:rFonts w:cs="Arial"/>
          <w:color w:val="000000" w:themeColor="text1"/>
        </w:rPr>
        <w:t>,</w:t>
      </w:r>
      <w:r w:rsidR="002D2153" w:rsidRPr="00505F1E">
        <w:rPr>
          <w:rFonts w:cs="Arial"/>
          <w:color w:val="000000" w:themeColor="text1"/>
        </w:rPr>
        <w:t xml:space="preserve"> Q.</w:t>
      </w:r>
      <w:r w:rsidR="00040DB0" w:rsidRPr="00505F1E">
        <w:rPr>
          <w:rFonts w:cs="Arial"/>
          <w:color w:val="000000" w:themeColor="text1"/>
        </w:rPr>
        <w:t>1</w:t>
      </w:r>
      <w:r w:rsidR="00D055DA" w:rsidRPr="00505F1E">
        <w:rPr>
          <w:rFonts w:cs="Arial"/>
          <w:color w:val="000000" w:themeColor="text1"/>
        </w:rPr>
        <w:t>52.2</w:t>
      </w:r>
      <w:r w:rsidR="00EA7051" w:rsidRPr="00505F1E">
        <w:rPr>
          <w:rFonts w:cs="Arial"/>
          <w:color w:val="000000" w:themeColor="text1"/>
        </w:rPr>
        <w:t xml:space="preserve"> </w:t>
      </w:r>
      <w:r w:rsidR="0052665C" w:rsidRPr="00505F1E">
        <w:rPr>
          <w:rFonts w:cs="Arial"/>
          <w:color w:val="000000" w:themeColor="text1"/>
        </w:rPr>
        <w:t>m</w:t>
      </w:r>
      <w:r w:rsidR="002D2153" w:rsidRPr="00505F1E">
        <w:rPr>
          <w:rFonts w:cs="Arial"/>
          <w:color w:val="000000" w:themeColor="text1"/>
        </w:rPr>
        <w:t>illones</w:t>
      </w:r>
      <w:r w:rsidR="007E085E">
        <w:rPr>
          <w:rFonts w:cs="Arial"/>
          <w:color w:val="000000" w:themeColor="text1"/>
        </w:rPr>
        <w:t>, p</w:t>
      </w:r>
      <w:r w:rsidR="00FE311E" w:rsidRPr="00505F1E">
        <w:rPr>
          <w:rFonts w:cs="Arial"/>
          <w:color w:val="000000" w:themeColor="text1"/>
        </w:rPr>
        <w:t xml:space="preserve">ara </w:t>
      </w:r>
      <w:r w:rsidR="00FC6413">
        <w:rPr>
          <w:rFonts w:cs="Arial"/>
          <w:color w:val="000000" w:themeColor="text1"/>
        </w:rPr>
        <w:t>diciembre</w:t>
      </w:r>
      <w:r w:rsidR="004E0620">
        <w:rPr>
          <w:rFonts w:cs="Arial"/>
          <w:color w:val="000000" w:themeColor="text1"/>
        </w:rPr>
        <w:t xml:space="preserve"> </w:t>
      </w:r>
      <w:r w:rsidR="00A4787B" w:rsidRPr="00505F1E">
        <w:rPr>
          <w:rFonts w:cs="Arial"/>
          <w:color w:val="000000" w:themeColor="text1"/>
        </w:rPr>
        <w:t xml:space="preserve">2018 reporta Q. </w:t>
      </w:r>
      <w:r w:rsidR="00FC6413">
        <w:rPr>
          <w:rFonts w:cs="Arial"/>
          <w:color w:val="000000" w:themeColor="text1"/>
        </w:rPr>
        <w:t>135.6</w:t>
      </w:r>
      <w:r w:rsidR="004A2F95">
        <w:rPr>
          <w:rFonts w:cs="Arial"/>
          <w:color w:val="000000" w:themeColor="text1"/>
        </w:rPr>
        <w:t xml:space="preserve"> millones</w:t>
      </w:r>
      <w:r w:rsidR="007E085E">
        <w:rPr>
          <w:rFonts w:cs="Arial"/>
          <w:color w:val="000000" w:themeColor="text1"/>
        </w:rPr>
        <w:t>, y para</w:t>
      </w:r>
      <w:r w:rsidR="00CB5C1C">
        <w:rPr>
          <w:rFonts w:cs="Arial"/>
          <w:color w:val="000000" w:themeColor="text1"/>
        </w:rPr>
        <w:t xml:space="preserve"> </w:t>
      </w:r>
      <w:r w:rsidR="002C6686">
        <w:rPr>
          <w:rFonts w:cs="Arial"/>
          <w:color w:val="000000" w:themeColor="text1"/>
        </w:rPr>
        <w:t>septiembre</w:t>
      </w:r>
      <w:r w:rsidR="000B006E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7E085E" w:rsidRPr="0094472A">
        <w:rPr>
          <w:rFonts w:cs="Arial"/>
          <w:color w:val="000000" w:themeColor="text1"/>
        </w:rPr>
        <w:t>2019</w:t>
      </w:r>
      <w:r w:rsidR="00356737" w:rsidRPr="0094472A">
        <w:rPr>
          <w:rFonts w:cs="Arial"/>
          <w:color w:val="000000" w:themeColor="text1"/>
        </w:rPr>
        <w:t>,</w:t>
      </w:r>
      <w:r w:rsidR="007E085E" w:rsidRPr="0094472A">
        <w:rPr>
          <w:rFonts w:cs="Arial"/>
          <w:color w:val="000000" w:themeColor="text1"/>
        </w:rPr>
        <w:t xml:space="preserve"> Q.</w:t>
      </w:r>
      <w:r w:rsidR="00CF2C38">
        <w:rPr>
          <w:rFonts w:cs="Arial"/>
          <w:color w:val="000000" w:themeColor="text1"/>
        </w:rPr>
        <w:t>1</w:t>
      </w:r>
      <w:r w:rsidR="005A13B0">
        <w:rPr>
          <w:rFonts w:cs="Arial"/>
          <w:color w:val="000000" w:themeColor="text1"/>
        </w:rPr>
        <w:t>97.2</w:t>
      </w:r>
      <w:r w:rsidR="000B006E" w:rsidRPr="0094472A">
        <w:rPr>
          <w:rFonts w:cs="Arial"/>
          <w:color w:val="000000" w:themeColor="text1"/>
        </w:rPr>
        <w:t xml:space="preserve"> </w:t>
      </w:r>
      <w:r w:rsidR="007E085E" w:rsidRPr="0094472A">
        <w:rPr>
          <w:rFonts w:cs="Arial"/>
          <w:color w:val="000000" w:themeColor="text1"/>
        </w:rPr>
        <w:t>millones</w:t>
      </w:r>
      <w:r w:rsidR="00A4787B" w:rsidRPr="0094472A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8D2656">
        <w:rPr>
          <w:rFonts w:cs="Arial"/>
          <w:color w:val="000000" w:themeColor="text1"/>
        </w:rPr>
        <w:t xml:space="preserve">septiembre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CB5C1C">
        <w:rPr>
          <w:rFonts w:cs="Arial"/>
          <w:color w:val="000000" w:themeColor="text1"/>
        </w:rPr>
        <w:t>1</w:t>
      </w:r>
      <w:r w:rsidR="00783D78">
        <w:rPr>
          <w:rFonts w:cs="Arial"/>
          <w:color w:val="000000" w:themeColor="text1"/>
        </w:rPr>
        <w:t>22</w:t>
      </w:r>
      <w:r w:rsidR="00CB5C1C">
        <w:rPr>
          <w:rFonts w:cs="Arial"/>
          <w:color w:val="000000" w:themeColor="text1"/>
        </w:rPr>
        <w:t>.</w:t>
      </w:r>
      <w:r w:rsidR="00783D78">
        <w:rPr>
          <w:rFonts w:cs="Arial"/>
          <w:color w:val="000000" w:themeColor="text1"/>
        </w:rPr>
        <w:t>1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953B16">
        <w:rPr>
          <w:rFonts w:cs="Arial"/>
          <w:color w:val="000000" w:themeColor="text1"/>
        </w:rPr>
        <w:t>septiembre</w:t>
      </w:r>
      <w:r w:rsidR="00C54370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23533C" w:rsidRPr="0094472A">
        <w:rPr>
          <w:rFonts w:cs="Arial"/>
          <w:color w:val="000000" w:themeColor="text1"/>
        </w:rPr>
        <w:t>1</w:t>
      </w:r>
      <w:r w:rsidR="00C54370">
        <w:rPr>
          <w:rFonts w:cs="Arial"/>
          <w:color w:val="000000" w:themeColor="text1"/>
        </w:rPr>
        <w:t>99.0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lastRenderedPageBreak/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0E1E32">
        <w:rPr>
          <w:rFonts w:cs="Arial"/>
          <w:color w:val="000000" w:themeColor="text1"/>
        </w:rPr>
        <w:t>septiembre</w:t>
      </w:r>
      <w:r w:rsidR="005D3183">
        <w:rPr>
          <w:rFonts w:cs="Arial"/>
          <w:color w:val="000000" w:themeColor="text1"/>
        </w:rPr>
        <w:t xml:space="preserve">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527FF4">
        <w:rPr>
          <w:rFonts w:cs="Arial"/>
          <w:color w:val="000000" w:themeColor="text1"/>
        </w:rPr>
        <w:t>1.</w:t>
      </w:r>
      <w:r w:rsidR="000E1E32">
        <w:rPr>
          <w:rFonts w:cs="Arial"/>
          <w:color w:val="000000" w:themeColor="text1"/>
        </w:rPr>
        <w:t>9</w:t>
      </w:r>
      <w:r w:rsidR="00AA5385">
        <w:rPr>
          <w:rFonts w:cs="Arial"/>
          <w:color w:val="000000" w:themeColor="text1"/>
        </w:rPr>
        <w:t xml:space="preserve"> millones</w:t>
      </w:r>
      <w:r w:rsidR="00527FF4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DE07B1">
        <w:rPr>
          <w:rFonts w:cs="Arial"/>
          <w:color w:val="000000" w:themeColor="text1"/>
        </w:rPr>
        <w:t>septiembre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DE07B1">
        <w:rPr>
          <w:rFonts w:cs="Arial"/>
          <w:color w:val="000000" w:themeColor="text1"/>
        </w:rPr>
        <w:t>3.7</w:t>
      </w:r>
      <w:r w:rsidR="0056658A">
        <w:rPr>
          <w:rFonts w:cs="Arial"/>
          <w:color w:val="000000" w:themeColor="text1"/>
        </w:rPr>
        <w:t xml:space="preserve"> 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FF40D2">
        <w:rPr>
          <w:rFonts w:cs="Arial"/>
          <w:color w:val="000000" w:themeColor="text1"/>
        </w:rPr>
        <w:t xml:space="preserve">septiembre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3E7E64">
        <w:rPr>
          <w:rFonts w:cs="Arial"/>
        </w:rPr>
        <w:t>2,</w:t>
      </w:r>
      <w:r w:rsidR="00CF2D0C">
        <w:rPr>
          <w:rFonts w:cs="Arial"/>
        </w:rPr>
        <w:t>4</w:t>
      </w:r>
      <w:r w:rsidR="001F6C58">
        <w:rPr>
          <w:rFonts w:cs="Arial"/>
        </w:rPr>
        <w:t>48.4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3A5780">
        <w:rPr>
          <w:rFonts w:cs="Arial"/>
          <w:b/>
          <w:sz w:val="20"/>
          <w:szCs w:val="20"/>
        </w:rPr>
        <w:t>septiembre</w:t>
      </w:r>
      <w:r w:rsidR="00A92CD3">
        <w:rPr>
          <w:rFonts w:cs="Arial"/>
          <w:b/>
          <w:sz w:val="20"/>
          <w:szCs w:val="20"/>
        </w:rPr>
        <w:t xml:space="preserve">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CB4D3D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4B9904E9">
            <wp:extent cx="4517032" cy="2282342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64" cy="2283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lastRenderedPageBreak/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790A3C">
        <w:rPr>
          <w:sz w:val="22"/>
          <w:szCs w:val="22"/>
        </w:rPr>
        <w:t xml:space="preserve">septiembre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6F4C21">
        <w:rPr>
          <w:color w:val="000000" w:themeColor="text1"/>
          <w:sz w:val="22"/>
          <w:szCs w:val="22"/>
        </w:rPr>
        <w:t>4</w:t>
      </w:r>
      <w:proofErr w:type="gramStart"/>
      <w:r w:rsidR="006F4C21">
        <w:rPr>
          <w:color w:val="000000" w:themeColor="text1"/>
          <w:sz w:val="22"/>
          <w:szCs w:val="22"/>
        </w:rPr>
        <w:t>,16</w:t>
      </w:r>
      <w:r w:rsidR="00C27438">
        <w:rPr>
          <w:color w:val="000000" w:themeColor="text1"/>
          <w:sz w:val="22"/>
          <w:szCs w:val="22"/>
        </w:rPr>
        <w:t>7</w:t>
      </w:r>
      <w:r w:rsidR="006F4C21">
        <w:rPr>
          <w:color w:val="000000" w:themeColor="text1"/>
          <w:sz w:val="22"/>
          <w:szCs w:val="22"/>
        </w:rPr>
        <w:t>.</w:t>
      </w:r>
      <w:r w:rsidR="00C27438">
        <w:rPr>
          <w:color w:val="000000" w:themeColor="text1"/>
          <w:sz w:val="22"/>
          <w:szCs w:val="22"/>
        </w:rPr>
        <w:t>0</w:t>
      </w:r>
      <w:proofErr w:type="gramEnd"/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086716" w:rsidRDefault="00086716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 xml:space="preserve">A </w:t>
      </w:r>
      <w:r w:rsidR="00261502">
        <w:rPr>
          <w:rFonts w:cs="Arial"/>
          <w:b/>
          <w:sz w:val="20"/>
          <w:szCs w:val="20"/>
        </w:rPr>
        <w:t xml:space="preserve">septiembre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06172C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06172C">
        <w:rPr>
          <w:noProof/>
          <w:lang w:val="es-GT" w:eastAsia="es-GT"/>
        </w:rPr>
        <w:drawing>
          <wp:inline distT="0" distB="0" distL="0" distR="0">
            <wp:extent cx="5171846" cy="20841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7" cy="20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06172C">
        <w:rPr>
          <w:rFonts w:cs="Arial"/>
          <w:color w:val="000000"/>
        </w:rPr>
        <w:t xml:space="preserve">septiembre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965194">
        <w:rPr>
          <w:rFonts w:cs="Arial"/>
          <w:color w:val="000000"/>
        </w:rPr>
        <w:t>5</w:t>
      </w:r>
      <w:r w:rsidR="00103652">
        <w:rPr>
          <w:rFonts w:cs="Arial"/>
          <w:color w:val="000000"/>
        </w:rPr>
        <w:t>9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103652">
        <w:rPr>
          <w:rFonts w:cs="Arial"/>
          <w:color w:val="000000"/>
        </w:rPr>
        <w:t>1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A23F7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EA23F7">
        <w:rPr>
          <w:rFonts w:cs="Arial"/>
          <w:color w:val="000000"/>
        </w:rPr>
        <w:t>8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06172C">
        <w:rPr>
          <w:rFonts w:cs="Arial"/>
          <w:b/>
          <w:color w:val="000000" w:themeColor="text1"/>
          <w:sz w:val="20"/>
          <w:szCs w:val="20"/>
        </w:rPr>
        <w:t xml:space="preserve">septiembre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06172C" w:rsidP="004F26CF">
      <w:pPr>
        <w:jc w:val="center"/>
        <w:rPr>
          <w:rFonts w:cs="Arial"/>
          <w:sz w:val="20"/>
          <w:szCs w:val="20"/>
        </w:rPr>
      </w:pPr>
      <w:r w:rsidRPr="0006172C">
        <w:rPr>
          <w:noProof/>
          <w:lang w:val="es-GT" w:eastAsia="es-GT"/>
        </w:rPr>
        <w:drawing>
          <wp:inline distT="0" distB="0" distL="0" distR="0">
            <wp:extent cx="4960920" cy="14630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43" cy="1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5A65E6">
        <w:rPr>
          <w:rFonts w:cs="Arial"/>
          <w:color w:val="000000"/>
        </w:rPr>
        <w:t>septiembre</w:t>
      </w:r>
      <w:r w:rsidR="00A473EB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333A25">
        <w:rPr>
          <w:rFonts w:cs="Arial"/>
          <w:color w:val="000000"/>
        </w:rPr>
        <w:t>44.9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360CC5">
        <w:rPr>
          <w:rFonts w:cs="Arial"/>
          <w:color w:val="000000"/>
        </w:rPr>
        <w:t>agosto</w:t>
      </w:r>
      <w:r w:rsidR="009731D4">
        <w:rPr>
          <w:rFonts w:cs="Arial"/>
          <w:color w:val="000000"/>
        </w:rPr>
        <w:t xml:space="preserve">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772CBE">
        <w:rPr>
          <w:rFonts w:cs="Arial"/>
          <w:color w:val="000000"/>
        </w:rPr>
        <w:t>2</w:t>
      </w:r>
      <w:r w:rsidR="00360CC5">
        <w:rPr>
          <w:rFonts w:cs="Arial"/>
          <w:color w:val="000000"/>
        </w:rPr>
        <w:t>36.3</w:t>
      </w:r>
      <w:r w:rsidR="00EC2328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incremento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BC359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212B0">
        <w:rPr>
          <w:rFonts w:cs="Arial"/>
          <w:b/>
          <w:color w:val="000000" w:themeColor="text1"/>
          <w:sz w:val="20"/>
          <w:szCs w:val="20"/>
        </w:rPr>
        <w:t>agosto</w:t>
      </w:r>
      <w:r w:rsidR="00BC359A">
        <w:rPr>
          <w:rFonts w:cs="Arial"/>
          <w:b/>
          <w:color w:val="000000" w:themeColor="text1"/>
          <w:sz w:val="20"/>
          <w:szCs w:val="20"/>
        </w:rPr>
        <w:t xml:space="preserve">-septiembre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5A65E6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5A65E6">
        <w:rPr>
          <w:noProof/>
          <w:lang w:val="es-GT" w:eastAsia="es-GT"/>
        </w:rPr>
        <w:drawing>
          <wp:inline distT="0" distB="0" distL="0" distR="0" wp14:anchorId="2810F148" wp14:editId="2D0519FE">
            <wp:extent cx="5676595" cy="1400591"/>
            <wp:effectExtent l="0" t="0" r="63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33" cy="14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D603D2">
        <w:rPr>
          <w:rFonts w:cs="Arial"/>
          <w:color w:val="000000"/>
        </w:rPr>
        <w:t>1</w:t>
      </w:r>
      <w:r w:rsidRPr="00CC7F32">
        <w:rPr>
          <w:rFonts w:cs="Arial"/>
          <w:color w:val="000000"/>
        </w:rPr>
        <w:t xml:space="preserve">% a </w:t>
      </w:r>
      <w:r w:rsidR="00D603D2">
        <w:rPr>
          <w:rFonts w:cs="Arial"/>
          <w:color w:val="000000"/>
        </w:rPr>
        <w:t>septiembre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D20DD7" w:rsidRPr="008C7EAF">
        <w:rPr>
          <w:rFonts w:cs="Arial"/>
          <w:color w:val="000000"/>
        </w:rPr>
        <w:t>5</w:t>
      </w:r>
      <w:r w:rsidR="001D64A0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1D64A0">
        <w:rPr>
          <w:rFonts w:cs="Arial"/>
          <w:color w:val="000000"/>
        </w:rPr>
        <w:t>septiembre</w:t>
      </w:r>
      <w:r w:rsidR="004A2385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A5607">
        <w:rPr>
          <w:rFonts w:cs="Arial"/>
          <w:b/>
          <w:color w:val="000000" w:themeColor="text1"/>
          <w:sz w:val="20"/>
          <w:szCs w:val="20"/>
        </w:rPr>
        <w:t xml:space="preserve">septiembre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0757BA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4C085A34">
            <wp:extent cx="4362549" cy="212872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543" cy="2132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lastRenderedPageBreak/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721803">
        <w:rPr>
          <w:rFonts w:cs="Arial"/>
          <w:color w:val="000000"/>
        </w:rPr>
        <w:t>septiembre</w:t>
      </w:r>
      <w:r w:rsidR="008E68B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C47AEB">
        <w:rPr>
          <w:rFonts w:cs="Arial"/>
          <w:b/>
          <w:sz w:val="20"/>
          <w:szCs w:val="20"/>
        </w:rPr>
        <w:t xml:space="preserve">septiembre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Pr="0039432B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495279" w:rsidRPr="0039432B" w:rsidRDefault="00495279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C217DC" w:rsidRPr="0039432B" w:rsidRDefault="004A0DAB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4A0DAB">
        <w:rPr>
          <w:noProof/>
          <w:lang w:val="es-GT" w:eastAsia="es-GT"/>
        </w:rPr>
        <w:drawing>
          <wp:inline distT="0" distB="0" distL="0" distR="0" wp14:anchorId="1417A5C5" wp14:editId="6A3F3BFC">
            <wp:extent cx="6156960" cy="169948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4A0DAB">
        <w:rPr>
          <w:color w:val="000000" w:themeColor="text1"/>
          <w:sz w:val="22"/>
          <w:szCs w:val="22"/>
          <w:lang w:val="es-ES"/>
        </w:rPr>
        <w:t>septi</w:t>
      </w:r>
      <w:r w:rsidR="00447AAB">
        <w:rPr>
          <w:color w:val="000000" w:themeColor="text1"/>
          <w:sz w:val="22"/>
          <w:szCs w:val="22"/>
          <w:lang w:val="es-ES"/>
        </w:rPr>
        <w:t>e</w:t>
      </w:r>
      <w:r w:rsidR="004A0DAB">
        <w:rPr>
          <w:color w:val="000000" w:themeColor="text1"/>
          <w:sz w:val="22"/>
          <w:szCs w:val="22"/>
          <w:lang w:val="es-ES"/>
        </w:rPr>
        <w:t>mbre</w:t>
      </w:r>
      <w:r w:rsidR="001A7DD6">
        <w:rPr>
          <w:color w:val="000000" w:themeColor="text1"/>
          <w:sz w:val="22"/>
          <w:szCs w:val="22"/>
          <w:lang w:val="es-ES"/>
        </w:rPr>
        <w:t xml:space="preserve">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C630F" w:rsidRPr="007318B2">
        <w:rPr>
          <w:color w:val="000000" w:themeColor="text1"/>
          <w:sz w:val="22"/>
          <w:szCs w:val="22"/>
          <w:lang w:val="es-ES"/>
        </w:rPr>
        <w:t>1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</w:t>
      </w:r>
      <w:bookmarkStart w:id="0" w:name="_GoBack"/>
      <w:bookmarkEnd w:id="0"/>
      <w:r w:rsidR="004F6D07" w:rsidRPr="00984A6F">
        <w:rPr>
          <w:rFonts w:cs="Arial"/>
          <w:color w:val="000000"/>
        </w:rPr>
        <w:t xml:space="preserve">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</w:t>
      </w:r>
      <w:r w:rsidR="00385B78" w:rsidRPr="00984A6F">
        <w:rPr>
          <w:rFonts w:cs="Arial"/>
          <w:color w:val="000000"/>
        </w:rPr>
        <w:lastRenderedPageBreak/>
        <w:t xml:space="preserve">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lastRenderedPageBreak/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lastRenderedPageBreak/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El 23 de julio de 2019 mediante acuerdo Gubernativo número 132-2019 y Escritura Pública número 56 de fecha 20 de septiembre de 2019, se modificó y amplio el plazo del </w:t>
      </w:r>
      <w:r>
        <w:rPr>
          <w:rFonts w:cs="Arial"/>
          <w:color w:val="000000"/>
        </w:rPr>
        <w:lastRenderedPageBreak/>
        <w:t>Fideicomiso “Fondo Nacional para la Reactivación y Modernización de la Actividad Agropecuaria -FONAGRO-”, estableciéndose un plazo de 25 años a partir del 23 de septiembre de 2019 hasta el 22 de septiembre del 2044.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2D11B2">
      <w:footerReference w:type="default" r:id="rId17"/>
      <w:pgSz w:w="12240" w:h="15840" w:code="1"/>
      <w:pgMar w:top="993" w:right="1183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93" w:rsidRDefault="00C70B93" w:rsidP="00AF4392">
      <w:r>
        <w:separator/>
      </w:r>
    </w:p>
  </w:endnote>
  <w:endnote w:type="continuationSeparator" w:id="0">
    <w:p w:rsidR="00C70B93" w:rsidRDefault="00C70B93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C70B93" w:rsidRDefault="00C70B93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644E4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644E4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70B93" w:rsidRDefault="00C70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93" w:rsidRDefault="00C70B93" w:rsidP="00AF4392">
      <w:r>
        <w:separator/>
      </w:r>
    </w:p>
  </w:footnote>
  <w:footnote w:type="continuationSeparator" w:id="0">
    <w:p w:rsidR="00C70B93" w:rsidRDefault="00C70B93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4FDC"/>
    <w:rsid w:val="001959FF"/>
    <w:rsid w:val="00195E9D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0B5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6E8D"/>
    <w:rsid w:val="002371AF"/>
    <w:rsid w:val="00237BA6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DFE"/>
    <w:rsid w:val="002719C7"/>
    <w:rsid w:val="00271AD7"/>
    <w:rsid w:val="00271AFF"/>
    <w:rsid w:val="00271BBD"/>
    <w:rsid w:val="00271C92"/>
    <w:rsid w:val="00272399"/>
    <w:rsid w:val="002724AE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6039"/>
    <w:rsid w:val="003262D7"/>
    <w:rsid w:val="0032630E"/>
    <w:rsid w:val="00326EAF"/>
    <w:rsid w:val="00326EB5"/>
    <w:rsid w:val="00327485"/>
    <w:rsid w:val="00327529"/>
    <w:rsid w:val="00330EAB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F37"/>
    <w:rsid w:val="003A4DA0"/>
    <w:rsid w:val="003A5534"/>
    <w:rsid w:val="003A576A"/>
    <w:rsid w:val="003A5780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D5D"/>
    <w:rsid w:val="003D510F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54D0"/>
    <w:rsid w:val="00405A43"/>
    <w:rsid w:val="00406615"/>
    <w:rsid w:val="00407C25"/>
    <w:rsid w:val="004101DA"/>
    <w:rsid w:val="004108E4"/>
    <w:rsid w:val="00410EAD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2D93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DD0"/>
    <w:rsid w:val="005E1463"/>
    <w:rsid w:val="005E22AD"/>
    <w:rsid w:val="005E3A65"/>
    <w:rsid w:val="005E46A9"/>
    <w:rsid w:val="005E46BC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47E5"/>
    <w:rsid w:val="00694E5F"/>
    <w:rsid w:val="00695698"/>
    <w:rsid w:val="00696511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3D78"/>
    <w:rsid w:val="007847B1"/>
    <w:rsid w:val="00785DE3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496"/>
    <w:rsid w:val="00804B3C"/>
    <w:rsid w:val="00805961"/>
    <w:rsid w:val="00806965"/>
    <w:rsid w:val="008073B3"/>
    <w:rsid w:val="00807430"/>
    <w:rsid w:val="00807569"/>
    <w:rsid w:val="00807E90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10A1"/>
    <w:rsid w:val="0088192F"/>
    <w:rsid w:val="00881E4F"/>
    <w:rsid w:val="008826D6"/>
    <w:rsid w:val="008828CE"/>
    <w:rsid w:val="0088310C"/>
    <w:rsid w:val="00883C61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BEB"/>
    <w:rsid w:val="009C13E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1FD"/>
    <w:rsid w:val="00A86698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84B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AF9"/>
    <w:rsid w:val="00AE5B1E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4FC0"/>
    <w:rsid w:val="00DB5894"/>
    <w:rsid w:val="00DB5AC5"/>
    <w:rsid w:val="00DB5DA6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5D28"/>
    <w:rsid w:val="00E167D7"/>
    <w:rsid w:val="00E16A3B"/>
    <w:rsid w:val="00E16B64"/>
    <w:rsid w:val="00E16CBF"/>
    <w:rsid w:val="00E174AC"/>
    <w:rsid w:val="00E17622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A18"/>
    <w:rsid w:val="00EE7378"/>
    <w:rsid w:val="00EF089A"/>
    <w:rsid w:val="00EF1AF1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1A4"/>
    <w:rsid w:val="00F045E7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47E0"/>
    <w:rsid w:val="00F65383"/>
    <w:rsid w:val="00F66B1D"/>
    <w:rsid w:val="00F67AB0"/>
    <w:rsid w:val="00F703CC"/>
    <w:rsid w:val="00F7094E"/>
    <w:rsid w:val="00F71A0A"/>
    <w:rsid w:val="00F720BC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C900-02C3-474B-ADA0-886DD32C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3847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99</cp:revision>
  <cp:lastPrinted>2019-10-25T21:58:00Z</cp:lastPrinted>
  <dcterms:created xsi:type="dcterms:W3CDTF">2019-09-24T21:00:00Z</dcterms:created>
  <dcterms:modified xsi:type="dcterms:W3CDTF">2019-10-25T21:59:00Z</dcterms:modified>
</cp:coreProperties>
</file>