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7.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8.xml" ContentType="application/vnd.openxmlformats-officedocument.drawingml.chart+xml"/>
  <Override PartName="/word/drawings/drawing7.xml" ContentType="application/vnd.openxmlformats-officedocument.drawingml.chartshapes+xml"/>
  <Override PartName="/word/charts/chart9.xml" ContentType="application/vnd.openxmlformats-officedocument.drawingml.chart+xml"/>
  <Override PartName="/word/drawings/drawing8.xml" ContentType="application/vnd.openxmlformats-officedocument.drawingml.chartshapes+xml"/>
  <Override PartName="/word/charts/chart10.xml" ContentType="application/vnd.openxmlformats-officedocument.drawingml.chart+xml"/>
  <Override PartName="/word/drawings/drawing9.xml" ContentType="application/vnd.openxmlformats-officedocument.drawingml.chartshapes+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1.xml" ContentType="application/vnd.openxmlformats-officedocument.drawingml.chart+xml"/>
  <Override PartName="/word/drawings/drawing10.xml" ContentType="application/vnd.openxmlformats-officedocument.drawingml.chartshapes+xml"/>
  <Override PartName="/word/charts/chart12.xml" ContentType="application/vnd.openxmlformats-officedocument.drawingml.chart+xml"/>
  <Override PartName="/word/drawings/drawing11.xml" ContentType="application/vnd.openxmlformats-officedocument.drawingml.chartshapes+xml"/>
  <Override PartName="/word/charts/chart13.xml" ContentType="application/vnd.openxmlformats-officedocument.drawingml.chart+xml"/>
  <Override PartName="/word/drawings/drawing12.xml" ContentType="application/vnd.openxmlformats-officedocument.drawingml.chartshapes+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4.xml" ContentType="application/vnd.openxmlformats-officedocument.drawingml.chart+xml"/>
  <Override PartName="/word/charts/chart15.xml" ContentType="application/vnd.openxmlformats-officedocument.drawingml.chart+xml"/>
  <Override PartName="/word/drawings/drawing13.xml" ContentType="application/vnd.openxmlformats-officedocument.drawingml.chartshapes+xml"/>
  <Override PartName="/word/charts/chart16.xml" ContentType="application/vnd.openxmlformats-officedocument.drawingml.chart+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Arial" w:eastAsiaTheme="majorEastAsia" w:hAnsi="Arial" w:cs="Arial"/>
          <w:sz w:val="56"/>
        </w:rPr>
        <w:id w:val="16001078"/>
        <w:docPartObj>
          <w:docPartGallery w:val="Cover Pages"/>
          <w:docPartUnique/>
        </w:docPartObj>
      </w:sdtPr>
      <w:sdtEndPr>
        <w:rPr>
          <w:rFonts w:eastAsiaTheme="minorEastAsia"/>
          <w:b/>
          <w:sz w:val="22"/>
          <w:u w:val="single"/>
          <w:lang w:val="es-MX"/>
        </w:rPr>
      </w:sdtEndPr>
      <w:sdtContent>
        <w:tbl>
          <w:tblPr>
            <w:tblpPr w:leftFromText="187" w:rightFromText="187" w:vertAnchor="page" w:horzAnchor="page" w:tblpXSpec="center" w:tblpYSpec="center"/>
            <w:tblW w:w="5000" w:type="pct"/>
            <w:tblCellMar>
              <w:top w:w="216" w:type="dxa"/>
              <w:left w:w="216" w:type="dxa"/>
              <w:bottom w:w="216" w:type="dxa"/>
              <w:right w:w="216" w:type="dxa"/>
            </w:tblCellMar>
            <w:tblLook w:val="04A0" w:firstRow="1" w:lastRow="0" w:firstColumn="1" w:lastColumn="0" w:noHBand="0" w:noVBand="1"/>
          </w:tblPr>
          <w:tblGrid>
            <w:gridCol w:w="3577"/>
            <w:gridCol w:w="5693"/>
          </w:tblGrid>
          <w:tr w:rsidR="00377374" w:rsidRPr="00377374" w:rsidTr="00CE610C">
            <w:sdt>
              <w:sdtPr>
                <w:rPr>
                  <w:rFonts w:ascii="Arial" w:eastAsiaTheme="majorEastAsia" w:hAnsi="Arial" w:cs="Arial"/>
                  <w:sz w:val="56"/>
                </w:rPr>
                <w:alias w:val="Título"/>
                <w:id w:val="276713177"/>
                <w:dataBinding w:prefixMappings="xmlns:ns0='http://schemas.openxmlformats.org/package/2006/metadata/core-properties' xmlns:ns1='http://purl.org/dc/elements/1.1/'" w:xpath="/ns0:coreProperties[1]/ns1:title[1]" w:storeItemID="{6C3C8BC8-F283-45AE-878A-BAB7291924A1}"/>
                <w:text/>
              </w:sdtPr>
              <w:sdtEndPr>
                <w:rPr>
                  <w:sz w:val="72"/>
                </w:rPr>
              </w:sdtEndPr>
              <w:sdtContent>
                <w:tc>
                  <w:tcPr>
                    <w:tcW w:w="3577" w:type="dxa"/>
                    <w:tcBorders>
                      <w:bottom w:val="single" w:sz="18" w:space="0" w:color="808080" w:themeColor="background1" w:themeShade="80"/>
                      <w:right w:val="single" w:sz="18" w:space="0" w:color="808080" w:themeColor="background1" w:themeShade="80"/>
                    </w:tcBorders>
                    <w:vAlign w:val="center"/>
                  </w:tcPr>
                  <w:p w:rsidR="00377374" w:rsidRPr="00377374" w:rsidRDefault="003E5411" w:rsidP="002C4ED9">
                    <w:pPr>
                      <w:pStyle w:val="Sinespaciado"/>
                      <w:rPr>
                        <w:rFonts w:ascii="Arial" w:eastAsiaTheme="majorEastAsia" w:hAnsi="Arial" w:cs="Arial"/>
                        <w:sz w:val="56"/>
                      </w:rPr>
                    </w:pPr>
                    <w:r>
                      <w:rPr>
                        <w:rFonts w:ascii="Arial" w:eastAsiaTheme="majorEastAsia" w:hAnsi="Arial" w:cs="Arial"/>
                        <w:sz w:val="56"/>
                      </w:rPr>
                      <w:t>Presupuesto Ciudadano</w:t>
                    </w:r>
                  </w:p>
                </w:tc>
              </w:sdtContent>
            </w:sdt>
            <w:tc>
              <w:tcPr>
                <w:tcW w:w="5693" w:type="dxa"/>
                <w:tcBorders>
                  <w:left w:val="single" w:sz="18" w:space="0" w:color="808080" w:themeColor="background1" w:themeShade="80"/>
                  <w:bottom w:val="single" w:sz="18" w:space="0" w:color="808080" w:themeColor="background1" w:themeShade="80"/>
                </w:tcBorders>
                <w:vAlign w:val="center"/>
              </w:tcPr>
              <w:sdt>
                <w:sdtPr>
                  <w:rPr>
                    <w:rFonts w:ascii="Arial" w:hAnsi="Arial" w:cs="Arial"/>
                    <w:sz w:val="160"/>
                  </w:rPr>
                  <w:alias w:val="Año"/>
                  <w:id w:val="276713170"/>
                  <w:dataBinding w:prefixMappings="xmlns:ns0='http://schemas.microsoft.com/office/2006/coverPageProps'" w:xpath="/ns0:CoverPageProperties[1]/ns0:PublishDate[1]" w:storeItemID="{55AF091B-3C7A-41E3-B477-F2FDAA23CFDA}"/>
                  <w:date w:fullDate="2019-01-01T00:00:00Z">
                    <w:dateFormat w:val="yyyy"/>
                    <w:lid w:val="es-ES"/>
                    <w:storeMappedDataAs w:val="dateTime"/>
                    <w:calendar w:val="gregorian"/>
                  </w:date>
                </w:sdtPr>
                <w:sdtEndPr/>
                <w:sdtContent>
                  <w:p w:rsidR="00377374" w:rsidRPr="00377374" w:rsidRDefault="003E5411" w:rsidP="00DC7E37">
                    <w:pPr>
                      <w:pStyle w:val="Sinespaciado"/>
                      <w:jc w:val="center"/>
                      <w:rPr>
                        <w:rFonts w:ascii="Arial" w:hAnsi="Arial" w:cs="Arial"/>
                      </w:rPr>
                    </w:pPr>
                    <w:r>
                      <w:rPr>
                        <w:rFonts w:ascii="Arial" w:hAnsi="Arial" w:cs="Arial"/>
                        <w:sz w:val="160"/>
                        <w:lang w:val="es-ES"/>
                      </w:rPr>
                      <w:t>2019</w:t>
                    </w:r>
                  </w:p>
                </w:sdtContent>
              </w:sdt>
            </w:tc>
          </w:tr>
          <w:tr w:rsidR="00377374" w:rsidRPr="00377374" w:rsidTr="00D558DF">
            <w:trPr>
              <w:trHeight w:val="3196"/>
            </w:trPr>
            <w:sdt>
              <w:sdtPr>
                <w:rPr>
                  <w:rFonts w:ascii="Arial" w:hAnsi="Arial" w:cs="Arial"/>
                </w:rPr>
                <w:alias w:val="Abstracto"/>
                <w:id w:val="276713183"/>
                <w:dataBinding w:prefixMappings="xmlns:ns0='http://schemas.microsoft.com/office/2006/coverPageProps'" w:xpath="/ns0:CoverPageProperties[1]/ns0:Abstract[1]" w:storeItemID="{55AF091B-3C7A-41E3-B477-F2FDAA23CFDA}"/>
                <w:text/>
              </w:sdtPr>
              <w:sdtEndPr/>
              <w:sdtContent>
                <w:tc>
                  <w:tcPr>
                    <w:tcW w:w="3577" w:type="dxa"/>
                    <w:tcBorders>
                      <w:top w:val="single" w:sz="18" w:space="0" w:color="808080" w:themeColor="background1" w:themeShade="80"/>
                    </w:tcBorders>
                    <w:vAlign w:val="center"/>
                  </w:tcPr>
                  <w:p w:rsidR="00377374" w:rsidRPr="00377374" w:rsidRDefault="003E5411" w:rsidP="002A6397">
                    <w:pPr>
                      <w:pStyle w:val="Sinespaciado"/>
                      <w:jc w:val="both"/>
                      <w:rPr>
                        <w:rFonts w:ascii="Arial" w:hAnsi="Arial" w:cs="Arial"/>
                      </w:rPr>
                    </w:pPr>
                    <w:r>
                      <w:rPr>
                        <w:rFonts w:ascii="Arial" w:hAnsi="Arial" w:cs="Arial"/>
                      </w:rPr>
                      <w:t xml:space="preserve">El Presupuesto General de Ingresos y Egresos del Estado para el Ejercicio Fiscal 2019 fue aprobado por el Congreso de la República de Guatemala, mediante Decreto No. 25-2018, y su publicación se realizó en el Diario de Centro América el 27 de </w:t>
                    </w:r>
                    <w:r w:rsidR="002A6397">
                      <w:rPr>
                        <w:rFonts w:ascii="Arial" w:hAnsi="Arial" w:cs="Arial"/>
                      </w:rPr>
                      <w:t>d</w:t>
                    </w:r>
                    <w:r>
                      <w:rPr>
                        <w:rFonts w:ascii="Arial" w:hAnsi="Arial" w:cs="Arial"/>
                      </w:rPr>
                      <w:t>iciembre de 2018.</w:t>
                    </w:r>
                  </w:p>
                </w:tc>
              </w:sdtContent>
            </w:sdt>
            <w:tc>
              <w:tcPr>
                <w:tcW w:w="5693" w:type="dxa"/>
                <w:tcBorders>
                  <w:top w:val="single" w:sz="18" w:space="0" w:color="808080" w:themeColor="background1" w:themeShade="80"/>
                </w:tcBorders>
                <w:vAlign w:val="center"/>
              </w:tcPr>
              <w:p w:rsidR="00377374" w:rsidRPr="00DC2F56" w:rsidRDefault="00DC2F56" w:rsidP="00DC2F56">
                <w:pPr>
                  <w:pStyle w:val="Sinespaciado"/>
                  <w:jc w:val="center"/>
                  <w:rPr>
                    <w:rFonts w:ascii="Arial" w:eastAsiaTheme="majorEastAsia" w:hAnsi="Arial" w:cs="Arial"/>
                  </w:rPr>
                </w:pPr>
                <w:r w:rsidRPr="00DC2F56">
                  <w:rPr>
                    <w:rFonts w:ascii="Arial" w:eastAsiaTheme="majorEastAsia" w:hAnsi="Arial" w:cs="Arial"/>
                    <w:noProof/>
                  </w:rPr>
                  <w:drawing>
                    <wp:inline distT="0" distB="0" distL="0" distR="0" wp14:anchorId="38DD7ED4" wp14:editId="24576049">
                      <wp:extent cx="1800223" cy="1790700"/>
                      <wp:effectExtent l="152400" t="114300" r="104777" b="76200"/>
                      <wp:docPr id="14" name="Imagen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 cstate="print"/>
                              <a:srcRect/>
                              <a:stretch>
                                <a:fillRect/>
                              </a:stretch>
                            </pic:blipFill>
                            <pic:spPr bwMode="auto">
                              <a:xfrm>
                                <a:off x="0" y="0"/>
                                <a:ext cx="1800012" cy="179049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377374" w:rsidRPr="00377374" w:rsidRDefault="00CE610C">
          <w:pPr>
            <w:rPr>
              <w:rFonts w:ascii="Arial" w:hAnsi="Arial" w:cs="Arial"/>
              <w:b/>
              <w:u w:val="single"/>
              <w:lang w:val="es-MX"/>
            </w:rPr>
          </w:pPr>
          <w:r w:rsidRPr="00CE610C">
            <w:rPr>
              <w:noProof/>
            </w:rPr>
            <w:drawing>
              <wp:inline distT="0" distB="0" distL="0" distR="0" wp14:anchorId="47159F1F" wp14:editId="2386307F">
                <wp:extent cx="1678781" cy="1343025"/>
                <wp:effectExtent l="19050" t="0" r="0" b="0"/>
                <wp:docPr id="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1678781" cy="1343025"/>
                        </a:xfrm>
                        <a:prstGeom prst="rect">
                          <a:avLst/>
                        </a:prstGeom>
                        <a:noFill/>
                        <a:ln w="9525">
                          <a:noFill/>
                          <a:miter lim="800000"/>
                          <a:headEnd/>
                          <a:tailEnd/>
                        </a:ln>
                      </pic:spPr>
                    </pic:pic>
                  </a:graphicData>
                </a:graphic>
              </wp:inline>
            </w:drawing>
          </w:r>
        </w:p>
      </w:sdtContent>
    </w:sdt>
    <w:p w:rsidR="00377374" w:rsidRPr="00377374" w:rsidRDefault="00DC7E37" w:rsidP="00377374">
      <w:pPr>
        <w:jc w:val="center"/>
        <w:rPr>
          <w:rFonts w:ascii="Arial" w:hAnsi="Arial" w:cs="Arial"/>
          <w:b/>
          <w:color w:val="996633"/>
          <w:u w:val="single"/>
          <w:lang w:val="es-MX"/>
        </w:rPr>
      </w:pPr>
      <w:r w:rsidRPr="00DC7E37">
        <w:rPr>
          <w:rFonts w:ascii="Arial" w:hAnsi="Arial" w:cs="Arial"/>
          <w:b/>
          <w:noProof/>
          <w:color w:val="996633"/>
          <w:u w:val="single"/>
        </w:rPr>
        <w:drawing>
          <wp:inline distT="0" distB="0" distL="0" distR="0" wp14:anchorId="5E3068E3" wp14:editId="0234B3DF">
            <wp:extent cx="1304925" cy="1304925"/>
            <wp:effectExtent l="19050" t="0" r="9525" b="0"/>
            <wp:docPr id="16" name="Imagen 13" descr="Resultado de imagen para presupuesto dibujo anim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presupuesto dibujo animado"/>
                    <pic:cNvPicPr>
                      <a:picLocks noChangeAspect="1" noChangeArrowheads="1"/>
                    </pic:cNvPicPr>
                  </pic:nvPicPr>
                  <pic:blipFill>
                    <a:blip r:embed="rId12" cstate="print"/>
                    <a:srcRect/>
                    <a:stretch>
                      <a:fillRect/>
                    </a:stretch>
                  </pic:blipFill>
                  <pic:spPr bwMode="auto">
                    <a:xfrm>
                      <a:off x="0" y="0"/>
                      <a:ext cx="1304925" cy="1304925"/>
                    </a:xfrm>
                    <a:prstGeom prst="rect">
                      <a:avLst/>
                    </a:prstGeom>
                    <a:noFill/>
                    <a:ln w="9525">
                      <a:noFill/>
                      <a:miter lim="800000"/>
                      <a:headEnd/>
                      <a:tailEnd/>
                    </a:ln>
                  </pic:spPr>
                </pic:pic>
              </a:graphicData>
            </a:graphic>
          </wp:inline>
        </w:drawing>
      </w:r>
    </w:p>
    <w:p w:rsidR="00377374" w:rsidRPr="00441A8F" w:rsidRDefault="00377374" w:rsidP="00377374">
      <w:pPr>
        <w:pStyle w:val="Sinespaciado"/>
        <w:jc w:val="center"/>
        <w:rPr>
          <w:rFonts w:ascii="Arial" w:eastAsiaTheme="majorEastAsia" w:hAnsi="Arial" w:cs="Arial"/>
          <w:b/>
          <w:sz w:val="24"/>
          <w:szCs w:val="36"/>
        </w:rPr>
      </w:pPr>
      <w:r w:rsidRPr="00441A8F">
        <w:rPr>
          <w:rFonts w:ascii="Arial" w:eastAsiaTheme="majorEastAsia" w:hAnsi="Arial" w:cs="Arial"/>
          <w:b/>
          <w:sz w:val="24"/>
          <w:szCs w:val="36"/>
        </w:rPr>
        <w:t xml:space="preserve">Dirección de </w:t>
      </w:r>
      <w:r w:rsidR="00DC2F56">
        <w:rPr>
          <w:rFonts w:ascii="Arial" w:eastAsiaTheme="majorEastAsia" w:hAnsi="Arial" w:cs="Arial"/>
          <w:b/>
          <w:sz w:val="24"/>
          <w:szCs w:val="36"/>
        </w:rPr>
        <w:t xml:space="preserve">Transparencia </w:t>
      </w:r>
      <w:r w:rsidRPr="00441A8F">
        <w:rPr>
          <w:rFonts w:ascii="Arial" w:eastAsiaTheme="majorEastAsia" w:hAnsi="Arial" w:cs="Arial"/>
          <w:b/>
          <w:sz w:val="24"/>
          <w:szCs w:val="36"/>
        </w:rPr>
        <w:t>Fiscal</w:t>
      </w:r>
    </w:p>
    <w:p w:rsidR="00377374" w:rsidRPr="00441A8F" w:rsidRDefault="00377374" w:rsidP="00377374">
      <w:pPr>
        <w:pStyle w:val="Sinespaciado"/>
        <w:jc w:val="center"/>
        <w:rPr>
          <w:rFonts w:ascii="Arial" w:eastAsiaTheme="majorEastAsia" w:hAnsi="Arial" w:cs="Arial"/>
          <w:b/>
          <w:sz w:val="24"/>
          <w:szCs w:val="36"/>
        </w:rPr>
      </w:pPr>
      <w:r w:rsidRPr="00441A8F">
        <w:rPr>
          <w:rFonts w:ascii="Arial" w:eastAsiaTheme="majorEastAsia" w:hAnsi="Arial" w:cs="Arial"/>
          <w:b/>
          <w:sz w:val="24"/>
          <w:szCs w:val="36"/>
        </w:rPr>
        <w:t>Ministerio de Finanzas Públicas</w:t>
      </w:r>
    </w:p>
    <w:p w:rsidR="00D558DF" w:rsidRDefault="00377374" w:rsidP="00D558DF">
      <w:pPr>
        <w:pStyle w:val="Sinespaciado"/>
        <w:jc w:val="center"/>
        <w:rPr>
          <w:rFonts w:ascii="Arial" w:eastAsiaTheme="majorEastAsia" w:hAnsi="Arial" w:cs="Arial"/>
          <w:b/>
          <w:sz w:val="24"/>
          <w:szCs w:val="28"/>
        </w:rPr>
      </w:pPr>
      <w:r w:rsidRPr="004A6AD0">
        <w:rPr>
          <w:rFonts w:ascii="Arial" w:eastAsiaTheme="majorEastAsia" w:hAnsi="Arial" w:cs="Arial"/>
          <w:b/>
          <w:sz w:val="24"/>
          <w:szCs w:val="28"/>
        </w:rPr>
        <w:t xml:space="preserve">Guatemala, </w:t>
      </w:r>
      <w:r w:rsidR="003F4907">
        <w:rPr>
          <w:rFonts w:ascii="Arial" w:eastAsiaTheme="majorEastAsia" w:hAnsi="Arial" w:cs="Arial"/>
          <w:b/>
          <w:sz w:val="24"/>
          <w:szCs w:val="28"/>
        </w:rPr>
        <w:t>febrero de</w:t>
      </w:r>
      <w:r w:rsidR="00520153" w:rsidRPr="004A6AD0">
        <w:rPr>
          <w:rFonts w:ascii="Arial" w:eastAsiaTheme="majorEastAsia" w:hAnsi="Arial" w:cs="Arial"/>
          <w:b/>
          <w:sz w:val="24"/>
          <w:szCs w:val="28"/>
        </w:rPr>
        <w:t xml:space="preserve"> </w:t>
      </w:r>
      <w:r w:rsidRPr="004A6AD0">
        <w:rPr>
          <w:rFonts w:ascii="Arial" w:eastAsiaTheme="majorEastAsia" w:hAnsi="Arial" w:cs="Arial"/>
          <w:b/>
          <w:sz w:val="24"/>
          <w:szCs w:val="28"/>
        </w:rPr>
        <w:t>201</w:t>
      </w:r>
      <w:r w:rsidR="00F133C7">
        <w:rPr>
          <w:rFonts w:ascii="Arial" w:eastAsiaTheme="majorEastAsia" w:hAnsi="Arial" w:cs="Arial"/>
          <w:b/>
          <w:sz w:val="24"/>
          <w:szCs w:val="28"/>
        </w:rPr>
        <w:t>9</w:t>
      </w:r>
    </w:p>
    <w:p w:rsidR="001B4F2D" w:rsidRDefault="001B4F2D">
      <w:pPr>
        <w:rPr>
          <w:rFonts w:ascii="Arial" w:hAnsi="Arial" w:cs="Arial"/>
          <w:b/>
          <w:color w:val="996633"/>
          <w:sz w:val="40"/>
          <w:szCs w:val="40"/>
          <w:u w:val="single"/>
          <w:lang w:val="es-MX"/>
        </w:rPr>
      </w:pPr>
    </w:p>
    <w:p w:rsidR="0028011B" w:rsidRPr="007129FD" w:rsidRDefault="0028011B" w:rsidP="0028011B">
      <w:pPr>
        <w:spacing w:after="0" w:line="240" w:lineRule="auto"/>
        <w:jc w:val="center"/>
        <w:rPr>
          <w:rFonts w:ascii="Arial" w:hAnsi="Arial" w:cs="Arial"/>
          <w:b/>
          <w:color w:val="996633"/>
          <w:sz w:val="40"/>
          <w:szCs w:val="40"/>
          <w:u w:val="single"/>
          <w:lang w:val="es-MX"/>
        </w:rPr>
      </w:pPr>
      <w:r w:rsidRPr="007129FD">
        <w:rPr>
          <w:rFonts w:ascii="Arial" w:hAnsi="Arial" w:cs="Arial"/>
          <w:b/>
          <w:color w:val="996633"/>
          <w:sz w:val="40"/>
          <w:szCs w:val="40"/>
          <w:u w:val="single"/>
          <w:lang w:val="es-MX"/>
        </w:rPr>
        <w:t>ÍNDICE</w:t>
      </w:r>
    </w:p>
    <w:p w:rsidR="0028011B" w:rsidRPr="00883687" w:rsidRDefault="0028011B" w:rsidP="0028011B">
      <w:pPr>
        <w:spacing w:after="0" w:line="240" w:lineRule="auto"/>
        <w:jc w:val="center"/>
        <w:rPr>
          <w:rFonts w:ascii="Arial" w:hAnsi="Arial" w:cs="Arial"/>
          <w:b/>
          <w:sz w:val="28"/>
          <w:szCs w:val="28"/>
          <w:u w:val="single"/>
          <w:lang w:val="es-MX"/>
        </w:rPr>
      </w:pPr>
    </w:p>
    <w:tbl>
      <w:tblPr>
        <w:tblW w:w="0" w:type="auto"/>
        <w:tblLook w:val="04A0" w:firstRow="1" w:lastRow="0" w:firstColumn="1" w:lastColumn="0" w:noHBand="0" w:noVBand="1"/>
      </w:tblPr>
      <w:tblGrid>
        <w:gridCol w:w="7196"/>
        <w:gridCol w:w="1858"/>
      </w:tblGrid>
      <w:tr w:rsidR="0028011B" w:rsidRPr="00883687" w:rsidTr="00D644BD">
        <w:trPr>
          <w:trHeight w:val="396"/>
          <w:tblHeader/>
        </w:trPr>
        <w:tc>
          <w:tcPr>
            <w:tcW w:w="7196" w:type="dxa"/>
            <w:shd w:val="clear" w:color="auto" w:fill="FDE9D9" w:themeFill="accent6" w:themeFillTint="33"/>
          </w:tcPr>
          <w:p w:rsidR="0028011B" w:rsidRPr="00DC4ABD" w:rsidRDefault="0028011B" w:rsidP="00B8551B">
            <w:pPr>
              <w:tabs>
                <w:tab w:val="left" w:pos="5535"/>
              </w:tabs>
              <w:spacing w:after="0" w:line="480" w:lineRule="auto"/>
              <w:rPr>
                <w:rFonts w:ascii="Arial" w:hAnsi="Arial" w:cs="Arial"/>
                <w:lang w:val="es-MX"/>
              </w:rPr>
            </w:pPr>
          </w:p>
        </w:tc>
        <w:tc>
          <w:tcPr>
            <w:tcW w:w="1858" w:type="dxa"/>
            <w:shd w:val="clear" w:color="auto" w:fill="FDE9D9" w:themeFill="accent6" w:themeFillTint="33"/>
            <w:vAlign w:val="bottom"/>
          </w:tcPr>
          <w:p w:rsidR="0028011B" w:rsidRPr="00DC4ABD" w:rsidRDefault="0028011B" w:rsidP="00B8551B">
            <w:pPr>
              <w:spacing w:after="0" w:line="360" w:lineRule="auto"/>
              <w:jc w:val="center"/>
              <w:rPr>
                <w:rFonts w:ascii="Arial" w:hAnsi="Arial" w:cs="Arial"/>
                <w:b/>
                <w:sz w:val="24"/>
                <w:szCs w:val="24"/>
                <w:lang w:val="es-MX"/>
              </w:rPr>
            </w:pPr>
            <w:r w:rsidRPr="00DC4ABD">
              <w:rPr>
                <w:rFonts w:ascii="Arial" w:hAnsi="Arial" w:cs="Arial"/>
                <w:b/>
                <w:sz w:val="24"/>
                <w:szCs w:val="24"/>
                <w:lang w:val="es-MX"/>
              </w:rPr>
              <w:t>Página</w:t>
            </w:r>
          </w:p>
        </w:tc>
      </w:tr>
      <w:tr w:rsidR="0028011B" w:rsidRPr="00883687" w:rsidTr="00B8551B">
        <w:trPr>
          <w:cantSplit/>
          <w:trHeight w:val="639"/>
        </w:trPr>
        <w:tc>
          <w:tcPr>
            <w:tcW w:w="7196" w:type="dxa"/>
            <w:vAlign w:val="bottom"/>
          </w:tcPr>
          <w:p w:rsidR="0028011B" w:rsidRPr="00883687" w:rsidRDefault="00472C07" w:rsidP="00B8551B">
            <w:pPr>
              <w:spacing w:after="0" w:line="480" w:lineRule="auto"/>
              <w:ind w:left="567" w:hanging="567"/>
              <w:jc w:val="center"/>
              <w:rPr>
                <w:rFonts w:ascii="Arial" w:hAnsi="Arial" w:cs="Arial"/>
                <w:b/>
                <w:lang w:val="es-MX"/>
              </w:rPr>
            </w:pPr>
            <w:r>
              <w:rPr>
                <w:rFonts w:ascii="Arial" w:hAnsi="Arial" w:cs="Arial"/>
                <w:b/>
                <w:lang w:val="es-MX"/>
              </w:rPr>
              <w:t>INTRODUCCIÓ</w:t>
            </w:r>
            <w:r w:rsidR="0028011B" w:rsidRPr="00883687">
              <w:rPr>
                <w:rFonts w:ascii="Arial" w:hAnsi="Arial" w:cs="Arial"/>
                <w:b/>
                <w:lang w:val="es-MX"/>
              </w:rPr>
              <w:t>N</w:t>
            </w:r>
          </w:p>
        </w:tc>
        <w:tc>
          <w:tcPr>
            <w:tcW w:w="1858" w:type="dxa"/>
            <w:vAlign w:val="bottom"/>
          </w:tcPr>
          <w:p w:rsidR="0028011B" w:rsidRPr="00883687" w:rsidRDefault="006C42D1" w:rsidP="00B8551B">
            <w:pPr>
              <w:spacing w:after="0" w:line="360" w:lineRule="auto"/>
              <w:jc w:val="center"/>
              <w:rPr>
                <w:rFonts w:ascii="Arial" w:hAnsi="Arial" w:cs="Arial"/>
                <w:lang w:val="es-MX"/>
              </w:rPr>
            </w:pPr>
            <w:r>
              <w:rPr>
                <w:rFonts w:ascii="Arial" w:hAnsi="Arial" w:cs="Arial"/>
                <w:lang w:val="es-MX"/>
              </w:rPr>
              <w:t>5</w:t>
            </w:r>
          </w:p>
        </w:tc>
      </w:tr>
      <w:tr w:rsidR="0028011B" w:rsidRPr="00883687" w:rsidTr="00B8551B">
        <w:trPr>
          <w:trHeight w:val="365"/>
        </w:trPr>
        <w:tc>
          <w:tcPr>
            <w:tcW w:w="7196" w:type="dxa"/>
            <w:vAlign w:val="bottom"/>
          </w:tcPr>
          <w:p w:rsidR="0028011B" w:rsidRPr="00883687" w:rsidRDefault="0028011B" w:rsidP="00B8551B">
            <w:pPr>
              <w:pStyle w:val="Prrafodelista"/>
              <w:spacing w:after="0" w:line="480" w:lineRule="auto"/>
              <w:ind w:left="0"/>
              <w:jc w:val="center"/>
              <w:rPr>
                <w:rFonts w:ascii="Arial" w:hAnsi="Arial" w:cs="Arial"/>
              </w:rPr>
            </w:pPr>
            <w:r w:rsidRPr="00883687">
              <w:rPr>
                <w:rFonts w:ascii="Arial" w:hAnsi="Arial" w:cs="Arial"/>
                <w:b/>
                <w:lang w:val="es-MX"/>
              </w:rPr>
              <w:t>CAPÍTULO I</w:t>
            </w:r>
          </w:p>
        </w:tc>
        <w:tc>
          <w:tcPr>
            <w:tcW w:w="1858" w:type="dxa"/>
            <w:vAlign w:val="center"/>
          </w:tcPr>
          <w:p w:rsidR="0028011B" w:rsidRPr="00883687" w:rsidRDefault="0028011B" w:rsidP="00B8551B">
            <w:pPr>
              <w:spacing w:after="0" w:line="240" w:lineRule="auto"/>
              <w:ind w:left="34"/>
              <w:jc w:val="center"/>
              <w:rPr>
                <w:rFonts w:ascii="Arial" w:hAnsi="Arial" w:cs="Arial"/>
                <w:lang w:val="es-MX"/>
              </w:rPr>
            </w:pPr>
          </w:p>
        </w:tc>
      </w:tr>
      <w:tr w:rsidR="0028011B" w:rsidRPr="00883687" w:rsidTr="0061443C">
        <w:trPr>
          <w:cantSplit/>
          <w:trHeight w:val="698"/>
        </w:trPr>
        <w:tc>
          <w:tcPr>
            <w:tcW w:w="7196" w:type="dxa"/>
            <w:vAlign w:val="bottom"/>
          </w:tcPr>
          <w:p w:rsidR="0028011B" w:rsidRDefault="005F3709" w:rsidP="002A3602">
            <w:pPr>
              <w:pStyle w:val="Prrafodelista"/>
              <w:numPr>
                <w:ilvl w:val="0"/>
                <w:numId w:val="21"/>
              </w:numPr>
              <w:spacing w:after="0"/>
              <w:jc w:val="both"/>
              <w:rPr>
                <w:rFonts w:ascii="Arial" w:hAnsi="Arial" w:cs="Arial"/>
                <w:b/>
                <w:lang w:val="es-MX"/>
              </w:rPr>
            </w:pPr>
            <w:r>
              <w:rPr>
                <w:rFonts w:ascii="Arial" w:hAnsi="Arial" w:cs="Arial"/>
                <w:b/>
                <w:lang w:val="es-MX"/>
              </w:rPr>
              <w:t xml:space="preserve"> </w:t>
            </w:r>
            <w:r w:rsidR="002A3602" w:rsidRPr="002A3602">
              <w:rPr>
                <w:rFonts w:ascii="Arial" w:hAnsi="Arial" w:cs="Arial"/>
                <w:b/>
                <w:lang w:val="es-MX"/>
              </w:rPr>
              <w:t xml:space="preserve">PRESUPUESTO 2019 </w:t>
            </w:r>
            <w:r w:rsidR="002A3602">
              <w:rPr>
                <w:rFonts w:ascii="Arial" w:hAnsi="Arial" w:cs="Arial"/>
                <w:b/>
                <w:lang w:val="es-MX"/>
              </w:rPr>
              <w:t xml:space="preserve"> </w:t>
            </w:r>
            <w:r w:rsidR="002A3602" w:rsidRPr="002A3602">
              <w:rPr>
                <w:rFonts w:ascii="Arial" w:hAnsi="Arial" w:cs="Arial"/>
                <w:b/>
                <w:lang w:val="es-MX"/>
              </w:rPr>
              <w:t>PARA EL CIUDADANO</w:t>
            </w:r>
          </w:p>
          <w:p w:rsidR="002A6397" w:rsidRPr="002A3602" w:rsidRDefault="002A6397" w:rsidP="002A6397">
            <w:pPr>
              <w:pStyle w:val="Prrafodelista"/>
              <w:spacing w:after="0"/>
              <w:jc w:val="both"/>
              <w:rPr>
                <w:rFonts w:ascii="Arial" w:hAnsi="Arial" w:cs="Arial"/>
                <w:b/>
                <w:lang w:val="es-MX"/>
              </w:rPr>
            </w:pPr>
          </w:p>
        </w:tc>
        <w:tc>
          <w:tcPr>
            <w:tcW w:w="1858" w:type="dxa"/>
            <w:vAlign w:val="bottom"/>
          </w:tcPr>
          <w:p w:rsidR="0028011B" w:rsidRPr="00883687" w:rsidRDefault="0028011B" w:rsidP="0061443C">
            <w:pPr>
              <w:spacing w:after="0" w:line="240" w:lineRule="auto"/>
              <w:ind w:left="34"/>
              <w:jc w:val="center"/>
              <w:rPr>
                <w:rFonts w:ascii="Arial" w:hAnsi="Arial" w:cs="Arial"/>
                <w:lang w:val="es-MX"/>
              </w:rPr>
            </w:pPr>
          </w:p>
        </w:tc>
      </w:tr>
      <w:tr w:rsidR="002A3602" w:rsidRPr="00883687" w:rsidTr="004C175A">
        <w:trPr>
          <w:cantSplit/>
          <w:trHeight w:val="412"/>
        </w:trPr>
        <w:tc>
          <w:tcPr>
            <w:tcW w:w="7196" w:type="dxa"/>
          </w:tcPr>
          <w:p w:rsidR="002A3602" w:rsidRPr="004C175A" w:rsidRDefault="002A3602" w:rsidP="004C175A">
            <w:pPr>
              <w:pStyle w:val="Prrafodelista"/>
              <w:numPr>
                <w:ilvl w:val="0"/>
                <w:numId w:val="29"/>
              </w:numPr>
              <w:spacing w:after="0"/>
              <w:rPr>
                <w:rFonts w:ascii="Arial" w:hAnsi="Arial" w:cs="Arial"/>
                <w:lang w:val="es-MX"/>
              </w:rPr>
            </w:pPr>
            <w:r w:rsidRPr="004C175A">
              <w:rPr>
                <w:rFonts w:ascii="Arial" w:hAnsi="Arial" w:cs="Arial"/>
                <w:lang w:val="es-MX"/>
              </w:rPr>
              <w:t>¿Qué es el Presupuesto Ciudadano?</w:t>
            </w:r>
          </w:p>
        </w:tc>
        <w:tc>
          <w:tcPr>
            <w:tcW w:w="1858" w:type="dxa"/>
            <w:vAlign w:val="center"/>
          </w:tcPr>
          <w:p w:rsidR="002A3602" w:rsidRPr="00883687" w:rsidRDefault="006C42D1" w:rsidP="00B8551B">
            <w:pPr>
              <w:spacing w:after="0" w:line="240" w:lineRule="auto"/>
              <w:ind w:left="34"/>
              <w:jc w:val="center"/>
              <w:rPr>
                <w:rFonts w:ascii="Arial" w:hAnsi="Arial" w:cs="Arial"/>
                <w:lang w:val="es-MX"/>
              </w:rPr>
            </w:pPr>
            <w:r>
              <w:rPr>
                <w:rFonts w:ascii="Arial" w:hAnsi="Arial" w:cs="Arial"/>
                <w:lang w:val="es-MX"/>
              </w:rPr>
              <w:t>6</w:t>
            </w:r>
          </w:p>
        </w:tc>
      </w:tr>
      <w:tr w:rsidR="002A3602" w:rsidRPr="00883687" w:rsidTr="004C175A">
        <w:trPr>
          <w:cantSplit/>
          <w:trHeight w:val="435"/>
        </w:trPr>
        <w:tc>
          <w:tcPr>
            <w:tcW w:w="7196" w:type="dxa"/>
          </w:tcPr>
          <w:p w:rsidR="002A3602" w:rsidRPr="004C175A" w:rsidRDefault="002A3602" w:rsidP="004C175A">
            <w:pPr>
              <w:pStyle w:val="Prrafodelista"/>
              <w:numPr>
                <w:ilvl w:val="0"/>
                <w:numId w:val="29"/>
              </w:numPr>
              <w:spacing w:after="0" w:line="240" w:lineRule="auto"/>
              <w:rPr>
                <w:rFonts w:ascii="Arial" w:hAnsi="Arial" w:cs="Arial"/>
                <w:lang w:val="es-MX"/>
              </w:rPr>
            </w:pPr>
            <w:r w:rsidRPr="004C175A">
              <w:rPr>
                <w:rFonts w:ascii="Arial" w:hAnsi="Arial" w:cs="Arial"/>
                <w:lang w:val="es-MX"/>
              </w:rPr>
              <w:t>Escenario Macroeconómico como base del Presupuesto 2019</w:t>
            </w:r>
          </w:p>
        </w:tc>
        <w:tc>
          <w:tcPr>
            <w:tcW w:w="1858" w:type="dxa"/>
            <w:vAlign w:val="center"/>
          </w:tcPr>
          <w:p w:rsidR="002A3602" w:rsidRPr="00883687" w:rsidRDefault="006C42D1" w:rsidP="00B8551B">
            <w:pPr>
              <w:spacing w:after="0" w:line="240" w:lineRule="auto"/>
              <w:ind w:left="34"/>
              <w:jc w:val="center"/>
              <w:rPr>
                <w:rFonts w:ascii="Arial" w:hAnsi="Arial" w:cs="Arial"/>
                <w:lang w:val="es-MX"/>
              </w:rPr>
            </w:pPr>
            <w:r>
              <w:rPr>
                <w:rFonts w:ascii="Arial" w:hAnsi="Arial" w:cs="Arial"/>
                <w:lang w:val="es-MX"/>
              </w:rPr>
              <w:t>7</w:t>
            </w:r>
          </w:p>
        </w:tc>
      </w:tr>
      <w:tr w:rsidR="003C2971" w:rsidRPr="00883687" w:rsidTr="004C175A">
        <w:tc>
          <w:tcPr>
            <w:tcW w:w="7196" w:type="dxa"/>
          </w:tcPr>
          <w:p w:rsidR="003C2971" w:rsidRPr="004C175A" w:rsidRDefault="003C2971" w:rsidP="003F4907">
            <w:pPr>
              <w:pStyle w:val="Prrafodelista"/>
              <w:numPr>
                <w:ilvl w:val="0"/>
                <w:numId w:val="29"/>
              </w:numPr>
              <w:spacing w:after="0" w:line="480" w:lineRule="auto"/>
              <w:rPr>
                <w:rFonts w:ascii="Arial" w:hAnsi="Arial" w:cs="Arial"/>
                <w:lang w:val="es-MX"/>
              </w:rPr>
            </w:pPr>
            <w:r w:rsidRPr="004C175A">
              <w:rPr>
                <w:rFonts w:ascii="Arial" w:hAnsi="Arial" w:cs="Arial"/>
                <w:lang w:val="es-MX"/>
              </w:rPr>
              <w:t xml:space="preserve">Crecimiento </w:t>
            </w:r>
            <w:r w:rsidR="003F4907">
              <w:rPr>
                <w:rFonts w:ascii="Arial" w:hAnsi="Arial" w:cs="Arial"/>
                <w:lang w:val="es-MX"/>
              </w:rPr>
              <w:t>E</w:t>
            </w:r>
            <w:r w:rsidRPr="004C175A">
              <w:rPr>
                <w:rFonts w:ascii="Arial" w:hAnsi="Arial" w:cs="Arial"/>
                <w:lang w:val="es-MX"/>
              </w:rPr>
              <w:t>conómico</w:t>
            </w:r>
          </w:p>
        </w:tc>
        <w:tc>
          <w:tcPr>
            <w:tcW w:w="1858" w:type="dxa"/>
          </w:tcPr>
          <w:p w:rsidR="003C2971" w:rsidRPr="00883687" w:rsidRDefault="006C42D1" w:rsidP="00B8551B">
            <w:pPr>
              <w:spacing w:after="0" w:line="240" w:lineRule="auto"/>
              <w:ind w:left="34"/>
              <w:jc w:val="center"/>
              <w:rPr>
                <w:rFonts w:ascii="Arial" w:hAnsi="Arial" w:cs="Arial"/>
                <w:lang w:val="es-MX"/>
              </w:rPr>
            </w:pPr>
            <w:r>
              <w:rPr>
                <w:rFonts w:ascii="Arial" w:hAnsi="Arial" w:cs="Arial"/>
                <w:lang w:val="es-MX"/>
              </w:rPr>
              <w:t>8</w:t>
            </w:r>
          </w:p>
        </w:tc>
      </w:tr>
      <w:tr w:rsidR="0028011B" w:rsidRPr="00883687" w:rsidTr="004C175A">
        <w:tc>
          <w:tcPr>
            <w:tcW w:w="7196" w:type="dxa"/>
          </w:tcPr>
          <w:p w:rsidR="0028011B" w:rsidRPr="004C175A" w:rsidRDefault="0028011B" w:rsidP="004C175A">
            <w:pPr>
              <w:pStyle w:val="Prrafodelista"/>
              <w:numPr>
                <w:ilvl w:val="0"/>
                <w:numId w:val="29"/>
              </w:numPr>
              <w:spacing w:after="0" w:line="480" w:lineRule="auto"/>
              <w:rPr>
                <w:rFonts w:ascii="Arial" w:hAnsi="Arial" w:cs="Arial"/>
                <w:lang w:val="es-MX"/>
              </w:rPr>
            </w:pPr>
            <w:r w:rsidRPr="004C175A">
              <w:rPr>
                <w:rFonts w:ascii="Arial" w:hAnsi="Arial" w:cs="Arial"/>
                <w:lang w:val="es-MX"/>
              </w:rPr>
              <w:t>Carga Tributaria</w:t>
            </w:r>
          </w:p>
        </w:tc>
        <w:tc>
          <w:tcPr>
            <w:tcW w:w="1858" w:type="dxa"/>
          </w:tcPr>
          <w:p w:rsidR="0028011B" w:rsidRPr="00883687" w:rsidRDefault="006C42D1" w:rsidP="00B8551B">
            <w:pPr>
              <w:spacing w:after="0" w:line="240" w:lineRule="auto"/>
              <w:ind w:left="34"/>
              <w:jc w:val="center"/>
              <w:rPr>
                <w:rFonts w:ascii="Arial" w:hAnsi="Arial" w:cs="Arial"/>
                <w:lang w:val="es-MX"/>
              </w:rPr>
            </w:pPr>
            <w:r>
              <w:rPr>
                <w:rFonts w:ascii="Arial" w:hAnsi="Arial" w:cs="Arial"/>
                <w:lang w:val="es-MX"/>
              </w:rPr>
              <w:t>9</w:t>
            </w:r>
          </w:p>
        </w:tc>
      </w:tr>
      <w:tr w:rsidR="0028011B" w:rsidRPr="00883687" w:rsidTr="004C175A">
        <w:tc>
          <w:tcPr>
            <w:tcW w:w="7196" w:type="dxa"/>
          </w:tcPr>
          <w:p w:rsidR="0028011B" w:rsidRPr="004C175A" w:rsidRDefault="0028011B" w:rsidP="004C175A">
            <w:pPr>
              <w:pStyle w:val="Prrafodelista"/>
              <w:numPr>
                <w:ilvl w:val="0"/>
                <w:numId w:val="29"/>
              </w:numPr>
              <w:spacing w:after="0" w:line="480" w:lineRule="auto"/>
              <w:rPr>
                <w:rFonts w:ascii="Arial" w:hAnsi="Arial" w:cs="Arial"/>
                <w:lang w:val="es-MX"/>
              </w:rPr>
            </w:pPr>
            <w:r w:rsidRPr="004C175A">
              <w:rPr>
                <w:rFonts w:ascii="Arial" w:hAnsi="Arial" w:cs="Arial"/>
                <w:lang w:val="es-MX"/>
              </w:rPr>
              <w:t>Endeudamiento Neto</w:t>
            </w:r>
          </w:p>
        </w:tc>
        <w:tc>
          <w:tcPr>
            <w:tcW w:w="1858" w:type="dxa"/>
          </w:tcPr>
          <w:p w:rsidR="0028011B" w:rsidRPr="00883687" w:rsidRDefault="006C42D1" w:rsidP="00B8551B">
            <w:pPr>
              <w:spacing w:after="0" w:line="240" w:lineRule="auto"/>
              <w:ind w:left="34"/>
              <w:jc w:val="center"/>
              <w:rPr>
                <w:rFonts w:ascii="Arial" w:hAnsi="Arial" w:cs="Arial"/>
                <w:lang w:val="es-MX"/>
              </w:rPr>
            </w:pPr>
            <w:r>
              <w:rPr>
                <w:rFonts w:ascii="Arial" w:hAnsi="Arial" w:cs="Arial"/>
                <w:lang w:val="es-MX"/>
              </w:rPr>
              <w:t>10</w:t>
            </w:r>
          </w:p>
        </w:tc>
      </w:tr>
      <w:tr w:rsidR="0028011B" w:rsidRPr="00883687" w:rsidTr="004C175A">
        <w:tc>
          <w:tcPr>
            <w:tcW w:w="7196" w:type="dxa"/>
          </w:tcPr>
          <w:p w:rsidR="0028011B" w:rsidRPr="004C175A" w:rsidRDefault="0028011B" w:rsidP="004C175A">
            <w:pPr>
              <w:pStyle w:val="Prrafodelista"/>
              <w:numPr>
                <w:ilvl w:val="0"/>
                <w:numId w:val="29"/>
              </w:numPr>
              <w:spacing w:after="0" w:line="480" w:lineRule="auto"/>
              <w:rPr>
                <w:rFonts w:ascii="Arial" w:hAnsi="Arial" w:cs="Arial"/>
                <w:lang w:val="es-MX"/>
              </w:rPr>
            </w:pPr>
            <w:r w:rsidRPr="004C175A">
              <w:rPr>
                <w:rFonts w:ascii="Arial" w:hAnsi="Arial" w:cs="Arial"/>
                <w:lang w:val="es-MX"/>
              </w:rPr>
              <w:t>Déficit Fiscal</w:t>
            </w:r>
          </w:p>
        </w:tc>
        <w:tc>
          <w:tcPr>
            <w:tcW w:w="1858" w:type="dxa"/>
          </w:tcPr>
          <w:p w:rsidR="0028011B" w:rsidRPr="00883687" w:rsidRDefault="006C42D1" w:rsidP="00B8551B">
            <w:pPr>
              <w:spacing w:after="0" w:line="240" w:lineRule="auto"/>
              <w:ind w:left="34"/>
              <w:jc w:val="center"/>
              <w:rPr>
                <w:rFonts w:ascii="Arial" w:hAnsi="Arial" w:cs="Arial"/>
                <w:lang w:val="es-MX"/>
              </w:rPr>
            </w:pPr>
            <w:r>
              <w:rPr>
                <w:rFonts w:ascii="Arial" w:hAnsi="Arial" w:cs="Arial"/>
                <w:lang w:val="es-MX"/>
              </w:rPr>
              <w:t>11</w:t>
            </w:r>
          </w:p>
        </w:tc>
      </w:tr>
      <w:tr w:rsidR="0028011B" w:rsidRPr="00883687" w:rsidTr="004C175A">
        <w:tc>
          <w:tcPr>
            <w:tcW w:w="7196" w:type="dxa"/>
          </w:tcPr>
          <w:p w:rsidR="0028011B" w:rsidRPr="004C175A" w:rsidRDefault="0028011B" w:rsidP="004C175A">
            <w:pPr>
              <w:pStyle w:val="Prrafodelista"/>
              <w:numPr>
                <w:ilvl w:val="0"/>
                <w:numId w:val="29"/>
              </w:numPr>
              <w:spacing w:after="0" w:line="480" w:lineRule="auto"/>
              <w:rPr>
                <w:rFonts w:ascii="Arial" w:hAnsi="Arial" w:cs="Arial"/>
                <w:lang w:val="es-MX"/>
              </w:rPr>
            </w:pPr>
            <w:r w:rsidRPr="004C175A">
              <w:rPr>
                <w:rFonts w:ascii="Arial" w:hAnsi="Arial" w:cs="Arial"/>
                <w:lang w:val="es-MX"/>
              </w:rPr>
              <w:t>Presupuesto Aprobado respecto del PIB</w:t>
            </w:r>
          </w:p>
        </w:tc>
        <w:tc>
          <w:tcPr>
            <w:tcW w:w="1858" w:type="dxa"/>
          </w:tcPr>
          <w:p w:rsidR="0028011B" w:rsidRPr="00883687" w:rsidRDefault="006C42D1" w:rsidP="00B8551B">
            <w:pPr>
              <w:spacing w:after="0" w:line="240" w:lineRule="auto"/>
              <w:ind w:left="34"/>
              <w:jc w:val="center"/>
              <w:rPr>
                <w:rFonts w:ascii="Arial" w:hAnsi="Arial" w:cs="Arial"/>
                <w:lang w:val="es-MX"/>
              </w:rPr>
            </w:pPr>
            <w:r>
              <w:rPr>
                <w:rFonts w:ascii="Arial" w:hAnsi="Arial" w:cs="Arial"/>
                <w:lang w:val="es-MX"/>
              </w:rPr>
              <w:t>12</w:t>
            </w:r>
          </w:p>
        </w:tc>
      </w:tr>
      <w:tr w:rsidR="0028011B" w:rsidRPr="00883687" w:rsidTr="004C175A">
        <w:tc>
          <w:tcPr>
            <w:tcW w:w="7196" w:type="dxa"/>
          </w:tcPr>
          <w:p w:rsidR="0028011B" w:rsidRPr="004C175A" w:rsidRDefault="0028011B" w:rsidP="004C175A">
            <w:pPr>
              <w:pStyle w:val="Prrafodelista"/>
              <w:numPr>
                <w:ilvl w:val="0"/>
                <w:numId w:val="29"/>
              </w:numPr>
              <w:spacing w:after="0" w:line="480" w:lineRule="auto"/>
              <w:rPr>
                <w:rFonts w:ascii="Arial" w:hAnsi="Arial" w:cs="Arial"/>
              </w:rPr>
            </w:pPr>
            <w:r w:rsidRPr="004C175A">
              <w:rPr>
                <w:rFonts w:ascii="Arial" w:hAnsi="Arial" w:cs="Arial"/>
              </w:rPr>
              <w:t>Presupuesto Ejecutado respecto del PIB</w:t>
            </w:r>
          </w:p>
        </w:tc>
        <w:tc>
          <w:tcPr>
            <w:tcW w:w="1858" w:type="dxa"/>
          </w:tcPr>
          <w:p w:rsidR="000B231F" w:rsidRPr="00883687" w:rsidRDefault="006C42D1" w:rsidP="000B231F">
            <w:pPr>
              <w:spacing w:after="0" w:line="240" w:lineRule="auto"/>
              <w:ind w:left="34"/>
              <w:jc w:val="center"/>
              <w:rPr>
                <w:rFonts w:ascii="Arial" w:hAnsi="Arial" w:cs="Arial"/>
                <w:lang w:val="es-MX"/>
              </w:rPr>
            </w:pPr>
            <w:r>
              <w:rPr>
                <w:rFonts w:ascii="Arial" w:hAnsi="Arial" w:cs="Arial"/>
                <w:lang w:val="es-MX"/>
              </w:rPr>
              <w:t>13</w:t>
            </w:r>
          </w:p>
        </w:tc>
      </w:tr>
      <w:tr w:rsidR="0028011B" w:rsidRPr="00883687" w:rsidTr="00B8551B">
        <w:trPr>
          <w:cantSplit/>
          <w:trHeight w:val="801"/>
        </w:trPr>
        <w:tc>
          <w:tcPr>
            <w:tcW w:w="7196" w:type="dxa"/>
            <w:vAlign w:val="bottom"/>
          </w:tcPr>
          <w:p w:rsidR="0028011B" w:rsidRPr="00883687" w:rsidRDefault="0028011B" w:rsidP="00B8551B">
            <w:pPr>
              <w:pStyle w:val="Prrafodelista"/>
              <w:spacing w:after="0" w:line="480" w:lineRule="auto"/>
              <w:ind w:left="709"/>
              <w:jc w:val="center"/>
              <w:rPr>
                <w:rFonts w:ascii="Arial" w:hAnsi="Arial" w:cs="Arial"/>
                <w:b/>
                <w:lang w:val="es-MX"/>
              </w:rPr>
            </w:pPr>
          </w:p>
          <w:p w:rsidR="0028011B" w:rsidRPr="00883687" w:rsidRDefault="003C455A" w:rsidP="00B8551B">
            <w:pPr>
              <w:pStyle w:val="Prrafodelista"/>
              <w:spacing w:after="0" w:line="480" w:lineRule="auto"/>
              <w:ind w:left="709"/>
              <w:jc w:val="center"/>
              <w:rPr>
                <w:rFonts w:ascii="Arial" w:hAnsi="Arial" w:cs="Arial"/>
                <w:b/>
                <w:lang w:val="es-MX"/>
              </w:rPr>
            </w:pPr>
            <w:r>
              <w:rPr>
                <w:rFonts w:ascii="Arial" w:hAnsi="Arial" w:cs="Arial"/>
                <w:b/>
                <w:lang w:val="es-MX"/>
              </w:rPr>
              <w:t>CAPÍTULO II</w:t>
            </w:r>
          </w:p>
        </w:tc>
        <w:tc>
          <w:tcPr>
            <w:tcW w:w="1858" w:type="dxa"/>
            <w:vAlign w:val="center"/>
          </w:tcPr>
          <w:p w:rsidR="0028011B" w:rsidRPr="00883687" w:rsidRDefault="0028011B" w:rsidP="00B8551B">
            <w:pPr>
              <w:spacing w:after="0" w:line="480" w:lineRule="auto"/>
              <w:ind w:left="34"/>
              <w:jc w:val="center"/>
              <w:rPr>
                <w:rFonts w:ascii="Arial" w:hAnsi="Arial" w:cs="Arial"/>
                <w:lang w:val="es-MX"/>
              </w:rPr>
            </w:pPr>
          </w:p>
        </w:tc>
      </w:tr>
      <w:tr w:rsidR="0028011B" w:rsidRPr="00883687" w:rsidTr="0061443C">
        <w:trPr>
          <w:cantSplit/>
          <w:trHeight w:val="723"/>
        </w:trPr>
        <w:tc>
          <w:tcPr>
            <w:tcW w:w="7196" w:type="dxa"/>
            <w:vAlign w:val="bottom"/>
          </w:tcPr>
          <w:p w:rsidR="0028011B" w:rsidRPr="00883687" w:rsidRDefault="0028011B" w:rsidP="0028011B">
            <w:pPr>
              <w:pStyle w:val="Prrafodelista"/>
              <w:numPr>
                <w:ilvl w:val="0"/>
                <w:numId w:val="5"/>
              </w:numPr>
              <w:spacing w:after="0" w:line="480" w:lineRule="auto"/>
              <w:ind w:left="709" w:hanging="567"/>
              <w:rPr>
                <w:rFonts w:ascii="Arial" w:hAnsi="Arial" w:cs="Arial"/>
                <w:lang w:val="es-MX"/>
              </w:rPr>
            </w:pPr>
            <w:r w:rsidRPr="00883687">
              <w:rPr>
                <w:rFonts w:ascii="Arial" w:hAnsi="Arial" w:cs="Arial"/>
                <w:b/>
                <w:lang w:val="es-MX"/>
              </w:rPr>
              <w:t>PRESUPUESTO 201</w:t>
            </w:r>
            <w:r w:rsidR="003C455A">
              <w:rPr>
                <w:rFonts w:ascii="Arial" w:hAnsi="Arial" w:cs="Arial"/>
                <w:b/>
                <w:lang w:val="es-MX"/>
              </w:rPr>
              <w:t>9</w:t>
            </w:r>
          </w:p>
        </w:tc>
        <w:tc>
          <w:tcPr>
            <w:tcW w:w="1858" w:type="dxa"/>
            <w:vAlign w:val="bottom"/>
          </w:tcPr>
          <w:p w:rsidR="0028011B" w:rsidRPr="00883687" w:rsidRDefault="0061443C" w:rsidP="0061443C">
            <w:pPr>
              <w:spacing w:after="0" w:line="480" w:lineRule="auto"/>
              <w:ind w:left="34"/>
              <w:jc w:val="center"/>
              <w:rPr>
                <w:rFonts w:ascii="Arial" w:hAnsi="Arial" w:cs="Arial"/>
                <w:lang w:val="es-MX"/>
              </w:rPr>
            </w:pPr>
            <w:r>
              <w:rPr>
                <w:rFonts w:ascii="Arial" w:hAnsi="Arial" w:cs="Arial"/>
                <w:lang w:val="es-MX"/>
              </w:rPr>
              <w:t>15</w:t>
            </w:r>
          </w:p>
        </w:tc>
      </w:tr>
      <w:tr w:rsidR="0028011B" w:rsidRPr="00883687" w:rsidTr="00B8551B">
        <w:tc>
          <w:tcPr>
            <w:tcW w:w="7196" w:type="dxa"/>
            <w:vAlign w:val="bottom"/>
          </w:tcPr>
          <w:p w:rsidR="0028011B" w:rsidRPr="00883687" w:rsidRDefault="00B2601F" w:rsidP="00B2601F">
            <w:pPr>
              <w:pStyle w:val="Prrafodelista"/>
              <w:numPr>
                <w:ilvl w:val="0"/>
                <w:numId w:val="3"/>
              </w:numPr>
              <w:spacing w:after="0" w:line="480" w:lineRule="auto"/>
              <w:ind w:left="1418" w:hanging="567"/>
              <w:rPr>
                <w:rFonts w:ascii="Arial" w:hAnsi="Arial" w:cs="Arial"/>
                <w:lang w:val="es-MX"/>
              </w:rPr>
            </w:pPr>
            <w:r>
              <w:rPr>
                <w:rFonts w:ascii="Arial" w:hAnsi="Arial" w:cs="Arial"/>
                <w:lang w:val="es-MX"/>
              </w:rPr>
              <w:t>Presupuesto de Ingresos 201</w:t>
            </w:r>
            <w:r w:rsidR="003C455A">
              <w:rPr>
                <w:rFonts w:ascii="Arial" w:hAnsi="Arial" w:cs="Arial"/>
                <w:lang w:val="es-MX"/>
              </w:rPr>
              <w:t>9</w:t>
            </w:r>
          </w:p>
        </w:tc>
        <w:tc>
          <w:tcPr>
            <w:tcW w:w="1858" w:type="dxa"/>
            <w:vAlign w:val="center"/>
          </w:tcPr>
          <w:p w:rsidR="0028011B" w:rsidRPr="00883687" w:rsidRDefault="006C42D1" w:rsidP="00F569C8">
            <w:pPr>
              <w:spacing w:after="0" w:line="480" w:lineRule="auto"/>
              <w:ind w:left="34"/>
              <w:jc w:val="center"/>
              <w:rPr>
                <w:rFonts w:ascii="Arial" w:hAnsi="Arial" w:cs="Arial"/>
              </w:rPr>
            </w:pPr>
            <w:r>
              <w:rPr>
                <w:rFonts w:ascii="Arial" w:hAnsi="Arial" w:cs="Arial"/>
              </w:rPr>
              <w:t>1</w:t>
            </w:r>
            <w:r w:rsidR="00F569C8">
              <w:rPr>
                <w:rFonts w:ascii="Arial" w:hAnsi="Arial" w:cs="Arial"/>
              </w:rPr>
              <w:t>6</w:t>
            </w:r>
          </w:p>
        </w:tc>
      </w:tr>
      <w:tr w:rsidR="0028011B" w:rsidRPr="00883687" w:rsidTr="00B8551B">
        <w:tc>
          <w:tcPr>
            <w:tcW w:w="7196" w:type="dxa"/>
            <w:vAlign w:val="bottom"/>
          </w:tcPr>
          <w:p w:rsidR="0028011B" w:rsidRPr="00883687" w:rsidRDefault="00B2601F" w:rsidP="00B2601F">
            <w:pPr>
              <w:pStyle w:val="Prrafodelista"/>
              <w:numPr>
                <w:ilvl w:val="0"/>
                <w:numId w:val="3"/>
              </w:numPr>
              <w:spacing w:after="0" w:line="480" w:lineRule="auto"/>
              <w:ind w:left="1418" w:hanging="567"/>
              <w:rPr>
                <w:rFonts w:ascii="Arial" w:hAnsi="Arial" w:cs="Arial"/>
                <w:lang w:val="es-MX"/>
              </w:rPr>
            </w:pPr>
            <w:r>
              <w:rPr>
                <w:rFonts w:ascii="Arial" w:hAnsi="Arial" w:cs="Arial"/>
                <w:lang w:val="es-MX"/>
              </w:rPr>
              <w:t>Presupuesto de Egresos 201</w:t>
            </w:r>
            <w:r w:rsidR="003C455A">
              <w:rPr>
                <w:rFonts w:ascii="Arial" w:hAnsi="Arial" w:cs="Arial"/>
                <w:lang w:val="es-MX"/>
              </w:rPr>
              <w:t>9</w:t>
            </w:r>
          </w:p>
        </w:tc>
        <w:tc>
          <w:tcPr>
            <w:tcW w:w="1858" w:type="dxa"/>
            <w:vAlign w:val="center"/>
          </w:tcPr>
          <w:p w:rsidR="0028011B" w:rsidRPr="00883687" w:rsidRDefault="006C42D1" w:rsidP="00B8551B">
            <w:pPr>
              <w:spacing w:after="0" w:line="480" w:lineRule="auto"/>
              <w:ind w:left="34"/>
              <w:jc w:val="center"/>
              <w:rPr>
                <w:rFonts w:ascii="Arial" w:hAnsi="Arial" w:cs="Arial"/>
                <w:lang w:val="es-MX"/>
              </w:rPr>
            </w:pPr>
            <w:r>
              <w:rPr>
                <w:rFonts w:ascii="Arial" w:hAnsi="Arial" w:cs="Arial"/>
                <w:lang w:val="es-MX"/>
              </w:rPr>
              <w:t>19</w:t>
            </w:r>
          </w:p>
        </w:tc>
      </w:tr>
      <w:tr w:rsidR="0028011B" w:rsidRPr="00883687" w:rsidTr="00B8551B">
        <w:tc>
          <w:tcPr>
            <w:tcW w:w="7196" w:type="dxa"/>
            <w:vAlign w:val="bottom"/>
          </w:tcPr>
          <w:p w:rsidR="0028011B" w:rsidRPr="00883687" w:rsidRDefault="0028011B" w:rsidP="0028011B">
            <w:pPr>
              <w:pStyle w:val="Prrafodelista"/>
              <w:numPr>
                <w:ilvl w:val="0"/>
                <w:numId w:val="4"/>
              </w:numPr>
              <w:ind w:left="1985" w:hanging="567"/>
              <w:rPr>
                <w:rFonts w:ascii="Arial" w:hAnsi="Arial" w:cs="Arial"/>
              </w:rPr>
            </w:pPr>
            <w:r w:rsidRPr="00883687">
              <w:rPr>
                <w:rFonts w:ascii="Arial" w:hAnsi="Arial" w:cs="Arial"/>
              </w:rPr>
              <w:t xml:space="preserve">Por tipo de gasto y subgrupo </w:t>
            </w:r>
            <w:r w:rsidR="00541923">
              <w:rPr>
                <w:rFonts w:ascii="Arial" w:hAnsi="Arial" w:cs="Arial"/>
              </w:rPr>
              <w:t xml:space="preserve">tipo </w:t>
            </w:r>
            <w:r w:rsidRPr="00883687">
              <w:rPr>
                <w:rFonts w:ascii="Arial" w:hAnsi="Arial" w:cs="Arial"/>
              </w:rPr>
              <w:t>de gasto</w:t>
            </w:r>
          </w:p>
        </w:tc>
        <w:tc>
          <w:tcPr>
            <w:tcW w:w="1858" w:type="dxa"/>
            <w:vAlign w:val="center"/>
          </w:tcPr>
          <w:p w:rsidR="0028011B" w:rsidRPr="00883687" w:rsidRDefault="006C42D1" w:rsidP="00541923">
            <w:pPr>
              <w:spacing w:after="0" w:line="480" w:lineRule="auto"/>
              <w:ind w:left="34"/>
              <w:jc w:val="center"/>
              <w:rPr>
                <w:rFonts w:ascii="Arial" w:hAnsi="Arial" w:cs="Arial"/>
                <w:lang w:val="es-MX"/>
              </w:rPr>
            </w:pPr>
            <w:r>
              <w:rPr>
                <w:rFonts w:ascii="Arial" w:hAnsi="Arial" w:cs="Arial"/>
                <w:lang w:val="es-MX"/>
              </w:rPr>
              <w:t>19</w:t>
            </w:r>
          </w:p>
        </w:tc>
      </w:tr>
      <w:tr w:rsidR="0028011B" w:rsidRPr="00883687" w:rsidTr="00B8551B">
        <w:trPr>
          <w:trHeight w:val="338"/>
        </w:trPr>
        <w:tc>
          <w:tcPr>
            <w:tcW w:w="7196" w:type="dxa"/>
            <w:vAlign w:val="bottom"/>
          </w:tcPr>
          <w:p w:rsidR="0028011B" w:rsidRPr="00883687" w:rsidRDefault="0028011B" w:rsidP="0028011B">
            <w:pPr>
              <w:pStyle w:val="Prrafodelista"/>
              <w:numPr>
                <w:ilvl w:val="0"/>
                <w:numId w:val="4"/>
              </w:numPr>
              <w:spacing w:after="0" w:line="480" w:lineRule="auto"/>
              <w:ind w:left="1985" w:hanging="567"/>
              <w:rPr>
                <w:rFonts w:ascii="Arial" w:hAnsi="Arial" w:cs="Arial"/>
                <w:lang w:val="es-MX"/>
              </w:rPr>
            </w:pPr>
            <w:r w:rsidRPr="00883687">
              <w:rPr>
                <w:rFonts w:ascii="Arial" w:hAnsi="Arial" w:cs="Arial"/>
              </w:rPr>
              <w:t>Por finalidad del gasto</w:t>
            </w:r>
          </w:p>
        </w:tc>
        <w:tc>
          <w:tcPr>
            <w:tcW w:w="1858" w:type="dxa"/>
            <w:vAlign w:val="center"/>
          </w:tcPr>
          <w:p w:rsidR="0028011B" w:rsidRPr="00883687" w:rsidRDefault="006C42D1" w:rsidP="00B8551B">
            <w:pPr>
              <w:spacing w:after="0" w:line="480" w:lineRule="auto"/>
              <w:ind w:left="34"/>
              <w:jc w:val="center"/>
              <w:rPr>
                <w:rFonts w:ascii="Arial" w:hAnsi="Arial" w:cs="Arial"/>
                <w:lang w:val="es-MX"/>
              </w:rPr>
            </w:pPr>
            <w:r>
              <w:rPr>
                <w:rFonts w:ascii="Arial" w:hAnsi="Arial" w:cs="Arial"/>
                <w:lang w:val="es-MX"/>
              </w:rPr>
              <w:t>22</w:t>
            </w:r>
          </w:p>
        </w:tc>
      </w:tr>
      <w:tr w:rsidR="0028011B" w:rsidRPr="00883687" w:rsidTr="00B8551B">
        <w:trPr>
          <w:trHeight w:val="338"/>
        </w:trPr>
        <w:tc>
          <w:tcPr>
            <w:tcW w:w="7196" w:type="dxa"/>
            <w:vAlign w:val="bottom"/>
          </w:tcPr>
          <w:p w:rsidR="0028011B" w:rsidRPr="00883687" w:rsidRDefault="0028011B" w:rsidP="0028011B">
            <w:pPr>
              <w:pStyle w:val="Prrafodelista"/>
              <w:numPr>
                <w:ilvl w:val="0"/>
                <w:numId w:val="4"/>
              </w:numPr>
              <w:spacing w:after="0" w:line="480" w:lineRule="auto"/>
              <w:ind w:left="1985" w:hanging="567"/>
              <w:rPr>
                <w:rFonts w:ascii="Arial" w:hAnsi="Arial" w:cs="Arial"/>
                <w:lang w:val="es-MX"/>
              </w:rPr>
            </w:pPr>
            <w:r w:rsidRPr="00883687">
              <w:rPr>
                <w:rFonts w:ascii="Arial" w:hAnsi="Arial" w:cs="Arial"/>
                <w:lang w:val="es-MX"/>
              </w:rPr>
              <w:t>Por fuente de financiamiento</w:t>
            </w:r>
          </w:p>
        </w:tc>
        <w:tc>
          <w:tcPr>
            <w:tcW w:w="1858" w:type="dxa"/>
            <w:vAlign w:val="center"/>
          </w:tcPr>
          <w:p w:rsidR="0028011B" w:rsidRPr="00883687" w:rsidRDefault="006C42D1" w:rsidP="00B8551B">
            <w:pPr>
              <w:spacing w:after="0" w:line="480" w:lineRule="auto"/>
              <w:ind w:left="34"/>
              <w:jc w:val="center"/>
              <w:rPr>
                <w:rFonts w:ascii="Arial" w:hAnsi="Arial" w:cs="Arial"/>
                <w:lang w:val="es-MX"/>
              </w:rPr>
            </w:pPr>
            <w:r>
              <w:rPr>
                <w:rFonts w:ascii="Arial" w:hAnsi="Arial" w:cs="Arial"/>
                <w:lang w:val="es-MX"/>
              </w:rPr>
              <w:t>23</w:t>
            </w:r>
          </w:p>
        </w:tc>
      </w:tr>
      <w:tr w:rsidR="0028011B" w:rsidRPr="00883687" w:rsidTr="00B8551B">
        <w:trPr>
          <w:trHeight w:val="338"/>
        </w:trPr>
        <w:tc>
          <w:tcPr>
            <w:tcW w:w="7196" w:type="dxa"/>
            <w:vAlign w:val="bottom"/>
          </w:tcPr>
          <w:p w:rsidR="0028011B" w:rsidRPr="00883687" w:rsidRDefault="0028011B" w:rsidP="0028011B">
            <w:pPr>
              <w:pStyle w:val="Prrafodelista"/>
              <w:numPr>
                <w:ilvl w:val="0"/>
                <w:numId w:val="4"/>
              </w:numPr>
              <w:spacing w:after="0" w:line="480" w:lineRule="auto"/>
              <w:ind w:left="1985" w:hanging="567"/>
              <w:rPr>
                <w:rFonts w:ascii="Arial" w:hAnsi="Arial" w:cs="Arial"/>
                <w:lang w:val="es-MX"/>
              </w:rPr>
            </w:pPr>
            <w:r w:rsidRPr="00883687">
              <w:rPr>
                <w:rFonts w:ascii="Arial" w:hAnsi="Arial" w:cs="Arial"/>
                <w:lang w:val="es-MX"/>
              </w:rPr>
              <w:t>Por institución</w:t>
            </w:r>
          </w:p>
        </w:tc>
        <w:tc>
          <w:tcPr>
            <w:tcW w:w="1858" w:type="dxa"/>
            <w:vAlign w:val="center"/>
          </w:tcPr>
          <w:p w:rsidR="0028011B" w:rsidRPr="00883687" w:rsidRDefault="006C42D1" w:rsidP="00F569C8">
            <w:pPr>
              <w:spacing w:after="0" w:line="480" w:lineRule="auto"/>
              <w:ind w:left="34"/>
              <w:jc w:val="center"/>
              <w:rPr>
                <w:rFonts w:ascii="Arial" w:hAnsi="Arial" w:cs="Arial"/>
                <w:lang w:val="es-MX"/>
              </w:rPr>
            </w:pPr>
            <w:r>
              <w:rPr>
                <w:rFonts w:ascii="Arial" w:hAnsi="Arial" w:cs="Arial"/>
                <w:lang w:val="es-MX"/>
              </w:rPr>
              <w:t>2</w:t>
            </w:r>
            <w:r w:rsidR="00F569C8">
              <w:rPr>
                <w:rFonts w:ascii="Arial" w:hAnsi="Arial" w:cs="Arial"/>
                <w:lang w:val="es-MX"/>
              </w:rPr>
              <w:t>6</w:t>
            </w:r>
          </w:p>
        </w:tc>
      </w:tr>
      <w:tr w:rsidR="0028011B" w:rsidRPr="00883687" w:rsidTr="00B8551B">
        <w:trPr>
          <w:trHeight w:val="338"/>
        </w:trPr>
        <w:tc>
          <w:tcPr>
            <w:tcW w:w="7196" w:type="dxa"/>
            <w:vAlign w:val="bottom"/>
          </w:tcPr>
          <w:p w:rsidR="0028011B" w:rsidRDefault="0028011B" w:rsidP="008D58A7">
            <w:pPr>
              <w:pStyle w:val="Prrafodelista"/>
              <w:numPr>
                <w:ilvl w:val="0"/>
                <w:numId w:val="4"/>
              </w:numPr>
              <w:spacing w:after="0" w:line="240" w:lineRule="auto"/>
              <w:ind w:left="1985" w:hanging="567"/>
              <w:rPr>
                <w:rFonts w:ascii="Arial" w:hAnsi="Arial" w:cs="Arial"/>
              </w:rPr>
            </w:pPr>
            <w:r w:rsidRPr="00883687">
              <w:rPr>
                <w:rFonts w:ascii="Arial" w:hAnsi="Arial" w:cs="Arial"/>
              </w:rPr>
              <w:lastRenderedPageBreak/>
              <w:t>Por el cumplimiento de obligaciones constitucionales y de los Acuerdos de Paz</w:t>
            </w:r>
          </w:p>
          <w:p w:rsidR="003F4907" w:rsidRPr="008D58A7" w:rsidRDefault="003F4907" w:rsidP="00BA6540">
            <w:pPr>
              <w:pStyle w:val="Prrafodelista"/>
              <w:spacing w:after="0" w:line="240" w:lineRule="auto"/>
              <w:ind w:left="1985"/>
              <w:rPr>
                <w:rFonts w:ascii="Arial" w:hAnsi="Arial" w:cs="Arial"/>
              </w:rPr>
            </w:pPr>
          </w:p>
        </w:tc>
        <w:tc>
          <w:tcPr>
            <w:tcW w:w="1858" w:type="dxa"/>
            <w:vAlign w:val="center"/>
          </w:tcPr>
          <w:p w:rsidR="0028011B" w:rsidRPr="00883687" w:rsidRDefault="00F569C8" w:rsidP="00F569C8">
            <w:pPr>
              <w:spacing w:after="0" w:line="480" w:lineRule="auto"/>
              <w:ind w:left="34"/>
              <w:jc w:val="center"/>
              <w:rPr>
                <w:rFonts w:ascii="Arial" w:hAnsi="Arial" w:cs="Arial"/>
                <w:lang w:val="es-MX"/>
              </w:rPr>
            </w:pPr>
            <w:r>
              <w:rPr>
                <w:rFonts w:ascii="Arial" w:hAnsi="Arial" w:cs="Arial"/>
                <w:lang w:val="es-MX"/>
              </w:rPr>
              <w:t>30</w:t>
            </w:r>
          </w:p>
        </w:tc>
      </w:tr>
      <w:tr w:rsidR="009F51CC" w:rsidRPr="00883687" w:rsidTr="00B8551B">
        <w:trPr>
          <w:trHeight w:val="338"/>
        </w:trPr>
        <w:tc>
          <w:tcPr>
            <w:tcW w:w="7196" w:type="dxa"/>
            <w:vAlign w:val="bottom"/>
          </w:tcPr>
          <w:p w:rsidR="009F51CC" w:rsidRPr="00883687" w:rsidRDefault="009F51CC" w:rsidP="007338DF">
            <w:pPr>
              <w:pStyle w:val="Prrafodelista"/>
              <w:numPr>
                <w:ilvl w:val="0"/>
                <w:numId w:val="4"/>
              </w:numPr>
              <w:spacing w:after="0" w:line="480" w:lineRule="auto"/>
              <w:ind w:left="1985" w:hanging="567"/>
              <w:rPr>
                <w:rFonts w:ascii="Arial" w:hAnsi="Arial" w:cs="Arial"/>
                <w:lang w:val="es-MX"/>
              </w:rPr>
            </w:pPr>
            <w:r w:rsidRPr="00883687">
              <w:rPr>
                <w:rFonts w:ascii="Arial" w:hAnsi="Arial" w:cs="Arial"/>
                <w:lang w:val="es-MX"/>
              </w:rPr>
              <w:t>Por la rigidez de los recursos</w:t>
            </w:r>
          </w:p>
        </w:tc>
        <w:tc>
          <w:tcPr>
            <w:tcW w:w="1858" w:type="dxa"/>
            <w:vAlign w:val="center"/>
          </w:tcPr>
          <w:p w:rsidR="009F51CC" w:rsidRPr="00883687" w:rsidRDefault="006C42D1" w:rsidP="00F569C8">
            <w:pPr>
              <w:spacing w:after="0" w:line="480" w:lineRule="auto"/>
              <w:ind w:left="34"/>
              <w:jc w:val="center"/>
              <w:rPr>
                <w:rFonts w:ascii="Arial" w:hAnsi="Arial" w:cs="Arial"/>
                <w:lang w:val="es-MX"/>
              </w:rPr>
            </w:pPr>
            <w:r>
              <w:rPr>
                <w:rFonts w:ascii="Arial" w:hAnsi="Arial" w:cs="Arial"/>
                <w:lang w:val="es-MX"/>
              </w:rPr>
              <w:t>3</w:t>
            </w:r>
            <w:r w:rsidR="00F569C8">
              <w:rPr>
                <w:rFonts w:ascii="Arial" w:hAnsi="Arial" w:cs="Arial"/>
                <w:lang w:val="es-MX"/>
              </w:rPr>
              <w:t>2</w:t>
            </w:r>
          </w:p>
        </w:tc>
      </w:tr>
      <w:tr w:rsidR="009F51CC" w:rsidRPr="00883687" w:rsidTr="00F22B54">
        <w:trPr>
          <w:trHeight w:val="400"/>
        </w:trPr>
        <w:tc>
          <w:tcPr>
            <w:tcW w:w="7196" w:type="dxa"/>
            <w:vAlign w:val="bottom"/>
          </w:tcPr>
          <w:p w:rsidR="009F51CC" w:rsidRPr="00883687" w:rsidRDefault="009F51CC" w:rsidP="009F51CC">
            <w:pPr>
              <w:pStyle w:val="Prrafodelista"/>
              <w:numPr>
                <w:ilvl w:val="0"/>
                <w:numId w:val="3"/>
              </w:numPr>
              <w:spacing w:after="0" w:line="240" w:lineRule="auto"/>
              <w:ind w:left="1418" w:hanging="567"/>
              <w:rPr>
                <w:rFonts w:ascii="Arial" w:hAnsi="Arial" w:cs="Arial"/>
              </w:rPr>
            </w:pPr>
            <w:r w:rsidRPr="00883687">
              <w:rPr>
                <w:rFonts w:ascii="Arial" w:hAnsi="Arial" w:cs="Arial"/>
              </w:rPr>
              <w:t>Presupuesto 201</w:t>
            </w:r>
            <w:r w:rsidR="003C455A">
              <w:rPr>
                <w:rFonts w:ascii="Arial" w:hAnsi="Arial" w:cs="Arial"/>
              </w:rPr>
              <w:t>9</w:t>
            </w:r>
            <w:r w:rsidRPr="00883687">
              <w:rPr>
                <w:rFonts w:ascii="Arial" w:hAnsi="Arial" w:cs="Arial"/>
              </w:rPr>
              <w:t xml:space="preserve"> y la Política General de Gobierno </w:t>
            </w:r>
          </w:p>
        </w:tc>
        <w:tc>
          <w:tcPr>
            <w:tcW w:w="1858" w:type="dxa"/>
            <w:vAlign w:val="bottom"/>
          </w:tcPr>
          <w:p w:rsidR="009F51CC" w:rsidRPr="00230F68" w:rsidRDefault="00F569C8" w:rsidP="00F569C8">
            <w:pPr>
              <w:spacing w:after="0" w:line="480" w:lineRule="auto"/>
              <w:ind w:left="34"/>
              <w:jc w:val="center"/>
            </w:pPr>
            <w:r w:rsidRPr="00F569C8">
              <w:rPr>
                <w:rFonts w:ascii="Arial" w:hAnsi="Arial" w:cs="Arial"/>
                <w:lang w:val="es-MX"/>
              </w:rPr>
              <w:t>34</w:t>
            </w:r>
          </w:p>
        </w:tc>
      </w:tr>
      <w:tr w:rsidR="002A3602" w:rsidRPr="00883687" w:rsidTr="00A961DC">
        <w:trPr>
          <w:cantSplit/>
          <w:trHeight w:val="779"/>
        </w:trPr>
        <w:tc>
          <w:tcPr>
            <w:tcW w:w="7196" w:type="dxa"/>
            <w:vAlign w:val="bottom"/>
          </w:tcPr>
          <w:p w:rsidR="002A3602" w:rsidRPr="00883687" w:rsidRDefault="002A3602" w:rsidP="00A961DC">
            <w:pPr>
              <w:spacing w:after="0" w:line="480" w:lineRule="auto"/>
              <w:ind w:left="851" w:hanging="567"/>
              <w:jc w:val="center"/>
              <w:rPr>
                <w:rFonts w:ascii="Arial" w:hAnsi="Arial" w:cs="Arial"/>
                <w:b/>
                <w:lang w:val="es-MX"/>
              </w:rPr>
            </w:pPr>
            <w:r>
              <w:rPr>
                <w:rFonts w:ascii="Arial" w:hAnsi="Arial" w:cs="Arial"/>
                <w:b/>
                <w:lang w:val="es-MX"/>
              </w:rPr>
              <w:t>CAPÍ</w:t>
            </w:r>
            <w:r w:rsidRPr="00883687">
              <w:rPr>
                <w:rFonts w:ascii="Arial" w:hAnsi="Arial" w:cs="Arial"/>
                <w:b/>
                <w:lang w:val="es-MX"/>
              </w:rPr>
              <w:t>TULO I</w:t>
            </w:r>
            <w:r w:rsidR="00C51C7E">
              <w:rPr>
                <w:rFonts w:ascii="Arial" w:hAnsi="Arial" w:cs="Arial"/>
                <w:b/>
                <w:lang w:val="es-MX"/>
              </w:rPr>
              <w:t>II</w:t>
            </w:r>
          </w:p>
        </w:tc>
        <w:tc>
          <w:tcPr>
            <w:tcW w:w="1858" w:type="dxa"/>
            <w:vAlign w:val="center"/>
          </w:tcPr>
          <w:p w:rsidR="002A3602" w:rsidRPr="00883687" w:rsidRDefault="002A3602" w:rsidP="00A961DC">
            <w:pPr>
              <w:spacing w:after="0" w:line="360" w:lineRule="auto"/>
              <w:jc w:val="center"/>
              <w:rPr>
                <w:rFonts w:ascii="Arial" w:hAnsi="Arial" w:cs="Arial"/>
                <w:lang w:val="es-MX"/>
              </w:rPr>
            </w:pPr>
          </w:p>
        </w:tc>
      </w:tr>
      <w:tr w:rsidR="002A3602" w:rsidRPr="00883687" w:rsidTr="00A961DC">
        <w:trPr>
          <w:cantSplit/>
          <w:trHeight w:val="900"/>
        </w:trPr>
        <w:tc>
          <w:tcPr>
            <w:tcW w:w="7196" w:type="dxa"/>
            <w:vAlign w:val="bottom"/>
          </w:tcPr>
          <w:p w:rsidR="002A3602" w:rsidRPr="00883687" w:rsidRDefault="008D58A7" w:rsidP="008D58A7">
            <w:pPr>
              <w:pStyle w:val="Prrafodelista"/>
              <w:spacing w:after="0" w:line="480" w:lineRule="auto"/>
              <w:ind w:left="0"/>
              <w:rPr>
                <w:rFonts w:ascii="Arial" w:hAnsi="Arial" w:cs="Arial"/>
                <w:b/>
                <w:lang w:val="es-MX"/>
              </w:rPr>
            </w:pPr>
            <w:r>
              <w:rPr>
                <w:rFonts w:ascii="Arial" w:hAnsi="Arial" w:cs="Arial"/>
                <w:b/>
                <w:lang w:val="es-MX"/>
              </w:rPr>
              <w:t xml:space="preserve">III  </w:t>
            </w:r>
            <w:r w:rsidR="002A3602" w:rsidRPr="00883687">
              <w:rPr>
                <w:rFonts w:ascii="Arial" w:hAnsi="Arial" w:cs="Arial"/>
                <w:b/>
                <w:lang w:val="es-MX"/>
              </w:rPr>
              <w:t>ALGUNOS ASPECTOS TEÓRICOS</w:t>
            </w:r>
          </w:p>
        </w:tc>
        <w:tc>
          <w:tcPr>
            <w:tcW w:w="1858" w:type="dxa"/>
            <w:vAlign w:val="center"/>
          </w:tcPr>
          <w:p w:rsidR="002A3602" w:rsidRPr="00883687" w:rsidRDefault="0061443C" w:rsidP="00F569C8">
            <w:pPr>
              <w:spacing w:after="0" w:line="240" w:lineRule="auto"/>
              <w:ind w:left="34"/>
              <w:jc w:val="center"/>
              <w:rPr>
                <w:rFonts w:ascii="Arial" w:hAnsi="Arial" w:cs="Arial"/>
                <w:lang w:val="es-MX"/>
              </w:rPr>
            </w:pPr>
            <w:r>
              <w:rPr>
                <w:rFonts w:ascii="Arial" w:hAnsi="Arial" w:cs="Arial"/>
                <w:lang w:val="es-MX"/>
              </w:rPr>
              <w:t>3</w:t>
            </w:r>
            <w:r w:rsidR="00F569C8">
              <w:rPr>
                <w:rFonts w:ascii="Arial" w:hAnsi="Arial" w:cs="Arial"/>
                <w:lang w:val="es-MX"/>
              </w:rPr>
              <w:t>7</w:t>
            </w:r>
          </w:p>
        </w:tc>
      </w:tr>
      <w:tr w:rsidR="002A3602" w:rsidRPr="00883687" w:rsidTr="00A961DC">
        <w:trPr>
          <w:trHeight w:val="326"/>
        </w:trPr>
        <w:tc>
          <w:tcPr>
            <w:tcW w:w="7196" w:type="dxa"/>
            <w:vAlign w:val="center"/>
          </w:tcPr>
          <w:p w:rsidR="002A3602" w:rsidRPr="00883687" w:rsidRDefault="002A3602" w:rsidP="00A961DC">
            <w:pPr>
              <w:pStyle w:val="Prrafodelista"/>
              <w:numPr>
                <w:ilvl w:val="0"/>
                <w:numId w:val="7"/>
              </w:numPr>
              <w:spacing w:after="0" w:line="480" w:lineRule="auto"/>
              <w:ind w:left="1418" w:hanging="567"/>
              <w:rPr>
                <w:rFonts w:ascii="Arial" w:hAnsi="Arial" w:cs="Arial"/>
                <w:lang w:val="es-MX"/>
              </w:rPr>
            </w:pPr>
            <w:r w:rsidRPr="00883687">
              <w:rPr>
                <w:rFonts w:ascii="Arial" w:hAnsi="Arial" w:cs="Arial"/>
                <w:lang w:val="es-MX"/>
              </w:rPr>
              <w:t>Presupuesto Ciudadano</w:t>
            </w:r>
          </w:p>
        </w:tc>
        <w:tc>
          <w:tcPr>
            <w:tcW w:w="1858" w:type="dxa"/>
          </w:tcPr>
          <w:p w:rsidR="002A3602" w:rsidRPr="00883687" w:rsidRDefault="00803573" w:rsidP="00F569C8">
            <w:pPr>
              <w:spacing w:after="0" w:line="240" w:lineRule="auto"/>
              <w:ind w:left="34"/>
              <w:jc w:val="center"/>
              <w:rPr>
                <w:rFonts w:ascii="Arial" w:hAnsi="Arial" w:cs="Arial"/>
                <w:lang w:val="es-MX"/>
              </w:rPr>
            </w:pPr>
            <w:r>
              <w:rPr>
                <w:rFonts w:ascii="Arial" w:hAnsi="Arial" w:cs="Arial"/>
                <w:lang w:val="es-MX"/>
              </w:rPr>
              <w:t>3</w:t>
            </w:r>
            <w:r w:rsidR="00F569C8">
              <w:rPr>
                <w:rFonts w:ascii="Arial" w:hAnsi="Arial" w:cs="Arial"/>
                <w:lang w:val="es-MX"/>
              </w:rPr>
              <w:t>7</w:t>
            </w:r>
          </w:p>
        </w:tc>
      </w:tr>
      <w:tr w:rsidR="002A3602" w:rsidRPr="00883687" w:rsidTr="00A961DC">
        <w:tc>
          <w:tcPr>
            <w:tcW w:w="7196" w:type="dxa"/>
            <w:vAlign w:val="center"/>
          </w:tcPr>
          <w:p w:rsidR="002A3602" w:rsidRPr="00883687" w:rsidRDefault="002A3602" w:rsidP="00A961DC">
            <w:pPr>
              <w:pStyle w:val="Prrafodelista"/>
              <w:numPr>
                <w:ilvl w:val="0"/>
                <w:numId w:val="7"/>
              </w:numPr>
              <w:spacing w:after="0" w:line="240" w:lineRule="auto"/>
              <w:ind w:left="1418" w:hanging="567"/>
              <w:rPr>
                <w:rFonts w:ascii="Arial" w:hAnsi="Arial" w:cs="Arial"/>
                <w:lang w:val="es-MX"/>
              </w:rPr>
            </w:pPr>
            <w:r w:rsidRPr="00883687">
              <w:rPr>
                <w:rFonts w:ascii="Arial" w:hAnsi="Arial" w:cs="Arial"/>
                <w:lang w:val="es-MX"/>
              </w:rPr>
              <w:t>Presupuesto General de Ingresos y Egresos del Estado</w:t>
            </w:r>
          </w:p>
          <w:p w:rsidR="002A3602" w:rsidRPr="00883687" w:rsidRDefault="002A3602" w:rsidP="00A961DC">
            <w:pPr>
              <w:pStyle w:val="Prrafodelista"/>
              <w:spacing w:after="0" w:line="240" w:lineRule="auto"/>
              <w:ind w:left="1418"/>
              <w:rPr>
                <w:rFonts w:ascii="Arial" w:hAnsi="Arial" w:cs="Arial"/>
                <w:lang w:val="es-MX"/>
              </w:rPr>
            </w:pPr>
          </w:p>
        </w:tc>
        <w:tc>
          <w:tcPr>
            <w:tcW w:w="1858" w:type="dxa"/>
          </w:tcPr>
          <w:p w:rsidR="002A3602" w:rsidRPr="00883687" w:rsidRDefault="00803573" w:rsidP="00F569C8">
            <w:pPr>
              <w:spacing w:after="0" w:line="240" w:lineRule="auto"/>
              <w:ind w:left="34"/>
              <w:jc w:val="center"/>
              <w:rPr>
                <w:rFonts w:ascii="Arial" w:hAnsi="Arial" w:cs="Arial"/>
                <w:lang w:val="es-MX"/>
              </w:rPr>
            </w:pPr>
            <w:r>
              <w:rPr>
                <w:rFonts w:ascii="Arial" w:hAnsi="Arial" w:cs="Arial"/>
                <w:lang w:val="es-MX"/>
              </w:rPr>
              <w:t>3</w:t>
            </w:r>
            <w:r w:rsidR="00F569C8">
              <w:rPr>
                <w:rFonts w:ascii="Arial" w:hAnsi="Arial" w:cs="Arial"/>
                <w:lang w:val="es-MX"/>
              </w:rPr>
              <w:t>7</w:t>
            </w:r>
          </w:p>
        </w:tc>
      </w:tr>
      <w:tr w:rsidR="002A3602" w:rsidRPr="00883687" w:rsidTr="00A961DC">
        <w:tc>
          <w:tcPr>
            <w:tcW w:w="7196" w:type="dxa"/>
            <w:vAlign w:val="center"/>
          </w:tcPr>
          <w:p w:rsidR="002A3602" w:rsidRPr="00883687" w:rsidRDefault="002A3602" w:rsidP="00A961DC">
            <w:pPr>
              <w:pStyle w:val="Prrafodelista"/>
              <w:numPr>
                <w:ilvl w:val="0"/>
                <w:numId w:val="7"/>
              </w:numPr>
              <w:spacing w:after="0" w:line="480" w:lineRule="auto"/>
              <w:ind w:left="1418" w:hanging="567"/>
              <w:rPr>
                <w:rFonts w:ascii="Arial" w:hAnsi="Arial" w:cs="Arial"/>
              </w:rPr>
            </w:pPr>
            <w:r w:rsidRPr="00883687">
              <w:rPr>
                <w:rFonts w:ascii="Arial" w:hAnsi="Arial" w:cs="Arial"/>
              </w:rPr>
              <w:t>Presupuesto por Resultados</w:t>
            </w:r>
          </w:p>
        </w:tc>
        <w:tc>
          <w:tcPr>
            <w:tcW w:w="1858" w:type="dxa"/>
          </w:tcPr>
          <w:p w:rsidR="002A3602" w:rsidRPr="00883687" w:rsidRDefault="00F569C8" w:rsidP="00F569C8">
            <w:pPr>
              <w:spacing w:after="0" w:line="240" w:lineRule="auto"/>
              <w:ind w:left="34"/>
              <w:jc w:val="center"/>
              <w:rPr>
                <w:rFonts w:ascii="Arial" w:hAnsi="Arial" w:cs="Arial"/>
                <w:lang w:val="es-MX"/>
              </w:rPr>
            </w:pPr>
            <w:r>
              <w:rPr>
                <w:rFonts w:ascii="Arial" w:hAnsi="Arial" w:cs="Arial"/>
                <w:lang w:val="es-MX"/>
              </w:rPr>
              <w:t>40</w:t>
            </w:r>
          </w:p>
        </w:tc>
      </w:tr>
      <w:tr w:rsidR="002A3602" w:rsidRPr="00883687" w:rsidTr="00A961DC">
        <w:tc>
          <w:tcPr>
            <w:tcW w:w="7196" w:type="dxa"/>
            <w:vAlign w:val="center"/>
          </w:tcPr>
          <w:p w:rsidR="002A3602" w:rsidRPr="00883687" w:rsidRDefault="002A3602" w:rsidP="00A961DC">
            <w:pPr>
              <w:pStyle w:val="Prrafodelista"/>
              <w:numPr>
                <w:ilvl w:val="0"/>
                <w:numId w:val="7"/>
              </w:numPr>
              <w:spacing w:after="0" w:line="480" w:lineRule="auto"/>
              <w:ind w:left="1418" w:hanging="567"/>
              <w:rPr>
                <w:rFonts w:ascii="Arial" w:hAnsi="Arial" w:cs="Arial"/>
                <w:lang w:val="es-MX"/>
              </w:rPr>
            </w:pPr>
            <w:r w:rsidRPr="00883687">
              <w:rPr>
                <w:rFonts w:ascii="Arial" w:hAnsi="Arial" w:cs="Arial"/>
              </w:rPr>
              <w:t>Proceso Presupuestario</w:t>
            </w:r>
          </w:p>
        </w:tc>
        <w:tc>
          <w:tcPr>
            <w:tcW w:w="1858" w:type="dxa"/>
          </w:tcPr>
          <w:p w:rsidR="002A3602" w:rsidRPr="00883687" w:rsidRDefault="00803573" w:rsidP="00F569C8">
            <w:pPr>
              <w:spacing w:after="0" w:line="240" w:lineRule="auto"/>
              <w:ind w:left="34"/>
              <w:jc w:val="center"/>
              <w:rPr>
                <w:rFonts w:ascii="Arial" w:hAnsi="Arial" w:cs="Arial"/>
                <w:lang w:val="es-MX"/>
              </w:rPr>
            </w:pPr>
            <w:r>
              <w:rPr>
                <w:rFonts w:ascii="Arial" w:hAnsi="Arial" w:cs="Arial"/>
                <w:lang w:val="es-MX"/>
              </w:rPr>
              <w:t>4</w:t>
            </w:r>
            <w:r w:rsidR="00F569C8">
              <w:rPr>
                <w:rFonts w:ascii="Arial" w:hAnsi="Arial" w:cs="Arial"/>
                <w:lang w:val="es-MX"/>
              </w:rPr>
              <w:t>2</w:t>
            </w:r>
          </w:p>
        </w:tc>
      </w:tr>
      <w:tr w:rsidR="002A3602" w:rsidRPr="00883687" w:rsidTr="00A961DC">
        <w:tc>
          <w:tcPr>
            <w:tcW w:w="7196" w:type="dxa"/>
            <w:vAlign w:val="center"/>
          </w:tcPr>
          <w:p w:rsidR="002A3602" w:rsidRPr="00883687" w:rsidRDefault="002A3602" w:rsidP="00A961DC">
            <w:pPr>
              <w:pStyle w:val="Prrafodelista"/>
              <w:numPr>
                <w:ilvl w:val="0"/>
                <w:numId w:val="7"/>
              </w:numPr>
              <w:spacing w:after="0" w:line="480" w:lineRule="auto"/>
              <w:ind w:left="1418" w:hanging="567"/>
              <w:rPr>
                <w:rFonts w:ascii="Arial" w:hAnsi="Arial" w:cs="Arial"/>
              </w:rPr>
            </w:pPr>
            <w:r w:rsidRPr="00883687">
              <w:rPr>
                <w:rFonts w:ascii="Arial" w:hAnsi="Arial" w:cs="Arial"/>
              </w:rPr>
              <w:t>Marco legal que rige al presupuesto</w:t>
            </w:r>
          </w:p>
        </w:tc>
        <w:tc>
          <w:tcPr>
            <w:tcW w:w="1858" w:type="dxa"/>
          </w:tcPr>
          <w:p w:rsidR="002A3602" w:rsidRPr="00883687" w:rsidRDefault="00803573" w:rsidP="00F569C8">
            <w:pPr>
              <w:spacing w:after="0" w:line="240" w:lineRule="auto"/>
              <w:ind w:left="34"/>
              <w:jc w:val="center"/>
              <w:rPr>
                <w:rFonts w:ascii="Arial" w:hAnsi="Arial" w:cs="Arial"/>
                <w:lang w:val="es-MX"/>
              </w:rPr>
            </w:pPr>
            <w:r>
              <w:rPr>
                <w:rFonts w:ascii="Arial" w:hAnsi="Arial" w:cs="Arial"/>
                <w:lang w:val="es-MX"/>
              </w:rPr>
              <w:t>4</w:t>
            </w:r>
            <w:r w:rsidR="00F569C8">
              <w:rPr>
                <w:rFonts w:ascii="Arial" w:hAnsi="Arial" w:cs="Arial"/>
                <w:lang w:val="es-MX"/>
              </w:rPr>
              <w:t>8</w:t>
            </w:r>
          </w:p>
        </w:tc>
      </w:tr>
      <w:tr w:rsidR="002A3602" w:rsidRPr="00883687" w:rsidTr="00A961DC">
        <w:tc>
          <w:tcPr>
            <w:tcW w:w="7196" w:type="dxa"/>
            <w:vAlign w:val="center"/>
          </w:tcPr>
          <w:p w:rsidR="002A3602" w:rsidRPr="00883687" w:rsidRDefault="002A3602" w:rsidP="00A961DC">
            <w:pPr>
              <w:pStyle w:val="Prrafodelista"/>
              <w:numPr>
                <w:ilvl w:val="0"/>
                <w:numId w:val="7"/>
              </w:numPr>
              <w:spacing w:after="0" w:line="480" w:lineRule="auto"/>
              <w:ind w:left="1418" w:hanging="567"/>
              <w:rPr>
                <w:rFonts w:ascii="Arial" w:hAnsi="Arial" w:cs="Arial"/>
              </w:rPr>
            </w:pPr>
            <w:r w:rsidRPr="00883687">
              <w:rPr>
                <w:rFonts w:ascii="Arial" w:hAnsi="Arial" w:cs="Arial"/>
              </w:rPr>
              <w:t>Procedencia de los recursos públicos</w:t>
            </w:r>
          </w:p>
        </w:tc>
        <w:tc>
          <w:tcPr>
            <w:tcW w:w="1858" w:type="dxa"/>
          </w:tcPr>
          <w:p w:rsidR="002A3602" w:rsidRPr="00883687" w:rsidRDefault="00803573" w:rsidP="00F569C8">
            <w:pPr>
              <w:spacing w:after="0" w:line="240" w:lineRule="auto"/>
              <w:ind w:left="34"/>
              <w:jc w:val="center"/>
              <w:rPr>
                <w:rFonts w:ascii="Arial" w:hAnsi="Arial" w:cs="Arial"/>
                <w:lang w:val="es-MX"/>
              </w:rPr>
            </w:pPr>
            <w:r>
              <w:rPr>
                <w:rFonts w:ascii="Arial" w:hAnsi="Arial" w:cs="Arial"/>
                <w:lang w:val="es-MX"/>
              </w:rPr>
              <w:t>4</w:t>
            </w:r>
            <w:r w:rsidR="00F569C8">
              <w:rPr>
                <w:rFonts w:ascii="Arial" w:hAnsi="Arial" w:cs="Arial"/>
                <w:lang w:val="es-MX"/>
              </w:rPr>
              <w:t>8</w:t>
            </w:r>
          </w:p>
        </w:tc>
      </w:tr>
      <w:tr w:rsidR="002A3602" w:rsidRPr="00883687" w:rsidTr="00A961DC">
        <w:tc>
          <w:tcPr>
            <w:tcW w:w="7196" w:type="dxa"/>
            <w:vAlign w:val="center"/>
          </w:tcPr>
          <w:p w:rsidR="002A3602" w:rsidRPr="00883687" w:rsidRDefault="002A3602" w:rsidP="00A961DC">
            <w:pPr>
              <w:pStyle w:val="Prrafodelista"/>
              <w:numPr>
                <w:ilvl w:val="0"/>
                <w:numId w:val="7"/>
              </w:numPr>
              <w:spacing w:after="0" w:line="480" w:lineRule="auto"/>
              <w:ind w:left="1418" w:hanging="567"/>
              <w:rPr>
                <w:rFonts w:ascii="Arial" w:hAnsi="Arial" w:cs="Arial"/>
                <w:lang w:val="es-MX"/>
              </w:rPr>
            </w:pPr>
            <w:r w:rsidRPr="00883687">
              <w:rPr>
                <w:rFonts w:ascii="Arial" w:hAnsi="Arial" w:cs="Arial"/>
                <w:lang w:val="es-MX"/>
              </w:rPr>
              <w:t>Impuesto</w:t>
            </w:r>
            <w:r>
              <w:rPr>
                <w:rFonts w:ascii="Arial" w:hAnsi="Arial" w:cs="Arial"/>
                <w:lang w:val="es-MX"/>
              </w:rPr>
              <w:t>s</w:t>
            </w:r>
          </w:p>
        </w:tc>
        <w:tc>
          <w:tcPr>
            <w:tcW w:w="1858" w:type="dxa"/>
          </w:tcPr>
          <w:p w:rsidR="002A3602" w:rsidRPr="00883687" w:rsidRDefault="00803573" w:rsidP="00F569C8">
            <w:pPr>
              <w:spacing w:after="0" w:line="240" w:lineRule="auto"/>
              <w:ind w:left="34"/>
              <w:jc w:val="center"/>
              <w:rPr>
                <w:rFonts w:ascii="Arial" w:hAnsi="Arial" w:cs="Arial"/>
                <w:lang w:val="es-MX"/>
              </w:rPr>
            </w:pPr>
            <w:r>
              <w:rPr>
                <w:rFonts w:ascii="Arial" w:hAnsi="Arial" w:cs="Arial"/>
                <w:lang w:val="es-MX"/>
              </w:rPr>
              <w:t>4</w:t>
            </w:r>
            <w:r w:rsidR="00F569C8">
              <w:rPr>
                <w:rFonts w:ascii="Arial" w:hAnsi="Arial" w:cs="Arial"/>
                <w:lang w:val="es-MX"/>
              </w:rPr>
              <w:t>8</w:t>
            </w:r>
          </w:p>
        </w:tc>
      </w:tr>
      <w:tr w:rsidR="002A3602" w:rsidRPr="00883687" w:rsidTr="00A961DC">
        <w:tc>
          <w:tcPr>
            <w:tcW w:w="7196" w:type="dxa"/>
            <w:vAlign w:val="center"/>
          </w:tcPr>
          <w:p w:rsidR="002A3602" w:rsidRPr="00883687" w:rsidRDefault="002A3602" w:rsidP="00A961DC">
            <w:pPr>
              <w:pStyle w:val="Prrafodelista"/>
              <w:numPr>
                <w:ilvl w:val="0"/>
                <w:numId w:val="7"/>
              </w:numPr>
              <w:spacing w:after="0" w:line="480" w:lineRule="auto"/>
              <w:ind w:left="1418" w:hanging="567"/>
              <w:rPr>
                <w:rFonts w:ascii="Arial" w:hAnsi="Arial" w:cs="Arial"/>
              </w:rPr>
            </w:pPr>
            <w:r w:rsidRPr="00883687">
              <w:rPr>
                <w:rFonts w:ascii="Arial" w:hAnsi="Arial" w:cs="Arial"/>
              </w:rPr>
              <w:t>Equilibrio Presupuestario</w:t>
            </w:r>
          </w:p>
        </w:tc>
        <w:tc>
          <w:tcPr>
            <w:tcW w:w="1858" w:type="dxa"/>
          </w:tcPr>
          <w:p w:rsidR="002A3602" w:rsidRPr="00883687" w:rsidRDefault="00803573" w:rsidP="00F569C8">
            <w:pPr>
              <w:spacing w:after="0" w:line="240" w:lineRule="auto"/>
              <w:ind w:left="34"/>
              <w:jc w:val="center"/>
              <w:rPr>
                <w:rFonts w:ascii="Arial" w:hAnsi="Arial" w:cs="Arial"/>
                <w:lang w:val="es-MX"/>
              </w:rPr>
            </w:pPr>
            <w:r>
              <w:rPr>
                <w:rFonts w:ascii="Arial" w:hAnsi="Arial" w:cs="Arial"/>
                <w:lang w:val="es-MX"/>
              </w:rPr>
              <w:t>4</w:t>
            </w:r>
            <w:r w:rsidR="00F569C8">
              <w:rPr>
                <w:rFonts w:ascii="Arial" w:hAnsi="Arial" w:cs="Arial"/>
                <w:lang w:val="es-MX"/>
              </w:rPr>
              <w:t>9</w:t>
            </w:r>
          </w:p>
        </w:tc>
      </w:tr>
      <w:tr w:rsidR="002A3602" w:rsidRPr="00883687" w:rsidTr="00A961DC">
        <w:tc>
          <w:tcPr>
            <w:tcW w:w="7196" w:type="dxa"/>
            <w:vAlign w:val="center"/>
          </w:tcPr>
          <w:p w:rsidR="002A3602" w:rsidRPr="00883687" w:rsidRDefault="002A3602" w:rsidP="003F4907">
            <w:pPr>
              <w:pStyle w:val="Prrafodelista"/>
              <w:numPr>
                <w:ilvl w:val="0"/>
                <w:numId w:val="7"/>
              </w:numPr>
              <w:spacing w:after="0" w:line="480" w:lineRule="auto"/>
              <w:ind w:left="1418" w:hanging="567"/>
              <w:rPr>
                <w:rFonts w:ascii="Arial" w:hAnsi="Arial" w:cs="Arial"/>
              </w:rPr>
            </w:pPr>
            <w:r w:rsidRPr="00883687">
              <w:rPr>
                <w:rFonts w:ascii="Arial" w:hAnsi="Arial" w:cs="Arial"/>
              </w:rPr>
              <w:t xml:space="preserve">Gasto </w:t>
            </w:r>
            <w:r w:rsidR="003F4907">
              <w:rPr>
                <w:rFonts w:ascii="Arial" w:hAnsi="Arial" w:cs="Arial"/>
              </w:rPr>
              <w:t>P</w:t>
            </w:r>
            <w:r w:rsidRPr="00883687">
              <w:rPr>
                <w:rFonts w:ascii="Arial" w:hAnsi="Arial" w:cs="Arial"/>
              </w:rPr>
              <w:t>úblico</w:t>
            </w:r>
          </w:p>
        </w:tc>
        <w:tc>
          <w:tcPr>
            <w:tcW w:w="1858" w:type="dxa"/>
          </w:tcPr>
          <w:p w:rsidR="002A3602" w:rsidRPr="00883687" w:rsidRDefault="00F569C8" w:rsidP="00F569C8">
            <w:pPr>
              <w:spacing w:after="0" w:line="240" w:lineRule="auto"/>
              <w:ind w:left="34"/>
              <w:jc w:val="center"/>
              <w:rPr>
                <w:rFonts w:ascii="Arial" w:hAnsi="Arial" w:cs="Arial"/>
                <w:lang w:val="es-MX"/>
              </w:rPr>
            </w:pPr>
            <w:r>
              <w:rPr>
                <w:rFonts w:ascii="Arial" w:hAnsi="Arial" w:cs="Arial"/>
                <w:lang w:val="es-MX"/>
              </w:rPr>
              <w:t>50</w:t>
            </w:r>
          </w:p>
        </w:tc>
      </w:tr>
      <w:tr w:rsidR="009F51CC" w:rsidRPr="00883687" w:rsidTr="00B8551B">
        <w:trPr>
          <w:trHeight w:val="784"/>
        </w:trPr>
        <w:tc>
          <w:tcPr>
            <w:tcW w:w="7196" w:type="dxa"/>
            <w:vAlign w:val="bottom"/>
          </w:tcPr>
          <w:p w:rsidR="009F51CC" w:rsidRPr="00883687" w:rsidRDefault="009F51CC" w:rsidP="00B8551B">
            <w:pPr>
              <w:pStyle w:val="Prrafodelista"/>
              <w:spacing w:after="0" w:line="240" w:lineRule="auto"/>
              <w:ind w:left="0"/>
              <w:jc w:val="center"/>
              <w:rPr>
                <w:rFonts w:ascii="Arial" w:hAnsi="Arial" w:cs="Arial"/>
              </w:rPr>
            </w:pPr>
            <w:r w:rsidRPr="00883687">
              <w:rPr>
                <w:rFonts w:ascii="Arial" w:hAnsi="Arial" w:cs="Arial"/>
                <w:b/>
                <w:lang w:val="es-MX"/>
              </w:rPr>
              <w:t>CAPÍTULO IV</w:t>
            </w:r>
          </w:p>
        </w:tc>
        <w:tc>
          <w:tcPr>
            <w:tcW w:w="1858" w:type="dxa"/>
            <w:vAlign w:val="center"/>
          </w:tcPr>
          <w:p w:rsidR="009F51CC" w:rsidRPr="00883687" w:rsidRDefault="009F51CC" w:rsidP="00B8551B">
            <w:pPr>
              <w:spacing w:after="0" w:line="480" w:lineRule="auto"/>
              <w:ind w:left="34"/>
              <w:jc w:val="center"/>
              <w:rPr>
                <w:rFonts w:ascii="Arial" w:hAnsi="Arial" w:cs="Arial"/>
                <w:u w:val="single"/>
                <w:lang w:val="es-MX"/>
              </w:rPr>
            </w:pPr>
          </w:p>
        </w:tc>
      </w:tr>
      <w:tr w:rsidR="009F51CC" w:rsidRPr="00883687" w:rsidTr="00B8551B">
        <w:trPr>
          <w:cantSplit/>
          <w:trHeight w:val="838"/>
        </w:trPr>
        <w:tc>
          <w:tcPr>
            <w:tcW w:w="7196" w:type="dxa"/>
            <w:vAlign w:val="center"/>
          </w:tcPr>
          <w:p w:rsidR="009F51CC" w:rsidRPr="00883687" w:rsidRDefault="00C51C7E" w:rsidP="00C51C7E">
            <w:pPr>
              <w:pStyle w:val="Prrafodelista"/>
              <w:spacing w:after="0" w:line="240" w:lineRule="auto"/>
              <w:ind w:left="142"/>
              <w:rPr>
                <w:rFonts w:ascii="Arial" w:hAnsi="Arial" w:cs="Arial"/>
                <w:b/>
              </w:rPr>
            </w:pPr>
            <w:r>
              <w:rPr>
                <w:rFonts w:ascii="Arial" w:hAnsi="Arial" w:cs="Arial"/>
                <w:b/>
              </w:rPr>
              <w:t xml:space="preserve">IV </w:t>
            </w:r>
            <w:r w:rsidR="008D58A7">
              <w:rPr>
                <w:rFonts w:ascii="Arial" w:hAnsi="Arial" w:cs="Arial"/>
                <w:b/>
              </w:rPr>
              <w:t xml:space="preserve"> </w:t>
            </w:r>
            <w:r w:rsidR="009F51CC" w:rsidRPr="00883687">
              <w:rPr>
                <w:rFonts w:ascii="Arial" w:hAnsi="Arial" w:cs="Arial"/>
                <w:b/>
              </w:rPr>
              <w:t>CONSIDERACIONES FINALES</w:t>
            </w:r>
          </w:p>
        </w:tc>
        <w:tc>
          <w:tcPr>
            <w:tcW w:w="1858" w:type="dxa"/>
            <w:vAlign w:val="bottom"/>
          </w:tcPr>
          <w:p w:rsidR="009F51CC" w:rsidRPr="00883687" w:rsidRDefault="00803573" w:rsidP="00F569C8">
            <w:pPr>
              <w:spacing w:after="0" w:line="480" w:lineRule="auto"/>
              <w:ind w:left="34"/>
              <w:jc w:val="center"/>
              <w:rPr>
                <w:rFonts w:ascii="Arial" w:hAnsi="Arial" w:cs="Arial"/>
                <w:lang w:val="es-MX"/>
              </w:rPr>
            </w:pPr>
            <w:r>
              <w:rPr>
                <w:rFonts w:ascii="Arial" w:hAnsi="Arial" w:cs="Arial"/>
                <w:lang w:val="es-MX"/>
              </w:rPr>
              <w:t>5</w:t>
            </w:r>
            <w:r w:rsidR="00F569C8">
              <w:rPr>
                <w:rFonts w:ascii="Arial" w:hAnsi="Arial" w:cs="Arial"/>
                <w:lang w:val="es-MX"/>
              </w:rPr>
              <w:t>2</w:t>
            </w:r>
          </w:p>
        </w:tc>
      </w:tr>
      <w:tr w:rsidR="009F51CC" w:rsidRPr="00883687" w:rsidTr="00B8551B">
        <w:trPr>
          <w:cantSplit/>
          <w:trHeight w:val="842"/>
        </w:trPr>
        <w:tc>
          <w:tcPr>
            <w:tcW w:w="7196" w:type="dxa"/>
            <w:vAlign w:val="bottom"/>
          </w:tcPr>
          <w:p w:rsidR="009F51CC" w:rsidRPr="00883687" w:rsidRDefault="009F51CC" w:rsidP="00B8551B">
            <w:pPr>
              <w:pStyle w:val="Prrafodelista"/>
              <w:spacing w:after="0" w:line="240" w:lineRule="auto"/>
              <w:ind w:left="0"/>
              <w:jc w:val="center"/>
              <w:rPr>
                <w:rFonts w:ascii="Arial" w:hAnsi="Arial" w:cs="Arial"/>
                <w:b/>
              </w:rPr>
            </w:pPr>
            <w:r w:rsidRPr="00883687">
              <w:rPr>
                <w:rFonts w:ascii="Arial" w:hAnsi="Arial" w:cs="Arial"/>
                <w:b/>
                <w:lang w:val="es-MX"/>
              </w:rPr>
              <w:t>CAPÍTULO V</w:t>
            </w:r>
          </w:p>
        </w:tc>
        <w:tc>
          <w:tcPr>
            <w:tcW w:w="1858" w:type="dxa"/>
            <w:vAlign w:val="center"/>
          </w:tcPr>
          <w:p w:rsidR="009F51CC" w:rsidRPr="00883687" w:rsidRDefault="009F51CC" w:rsidP="00B8551B">
            <w:pPr>
              <w:spacing w:after="0" w:line="480" w:lineRule="auto"/>
              <w:ind w:left="34"/>
              <w:jc w:val="center"/>
              <w:rPr>
                <w:rFonts w:ascii="Arial" w:hAnsi="Arial" w:cs="Arial"/>
                <w:u w:val="single"/>
                <w:lang w:val="es-MX"/>
              </w:rPr>
            </w:pPr>
          </w:p>
        </w:tc>
      </w:tr>
      <w:tr w:rsidR="009F51CC" w:rsidRPr="00883687" w:rsidTr="00230F68">
        <w:trPr>
          <w:cantSplit/>
          <w:trHeight w:val="698"/>
        </w:trPr>
        <w:tc>
          <w:tcPr>
            <w:tcW w:w="7196" w:type="dxa"/>
            <w:vAlign w:val="center"/>
          </w:tcPr>
          <w:p w:rsidR="009F51CC" w:rsidRPr="00883687" w:rsidRDefault="008D58A7" w:rsidP="00C51C7E">
            <w:pPr>
              <w:pStyle w:val="Prrafodelista"/>
              <w:spacing w:after="0" w:line="240" w:lineRule="auto"/>
              <w:ind w:left="142"/>
              <w:rPr>
                <w:rFonts w:ascii="Arial" w:hAnsi="Arial" w:cs="Arial"/>
                <w:b/>
              </w:rPr>
            </w:pPr>
            <w:r>
              <w:rPr>
                <w:rFonts w:ascii="Arial" w:hAnsi="Arial" w:cs="Arial"/>
                <w:b/>
              </w:rPr>
              <w:t xml:space="preserve">V  </w:t>
            </w:r>
            <w:r w:rsidR="009F51CC" w:rsidRPr="00883687">
              <w:rPr>
                <w:rFonts w:ascii="Arial" w:hAnsi="Arial" w:cs="Arial"/>
                <w:b/>
              </w:rPr>
              <w:t>GLOSARIO</w:t>
            </w:r>
          </w:p>
        </w:tc>
        <w:tc>
          <w:tcPr>
            <w:tcW w:w="1858" w:type="dxa"/>
            <w:vAlign w:val="center"/>
          </w:tcPr>
          <w:p w:rsidR="009F51CC" w:rsidRPr="00883687" w:rsidRDefault="00803573" w:rsidP="00F569C8">
            <w:pPr>
              <w:spacing w:after="0" w:line="480" w:lineRule="auto"/>
              <w:ind w:left="34"/>
              <w:jc w:val="center"/>
              <w:rPr>
                <w:rFonts w:ascii="Arial" w:hAnsi="Arial" w:cs="Arial"/>
                <w:lang w:val="es-MX"/>
              </w:rPr>
            </w:pPr>
            <w:r>
              <w:rPr>
                <w:rFonts w:ascii="Arial" w:hAnsi="Arial" w:cs="Arial"/>
                <w:lang w:val="es-MX"/>
              </w:rPr>
              <w:t>5</w:t>
            </w:r>
            <w:r w:rsidR="00F569C8">
              <w:rPr>
                <w:rFonts w:ascii="Arial" w:hAnsi="Arial" w:cs="Arial"/>
                <w:lang w:val="es-MX"/>
              </w:rPr>
              <w:t>3</w:t>
            </w:r>
          </w:p>
        </w:tc>
      </w:tr>
    </w:tbl>
    <w:p w:rsidR="004F3D89" w:rsidRDefault="004F3D89" w:rsidP="0028011B">
      <w:pPr>
        <w:spacing w:after="0" w:line="240" w:lineRule="auto"/>
        <w:rPr>
          <w:rFonts w:ascii="Arial" w:hAnsi="Arial" w:cs="Arial"/>
          <w:lang w:val="es-MX"/>
        </w:rPr>
      </w:pPr>
    </w:p>
    <w:p w:rsidR="004F3D89" w:rsidRDefault="004F3D89">
      <w:pPr>
        <w:rPr>
          <w:rFonts w:ascii="Arial" w:hAnsi="Arial" w:cs="Arial"/>
          <w:lang w:val="es-MX"/>
        </w:rPr>
      </w:pPr>
      <w:r>
        <w:rPr>
          <w:rFonts w:ascii="Arial" w:hAnsi="Arial" w:cs="Arial"/>
          <w:lang w:val="es-MX"/>
        </w:rPr>
        <w:br w:type="page"/>
      </w:r>
    </w:p>
    <w:p w:rsidR="004F3D89" w:rsidRPr="001B4F2D" w:rsidRDefault="004F3D89" w:rsidP="004F3D89">
      <w:pPr>
        <w:spacing w:after="0" w:line="240" w:lineRule="auto"/>
        <w:jc w:val="center"/>
        <w:rPr>
          <w:rFonts w:ascii="Arial" w:hAnsi="Arial" w:cs="Arial"/>
          <w:b/>
          <w:sz w:val="28"/>
          <w:szCs w:val="40"/>
          <w:u w:val="single"/>
          <w:lang w:val="es-MX"/>
        </w:rPr>
      </w:pPr>
      <w:r w:rsidRPr="001B4F2D">
        <w:rPr>
          <w:rFonts w:ascii="Arial" w:hAnsi="Arial" w:cs="Arial"/>
          <w:b/>
          <w:sz w:val="28"/>
          <w:szCs w:val="40"/>
          <w:u w:val="single"/>
          <w:lang w:val="es-MX"/>
        </w:rPr>
        <w:lastRenderedPageBreak/>
        <w:t>ÍNDICE DE GRÁFICAS</w:t>
      </w:r>
    </w:p>
    <w:tbl>
      <w:tblPr>
        <w:tblW w:w="0" w:type="auto"/>
        <w:tblLayout w:type="fixed"/>
        <w:tblLook w:val="04A0" w:firstRow="1" w:lastRow="0" w:firstColumn="1" w:lastColumn="0" w:noHBand="0" w:noVBand="1"/>
      </w:tblPr>
      <w:tblGrid>
        <w:gridCol w:w="675"/>
        <w:gridCol w:w="7180"/>
        <w:gridCol w:w="1184"/>
      </w:tblGrid>
      <w:tr w:rsidR="004F3D89" w:rsidRPr="00C40AA1" w:rsidTr="001B4F2D">
        <w:trPr>
          <w:trHeight w:val="257"/>
        </w:trPr>
        <w:tc>
          <w:tcPr>
            <w:tcW w:w="675" w:type="dxa"/>
            <w:shd w:val="clear" w:color="auto" w:fill="auto"/>
            <w:vAlign w:val="bottom"/>
          </w:tcPr>
          <w:p w:rsidR="004F3D89" w:rsidRPr="00995BD2" w:rsidRDefault="00DC4ABD" w:rsidP="007338DF">
            <w:pPr>
              <w:jc w:val="center"/>
              <w:rPr>
                <w:rFonts w:ascii="Arial" w:hAnsi="Arial" w:cs="Arial"/>
                <w:b/>
                <w:sz w:val="24"/>
                <w:szCs w:val="24"/>
                <w:lang w:val="es-MX"/>
              </w:rPr>
            </w:pPr>
            <w:r>
              <w:rPr>
                <w:rFonts w:ascii="Arial" w:hAnsi="Arial" w:cs="Arial"/>
                <w:b/>
                <w:sz w:val="24"/>
                <w:szCs w:val="24"/>
                <w:lang w:val="es-MX"/>
              </w:rPr>
              <w:t>No.</w:t>
            </w:r>
          </w:p>
        </w:tc>
        <w:tc>
          <w:tcPr>
            <w:tcW w:w="7180" w:type="dxa"/>
            <w:shd w:val="clear" w:color="auto" w:fill="auto"/>
            <w:vAlign w:val="bottom"/>
          </w:tcPr>
          <w:p w:rsidR="004F3D89" w:rsidRPr="00995BD2" w:rsidRDefault="004F3D89" w:rsidP="007338DF">
            <w:pPr>
              <w:jc w:val="center"/>
              <w:rPr>
                <w:rFonts w:ascii="Arial" w:hAnsi="Arial" w:cs="Arial"/>
                <w:sz w:val="24"/>
                <w:szCs w:val="24"/>
                <w:lang w:val="es-MX"/>
              </w:rPr>
            </w:pPr>
          </w:p>
        </w:tc>
        <w:tc>
          <w:tcPr>
            <w:tcW w:w="1184" w:type="dxa"/>
            <w:shd w:val="clear" w:color="auto" w:fill="auto"/>
            <w:vAlign w:val="bottom"/>
          </w:tcPr>
          <w:p w:rsidR="004F3D89" w:rsidRPr="00995BD2" w:rsidRDefault="004F3D89" w:rsidP="007338DF">
            <w:pPr>
              <w:jc w:val="center"/>
              <w:rPr>
                <w:rFonts w:ascii="Arial" w:hAnsi="Arial" w:cs="Arial"/>
                <w:b/>
                <w:sz w:val="24"/>
                <w:szCs w:val="24"/>
                <w:lang w:val="es-MX"/>
              </w:rPr>
            </w:pPr>
            <w:r w:rsidRPr="00995BD2">
              <w:rPr>
                <w:rFonts w:ascii="Arial" w:hAnsi="Arial" w:cs="Arial"/>
                <w:b/>
                <w:sz w:val="24"/>
                <w:szCs w:val="24"/>
                <w:lang w:val="es-MX"/>
              </w:rPr>
              <w:t>Página</w:t>
            </w:r>
          </w:p>
        </w:tc>
      </w:tr>
      <w:tr w:rsidR="004F3D89" w:rsidRPr="00C40AA1" w:rsidTr="001B4F2D">
        <w:tc>
          <w:tcPr>
            <w:tcW w:w="675" w:type="dxa"/>
            <w:shd w:val="clear" w:color="auto" w:fill="auto"/>
            <w:vAlign w:val="bottom"/>
          </w:tcPr>
          <w:p w:rsidR="004F3D89" w:rsidRPr="00995BD2" w:rsidRDefault="004F3D89" w:rsidP="007338DF">
            <w:pPr>
              <w:rPr>
                <w:rFonts w:ascii="Arial" w:hAnsi="Arial" w:cs="Arial"/>
                <w:lang w:val="es-MX"/>
              </w:rPr>
            </w:pPr>
            <w:r>
              <w:rPr>
                <w:rFonts w:ascii="Arial" w:hAnsi="Arial" w:cs="Arial"/>
                <w:lang w:val="es-MX"/>
              </w:rPr>
              <w:t>1</w:t>
            </w:r>
          </w:p>
        </w:tc>
        <w:tc>
          <w:tcPr>
            <w:tcW w:w="7180" w:type="dxa"/>
            <w:shd w:val="clear" w:color="auto" w:fill="auto"/>
            <w:vAlign w:val="bottom"/>
          </w:tcPr>
          <w:p w:rsidR="004F3D89" w:rsidRPr="00995BD2" w:rsidRDefault="004F3D89" w:rsidP="007338DF">
            <w:pPr>
              <w:rPr>
                <w:rFonts w:ascii="Arial" w:hAnsi="Arial" w:cs="Arial"/>
                <w:lang w:val="es-MX"/>
              </w:rPr>
            </w:pPr>
            <w:r>
              <w:rPr>
                <w:rFonts w:ascii="Arial" w:hAnsi="Arial" w:cs="Arial"/>
                <w:lang w:val="es-MX"/>
              </w:rPr>
              <w:t>Tasa Real de Crecimiento de Guatemala</w:t>
            </w:r>
          </w:p>
        </w:tc>
        <w:tc>
          <w:tcPr>
            <w:tcW w:w="1184" w:type="dxa"/>
            <w:shd w:val="clear" w:color="auto" w:fill="auto"/>
            <w:vAlign w:val="center"/>
          </w:tcPr>
          <w:p w:rsidR="004F3D89" w:rsidRDefault="00803573" w:rsidP="007338DF">
            <w:pPr>
              <w:jc w:val="center"/>
              <w:rPr>
                <w:rFonts w:ascii="Arial" w:hAnsi="Arial" w:cs="Arial"/>
                <w:lang w:val="es-MX"/>
              </w:rPr>
            </w:pPr>
            <w:r>
              <w:rPr>
                <w:rFonts w:ascii="Arial" w:hAnsi="Arial" w:cs="Arial"/>
                <w:lang w:val="es-MX"/>
              </w:rPr>
              <w:t>9</w:t>
            </w:r>
          </w:p>
        </w:tc>
      </w:tr>
      <w:tr w:rsidR="004F3D89" w:rsidRPr="00C40AA1" w:rsidTr="001B4F2D">
        <w:tc>
          <w:tcPr>
            <w:tcW w:w="675" w:type="dxa"/>
            <w:shd w:val="clear" w:color="auto" w:fill="auto"/>
            <w:vAlign w:val="bottom"/>
          </w:tcPr>
          <w:p w:rsidR="004F3D89" w:rsidRPr="00995BD2" w:rsidRDefault="004F3D89" w:rsidP="007338DF">
            <w:pPr>
              <w:rPr>
                <w:rFonts w:ascii="Arial" w:hAnsi="Arial" w:cs="Arial"/>
                <w:lang w:val="es-MX"/>
              </w:rPr>
            </w:pPr>
            <w:r>
              <w:rPr>
                <w:rFonts w:ascii="Arial" w:hAnsi="Arial" w:cs="Arial"/>
                <w:lang w:val="es-MX"/>
              </w:rPr>
              <w:t>2</w:t>
            </w:r>
          </w:p>
        </w:tc>
        <w:tc>
          <w:tcPr>
            <w:tcW w:w="7180" w:type="dxa"/>
            <w:shd w:val="clear" w:color="auto" w:fill="auto"/>
            <w:vAlign w:val="bottom"/>
          </w:tcPr>
          <w:p w:rsidR="004F3D89" w:rsidRPr="00995BD2" w:rsidRDefault="004F3D89" w:rsidP="007338DF">
            <w:pPr>
              <w:rPr>
                <w:rFonts w:ascii="Arial" w:hAnsi="Arial" w:cs="Arial"/>
                <w:lang w:val="es-MX"/>
              </w:rPr>
            </w:pPr>
            <w:r w:rsidRPr="00995BD2">
              <w:rPr>
                <w:rFonts w:ascii="Arial" w:hAnsi="Arial" w:cs="Arial"/>
                <w:lang w:val="es-MX"/>
              </w:rPr>
              <w:t>Carga Tributaria</w:t>
            </w:r>
          </w:p>
        </w:tc>
        <w:tc>
          <w:tcPr>
            <w:tcW w:w="1184" w:type="dxa"/>
            <w:shd w:val="clear" w:color="auto" w:fill="auto"/>
            <w:vAlign w:val="center"/>
          </w:tcPr>
          <w:p w:rsidR="004F3D89" w:rsidRPr="00995BD2" w:rsidRDefault="00803573" w:rsidP="007338DF">
            <w:pPr>
              <w:jc w:val="center"/>
              <w:rPr>
                <w:rFonts w:ascii="Arial" w:hAnsi="Arial" w:cs="Arial"/>
                <w:lang w:val="es-MX"/>
              </w:rPr>
            </w:pPr>
            <w:r>
              <w:rPr>
                <w:rFonts w:ascii="Arial" w:hAnsi="Arial" w:cs="Arial"/>
                <w:lang w:val="es-MX"/>
              </w:rPr>
              <w:t>10</w:t>
            </w:r>
          </w:p>
        </w:tc>
      </w:tr>
      <w:tr w:rsidR="004F3D89" w:rsidRPr="00C40AA1" w:rsidTr="001B4F2D">
        <w:tc>
          <w:tcPr>
            <w:tcW w:w="675" w:type="dxa"/>
            <w:shd w:val="clear" w:color="auto" w:fill="auto"/>
            <w:vAlign w:val="bottom"/>
          </w:tcPr>
          <w:p w:rsidR="004F3D89" w:rsidRPr="00995BD2" w:rsidRDefault="004F3D89" w:rsidP="007338DF">
            <w:pPr>
              <w:rPr>
                <w:rFonts w:ascii="Arial" w:hAnsi="Arial" w:cs="Arial"/>
              </w:rPr>
            </w:pPr>
            <w:r>
              <w:rPr>
                <w:rFonts w:ascii="Arial" w:hAnsi="Arial" w:cs="Arial"/>
              </w:rPr>
              <w:t>3</w:t>
            </w:r>
          </w:p>
        </w:tc>
        <w:tc>
          <w:tcPr>
            <w:tcW w:w="7180" w:type="dxa"/>
            <w:shd w:val="clear" w:color="auto" w:fill="auto"/>
            <w:vAlign w:val="bottom"/>
          </w:tcPr>
          <w:p w:rsidR="004F3D89" w:rsidRPr="00995BD2" w:rsidRDefault="004F3D89" w:rsidP="007338DF">
            <w:pPr>
              <w:rPr>
                <w:rFonts w:ascii="Arial" w:hAnsi="Arial" w:cs="Arial"/>
                <w:lang w:val="es-MX"/>
              </w:rPr>
            </w:pPr>
            <w:r w:rsidRPr="00995BD2">
              <w:rPr>
                <w:rFonts w:ascii="Arial" w:hAnsi="Arial" w:cs="Arial"/>
                <w:lang w:val="es-MX"/>
              </w:rPr>
              <w:t>Endeudamiento Neto</w:t>
            </w:r>
          </w:p>
        </w:tc>
        <w:tc>
          <w:tcPr>
            <w:tcW w:w="1184" w:type="dxa"/>
            <w:shd w:val="clear" w:color="auto" w:fill="auto"/>
            <w:vAlign w:val="center"/>
          </w:tcPr>
          <w:p w:rsidR="004F3D89" w:rsidRPr="00995BD2" w:rsidRDefault="00803573" w:rsidP="007338DF">
            <w:pPr>
              <w:jc w:val="center"/>
              <w:rPr>
                <w:rFonts w:ascii="Arial" w:hAnsi="Arial" w:cs="Arial"/>
                <w:lang w:val="es-MX"/>
              </w:rPr>
            </w:pPr>
            <w:r>
              <w:rPr>
                <w:rFonts w:ascii="Arial" w:hAnsi="Arial" w:cs="Arial"/>
                <w:lang w:val="es-MX"/>
              </w:rPr>
              <w:t>11</w:t>
            </w:r>
          </w:p>
        </w:tc>
      </w:tr>
      <w:tr w:rsidR="004F3D89" w:rsidRPr="00C40AA1" w:rsidTr="001B4F2D">
        <w:tc>
          <w:tcPr>
            <w:tcW w:w="675" w:type="dxa"/>
            <w:shd w:val="clear" w:color="auto" w:fill="auto"/>
            <w:vAlign w:val="bottom"/>
          </w:tcPr>
          <w:p w:rsidR="004F3D89" w:rsidRPr="00995BD2" w:rsidRDefault="004F3D89" w:rsidP="007338DF">
            <w:pPr>
              <w:rPr>
                <w:rFonts w:ascii="Arial" w:hAnsi="Arial" w:cs="Arial"/>
              </w:rPr>
            </w:pPr>
            <w:r>
              <w:rPr>
                <w:rFonts w:ascii="Arial" w:hAnsi="Arial" w:cs="Arial"/>
              </w:rPr>
              <w:t>4</w:t>
            </w:r>
          </w:p>
        </w:tc>
        <w:tc>
          <w:tcPr>
            <w:tcW w:w="7180" w:type="dxa"/>
            <w:shd w:val="clear" w:color="auto" w:fill="auto"/>
            <w:vAlign w:val="bottom"/>
          </w:tcPr>
          <w:p w:rsidR="004F3D89" w:rsidRPr="00995BD2" w:rsidRDefault="004F3D89" w:rsidP="007338DF">
            <w:pPr>
              <w:rPr>
                <w:rFonts w:ascii="Arial" w:hAnsi="Arial" w:cs="Arial"/>
                <w:lang w:val="es-MX"/>
              </w:rPr>
            </w:pPr>
            <w:r w:rsidRPr="00995BD2">
              <w:rPr>
                <w:rFonts w:ascii="Arial" w:hAnsi="Arial" w:cs="Arial"/>
                <w:lang w:val="es-MX"/>
              </w:rPr>
              <w:t>Déficit Fiscal</w:t>
            </w:r>
          </w:p>
        </w:tc>
        <w:tc>
          <w:tcPr>
            <w:tcW w:w="1184" w:type="dxa"/>
            <w:shd w:val="clear" w:color="auto" w:fill="auto"/>
            <w:vAlign w:val="center"/>
          </w:tcPr>
          <w:p w:rsidR="004F3D89" w:rsidRPr="00995BD2" w:rsidRDefault="00803573" w:rsidP="007338DF">
            <w:pPr>
              <w:jc w:val="center"/>
              <w:rPr>
                <w:rFonts w:ascii="Arial" w:hAnsi="Arial" w:cs="Arial"/>
                <w:lang w:val="es-MX"/>
              </w:rPr>
            </w:pPr>
            <w:r>
              <w:rPr>
                <w:rFonts w:ascii="Arial" w:hAnsi="Arial" w:cs="Arial"/>
                <w:lang w:val="es-MX"/>
              </w:rPr>
              <w:t>12</w:t>
            </w:r>
          </w:p>
        </w:tc>
      </w:tr>
      <w:tr w:rsidR="004F3D89" w:rsidRPr="00C40AA1" w:rsidTr="001B4F2D">
        <w:tc>
          <w:tcPr>
            <w:tcW w:w="675" w:type="dxa"/>
            <w:shd w:val="clear" w:color="auto" w:fill="auto"/>
            <w:vAlign w:val="bottom"/>
          </w:tcPr>
          <w:p w:rsidR="004F3D89" w:rsidRPr="00995BD2" w:rsidRDefault="004F3D89" w:rsidP="007338DF">
            <w:pPr>
              <w:rPr>
                <w:rFonts w:ascii="Arial" w:hAnsi="Arial" w:cs="Arial"/>
              </w:rPr>
            </w:pPr>
            <w:r>
              <w:rPr>
                <w:rFonts w:ascii="Arial" w:hAnsi="Arial" w:cs="Arial"/>
              </w:rPr>
              <w:t>5</w:t>
            </w:r>
          </w:p>
        </w:tc>
        <w:tc>
          <w:tcPr>
            <w:tcW w:w="7180" w:type="dxa"/>
            <w:shd w:val="clear" w:color="auto" w:fill="auto"/>
            <w:vAlign w:val="bottom"/>
          </w:tcPr>
          <w:p w:rsidR="004F3D89" w:rsidRPr="00995BD2" w:rsidRDefault="004F3D89" w:rsidP="007338DF">
            <w:pPr>
              <w:rPr>
                <w:rFonts w:ascii="Arial" w:hAnsi="Arial" w:cs="Arial"/>
                <w:lang w:val="es-MX"/>
              </w:rPr>
            </w:pPr>
            <w:r w:rsidRPr="00995BD2">
              <w:rPr>
                <w:rFonts w:ascii="Arial" w:hAnsi="Arial" w:cs="Arial"/>
                <w:lang w:val="es-MX"/>
              </w:rPr>
              <w:t>Presupuesto Aprobado respecto del PIB</w:t>
            </w:r>
          </w:p>
        </w:tc>
        <w:tc>
          <w:tcPr>
            <w:tcW w:w="1184" w:type="dxa"/>
            <w:shd w:val="clear" w:color="auto" w:fill="auto"/>
            <w:vAlign w:val="center"/>
          </w:tcPr>
          <w:p w:rsidR="004F3D89" w:rsidRPr="00995BD2" w:rsidRDefault="00803573" w:rsidP="007338DF">
            <w:pPr>
              <w:jc w:val="center"/>
              <w:rPr>
                <w:rFonts w:ascii="Arial" w:hAnsi="Arial" w:cs="Arial"/>
                <w:lang w:val="es-MX"/>
              </w:rPr>
            </w:pPr>
            <w:r>
              <w:rPr>
                <w:rFonts w:ascii="Arial" w:hAnsi="Arial" w:cs="Arial"/>
                <w:lang w:val="es-MX"/>
              </w:rPr>
              <w:t>1</w:t>
            </w:r>
            <w:r w:rsidR="00263D60">
              <w:rPr>
                <w:rFonts w:ascii="Arial" w:hAnsi="Arial" w:cs="Arial"/>
                <w:lang w:val="es-MX"/>
              </w:rPr>
              <w:t>3</w:t>
            </w:r>
          </w:p>
        </w:tc>
      </w:tr>
      <w:tr w:rsidR="004F3D89" w:rsidRPr="00C40AA1" w:rsidTr="001B4F2D">
        <w:tc>
          <w:tcPr>
            <w:tcW w:w="675" w:type="dxa"/>
            <w:shd w:val="clear" w:color="auto" w:fill="auto"/>
            <w:vAlign w:val="bottom"/>
          </w:tcPr>
          <w:p w:rsidR="004F3D89" w:rsidRPr="00995BD2" w:rsidRDefault="004F3D89" w:rsidP="007338DF">
            <w:pPr>
              <w:rPr>
                <w:rFonts w:ascii="Arial" w:hAnsi="Arial" w:cs="Arial"/>
              </w:rPr>
            </w:pPr>
            <w:r>
              <w:rPr>
                <w:rFonts w:ascii="Arial" w:hAnsi="Arial" w:cs="Arial"/>
              </w:rPr>
              <w:t>6</w:t>
            </w:r>
          </w:p>
        </w:tc>
        <w:tc>
          <w:tcPr>
            <w:tcW w:w="7180" w:type="dxa"/>
            <w:shd w:val="clear" w:color="auto" w:fill="auto"/>
            <w:vAlign w:val="bottom"/>
          </w:tcPr>
          <w:p w:rsidR="004F3D89" w:rsidRPr="00995BD2" w:rsidRDefault="004F3D89" w:rsidP="007338DF">
            <w:pPr>
              <w:rPr>
                <w:rFonts w:ascii="Arial" w:hAnsi="Arial" w:cs="Arial"/>
                <w:lang w:val="es-MX"/>
              </w:rPr>
            </w:pPr>
            <w:r w:rsidRPr="00995BD2">
              <w:rPr>
                <w:rFonts w:ascii="Arial" w:hAnsi="Arial" w:cs="Arial"/>
                <w:lang w:val="es-MX"/>
              </w:rPr>
              <w:t>Presupuesto Ejecutado respecto del PIB</w:t>
            </w:r>
          </w:p>
        </w:tc>
        <w:tc>
          <w:tcPr>
            <w:tcW w:w="1184" w:type="dxa"/>
            <w:shd w:val="clear" w:color="auto" w:fill="auto"/>
            <w:vAlign w:val="center"/>
          </w:tcPr>
          <w:p w:rsidR="004F3D89" w:rsidRPr="00995BD2" w:rsidRDefault="00803573" w:rsidP="007338DF">
            <w:pPr>
              <w:jc w:val="center"/>
              <w:rPr>
                <w:rFonts w:ascii="Arial" w:hAnsi="Arial" w:cs="Arial"/>
                <w:lang w:val="es-MX"/>
              </w:rPr>
            </w:pPr>
            <w:r>
              <w:rPr>
                <w:rFonts w:ascii="Arial" w:hAnsi="Arial" w:cs="Arial"/>
                <w:lang w:val="es-MX"/>
              </w:rPr>
              <w:t>1</w:t>
            </w:r>
            <w:r w:rsidR="00263D60">
              <w:rPr>
                <w:rFonts w:ascii="Arial" w:hAnsi="Arial" w:cs="Arial"/>
                <w:lang w:val="es-MX"/>
              </w:rPr>
              <w:t>4</w:t>
            </w:r>
          </w:p>
        </w:tc>
      </w:tr>
      <w:tr w:rsidR="009C2D11" w:rsidRPr="00C40AA1" w:rsidTr="001B4F2D">
        <w:tc>
          <w:tcPr>
            <w:tcW w:w="675" w:type="dxa"/>
            <w:shd w:val="clear" w:color="auto" w:fill="auto"/>
            <w:vAlign w:val="bottom"/>
          </w:tcPr>
          <w:p w:rsidR="009C2D11" w:rsidRDefault="009C2D11" w:rsidP="007338DF">
            <w:pPr>
              <w:rPr>
                <w:rFonts w:ascii="Arial" w:hAnsi="Arial" w:cs="Arial"/>
              </w:rPr>
            </w:pPr>
            <w:r>
              <w:rPr>
                <w:rFonts w:ascii="Arial" w:hAnsi="Arial" w:cs="Arial"/>
              </w:rPr>
              <w:t>7</w:t>
            </w:r>
          </w:p>
        </w:tc>
        <w:tc>
          <w:tcPr>
            <w:tcW w:w="7180" w:type="dxa"/>
            <w:shd w:val="clear" w:color="auto" w:fill="auto"/>
            <w:vAlign w:val="bottom"/>
          </w:tcPr>
          <w:p w:rsidR="009C2D11" w:rsidRDefault="00E21C99" w:rsidP="00E21C99">
            <w:pPr>
              <w:rPr>
                <w:rFonts w:ascii="Arial" w:hAnsi="Arial" w:cs="Arial"/>
                <w:lang w:val="es-MX"/>
              </w:rPr>
            </w:pPr>
            <w:r>
              <w:rPr>
                <w:rFonts w:ascii="Arial" w:hAnsi="Arial" w:cs="Arial"/>
                <w:lang w:val="es-MX"/>
              </w:rPr>
              <w:t>Presupuesto 2018</w:t>
            </w:r>
            <w:r w:rsidR="00F63331">
              <w:rPr>
                <w:rFonts w:ascii="Arial" w:hAnsi="Arial" w:cs="Arial"/>
                <w:lang w:val="es-MX"/>
              </w:rPr>
              <w:t xml:space="preserve"> y 201</w:t>
            </w:r>
            <w:r>
              <w:rPr>
                <w:rFonts w:ascii="Arial" w:hAnsi="Arial" w:cs="Arial"/>
                <w:lang w:val="es-MX"/>
              </w:rPr>
              <w:t>9</w:t>
            </w:r>
          </w:p>
        </w:tc>
        <w:tc>
          <w:tcPr>
            <w:tcW w:w="1184" w:type="dxa"/>
            <w:shd w:val="clear" w:color="auto" w:fill="auto"/>
            <w:vAlign w:val="center"/>
          </w:tcPr>
          <w:p w:rsidR="009C2D11" w:rsidRDefault="00803573" w:rsidP="007338DF">
            <w:pPr>
              <w:jc w:val="center"/>
              <w:rPr>
                <w:rFonts w:ascii="Arial" w:hAnsi="Arial" w:cs="Arial"/>
                <w:lang w:val="es-MX"/>
              </w:rPr>
            </w:pPr>
            <w:r>
              <w:rPr>
                <w:rFonts w:ascii="Arial" w:hAnsi="Arial" w:cs="Arial"/>
                <w:lang w:val="es-MX"/>
              </w:rPr>
              <w:t>16</w:t>
            </w:r>
          </w:p>
        </w:tc>
      </w:tr>
      <w:tr w:rsidR="004F3D89" w:rsidRPr="00C40AA1" w:rsidTr="001B4F2D">
        <w:tc>
          <w:tcPr>
            <w:tcW w:w="675" w:type="dxa"/>
            <w:shd w:val="clear" w:color="auto" w:fill="auto"/>
            <w:vAlign w:val="bottom"/>
          </w:tcPr>
          <w:p w:rsidR="004F3D89" w:rsidRPr="00995BD2" w:rsidRDefault="009C2D11" w:rsidP="007338DF">
            <w:pPr>
              <w:rPr>
                <w:rFonts w:ascii="Arial" w:hAnsi="Arial" w:cs="Arial"/>
              </w:rPr>
            </w:pPr>
            <w:r>
              <w:rPr>
                <w:rFonts w:ascii="Arial" w:hAnsi="Arial" w:cs="Arial"/>
              </w:rPr>
              <w:t>8</w:t>
            </w:r>
          </w:p>
        </w:tc>
        <w:tc>
          <w:tcPr>
            <w:tcW w:w="7180" w:type="dxa"/>
            <w:shd w:val="clear" w:color="auto" w:fill="auto"/>
            <w:vAlign w:val="bottom"/>
          </w:tcPr>
          <w:p w:rsidR="004F3D89" w:rsidRPr="00995BD2" w:rsidRDefault="00E21C99" w:rsidP="00E21C99">
            <w:pPr>
              <w:rPr>
                <w:rFonts w:ascii="Arial" w:hAnsi="Arial" w:cs="Arial"/>
                <w:lang w:val="es-MX"/>
              </w:rPr>
            </w:pPr>
            <w:r>
              <w:rPr>
                <w:rFonts w:ascii="Arial" w:hAnsi="Arial" w:cs="Arial"/>
                <w:lang w:val="es-MX"/>
              </w:rPr>
              <w:t>Presupuesto de Ingresos 2018</w:t>
            </w:r>
            <w:r w:rsidR="009C2D11">
              <w:rPr>
                <w:rFonts w:ascii="Arial" w:hAnsi="Arial" w:cs="Arial"/>
                <w:lang w:val="es-MX"/>
              </w:rPr>
              <w:t xml:space="preserve"> y 201</w:t>
            </w:r>
            <w:r>
              <w:rPr>
                <w:rFonts w:ascii="Arial" w:hAnsi="Arial" w:cs="Arial"/>
                <w:lang w:val="es-MX"/>
              </w:rPr>
              <w:t>9</w:t>
            </w:r>
          </w:p>
        </w:tc>
        <w:tc>
          <w:tcPr>
            <w:tcW w:w="1184" w:type="dxa"/>
            <w:shd w:val="clear" w:color="auto" w:fill="auto"/>
            <w:vAlign w:val="center"/>
          </w:tcPr>
          <w:p w:rsidR="004F3D89" w:rsidRPr="00995BD2" w:rsidRDefault="00803573" w:rsidP="007338DF">
            <w:pPr>
              <w:jc w:val="center"/>
              <w:rPr>
                <w:rFonts w:ascii="Arial" w:hAnsi="Arial" w:cs="Arial"/>
                <w:lang w:val="es-MX"/>
              </w:rPr>
            </w:pPr>
            <w:r>
              <w:rPr>
                <w:rFonts w:ascii="Arial" w:hAnsi="Arial" w:cs="Arial"/>
                <w:lang w:val="es-MX"/>
              </w:rPr>
              <w:t>17</w:t>
            </w:r>
          </w:p>
        </w:tc>
      </w:tr>
      <w:tr w:rsidR="004F3D89" w:rsidRPr="00C40AA1" w:rsidTr="001B4F2D">
        <w:tc>
          <w:tcPr>
            <w:tcW w:w="675" w:type="dxa"/>
            <w:shd w:val="clear" w:color="auto" w:fill="auto"/>
            <w:vAlign w:val="bottom"/>
          </w:tcPr>
          <w:p w:rsidR="004F3D89" w:rsidRPr="00995BD2" w:rsidRDefault="009C2D11" w:rsidP="007338DF">
            <w:pPr>
              <w:rPr>
                <w:rFonts w:ascii="Arial" w:hAnsi="Arial" w:cs="Arial"/>
              </w:rPr>
            </w:pPr>
            <w:r>
              <w:rPr>
                <w:rFonts w:ascii="Arial" w:hAnsi="Arial" w:cs="Arial"/>
              </w:rPr>
              <w:t>9</w:t>
            </w:r>
          </w:p>
        </w:tc>
        <w:tc>
          <w:tcPr>
            <w:tcW w:w="7180" w:type="dxa"/>
            <w:shd w:val="clear" w:color="auto" w:fill="auto"/>
            <w:vAlign w:val="bottom"/>
          </w:tcPr>
          <w:p w:rsidR="004F3D89" w:rsidRPr="00995BD2" w:rsidRDefault="004F3D89" w:rsidP="00F63331">
            <w:pPr>
              <w:rPr>
                <w:rFonts w:ascii="Arial" w:hAnsi="Arial" w:cs="Arial"/>
                <w:lang w:val="es-MX"/>
              </w:rPr>
            </w:pPr>
            <w:r w:rsidRPr="00995BD2">
              <w:rPr>
                <w:rFonts w:ascii="Arial" w:hAnsi="Arial" w:cs="Arial"/>
                <w:lang w:val="es-MX"/>
              </w:rPr>
              <w:t xml:space="preserve">Estimación de los Ingresos Tributarios del Presupuesto </w:t>
            </w:r>
            <w:r>
              <w:rPr>
                <w:rFonts w:ascii="Arial" w:hAnsi="Arial" w:cs="Arial"/>
                <w:lang w:val="es-MX"/>
              </w:rPr>
              <w:t>Aprobado 201</w:t>
            </w:r>
            <w:r w:rsidR="00E21C99">
              <w:rPr>
                <w:rFonts w:ascii="Arial" w:hAnsi="Arial" w:cs="Arial"/>
                <w:lang w:val="es-MX"/>
              </w:rPr>
              <w:t>9</w:t>
            </w:r>
          </w:p>
        </w:tc>
        <w:tc>
          <w:tcPr>
            <w:tcW w:w="1184" w:type="dxa"/>
            <w:shd w:val="clear" w:color="auto" w:fill="auto"/>
            <w:vAlign w:val="center"/>
          </w:tcPr>
          <w:p w:rsidR="004F3D89" w:rsidRPr="00995BD2" w:rsidRDefault="00803573" w:rsidP="007338DF">
            <w:pPr>
              <w:jc w:val="center"/>
              <w:rPr>
                <w:rFonts w:ascii="Arial" w:hAnsi="Arial" w:cs="Arial"/>
                <w:lang w:val="es-MX"/>
              </w:rPr>
            </w:pPr>
            <w:r>
              <w:rPr>
                <w:rFonts w:ascii="Arial" w:hAnsi="Arial" w:cs="Arial"/>
                <w:lang w:val="es-MX"/>
              </w:rPr>
              <w:t>18</w:t>
            </w:r>
          </w:p>
        </w:tc>
      </w:tr>
      <w:tr w:rsidR="004F3D89" w:rsidRPr="00C40AA1" w:rsidTr="001B4F2D">
        <w:tc>
          <w:tcPr>
            <w:tcW w:w="675" w:type="dxa"/>
            <w:shd w:val="clear" w:color="auto" w:fill="auto"/>
            <w:vAlign w:val="bottom"/>
          </w:tcPr>
          <w:p w:rsidR="004F3D89" w:rsidRPr="00995BD2" w:rsidRDefault="00272078" w:rsidP="007338DF">
            <w:pPr>
              <w:rPr>
                <w:rFonts w:ascii="Arial" w:hAnsi="Arial" w:cs="Arial"/>
                <w:lang w:val="es-MX"/>
              </w:rPr>
            </w:pPr>
            <w:r>
              <w:rPr>
                <w:rFonts w:ascii="Arial" w:hAnsi="Arial" w:cs="Arial"/>
                <w:lang w:val="es-MX"/>
              </w:rPr>
              <w:t>10</w:t>
            </w:r>
          </w:p>
        </w:tc>
        <w:tc>
          <w:tcPr>
            <w:tcW w:w="7180" w:type="dxa"/>
            <w:shd w:val="clear" w:color="auto" w:fill="auto"/>
            <w:vAlign w:val="bottom"/>
          </w:tcPr>
          <w:p w:rsidR="004F3D89" w:rsidRDefault="004F3D89" w:rsidP="00F63331">
            <w:pPr>
              <w:rPr>
                <w:rFonts w:ascii="Arial" w:hAnsi="Arial" w:cs="Arial"/>
                <w:lang w:val="es-MX"/>
              </w:rPr>
            </w:pPr>
            <w:r>
              <w:rPr>
                <w:rFonts w:ascii="Arial" w:hAnsi="Arial" w:cs="Arial"/>
                <w:lang w:val="es-MX"/>
              </w:rPr>
              <w:t>Presupuesto de Egresos 201</w:t>
            </w:r>
            <w:r w:rsidR="00E21C99">
              <w:rPr>
                <w:rFonts w:ascii="Arial" w:hAnsi="Arial" w:cs="Arial"/>
                <w:lang w:val="es-MX"/>
              </w:rPr>
              <w:t xml:space="preserve">9 </w:t>
            </w:r>
            <w:r>
              <w:rPr>
                <w:rFonts w:ascii="Arial" w:hAnsi="Arial" w:cs="Arial"/>
                <w:lang w:val="es-MX"/>
              </w:rPr>
              <w:t>por Tipo de Gasto</w:t>
            </w:r>
          </w:p>
        </w:tc>
        <w:tc>
          <w:tcPr>
            <w:tcW w:w="1184" w:type="dxa"/>
            <w:shd w:val="clear" w:color="auto" w:fill="auto"/>
            <w:vAlign w:val="center"/>
          </w:tcPr>
          <w:p w:rsidR="004F3D89" w:rsidRDefault="00803573" w:rsidP="007338DF">
            <w:pPr>
              <w:jc w:val="center"/>
              <w:rPr>
                <w:rFonts w:ascii="Arial" w:hAnsi="Arial" w:cs="Arial"/>
                <w:lang w:val="es-MX"/>
              </w:rPr>
            </w:pPr>
            <w:r>
              <w:rPr>
                <w:rFonts w:ascii="Arial" w:hAnsi="Arial" w:cs="Arial"/>
                <w:lang w:val="es-MX"/>
              </w:rPr>
              <w:t>20</w:t>
            </w:r>
          </w:p>
        </w:tc>
      </w:tr>
      <w:tr w:rsidR="004F3D89" w:rsidRPr="00C40AA1" w:rsidTr="001B4F2D">
        <w:tc>
          <w:tcPr>
            <w:tcW w:w="675" w:type="dxa"/>
            <w:shd w:val="clear" w:color="auto" w:fill="auto"/>
            <w:vAlign w:val="bottom"/>
          </w:tcPr>
          <w:p w:rsidR="004F3D89" w:rsidRPr="00995BD2" w:rsidRDefault="004F3D89" w:rsidP="007338DF">
            <w:pPr>
              <w:rPr>
                <w:rFonts w:ascii="Arial" w:hAnsi="Arial" w:cs="Arial"/>
              </w:rPr>
            </w:pPr>
            <w:r>
              <w:rPr>
                <w:rFonts w:ascii="Arial" w:hAnsi="Arial" w:cs="Arial"/>
              </w:rPr>
              <w:t>11</w:t>
            </w:r>
          </w:p>
        </w:tc>
        <w:tc>
          <w:tcPr>
            <w:tcW w:w="7180" w:type="dxa"/>
            <w:shd w:val="clear" w:color="auto" w:fill="auto"/>
            <w:vAlign w:val="bottom"/>
          </w:tcPr>
          <w:p w:rsidR="004F3D89" w:rsidRPr="00995BD2" w:rsidRDefault="004F3D89" w:rsidP="00E21C99">
            <w:pPr>
              <w:rPr>
                <w:rFonts w:ascii="Arial" w:hAnsi="Arial" w:cs="Arial"/>
                <w:lang w:val="es-MX"/>
              </w:rPr>
            </w:pPr>
            <w:r w:rsidRPr="00995BD2">
              <w:rPr>
                <w:rFonts w:ascii="Arial" w:hAnsi="Arial" w:cs="Arial"/>
                <w:lang w:val="es-MX"/>
              </w:rPr>
              <w:t xml:space="preserve">Presupuesto </w:t>
            </w:r>
            <w:r>
              <w:rPr>
                <w:rFonts w:ascii="Arial" w:hAnsi="Arial" w:cs="Arial"/>
                <w:lang w:val="es-MX"/>
              </w:rPr>
              <w:t xml:space="preserve">de Egresos </w:t>
            </w:r>
            <w:r w:rsidRPr="00995BD2">
              <w:rPr>
                <w:rFonts w:ascii="Arial" w:hAnsi="Arial" w:cs="Arial"/>
                <w:lang w:val="es-MX"/>
              </w:rPr>
              <w:t>201</w:t>
            </w:r>
            <w:r w:rsidR="00E21C99">
              <w:rPr>
                <w:rFonts w:ascii="Arial" w:hAnsi="Arial" w:cs="Arial"/>
                <w:lang w:val="es-MX"/>
              </w:rPr>
              <w:t>8</w:t>
            </w:r>
            <w:r>
              <w:rPr>
                <w:rFonts w:ascii="Arial" w:hAnsi="Arial" w:cs="Arial"/>
                <w:lang w:val="es-MX"/>
              </w:rPr>
              <w:t xml:space="preserve"> y 201</w:t>
            </w:r>
            <w:r w:rsidR="00E21C99">
              <w:rPr>
                <w:rFonts w:ascii="Arial" w:hAnsi="Arial" w:cs="Arial"/>
                <w:lang w:val="es-MX"/>
              </w:rPr>
              <w:t>9</w:t>
            </w:r>
            <w:r w:rsidRPr="00995BD2">
              <w:rPr>
                <w:rFonts w:ascii="Arial" w:hAnsi="Arial" w:cs="Arial"/>
                <w:lang w:val="es-MX"/>
              </w:rPr>
              <w:t xml:space="preserve"> por Sub</w:t>
            </w:r>
            <w:r>
              <w:rPr>
                <w:rFonts w:ascii="Arial" w:hAnsi="Arial" w:cs="Arial"/>
                <w:lang w:val="es-MX"/>
              </w:rPr>
              <w:t>grupo T</w:t>
            </w:r>
            <w:r w:rsidRPr="00995BD2">
              <w:rPr>
                <w:rFonts w:ascii="Arial" w:hAnsi="Arial" w:cs="Arial"/>
                <w:lang w:val="es-MX"/>
              </w:rPr>
              <w:t>ipo de Gasto</w:t>
            </w:r>
          </w:p>
        </w:tc>
        <w:tc>
          <w:tcPr>
            <w:tcW w:w="1184" w:type="dxa"/>
            <w:shd w:val="clear" w:color="auto" w:fill="auto"/>
            <w:vAlign w:val="center"/>
          </w:tcPr>
          <w:p w:rsidR="004F3D89" w:rsidRPr="00995BD2" w:rsidRDefault="00803573" w:rsidP="007338DF">
            <w:pPr>
              <w:jc w:val="center"/>
              <w:rPr>
                <w:rFonts w:ascii="Arial" w:hAnsi="Arial" w:cs="Arial"/>
                <w:lang w:val="es-MX"/>
              </w:rPr>
            </w:pPr>
            <w:r>
              <w:rPr>
                <w:rFonts w:ascii="Arial" w:hAnsi="Arial" w:cs="Arial"/>
                <w:lang w:val="es-MX"/>
              </w:rPr>
              <w:t>22</w:t>
            </w:r>
          </w:p>
        </w:tc>
      </w:tr>
      <w:tr w:rsidR="004F3D89" w:rsidRPr="00C40AA1" w:rsidTr="001B4F2D">
        <w:tc>
          <w:tcPr>
            <w:tcW w:w="675" w:type="dxa"/>
            <w:shd w:val="clear" w:color="auto" w:fill="auto"/>
            <w:vAlign w:val="bottom"/>
          </w:tcPr>
          <w:p w:rsidR="004F3D89" w:rsidRPr="00995BD2" w:rsidRDefault="004F3D89" w:rsidP="007338DF">
            <w:pPr>
              <w:rPr>
                <w:rFonts w:ascii="Arial" w:hAnsi="Arial" w:cs="Arial"/>
                <w:lang w:val="es-MX"/>
              </w:rPr>
            </w:pPr>
            <w:r>
              <w:rPr>
                <w:rFonts w:ascii="Arial" w:hAnsi="Arial" w:cs="Arial"/>
                <w:lang w:val="es-MX"/>
              </w:rPr>
              <w:t>12</w:t>
            </w:r>
          </w:p>
        </w:tc>
        <w:tc>
          <w:tcPr>
            <w:tcW w:w="7180" w:type="dxa"/>
            <w:shd w:val="clear" w:color="auto" w:fill="auto"/>
            <w:vAlign w:val="bottom"/>
          </w:tcPr>
          <w:p w:rsidR="004F3D89" w:rsidRPr="00995BD2" w:rsidRDefault="004F3D89" w:rsidP="00E21C99">
            <w:pPr>
              <w:rPr>
                <w:rFonts w:ascii="Arial" w:hAnsi="Arial" w:cs="Arial"/>
                <w:lang w:val="es-MX"/>
              </w:rPr>
            </w:pPr>
            <w:r w:rsidRPr="00995BD2">
              <w:rPr>
                <w:rFonts w:ascii="Arial" w:hAnsi="Arial" w:cs="Arial"/>
                <w:lang w:val="es-MX"/>
              </w:rPr>
              <w:t>Presupuesto</w:t>
            </w:r>
            <w:r>
              <w:rPr>
                <w:rFonts w:ascii="Arial" w:hAnsi="Arial" w:cs="Arial"/>
                <w:lang w:val="es-MX"/>
              </w:rPr>
              <w:t xml:space="preserve"> de Egresos</w:t>
            </w:r>
            <w:r w:rsidRPr="00995BD2">
              <w:rPr>
                <w:rFonts w:ascii="Arial" w:hAnsi="Arial" w:cs="Arial"/>
                <w:lang w:val="es-MX"/>
              </w:rPr>
              <w:t xml:space="preserve"> 201</w:t>
            </w:r>
            <w:r w:rsidR="00E21C99">
              <w:rPr>
                <w:rFonts w:ascii="Arial" w:hAnsi="Arial" w:cs="Arial"/>
                <w:lang w:val="es-MX"/>
              </w:rPr>
              <w:t>8</w:t>
            </w:r>
            <w:r w:rsidRPr="00995BD2">
              <w:rPr>
                <w:rFonts w:ascii="Arial" w:hAnsi="Arial" w:cs="Arial"/>
                <w:lang w:val="es-MX"/>
              </w:rPr>
              <w:t xml:space="preserve"> </w:t>
            </w:r>
            <w:r>
              <w:rPr>
                <w:rFonts w:ascii="Arial" w:hAnsi="Arial" w:cs="Arial"/>
                <w:lang w:val="es-MX"/>
              </w:rPr>
              <w:t>y 201</w:t>
            </w:r>
            <w:r w:rsidR="00E21C99">
              <w:rPr>
                <w:rFonts w:ascii="Arial" w:hAnsi="Arial" w:cs="Arial"/>
                <w:lang w:val="es-MX"/>
              </w:rPr>
              <w:t>9</w:t>
            </w:r>
            <w:r>
              <w:rPr>
                <w:rFonts w:ascii="Arial" w:hAnsi="Arial" w:cs="Arial"/>
                <w:lang w:val="es-MX"/>
              </w:rPr>
              <w:t xml:space="preserve"> </w:t>
            </w:r>
            <w:r w:rsidRPr="00995BD2">
              <w:rPr>
                <w:rFonts w:ascii="Arial" w:hAnsi="Arial" w:cs="Arial"/>
                <w:lang w:val="es-MX"/>
              </w:rPr>
              <w:t>por Finalidad</w:t>
            </w:r>
          </w:p>
        </w:tc>
        <w:tc>
          <w:tcPr>
            <w:tcW w:w="1184" w:type="dxa"/>
            <w:shd w:val="clear" w:color="auto" w:fill="auto"/>
            <w:vAlign w:val="center"/>
          </w:tcPr>
          <w:p w:rsidR="004F3D89" w:rsidRPr="00995BD2" w:rsidRDefault="00803573" w:rsidP="007338DF">
            <w:pPr>
              <w:jc w:val="center"/>
              <w:rPr>
                <w:rFonts w:ascii="Arial" w:hAnsi="Arial" w:cs="Arial"/>
                <w:lang w:val="es-MX"/>
              </w:rPr>
            </w:pPr>
            <w:r>
              <w:rPr>
                <w:rFonts w:ascii="Arial" w:hAnsi="Arial" w:cs="Arial"/>
                <w:lang w:val="es-MX"/>
              </w:rPr>
              <w:t>23</w:t>
            </w:r>
          </w:p>
        </w:tc>
      </w:tr>
      <w:tr w:rsidR="004F3D89" w:rsidRPr="00C40AA1" w:rsidTr="001B4F2D">
        <w:tc>
          <w:tcPr>
            <w:tcW w:w="675" w:type="dxa"/>
            <w:shd w:val="clear" w:color="auto" w:fill="auto"/>
            <w:vAlign w:val="bottom"/>
          </w:tcPr>
          <w:p w:rsidR="004F3D89" w:rsidRPr="00995BD2" w:rsidRDefault="004F3D89" w:rsidP="007338DF">
            <w:pPr>
              <w:rPr>
                <w:rFonts w:ascii="Arial" w:hAnsi="Arial" w:cs="Arial"/>
                <w:lang w:val="es-MX"/>
              </w:rPr>
            </w:pPr>
            <w:r>
              <w:rPr>
                <w:rFonts w:ascii="Arial" w:hAnsi="Arial" w:cs="Arial"/>
                <w:lang w:val="es-MX"/>
              </w:rPr>
              <w:t>13</w:t>
            </w:r>
          </w:p>
        </w:tc>
        <w:tc>
          <w:tcPr>
            <w:tcW w:w="7180" w:type="dxa"/>
            <w:shd w:val="clear" w:color="auto" w:fill="auto"/>
            <w:vAlign w:val="bottom"/>
          </w:tcPr>
          <w:p w:rsidR="004F3D89" w:rsidRPr="00995BD2" w:rsidRDefault="004F3D89" w:rsidP="00E21C99">
            <w:pPr>
              <w:rPr>
                <w:rFonts w:ascii="Arial" w:hAnsi="Arial" w:cs="Arial"/>
                <w:lang w:val="es-MX"/>
              </w:rPr>
            </w:pPr>
            <w:r w:rsidRPr="00995BD2">
              <w:rPr>
                <w:rFonts w:ascii="Arial" w:hAnsi="Arial" w:cs="Arial"/>
                <w:lang w:val="es-MX"/>
              </w:rPr>
              <w:t xml:space="preserve">Presupuesto </w:t>
            </w:r>
            <w:r>
              <w:rPr>
                <w:rFonts w:ascii="Arial" w:hAnsi="Arial" w:cs="Arial"/>
                <w:lang w:val="es-MX"/>
              </w:rPr>
              <w:t xml:space="preserve">de Egresos </w:t>
            </w:r>
            <w:r w:rsidRPr="00995BD2">
              <w:rPr>
                <w:rFonts w:ascii="Arial" w:hAnsi="Arial" w:cs="Arial"/>
                <w:lang w:val="es-MX"/>
              </w:rPr>
              <w:t>201</w:t>
            </w:r>
            <w:r w:rsidR="00E21C99">
              <w:rPr>
                <w:rFonts w:ascii="Arial" w:hAnsi="Arial" w:cs="Arial"/>
                <w:lang w:val="es-MX"/>
              </w:rPr>
              <w:t>8</w:t>
            </w:r>
            <w:r w:rsidRPr="00995BD2">
              <w:rPr>
                <w:rFonts w:ascii="Arial" w:hAnsi="Arial" w:cs="Arial"/>
                <w:lang w:val="es-MX"/>
              </w:rPr>
              <w:t xml:space="preserve"> y 201</w:t>
            </w:r>
            <w:r w:rsidR="00E21C99">
              <w:rPr>
                <w:rFonts w:ascii="Arial" w:hAnsi="Arial" w:cs="Arial"/>
                <w:lang w:val="es-MX"/>
              </w:rPr>
              <w:t>9</w:t>
            </w:r>
            <w:r w:rsidRPr="00995BD2">
              <w:rPr>
                <w:rFonts w:ascii="Arial" w:hAnsi="Arial" w:cs="Arial"/>
                <w:lang w:val="es-MX"/>
              </w:rPr>
              <w:t xml:space="preserve"> por Fuente de Financiamiento</w:t>
            </w:r>
          </w:p>
        </w:tc>
        <w:tc>
          <w:tcPr>
            <w:tcW w:w="1184" w:type="dxa"/>
            <w:shd w:val="clear" w:color="auto" w:fill="auto"/>
            <w:vAlign w:val="center"/>
          </w:tcPr>
          <w:p w:rsidR="004F3D89" w:rsidRPr="00995BD2" w:rsidRDefault="00803573" w:rsidP="007338DF">
            <w:pPr>
              <w:jc w:val="center"/>
              <w:rPr>
                <w:rFonts w:ascii="Arial" w:hAnsi="Arial" w:cs="Arial"/>
                <w:lang w:val="es-MX"/>
              </w:rPr>
            </w:pPr>
            <w:r>
              <w:rPr>
                <w:rFonts w:ascii="Arial" w:hAnsi="Arial" w:cs="Arial"/>
                <w:lang w:val="es-MX"/>
              </w:rPr>
              <w:t>24</w:t>
            </w:r>
          </w:p>
        </w:tc>
      </w:tr>
      <w:tr w:rsidR="004F3D89" w:rsidRPr="00C40AA1" w:rsidTr="001B4F2D">
        <w:tc>
          <w:tcPr>
            <w:tcW w:w="675" w:type="dxa"/>
            <w:shd w:val="clear" w:color="auto" w:fill="auto"/>
            <w:vAlign w:val="bottom"/>
          </w:tcPr>
          <w:p w:rsidR="004F3D89" w:rsidRPr="00995BD2" w:rsidRDefault="004F3D89" w:rsidP="007338DF">
            <w:pPr>
              <w:rPr>
                <w:rFonts w:ascii="Arial" w:hAnsi="Arial" w:cs="Arial"/>
                <w:lang w:val="es-MX"/>
              </w:rPr>
            </w:pPr>
            <w:r>
              <w:rPr>
                <w:rFonts w:ascii="Arial" w:hAnsi="Arial" w:cs="Arial"/>
                <w:lang w:val="es-MX"/>
              </w:rPr>
              <w:t>14</w:t>
            </w:r>
          </w:p>
        </w:tc>
        <w:tc>
          <w:tcPr>
            <w:tcW w:w="7180" w:type="dxa"/>
            <w:shd w:val="clear" w:color="auto" w:fill="auto"/>
            <w:vAlign w:val="bottom"/>
          </w:tcPr>
          <w:p w:rsidR="004F3D89" w:rsidRPr="00995BD2" w:rsidRDefault="004F3D89" w:rsidP="00F63331">
            <w:pPr>
              <w:rPr>
                <w:rFonts w:ascii="Arial" w:hAnsi="Arial" w:cs="Arial"/>
                <w:lang w:val="es-MX"/>
              </w:rPr>
            </w:pPr>
            <w:r w:rsidRPr="00995BD2">
              <w:rPr>
                <w:rFonts w:ascii="Arial" w:hAnsi="Arial" w:cs="Arial"/>
                <w:lang w:val="es-MX"/>
              </w:rPr>
              <w:t xml:space="preserve">Presupuesto </w:t>
            </w:r>
            <w:r>
              <w:rPr>
                <w:rFonts w:ascii="Arial" w:hAnsi="Arial" w:cs="Arial"/>
                <w:lang w:val="es-MX"/>
              </w:rPr>
              <w:t xml:space="preserve">de Egresos </w:t>
            </w:r>
            <w:r w:rsidRPr="00995BD2">
              <w:rPr>
                <w:rFonts w:ascii="Arial" w:hAnsi="Arial" w:cs="Arial"/>
                <w:lang w:val="es-MX"/>
              </w:rPr>
              <w:t>201</w:t>
            </w:r>
            <w:r w:rsidR="00E21C99">
              <w:rPr>
                <w:rFonts w:ascii="Arial" w:hAnsi="Arial" w:cs="Arial"/>
                <w:lang w:val="es-MX"/>
              </w:rPr>
              <w:t>9</w:t>
            </w:r>
            <w:r w:rsidRPr="00995BD2">
              <w:rPr>
                <w:rFonts w:ascii="Arial" w:hAnsi="Arial" w:cs="Arial"/>
                <w:lang w:val="es-MX"/>
              </w:rPr>
              <w:t xml:space="preserve"> por Fuente de Financiamiento</w:t>
            </w:r>
          </w:p>
        </w:tc>
        <w:tc>
          <w:tcPr>
            <w:tcW w:w="1184" w:type="dxa"/>
            <w:shd w:val="clear" w:color="auto" w:fill="auto"/>
            <w:vAlign w:val="center"/>
          </w:tcPr>
          <w:p w:rsidR="004F3D89" w:rsidRPr="00995BD2" w:rsidRDefault="00803573" w:rsidP="007338DF">
            <w:pPr>
              <w:jc w:val="center"/>
              <w:rPr>
                <w:rFonts w:ascii="Arial" w:hAnsi="Arial" w:cs="Arial"/>
                <w:lang w:val="es-MX"/>
              </w:rPr>
            </w:pPr>
            <w:r>
              <w:rPr>
                <w:rFonts w:ascii="Arial" w:hAnsi="Arial" w:cs="Arial"/>
                <w:lang w:val="es-MX"/>
              </w:rPr>
              <w:t>25</w:t>
            </w:r>
          </w:p>
        </w:tc>
      </w:tr>
      <w:tr w:rsidR="004F3D89" w:rsidRPr="00C40AA1" w:rsidTr="001B4F2D">
        <w:tc>
          <w:tcPr>
            <w:tcW w:w="675" w:type="dxa"/>
            <w:shd w:val="clear" w:color="auto" w:fill="auto"/>
            <w:vAlign w:val="bottom"/>
          </w:tcPr>
          <w:p w:rsidR="004F3D89" w:rsidRPr="00995BD2" w:rsidRDefault="004F3D89" w:rsidP="007338DF">
            <w:pPr>
              <w:rPr>
                <w:rFonts w:ascii="Arial" w:hAnsi="Arial" w:cs="Arial"/>
                <w:lang w:val="es-MX"/>
              </w:rPr>
            </w:pPr>
            <w:r>
              <w:rPr>
                <w:rFonts w:ascii="Arial" w:hAnsi="Arial" w:cs="Arial"/>
                <w:lang w:val="es-MX"/>
              </w:rPr>
              <w:t>15</w:t>
            </w:r>
          </w:p>
        </w:tc>
        <w:tc>
          <w:tcPr>
            <w:tcW w:w="7180" w:type="dxa"/>
            <w:shd w:val="clear" w:color="auto" w:fill="auto"/>
            <w:vAlign w:val="bottom"/>
          </w:tcPr>
          <w:p w:rsidR="004F3D89" w:rsidRPr="00995BD2" w:rsidRDefault="004F3D89" w:rsidP="00E21C99">
            <w:pPr>
              <w:rPr>
                <w:rFonts w:ascii="Arial" w:hAnsi="Arial" w:cs="Arial"/>
                <w:lang w:val="es-MX"/>
              </w:rPr>
            </w:pPr>
            <w:r>
              <w:rPr>
                <w:rFonts w:ascii="Arial" w:hAnsi="Arial" w:cs="Arial"/>
                <w:lang w:val="es-MX"/>
              </w:rPr>
              <w:t>Presupuesto de Egresos 201</w:t>
            </w:r>
            <w:r w:rsidR="00E21C99">
              <w:rPr>
                <w:rFonts w:ascii="Arial" w:hAnsi="Arial" w:cs="Arial"/>
                <w:lang w:val="es-MX"/>
              </w:rPr>
              <w:t>8</w:t>
            </w:r>
            <w:r>
              <w:rPr>
                <w:rFonts w:ascii="Arial" w:hAnsi="Arial" w:cs="Arial"/>
                <w:lang w:val="es-MX"/>
              </w:rPr>
              <w:t xml:space="preserve"> y 201</w:t>
            </w:r>
            <w:r w:rsidR="003F4907">
              <w:rPr>
                <w:rFonts w:ascii="Arial" w:hAnsi="Arial" w:cs="Arial"/>
                <w:lang w:val="es-MX"/>
              </w:rPr>
              <w:t>9</w:t>
            </w:r>
            <w:r w:rsidRPr="00995BD2">
              <w:rPr>
                <w:rFonts w:ascii="Arial" w:hAnsi="Arial" w:cs="Arial"/>
                <w:lang w:val="es-MX"/>
              </w:rPr>
              <w:t xml:space="preserve"> por Agrupación Institucional</w:t>
            </w:r>
          </w:p>
        </w:tc>
        <w:tc>
          <w:tcPr>
            <w:tcW w:w="1184" w:type="dxa"/>
            <w:shd w:val="clear" w:color="auto" w:fill="auto"/>
            <w:vAlign w:val="center"/>
          </w:tcPr>
          <w:p w:rsidR="004F3D89" w:rsidRPr="00995BD2" w:rsidRDefault="00803573" w:rsidP="00F32A08">
            <w:pPr>
              <w:jc w:val="center"/>
              <w:rPr>
                <w:rFonts w:ascii="Arial" w:hAnsi="Arial" w:cs="Arial"/>
                <w:lang w:val="es-MX"/>
              </w:rPr>
            </w:pPr>
            <w:r>
              <w:rPr>
                <w:rFonts w:ascii="Arial" w:hAnsi="Arial" w:cs="Arial"/>
                <w:lang w:val="es-MX"/>
              </w:rPr>
              <w:t>2</w:t>
            </w:r>
            <w:r w:rsidR="00F32A08">
              <w:rPr>
                <w:rFonts w:ascii="Arial" w:hAnsi="Arial" w:cs="Arial"/>
                <w:lang w:val="es-MX"/>
              </w:rPr>
              <w:t>7</w:t>
            </w:r>
          </w:p>
        </w:tc>
      </w:tr>
      <w:tr w:rsidR="004F3D89" w:rsidRPr="00C40AA1" w:rsidTr="001B4F2D">
        <w:tc>
          <w:tcPr>
            <w:tcW w:w="675" w:type="dxa"/>
            <w:shd w:val="clear" w:color="auto" w:fill="auto"/>
            <w:vAlign w:val="bottom"/>
          </w:tcPr>
          <w:p w:rsidR="004F3D89" w:rsidRPr="00995BD2" w:rsidRDefault="004F3D89" w:rsidP="007338DF">
            <w:pPr>
              <w:rPr>
                <w:rFonts w:ascii="Arial" w:hAnsi="Arial" w:cs="Arial"/>
                <w:lang w:val="es-MX"/>
              </w:rPr>
            </w:pPr>
            <w:r>
              <w:rPr>
                <w:rFonts w:ascii="Arial" w:hAnsi="Arial" w:cs="Arial"/>
                <w:lang w:val="es-MX"/>
              </w:rPr>
              <w:t>16</w:t>
            </w:r>
          </w:p>
        </w:tc>
        <w:tc>
          <w:tcPr>
            <w:tcW w:w="7180" w:type="dxa"/>
            <w:shd w:val="clear" w:color="auto" w:fill="auto"/>
            <w:vAlign w:val="bottom"/>
          </w:tcPr>
          <w:p w:rsidR="004F3D89" w:rsidRPr="00995BD2" w:rsidRDefault="004F3D89" w:rsidP="00E21C99">
            <w:pPr>
              <w:rPr>
                <w:rFonts w:ascii="Arial" w:hAnsi="Arial" w:cs="Arial"/>
                <w:lang w:val="es-MX"/>
              </w:rPr>
            </w:pPr>
            <w:r w:rsidRPr="00995BD2">
              <w:rPr>
                <w:rFonts w:ascii="Arial" w:hAnsi="Arial" w:cs="Arial"/>
                <w:lang w:val="es-MX"/>
              </w:rPr>
              <w:t>Presupuesto</w:t>
            </w:r>
            <w:r>
              <w:rPr>
                <w:rFonts w:ascii="Arial" w:hAnsi="Arial" w:cs="Arial"/>
                <w:lang w:val="es-MX"/>
              </w:rPr>
              <w:t xml:space="preserve"> de Egresos </w:t>
            </w:r>
            <w:r w:rsidRPr="00995BD2">
              <w:rPr>
                <w:rFonts w:ascii="Arial" w:hAnsi="Arial" w:cs="Arial"/>
                <w:lang w:val="es-MX"/>
              </w:rPr>
              <w:t>201</w:t>
            </w:r>
            <w:r w:rsidR="00E21C99">
              <w:rPr>
                <w:rFonts w:ascii="Arial" w:hAnsi="Arial" w:cs="Arial"/>
                <w:lang w:val="es-MX"/>
              </w:rPr>
              <w:t>8</w:t>
            </w:r>
            <w:r>
              <w:rPr>
                <w:rFonts w:ascii="Arial" w:hAnsi="Arial" w:cs="Arial"/>
                <w:lang w:val="es-MX"/>
              </w:rPr>
              <w:t xml:space="preserve"> y</w:t>
            </w:r>
            <w:r w:rsidRPr="00995BD2">
              <w:rPr>
                <w:rFonts w:ascii="Arial" w:hAnsi="Arial" w:cs="Arial"/>
                <w:lang w:val="es-MX"/>
              </w:rPr>
              <w:t xml:space="preserve"> 201</w:t>
            </w:r>
            <w:r w:rsidR="00E21C99">
              <w:rPr>
                <w:rFonts w:ascii="Arial" w:hAnsi="Arial" w:cs="Arial"/>
                <w:lang w:val="es-MX"/>
              </w:rPr>
              <w:t>9</w:t>
            </w:r>
            <w:r w:rsidRPr="00995BD2">
              <w:rPr>
                <w:rFonts w:ascii="Arial" w:hAnsi="Arial" w:cs="Arial"/>
                <w:lang w:val="es-MX"/>
              </w:rPr>
              <w:t xml:space="preserve"> por Institución</w:t>
            </w:r>
          </w:p>
        </w:tc>
        <w:tc>
          <w:tcPr>
            <w:tcW w:w="1184" w:type="dxa"/>
            <w:shd w:val="clear" w:color="auto" w:fill="auto"/>
            <w:vAlign w:val="center"/>
          </w:tcPr>
          <w:p w:rsidR="004F3D89" w:rsidRPr="00995BD2" w:rsidRDefault="00803573" w:rsidP="00F32A08">
            <w:pPr>
              <w:jc w:val="center"/>
              <w:rPr>
                <w:rFonts w:ascii="Arial" w:hAnsi="Arial" w:cs="Arial"/>
                <w:lang w:val="es-MX"/>
              </w:rPr>
            </w:pPr>
            <w:r>
              <w:rPr>
                <w:rFonts w:ascii="Arial" w:hAnsi="Arial" w:cs="Arial"/>
                <w:lang w:val="es-MX"/>
              </w:rPr>
              <w:t>2</w:t>
            </w:r>
            <w:r w:rsidR="00F32A08">
              <w:rPr>
                <w:rFonts w:ascii="Arial" w:hAnsi="Arial" w:cs="Arial"/>
                <w:lang w:val="es-MX"/>
              </w:rPr>
              <w:t>9</w:t>
            </w:r>
          </w:p>
        </w:tc>
      </w:tr>
      <w:tr w:rsidR="00A26EA1" w:rsidRPr="00C40AA1" w:rsidTr="001B4F2D">
        <w:tc>
          <w:tcPr>
            <w:tcW w:w="675" w:type="dxa"/>
            <w:shd w:val="clear" w:color="auto" w:fill="auto"/>
            <w:vAlign w:val="bottom"/>
          </w:tcPr>
          <w:p w:rsidR="00A26EA1" w:rsidRDefault="00A26EA1" w:rsidP="007338DF">
            <w:pPr>
              <w:rPr>
                <w:rFonts w:ascii="Arial" w:hAnsi="Arial" w:cs="Arial"/>
                <w:lang w:val="es-MX"/>
              </w:rPr>
            </w:pPr>
            <w:r>
              <w:rPr>
                <w:rFonts w:ascii="Arial" w:hAnsi="Arial" w:cs="Arial"/>
                <w:lang w:val="es-MX"/>
              </w:rPr>
              <w:t>17</w:t>
            </w:r>
          </w:p>
        </w:tc>
        <w:tc>
          <w:tcPr>
            <w:tcW w:w="7180" w:type="dxa"/>
            <w:shd w:val="clear" w:color="auto" w:fill="auto"/>
            <w:vAlign w:val="bottom"/>
          </w:tcPr>
          <w:p w:rsidR="00A26EA1" w:rsidRPr="00995BD2" w:rsidRDefault="00E21C99" w:rsidP="00272078">
            <w:pPr>
              <w:rPr>
                <w:rFonts w:ascii="Arial" w:hAnsi="Arial" w:cs="Arial"/>
                <w:lang w:val="es-MX"/>
              </w:rPr>
            </w:pPr>
            <w:r>
              <w:rPr>
                <w:rFonts w:ascii="Arial" w:hAnsi="Arial" w:cs="Arial"/>
                <w:lang w:val="es-MX"/>
              </w:rPr>
              <w:t>Presupuesto 2019</w:t>
            </w:r>
            <w:r w:rsidR="00A26EA1">
              <w:rPr>
                <w:rFonts w:ascii="Arial" w:hAnsi="Arial" w:cs="Arial"/>
                <w:lang w:val="es-MX"/>
              </w:rPr>
              <w:t>, Aportes Constitucionales</w:t>
            </w:r>
          </w:p>
        </w:tc>
        <w:tc>
          <w:tcPr>
            <w:tcW w:w="1184" w:type="dxa"/>
            <w:shd w:val="clear" w:color="auto" w:fill="auto"/>
            <w:vAlign w:val="center"/>
          </w:tcPr>
          <w:p w:rsidR="00A26EA1" w:rsidRDefault="00F32A08" w:rsidP="00F32A08">
            <w:pPr>
              <w:jc w:val="center"/>
              <w:rPr>
                <w:rFonts w:ascii="Arial" w:hAnsi="Arial" w:cs="Arial"/>
                <w:lang w:val="es-MX"/>
              </w:rPr>
            </w:pPr>
            <w:r>
              <w:rPr>
                <w:rFonts w:ascii="Arial" w:hAnsi="Arial" w:cs="Arial"/>
                <w:lang w:val="es-MX"/>
              </w:rPr>
              <w:t>30</w:t>
            </w:r>
          </w:p>
        </w:tc>
      </w:tr>
      <w:tr w:rsidR="00A26EA1" w:rsidRPr="00C40AA1" w:rsidTr="001B4F2D">
        <w:tc>
          <w:tcPr>
            <w:tcW w:w="675" w:type="dxa"/>
            <w:shd w:val="clear" w:color="auto" w:fill="auto"/>
            <w:vAlign w:val="bottom"/>
          </w:tcPr>
          <w:p w:rsidR="00A26EA1" w:rsidRDefault="00A26EA1" w:rsidP="007338DF">
            <w:pPr>
              <w:rPr>
                <w:rFonts w:ascii="Arial" w:hAnsi="Arial" w:cs="Arial"/>
                <w:lang w:val="es-MX"/>
              </w:rPr>
            </w:pPr>
            <w:r>
              <w:rPr>
                <w:rFonts w:ascii="Arial" w:hAnsi="Arial" w:cs="Arial"/>
                <w:lang w:val="es-MX"/>
              </w:rPr>
              <w:t>18</w:t>
            </w:r>
          </w:p>
        </w:tc>
        <w:tc>
          <w:tcPr>
            <w:tcW w:w="7180" w:type="dxa"/>
            <w:shd w:val="clear" w:color="auto" w:fill="auto"/>
            <w:vAlign w:val="bottom"/>
          </w:tcPr>
          <w:p w:rsidR="00A26EA1" w:rsidRPr="00995BD2" w:rsidRDefault="00F63331" w:rsidP="00E21C99">
            <w:pPr>
              <w:rPr>
                <w:rFonts w:ascii="Arial" w:hAnsi="Arial" w:cs="Arial"/>
                <w:lang w:val="es-MX"/>
              </w:rPr>
            </w:pPr>
            <w:r>
              <w:rPr>
                <w:rFonts w:ascii="Arial" w:hAnsi="Arial" w:cs="Arial"/>
                <w:lang w:val="es-MX"/>
              </w:rPr>
              <w:t>Presupuesto 201</w:t>
            </w:r>
            <w:r w:rsidR="00E21C99">
              <w:rPr>
                <w:rFonts w:ascii="Arial" w:hAnsi="Arial" w:cs="Arial"/>
                <w:lang w:val="es-MX"/>
              </w:rPr>
              <w:t>9</w:t>
            </w:r>
            <w:r w:rsidR="00A26EA1">
              <w:rPr>
                <w:rFonts w:ascii="Arial" w:hAnsi="Arial" w:cs="Arial"/>
                <w:lang w:val="es-MX"/>
              </w:rPr>
              <w:t>, Asignaciones</w:t>
            </w:r>
            <w:r w:rsidR="00BB1F9B">
              <w:rPr>
                <w:rFonts w:ascii="Arial" w:hAnsi="Arial" w:cs="Arial"/>
                <w:lang w:val="es-MX"/>
              </w:rPr>
              <w:t xml:space="preserve"> </w:t>
            </w:r>
            <w:r w:rsidR="00A26EA1">
              <w:rPr>
                <w:rFonts w:ascii="Arial" w:hAnsi="Arial" w:cs="Arial"/>
                <w:lang w:val="es-MX"/>
              </w:rPr>
              <w:t xml:space="preserve">cumplimiento de los Acuerdos de Paz </w:t>
            </w:r>
          </w:p>
        </w:tc>
        <w:tc>
          <w:tcPr>
            <w:tcW w:w="1184" w:type="dxa"/>
            <w:shd w:val="clear" w:color="auto" w:fill="auto"/>
            <w:vAlign w:val="center"/>
          </w:tcPr>
          <w:p w:rsidR="00A26EA1" w:rsidRDefault="00803573" w:rsidP="00F32A08">
            <w:pPr>
              <w:jc w:val="center"/>
              <w:rPr>
                <w:rFonts w:ascii="Arial" w:hAnsi="Arial" w:cs="Arial"/>
                <w:lang w:val="es-MX"/>
              </w:rPr>
            </w:pPr>
            <w:r>
              <w:rPr>
                <w:rFonts w:ascii="Arial" w:hAnsi="Arial" w:cs="Arial"/>
                <w:lang w:val="es-MX"/>
              </w:rPr>
              <w:t>3</w:t>
            </w:r>
            <w:r w:rsidR="00F32A08">
              <w:rPr>
                <w:rFonts w:ascii="Arial" w:hAnsi="Arial" w:cs="Arial"/>
                <w:lang w:val="es-MX"/>
              </w:rPr>
              <w:t>1</w:t>
            </w:r>
          </w:p>
        </w:tc>
      </w:tr>
      <w:tr w:rsidR="004F3D89" w:rsidRPr="00C40AA1" w:rsidTr="001B4F2D">
        <w:tc>
          <w:tcPr>
            <w:tcW w:w="675" w:type="dxa"/>
            <w:shd w:val="clear" w:color="auto" w:fill="auto"/>
            <w:vAlign w:val="bottom"/>
          </w:tcPr>
          <w:p w:rsidR="004F3D89" w:rsidRPr="00995BD2" w:rsidRDefault="004F3D89" w:rsidP="007338DF">
            <w:pPr>
              <w:rPr>
                <w:rFonts w:ascii="Arial" w:hAnsi="Arial" w:cs="Arial"/>
                <w:lang w:val="es-MX"/>
              </w:rPr>
            </w:pPr>
            <w:r>
              <w:rPr>
                <w:rFonts w:ascii="Arial" w:hAnsi="Arial" w:cs="Arial"/>
                <w:lang w:val="es-MX"/>
              </w:rPr>
              <w:t>1</w:t>
            </w:r>
            <w:r w:rsidR="00A26EA1">
              <w:rPr>
                <w:rFonts w:ascii="Arial" w:hAnsi="Arial" w:cs="Arial"/>
                <w:lang w:val="es-MX"/>
              </w:rPr>
              <w:t>9</w:t>
            </w:r>
          </w:p>
        </w:tc>
        <w:tc>
          <w:tcPr>
            <w:tcW w:w="7180" w:type="dxa"/>
            <w:shd w:val="clear" w:color="auto" w:fill="auto"/>
            <w:vAlign w:val="bottom"/>
          </w:tcPr>
          <w:p w:rsidR="004F3D89" w:rsidRPr="00995BD2" w:rsidRDefault="00036C71" w:rsidP="00E21C99">
            <w:pPr>
              <w:rPr>
                <w:rFonts w:ascii="Arial" w:hAnsi="Arial" w:cs="Arial"/>
                <w:lang w:val="es-MX"/>
              </w:rPr>
            </w:pPr>
            <w:r>
              <w:rPr>
                <w:rFonts w:ascii="Arial" w:hAnsi="Arial" w:cs="Arial"/>
                <w:lang w:val="es-MX"/>
              </w:rPr>
              <w:t>Presupuesto</w:t>
            </w:r>
            <w:r w:rsidR="00F63331">
              <w:rPr>
                <w:rFonts w:ascii="Arial" w:hAnsi="Arial" w:cs="Arial"/>
                <w:lang w:val="es-MX"/>
              </w:rPr>
              <w:t xml:space="preserve"> 201</w:t>
            </w:r>
            <w:r w:rsidR="00E21C99">
              <w:rPr>
                <w:rFonts w:ascii="Arial" w:hAnsi="Arial" w:cs="Arial"/>
                <w:lang w:val="es-MX"/>
              </w:rPr>
              <w:t>8</w:t>
            </w:r>
            <w:r>
              <w:rPr>
                <w:rFonts w:ascii="Arial" w:hAnsi="Arial" w:cs="Arial"/>
                <w:lang w:val="es-MX"/>
              </w:rPr>
              <w:t xml:space="preserve"> y 201</w:t>
            </w:r>
            <w:r w:rsidR="00E21C99">
              <w:rPr>
                <w:rFonts w:ascii="Arial" w:hAnsi="Arial" w:cs="Arial"/>
                <w:lang w:val="es-MX"/>
              </w:rPr>
              <w:t>9</w:t>
            </w:r>
            <w:r>
              <w:rPr>
                <w:rFonts w:ascii="Arial" w:hAnsi="Arial" w:cs="Arial"/>
                <w:lang w:val="es-MX"/>
              </w:rPr>
              <w:t xml:space="preserve">, </w:t>
            </w:r>
            <w:r w:rsidR="004F3D89" w:rsidRPr="00995BD2">
              <w:rPr>
                <w:rFonts w:ascii="Arial" w:hAnsi="Arial" w:cs="Arial"/>
                <w:lang w:val="es-MX"/>
              </w:rPr>
              <w:t>Rigidez Presupuestaria</w:t>
            </w:r>
          </w:p>
        </w:tc>
        <w:tc>
          <w:tcPr>
            <w:tcW w:w="1184" w:type="dxa"/>
            <w:shd w:val="clear" w:color="auto" w:fill="auto"/>
            <w:vAlign w:val="center"/>
          </w:tcPr>
          <w:p w:rsidR="004F3D89" w:rsidRPr="00995BD2" w:rsidRDefault="00803573" w:rsidP="00F32A08">
            <w:pPr>
              <w:jc w:val="center"/>
              <w:rPr>
                <w:rFonts w:ascii="Arial" w:hAnsi="Arial" w:cs="Arial"/>
                <w:lang w:val="es-MX"/>
              </w:rPr>
            </w:pPr>
            <w:r>
              <w:rPr>
                <w:rFonts w:ascii="Arial" w:hAnsi="Arial" w:cs="Arial"/>
                <w:lang w:val="es-MX"/>
              </w:rPr>
              <w:t>3</w:t>
            </w:r>
            <w:r w:rsidR="00F32A08">
              <w:rPr>
                <w:rFonts w:ascii="Arial" w:hAnsi="Arial" w:cs="Arial"/>
                <w:lang w:val="es-MX"/>
              </w:rPr>
              <w:t>3</w:t>
            </w:r>
          </w:p>
        </w:tc>
      </w:tr>
      <w:tr w:rsidR="00A26EA1" w:rsidRPr="00C40AA1" w:rsidTr="001B4F2D">
        <w:tc>
          <w:tcPr>
            <w:tcW w:w="675" w:type="dxa"/>
            <w:shd w:val="clear" w:color="auto" w:fill="auto"/>
            <w:vAlign w:val="bottom"/>
          </w:tcPr>
          <w:p w:rsidR="00A26EA1" w:rsidRDefault="00A26EA1" w:rsidP="007338DF">
            <w:pPr>
              <w:rPr>
                <w:rFonts w:ascii="Arial" w:hAnsi="Arial" w:cs="Arial"/>
                <w:lang w:val="es-MX"/>
              </w:rPr>
            </w:pPr>
            <w:r>
              <w:rPr>
                <w:rFonts w:ascii="Arial" w:hAnsi="Arial" w:cs="Arial"/>
                <w:lang w:val="es-MX"/>
              </w:rPr>
              <w:t>20</w:t>
            </w:r>
          </w:p>
        </w:tc>
        <w:tc>
          <w:tcPr>
            <w:tcW w:w="7180" w:type="dxa"/>
            <w:shd w:val="clear" w:color="auto" w:fill="auto"/>
            <w:vAlign w:val="bottom"/>
          </w:tcPr>
          <w:p w:rsidR="00A26EA1" w:rsidRPr="00995BD2" w:rsidRDefault="00A26EA1" w:rsidP="00E21C99">
            <w:pPr>
              <w:rPr>
                <w:rFonts w:ascii="Arial" w:hAnsi="Arial" w:cs="Arial"/>
                <w:lang w:val="es-MX"/>
              </w:rPr>
            </w:pPr>
            <w:r>
              <w:rPr>
                <w:rFonts w:ascii="Arial" w:hAnsi="Arial" w:cs="Arial"/>
                <w:lang w:val="es-MX"/>
              </w:rPr>
              <w:t>Presupuesto 201</w:t>
            </w:r>
            <w:r w:rsidR="00E21C99">
              <w:rPr>
                <w:rFonts w:ascii="Arial" w:hAnsi="Arial" w:cs="Arial"/>
                <w:lang w:val="es-MX"/>
              </w:rPr>
              <w:t>9</w:t>
            </w:r>
            <w:r>
              <w:rPr>
                <w:rFonts w:ascii="Arial" w:hAnsi="Arial" w:cs="Arial"/>
                <w:lang w:val="es-MX"/>
              </w:rPr>
              <w:t>, Rigidez de los Ingresos Corrientes</w:t>
            </w:r>
          </w:p>
        </w:tc>
        <w:tc>
          <w:tcPr>
            <w:tcW w:w="1184" w:type="dxa"/>
            <w:shd w:val="clear" w:color="auto" w:fill="auto"/>
            <w:vAlign w:val="center"/>
          </w:tcPr>
          <w:p w:rsidR="00A26EA1" w:rsidRDefault="00803573" w:rsidP="00F32A08">
            <w:pPr>
              <w:jc w:val="center"/>
              <w:rPr>
                <w:rFonts w:ascii="Arial" w:hAnsi="Arial" w:cs="Arial"/>
                <w:lang w:val="es-MX"/>
              </w:rPr>
            </w:pPr>
            <w:r>
              <w:rPr>
                <w:rFonts w:ascii="Arial" w:hAnsi="Arial" w:cs="Arial"/>
                <w:lang w:val="es-MX"/>
              </w:rPr>
              <w:t>3</w:t>
            </w:r>
            <w:r w:rsidR="00F32A08">
              <w:rPr>
                <w:rFonts w:ascii="Arial" w:hAnsi="Arial" w:cs="Arial"/>
                <w:lang w:val="es-MX"/>
              </w:rPr>
              <w:t>3</w:t>
            </w:r>
          </w:p>
        </w:tc>
      </w:tr>
    </w:tbl>
    <w:p w:rsidR="004F3D89" w:rsidRPr="001B4F2D" w:rsidRDefault="004F3D89" w:rsidP="002A6397">
      <w:pPr>
        <w:jc w:val="center"/>
        <w:rPr>
          <w:rFonts w:ascii="Arial" w:hAnsi="Arial" w:cs="Arial"/>
          <w:b/>
          <w:sz w:val="28"/>
          <w:szCs w:val="40"/>
          <w:u w:val="single"/>
          <w:lang w:val="es-MX"/>
        </w:rPr>
      </w:pPr>
      <w:r w:rsidRPr="001B4F2D">
        <w:rPr>
          <w:rFonts w:ascii="Arial" w:hAnsi="Arial" w:cs="Arial"/>
          <w:b/>
          <w:sz w:val="28"/>
          <w:szCs w:val="40"/>
          <w:u w:val="single"/>
          <w:lang w:val="es-MX"/>
        </w:rPr>
        <w:t>ÍNDICE DE CUADROS</w:t>
      </w:r>
    </w:p>
    <w:tbl>
      <w:tblPr>
        <w:tblW w:w="0" w:type="auto"/>
        <w:tblLook w:val="04A0" w:firstRow="1" w:lastRow="0" w:firstColumn="1" w:lastColumn="0" w:noHBand="0" w:noVBand="1"/>
      </w:tblPr>
      <w:tblGrid>
        <w:gridCol w:w="675"/>
        <w:gridCol w:w="7371"/>
        <w:gridCol w:w="1003"/>
      </w:tblGrid>
      <w:tr w:rsidR="004F3D89" w:rsidRPr="00C40AA1" w:rsidTr="007575F7">
        <w:trPr>
          <w:trHeight w:val="294"/>
        </w:trPr>
        <w:tc>
          <w:tcPr>
            <w:tcW w:w="675" w:type="dxa"/>
            <w:shd w:val="clear" w:color="auto" w:fill="FDE9D9" w:themeFill="accent6" w:themeFillTint="33"/>
            <w:vAlign w:val="bottom"/>
          </w:tcPr>
          <w:p w:rsidR="004F3D89" w:rsidRPr="00995BD2" w:rsidRDefault="00DC4ABD" w:rsidP="007338DF">
            <w:pPr>
              <w:jc w:val="center"/>
              <w:rPr>
                <w:rFonts w:ascii="Arial" w:hAnsi="Arial" w:cs="Arial"/>
                <w:b/>
                <w:sz w:val="24"/>
                <w:szCs w:val="24"/>
                <w:lang w:val="es-MX"/>
              </w:rPr>
            </w:pPr>
            <w:r>
              <w:rPr>
                <w:rFonts w:ascii="Arial" w:hAnsi="Arial" w:cs="Arial"/>
                <w:b/>
                <w:sz w:val="24"/>
                <w:szCs w:val="24"/>
                <w:lang w:val="es-MX"/>
              </w:rPr>
              <w:t>No.</w:t>
            </w:r>
          </w:p>
        </w:tc>
        <w:tc>
          <w:tcPr>
            <w:tcW w:w="7371" w:type="dxa"/>
            <w:shd w:val="clear" w:color="auto" w:fill="FDE9D9" w:themeFill="accent6" w:themeFillTint="33"/>
            <w:vAlign w:val="bottom"/>
          </w:tcPr>
          <w:p w:rsidR="004F3D89" w:rsidRPr="00995BD2" w:rsidRDefault="004F3D89" w:rsidP="007338DF">
            <w:pPr>
              <w:jc w:val="center"/>
              <w:rPr>
                <w:rFonts w:ascii="Arial" w:hAnsi="Arial" w:cs="Arial"/>
                <w:sz w:val="24"/>
                <w:szCs w:val="24"/>
                <w:lang w:val="es-MX"/>
              </w:rPr>
            </w:pPr>
          </w:p>
        </w:tc>
        <w:tc>
          <w:tcPr>
            <w:tcW w:w="1003" w:type="dxa"/>
            <w:shd w:val="clear" w:color="auto" w:fill="FDE9D9" w:themeFill="accent6" w:themeFillTint="33"/>
            <w:vAlign w:val="bottom"/>
          </w:tcPr>
          <w:p w:rsidR="004F3D89" w:rsidRPr="00995BD2" w:rsidRDefault="004F3D89" w:rsidP="007338DF">
            <w:pPr>
              <w:jc w:val="center"/>
              <w:rPr>
                <w:rFonts w:ascii="Arial" w:hAnsi="Arial" w:cs="Arial"/>
                <w:sz w:val="24"/>
                <w:szCs w:val="24"/>
                <w:lang w:val="es-MX"/>
              </w:rPr>
            </w:pPr>
            <w:r w:rsidRPr="00995BD2">
              <w:rPr>
                <w:rFonts w:ascii="Arial" w:hAnsi="Arial" w:cs="Arial"/>
                <w:b/>
                <w:sz w:val="24"/>
                <w:szCs w:val="24"/>
                <w:lang w:val="es-MX"/>
              </w:rPr>
              <w:t>Página</w:t>
            </w:r>
          </w:p>
        </w:tc>
      </w:tr>
      <w:tr w:rsidR="004F3D89" w:rsidRPr="00C40AA1" w:rsidTr="007338DF">
        <w:tc>
          <w:tcPr>
            <w:tcW w:w="675" w:type="dxa"/>
            <w:shd w:val="clear" w:color="auto" w:fill="auto"/>
            <w:vAlign w:val="bottom"/>
          </w:tcPr>
          <w:p w:rsidR="004F3D89" w:rsidRPr="00995BD2" w:rsidRDefault="004F3D89" w:rsidP="007338DF">
            <w:pPr>
              <w:rPr>
                <w:rFonts w:ascii="Arial" w:hAnsi="Arial" w:cs="Arial"/>
                <w:sz w:val="24"/>
                <w:szCs w:val="24"/>
                <w:lang w:val="es-MX"/>
              </w:rPr>
            </w:pPr>
            <w:r>
              <w:rPr>
                <w:rFonts w:ascii="Arial" w:hAnsi="Arial" w:cs="Arial"/>
                <w:sz w:val="24"/>
                <w:szCs w:val="24"/>
                <w:lang w:val="es-MX"/>
              </w:rPr>
              <w:t>1</w:t>
            </w:r>
          </w:p>
        </w:tc>
        <w:tc>
          <w:tcPr>
            <w:tcW w:w="7371" w:type="dxa"/>
            <w:shd w:val="clear" w:color="auto" w:fill="auto"/>
            <w:vAlign w:val="bottom"/>
          </w:tcPr>
          <w:p w:rsidR="004F3D89" w:rsidRPr="00995BD2" w:rsidRDefault="004F3D89" w:rsidP="007338DF">
            <w:pPr>
              <w:rPr>
                <w:rFonts w:ascii="Arial" w:hAnsi="Arial" w:cs="Arial"/>
                <w:lang w:val="es-MX"/>
              </w:rPr>
            </w:pPr>
            <w:r>
              <w:rPr>
                <w:rFonts w:ascii="Arial" w:hAnsi="Arial" w:cs="Arial"/>
                <w:lang w:val="es-MX"/>
              </w:rPr>
              <w:t>Perspectivas de Crecimiento</w:t>
            </w:r>
          </w:p>
        </w:tc>
        <w:tc>
          <w:tcPr>
            <w:tcW w:w="1003" w:type="dxa"/>
            <w:shd w:val="clear" w:color="auto" w:fill="auto"/>
            <w:vAlign w:val="bottom"/>
          </w:tcPr>
          <w:p w:rsidR="004F3D89" w:rsidRDefault="00803573" w:rsidP="00F63331">
            <w:pPr>
              <w:jc w:val="center"/>
              <w:rPr>
                <w:rFonts w:ascii="Arial" w:hAnsi="Arial" w:cs="Arial"/>
                <w:sz w:val="24"/>
                <w:szCs w:val="24"/>
                <w:lang w:val="es-MX"/>
              </w:rPr>
            </w:pPr>
            <w:r>
              <w:rPr>
                <w:rFonts w:ascii="Arial" w:hAnsi="Arial" w:cs="Arial"/>
                <w:sz w:val="24"/>
                <w:szCs w:val="24"/>
                <w:lang w:val="es-MX"/>
              </w:rPr>
              <w:t>8</w:t>
            </w:r>
          </w:p>
        </w:tc>
      </w:tr>
      <w:tr w:rsidR="004F3D89" w:rsidRPr="00C40AA1" w:rsidTr="007338DF">
        <w:tc>
          <w:tcPr>
            <w:tcW w:w="675" w:type="dxa"/>
            <w:shd w:val="clear" w:color="auto" w:fill="auto"/>
            <w:vAlign w:val="bottom"/>
          </w:tcPr>
          <w:p w:rsidR="004F3D89" w:rsidRPr="00995BD2" w:rsidRDefault="004F3D89" w:rsidP="007338DF">
            <w:pPr>
              <w:rPr>
                <w:rFonts w:ascii="Arial" w:hAnsi="Arial" w:cs="Arial"/>
                <w:sz w:val="24"/>
                <w:szCs w:val="24"/>
                <w:lang w:val="es-MX"/>
              </w:rPr>
            </w:pPr>
            <w:r>
              <w:rPr>
                <w:rFonts w:ascii="Arial" w:hAnsi="Arial" w:cs="Arial"/>
                <w:sz w:val="24"/>
                <w:szCs w:val="24"/>
                <w:lang w:val="es-MX"/>
              </w:rPr>
              <w:t>2</w:t>
            </w:r>
          </w:p>
        </w:tc>
        <w:tc>
          <w:tcPr>
            <w:tcW w:w="7371" w:type="dxa"/>
            <w:shd w:val="clear" w:color="auto" w:fill="auto"/>
            <w:vAlign w:val="bottom"/>
          </w:tcPr>
          <w:p w:rsidR="004F3D89" w:rsidRPr="00995BD2" w:rsidRDefault="004F3D89" w:rsidP="008D58A7">
            <w:pPr>
              <w:rPr>
                <w:rFonts w:ascii="Arial" w:hAnsi="Arial" w:cs="Arial"/>
                <w:lang w:val="es-MX"/>
              </w:rPr>
            </w:pPr>
            <w:r w:rsidRPr="00995BD2">
              <w:rPr>
                <w:rFonts w:ascii="Arial" w:hAnsi="Arial" w:cs="Arial"/>
                <w:lang w:val="es-MX"/>
              </w:rPr>
              <w:t>Asignaciones Presupuestarias Institucionales</w:t>
            </w:r>
            <w:r w:rsidR="00F63331">
              <w:rPr>
                <w:rFonts w:ascii="Arial" w:hAnsi="Arial" w:cs="Arial"/>
                <w:lang w:val="es-MX"/>
              </w:rPr>
              <w:t xml:space="preserve"> 201</w:t>
            </w:r>
            <w:r w:rsidR="008D58A7">
              <w:rPr>
                <w:rFonts w:ascii="Arial" w:hAnsi="Arial" w:cs="Arial"/>
                <w:lang w:val="es-MX"/>
              </w:rPr>
              <w:t>8</w:t>
            </w:r>
            <w:r w:rsidR="00772625">
              <w:rPr>
                <w:rFonts w:ascii="Arial" w:hAnsi="Arial" w:cs="Arial"/>
                <w:lang w:val="es-MX"/>
              </w:rPr>
              <w:t xml:space="preserve"> y 201</w:t>
            </w:r>
            <w:r w:rsidR="008D58A7">
              <w:rPr>
                <w:rFonts w:ascii="Arial" w:hAnsi="Arial" w:cs="Arial"/>
                <w:lang w:val="es-MX"/>
              </w:rPr>
              <w:t>9</w:t>
            </w:r>
          </w:p>
        </w:tc>
        <w:tc>
          <w:tcPr>
            <w:tcW w:w="1003" w:type="dxa"/>
            <w:shd w:val="clear" w:color="auto" w:fill="auto"/>
            <w:vAlign w:val="bottom"/>
          </w:tcPr>
          <w:p w:rsidR="004F3D89" w:rsidRPr="00995BD2" w:rsidRDefault="00803573" w:rsidP="007338DF">
            <w:pPr>
              <w:jc w:val="center"/>
              <w:rPr>
                <w:rFonts w:ascii="Arial" w:hAnsi="Arial" w:cs="Arial"/>
                <w:sz w:val="24"/>
                <w:szCs w:val="24"/>
                <w:lang w:val="es-MX"/>
              </w:rPr>
            </w:pPr>
            <w:r>
              <w:rPr>
                <w:rFonts w:ascii="Arial" w:hAnsi="Arial" w:cs="Arial"/>
                <w:sz w:val="24"/>
                <w:szCs w:val="24"/>
                <w:lang w:val="es-MX"/>
              </w:rPr>
              <w:t>27</w:t>
            </w:r>
          </w:p>
        </w:tc>
      </w:tr>
    </w:tbl>
    <w:p w:rsidR="007151BF" w:rsidRDefault="007151BF" w:rsidP="00384402">
      <w:pPr>
        <w:spacing w:after="0" w:line="240" w:lineRule="auto"/>
        <w:jc w:val="center"/>
        <w:rPr>
          <w:rFonts w:ascii="Arial" w:hAnsi="Arial" w:cs="Arial"/>
          <w:b/>
          <w:sz w:val="24"/>
          <w:szCs w:val="24"/>
        </w:rPr>
      </w:pPr>
    </w:p>
    <w:p w:rsidR="007151BF" w:rsidRDefault="007151BF" w:rsidP="00384402">
      <w:pPr>
        <w:spacing w:after="0" w:line="240" w:lineRule="auto"/>
        <w:jc w:val="center"/>
        <w:rPr>
          <w:rFonts w:ascii="Arial" w:hAnsi="Arial" w:cs="Arial"/>
          <w:b/>
          <w:sz w:val="24"/>
          <w:szCs w:val="24"/>
        </w:rPr>
      </w:pPr>
    </w:p>
    <w:p w:rsidR="00384402" w:rsidRDefault="00384402" w:rsidP="00384402">
      <w:pPr>
        <w:spacing w:after="0" w:line="240" w:lineRule="auto"/>
        <w:jc w:val="center"/>
        <w:rPr>
          <w:rFonts w:ascii="Arial" w:hAnsi="Arial" w:cs="Arial"/>
          <w:b/>
          <w:sz w:val="24"/>
          <w:szCs w:val="24"/>
        </w:rPr>
      </w:pPr>
      <w:r w:rsidRPr="00883687">
        <w:rPr>
          <w:rFonts w:ascii="Arial" w:hAnsi="Arial" w:cs="Arial"/>
          <w:b/>
          <w:sz w:val="24"/>
          <w:szCs w:val="24"/>
        </w:rPr>
        <w:t>INTRODUCCIÓN</w:t>
      </w:r>
    </w:p>
    <w:p w:rsidR="00255482" w:rsidRPr="00883687" w:rsidRDefault="00255482" w:rsidP="00384402">
      <w:pPr>
        <w:spacing w:after="0" w:line="240" w:lineRule="auto"/>
        <w:jc w:val="center"/>
        <w:rPr>
          <w:rFonts w:ascii="Arial" w:hAnsi="Arial" w:cs="Arial"/>
          <w:b/>
          <w:sz w:val="24"/>
          <w:szCs w:val="24"/>
          <w:lang w:val="es-MX"/>
        </w:rPr>
      </w:pPr>
    </w:p>
    <w:p w:rsidR="004002DF" w:rsidRDefault="004002DF" w:rsidP="00255482">
      <w:pPr>
        <w:spacing w:after="0" w:line="240" w:lineRule="auto"/>
        <w:jc w:val="both"/>
        <w:rPr>
          <w:rFonts w:ascii="Arial" w:hAnsi="Arial" w:cs="Arial"/>
          <w:lang w:val="es-MX"/>
        </w:rPr>
      </w:pPr>
    </w:p>
    <w:p w:rsidR="00255482" w:rsidRDefault="004002DF" w:rsidP="00255482">
      <w:pPr>
        <w:spacing w:after="0" w:line="240" w:lineRule="auto"/>
        <w:jc w:val="both"/>
        <w:rPr>
          <w:rFonts w:ascii="Arial" w:hAnsi="Arial" w:cs="Arial"/>
          <w:lang w:val="es-MX"/>
        </w:rPr>
      </w:pPr>
      <w:r>
        <w:rPr>
          <w:rFonts w:ascii="Arial" w:hAnsi="Arial" w:cs="Arial"/>
          <w:lang w:val="es-MX"/>
        </w:rPr>
        <w:t>E</w:t>
      </w:r>
      <w:r w:rsidR="00255482" w:rsidRPr="00980336">
        <w:rPr>
          <w:rFonts w:ascii="Arial" w:hAnsi="Arial" w:cs="Arial"/>
          <w:lang w:val="es-MX"/>
        </w:rPr>
        <w:t xml:space="preserve">l </w:t>
      </w:r>
      <w:r w:rsidR="00255482" w:rsidRPr="00980336">
        <w:rPr>
          <w:rFonts w:ascii="Arial" w:hAnsi="Arial" w:cs="Arial"/>
          <w:b/>
          <w:lang w:val="es-MX"/>
        </w:rPr>
        <w:t>“Presupuesto Ciudadano 201</w:t>
      </w:r>
      <w:r w:rsidR="003C1458">
        <w:rPr>
          <w:rFonts w:ascii="Arial" w:hAnsi="Arial" w:cs="Arial"/>
          <w:b/>
          <w:lang w:val="es-MX"/>
        </w:rPr>
        <w:t>9</w:t>
      </w:r>
      <w:r w:rsidR="00255482" w:rsidRPr="00980336">
        <w:rPr>
          <w:rFonts w:ascii="Arial" w:hAnsi="Arial" w:cs="Arial"/>
          <w:b/>
          <w:lang w:val="es-MX"/>
        </w:rPr>
        <w:t>”</w:t>
      </w:r>
      <w:r>
        <w:rPr>
          <w:rFonts w:ascii="Arial" w:hAnsi="Arial" w:cs="Arial"/>
          <w:lang w:val="es-MX"/>
        </w:rPr>
        <w:t xml:space="preserve"> que en esta ocasión el Ministerio de Finanzas Públicas presenta, tiene como principal propósito dar a conocer de forma gráfica los principales aspectos del Presupuesto General de Ingresos y Egresos del Estado para el Ejercicio Fiscal 2019, </w:t>
      </w:r>
      <w:r w:rsidR="007B7FDD">
        <w:rPr>
          <w:rFonts w:ascii="Arial" w:hAnsi="Arial" w:cs="Arial"/>
          <w:lang w:val="es-MX"/>
        </w:rPr>
        <w:t xml:space="preserve"> </w:t>
      </w:r>
      <w:r w:rsidR="00520153">
        <w:rPr>
          <w:rFonts w:ascii="Arial" w:hAnsi="Arial" w:cs="Arial"/>
          <w:lang w:val="es-MX"/>
        </w:rPr>
        <w:t>aprobado por el</w:t>
      </w:r>
      <w:r>
        <w:rPr>
          <w:rFonts w:ascii="Arial" w:hAnsi="Arial" w:cs="Arial"/>
          <w:lang w:val="es-MX"/>
        </w:rPr>
        <w:t xml:space="preserve"> </w:t>
      </w:r>
      <w:r w:rsidR="007B7FDD">
        <w:rPr>
          <w:rFonts w:ascii="Arial" w:hAnsi="Arial" w:cs="Arial"/>
          <w:lang w:val="es-MX"/>
        </w:rPr>
        <w:t xml:space="preserve"> </w:t>
      </w:r>
      <w:r>
        <w:rPr>
          <w:rFonts w:ascii="Arial" w:hAnsi="Arial" w:cs="Arial"/>
          <w:lang w:val="es-MX"/>
        </w:rPr>
        <w:t xml:space="preserve">Congreso de la República mediante </w:t>
      </w:r>
      <w:r w:rsidR="00520153">
        <w:rPr>
          <w:rFonts w:ascii="Arial" w:hAnsi="Arial" w:cs="Arial"/>
          <w:lang w:val="es-MX"/>
        </w:rPr>
        <w:t xml:space="preserve">el </w:t>
      </w:r>
      <w:r>
        <w:rPr>
          <w:rFonts w:ascii="Arial" w:hAnsi="Arial" w:cs="Arial"/>
          <w:lang w:val="es-MX"/>
        </w:rPr>
        <w:t>Decreto No. 25-2018 por la suma de Q.87,715.</w:t>
      </w:r>
      <w:r w:rsidR="003F4907">
        <w:rPr>
          <w:rFonts w:ascii="Arial" w:hAnsi="Arial" w:cs="Arial"/>
          <w:lang w:val="es-MX"/>
        </w:rPr>
        <w:t>1</w:t>
      </w:r>
      <w:r>
        <w:rPr>
          <w:rFonts w:ascii="Arial" w:hAnsi="Arial" w:cs="Arial"/>
          <w:lang w:val="es-MX"/>
        </w:rPr>
        <w:t xml:space="preserve"> millones.</w:t>
      </w:r>
    </w:p>
    <w:p w:rsidR="00255482" w:rsidRPr="00980336" w:rsidRDefault="00255482" w:rsidP="00255482">
      <w:pPr>
        <w:spacing w:after="0" w:line="240" w:lineRule="auto"/>
        <w:jc w:val="both"/>
        <w:rPr>
          <w:rFonts w:ascii="Arial" w:hAnsi="Arial" w:cs="Arial"/>
          <w:lang w:val="es-MX"/>
        </w:rPr>
      </w:pPr>
    </w:p>
    <w:p w:rsidR="00255482" w:rsidRDefault="00A961DC" w:rsidP="00255482">
      <w:pPr>
        <w:spacing w:after="0" w:line="240" w:lineRule="auto"/>
        <w:jc w:val="both"/>
        <w:rPr>
          <w:rFonts w:ascii="Arial" w:hAnsi="Arial" w:cs="Arial"/>
          <w:lang w:val="es-ES"/>
        </w:rPr>
      </w:pPr>
      <w:r w:rsidRPr="00A961DC">
        <w:rPr>
          <w:rFonts w:ascii="Arial" w:hAnsi="Arial" w:cs="Arial"/>
          <w:lang w:val="es-ES"/>
        </w:rPr>
        <w:t xml:space="preserve">En </w:t>
      </w:r>
      <w:r>
        <w:rPr>
          <w:rFonts w:ascii="Arial" w:hAnsi="Arial" w:cs="Arial"/>
          <w:lang w:val="es-ES"/>
        </w:rPr>
        <w:t xml:space="preserve">la primera </w:t>
      </w:r>
      <w:r w:rsidR="00B930AD">
        <w:rPr>
          <w:rFonts w:ascii="Arial" w:hAnsi="Arial" w:cs="Arial"/>
          <w:lang w:val="es-ES"/>
        </w:rPr>
        <w:t xml:space="preserve">y segunda </w:t>
      </w:r>
      <w:r>
        <w:rPr>
          <w:rFonts w:ascii="Arial" w:hAnsi="Arial" w:cs="Arial"/>
          <w:lang w:val="es-ES"/>
        </w:rPr>
        <w:t>parte</w:t>
      </w:r>
      <w:r w:rsidR="00520153">
        <w:rPr>
          <w:rFonts w:ascii="Arial" w:hAnsi="Arial" w:cs="Arial"/>
          <w:lang w:val="es-ES"/>
        </w:rPr>
        <w:t>s</w:t>
      </w:r>
      <w:r>
        <w:rPr>
          <w:rFonts w:ascii="Arial" w:hAnsi="Arial" w:cs="Arial"/>
          <w:lang w:val="es-ES"/>
        </w:rPr>
        <w:t xml:space="preserve"> del documento se muestra que el presupuesto para el presente año, se formula a partir de un escenario macroeconómico</w:t>
      </w:r>
      <w:r w:rsidR="001B4F2D">
        <w:rPr>
          <w:rFonts w:ascii="Arial" w:hAnsi="Arial" w:cs="Arial"/>
          <w:lang w:val="es-ES"/>
        </w:rPr>
        <w:t xml:space="preserve"> que incluye las proyecciones del desempeño esperado en las variables macroeconómicas que sirven de sustento al proyecto de presupuesto</w:t>
      </w:r>
      <w:r>
        <w:rPr>
          <w:rFonts w:ascii="Arial" w:hAnsi="Arial" w:cs="Arial"/>
          <w:lang w:val="es-ES"/>
        </w:rPr>
        <w:t xml:space="preserve">, </w:t>
      </w:r>
      <w:r w:rsidR="001B4F2D">
        <w:rPr>
          <w:rFonts w:ascii="Arial" w:hAnsi="Arial" w:cs="Arial"/>
          <w:lang w:val="es-ES"/>
        </w:rPr>
        <w:t xml:space="preserve">para el cual, </w:t>
      </w:r>
      <w:r>
        <w:rPr>
          <w:rFonts w:ascii="Arial" w:hAnsi="Arial" w:cs="Arial"/>
          <w:lang w:val="es-ES"/>
        </w:rPr>
        <w:t xml:space="preserve">se realizan las estimaciones de ingresos y se establecen las autorizaciones máximas de gasto. </w:t>
      </w:r>
    </w:p>
    <w:p w:rsidR="00A961DC" w:rsidRDefault="00A961DC" w:rsidP="00255482">
      <w:pPr>
        <w:spacing w:after="0" w:line="240" w:lineRule="auto"/>
        <w:jc w:val="both"/>
        <w:rPr>
          <w:rFonts w:ascii="Arial" w:hAnsi="Arial" w:cs="Arial"/>
          <w:lang w:val="es-ES"/>
        </w:rPr>
      </w:pPr>
    </w:p>
    <w:p w:rsidR="00A961DC" w:rsidRDefault="00A961DC" w:rsidP="00255482">
      <w:pPr>
        <w:spacing w:after="0" w:line="240" w:lineRule="auto"/>
        <w:jc w:val="both"/>
        <w:rPr>
          <w:rFonts w:ascii="Arial" w:hAnsi="Arial" w:cs="Arial"/>
          <w:lang w:val="es-ES"/>
        </w:rPr>
      </w:pPr>
      <w:r>
        <w:rPr>
          <w:rFonts w:ascii="Arial" w:hAnsi="Arial" w:cs="Arial"/>
          <w:lang w:val="es-ES"/>
        </w:rPr>
        <w:t xml:space="preserve">En ese sentido, se muestran </w:t>
      </w:r>
      <w:r w:rsidR="00520153">
        <w:rPr>
          <w:rFonts w:ascii="Arial" w:hAnsi="Arial" w:cs="Arial"/>
          <w:lang w:val="es-ES"/>
        </w:rPr>
        <w:t xml:space="preserve">gráficamente </w:t>
      </w:r>
      <w:r>
        <w:rPr>
          <w:rFonts w:ascii="Arial" w:hAnsi="Arial" w:cs="Arial"/>
          <w:lang w:val="es-ES"/>
        </w:rPr>
        <w:t xml:space="preserve">las principales perspectivas del presupuesto, teniendo en cuenta las cifras aprobadas para 2019, en comparación con las cifras del año anterior.  Esto para </w:t>
      </w:r>
      <w:r w:rsidR="00520153">
        <w:rPr>
          <w:rFonts w:ascii="Arial" w:hAnsi="Arial" w:cs="Arial"/>
          <w:lang w:val="es-ES"/>
        </w:rPr>
        <w:t>que el</w:t>
      </w:r>
      <w:r w:rsidR="00F71F27">
        <w:rPr>
          <w:rFonts w:ascii="Arial" w:hAnsi="Arial" w:cs="Arial"/>
          <w:lang w:val="es-ES"/>
        </w:rPr>
        <w:t xml:space="preserve"> lector </w:t>
      </w:r>
      <w:r w:rsidR="00520153">
        <w:rPr>
          <w:rFonts w:ascii="Arial" w:hAnsi="Arial" w:cs="Arial"/>
          <w:lang w:val="es-ES"/>
        </w:rPr>
        <w:t>pueda visualizar</w:t>
      </w:r>
      <w:r w:rsidR="00F71F27">
        <w:rPr>
          <w:rFonts w:ascii="Arial" w:hAnsi="Arial" w:cs="Arial"/>
          <w:lang w:val="es-ES"/>
        </w:rPr>
        <w:t xml:space="preserve">, hacia qué entidades se </w:t>
      </w:r>
      <w:proofErr w:type="gramStart"/>
      <w:r w:rsidR="00B930AD">
        <w:rPr>
          <w:rFonts w:ascii="Arial" w:hAnsi="Arial" w:cs="Arial"/>
          <w:lang w:val="es-ES"/>
        </w:rPr>
        <w:t>programan</w:t>
      </w:r>
      <w:proofErr w:type="gramEnd"/>
      <w:r w:rsidR="00F71F27">
        <w:rPr>
          <w:rFonts w:ascii="Arial" w:hAnsi="Arial" w:cs="Arial"/>
          <w:lang w:val="es-ES"/>
        </w:rPr>
        <w:t xml:space="preserve"> los recursos públicos.</w:t>
      </w:r>
    </w:p>
    <w:p w:rsidR="00F71F27" w:rsidRDefault="00F71F27" w:rsidP="00255482">
      <w:pPr>
        <w:spacing w:after="0" w:line="240" w:lineRule="auto"/>
        <w:jc w:val="both"/>
        <w:rPr>
          <w:rFonts w:ascii="Arial" w:hAnsi="Arial" w:cs="Arial"/>
          <w:lang w:val="es-ES"/>
        </w:rPr>
      </w:pPr>
    </w:p>
    <w:p w:rsidR="00B930AD" w:rsidRDefault="00B930AD" w:rsidP="00255482">
      <w:pPr>
        <w:spacing w:after="0" w:line="240" w:lineRule="auto"/>
        <w:jc w:val="both"/>
        <w:rPr>
          <w:rFonts w:ascii="Arial" w:hAnsi="Arial" w:cs="Arial"/>
          <w:lang w:val="es-ES"/>
        </w:rPr>
      </w:pPr>
      <w:r>
        <w:rPr>
          <w:rFonts w:ascii="Arial" w:hAnsi="Arial" w:cs="Arial"/>
          <w:lang w:val="es-ES"/>
        </w:rPr>
        <w:t xml:space="preserve">En la tercera parte se anotan algunos aspectos teóricos sobre el presupuesto, los cuales se considera importante darlos a conocer para quienes deseen familiarizarse aún más con </w:t>
      </w:r>
      <w:r w:rsidR="0096607F">
        <w:rPr>
          <w:rFonts w:ascii="Arial" w:hAnsi="Arial" w:cs="Arial"/>
          <w:lang w:val="es-ES"/>
        </w:rPr>
        <w:t xml:space="preserve">el proceso presupuestario, </w:t>
      </w:r>
      <w:r w:rsidR="00520153">
        <w:rPr>
          <w:rFonts w:ascii="Arial" w:hAnsi="Arial" w:cs="Arial"/>
          <w:lang w:val="es-ES"/>
        </w:rPr>
        <w:t xml:space="preserve">su </w:t>
      </w:r>
      <w:r>
        <w:rPr>
          <w:rFonts w:ascii="Arial" w:hAnsi="Arial" w:cs="Arial"/>
          <w:lang w:val="es-ES"/>
        </w:rPr>
        <w:t>metodolog</w:t>
      </w:r>
      <w:r w:rsidR="0096607F">
        <w:rPr>
          <w:rFonts w:ascii="Arial" w:hAnsi="Arial" w:cs="Arial"/>
          <w:lang w:val="es-ES"/>
        </w:rPr>
        <w:t xml:space="preserve">ía, base legal, y otros </w:t>
      </w:r>
      <w:r w:rsidR="00520153">
        <w:rPr>
          <w:rFonts w:ascii="Arial" w:hAnsi="Arial" w:cs="Arial"/>
          <w:lang w:val="es-ES"/>
        </w:rPr>
        <w:t xml:space="preserve">aspectos </w:t>
      </w:r>
      <w:r w:rsidR="0096607F">
        <w:rPr>
          <w:rFonts w:ascii="Arial" w:hAnsi="Arial" w:cs="Arial"/>
          <w:lang w:val="es-ES"/>
        </w:rPr>
        <w:t>relevantes.</w:t>
      </w:r>
    </w:p>
    <w:p w:rsidR="0096607F" w:rsidRPr="00A961DC" w:rsidRDefault="0096607F" w:rsidP="00255482">
      <w:pPr>
        <w:spacing w:after="0" w:line="240" w:lineRule="auto"/>
        <w:jc w:val="both"/>
        <w:rPr>
          <w:rFonts w:ascii="Arial" w:hAnsi="Arial" w:cs="Arial"/>
          <w:lang w:val="es-ES"/>
        </w:rPr>
      </w:pPr>
    </w:p>
    <w:p w:rsidR="00255482" w:rsidRPr="001748E8" w:rsidRDefault="00255482" w:rsidP="001748E8">
      <w:pPr>
        <w:spacing w:after="0" w:line="240" w:lineRule="auto"/>
        <w:jc w:val="both"/>
        <w:rPr>
          <w:rFonts w:ascii="Arial" w:hAnsi="Arial" w:cs="Arial"/>
          <w:lang w:val="es-MX"/>
        </w:rPr>
      </w:pPr>
      <w:r w:rsidRPr="001748E8">
        <w:rPr>
          <w:rFonts w:ascii="Arial" w:hAnsi="Arial" w:cs="Arial"/>
          <w:lang w:val="es-MX"/>
        </w:rPr>
        <w:t>En la última parte se incorporan algunas consideraciones generales acerca del presupuesto, y un glosario de términos que aclara</w:t>
      </w:r>
      <w:r w:rsidR="00520153">
        <w:rPr>
          <w:rFonts w:ascii="Arial" w:hAnsi="Arial" w:cs="Arial"/>
          <w:lang w:val="es-MX"/>
        </w:rPr>
        <w:t>n</w:t>
      </w:r>
      <w:r w:rsidRPr="001748E8">
        <w:rPr>
          <w:rFonts w:ascii="Arial" w:hAnsi="Arial" w:cs="Arial"/>
          <w:lang w:val="es-MX"/>
        </w:rPr>
        <w:t xml:space="preserve"> ciertas definiciones </w:t>
      </w:r>
      <w:r w:rsidR="00520153">
        <w:rPr>
          <w:rFonts w:ascii="Arial" w:hAnsi="Arial" w:cs="Arial"/>
          <w:lang w:val="es-MX"/>
        </w:rPr>
        <w:t>técnicas</w:t>
      </w:r>
      <w:r w:rsidRPr="001748E8">
        <w:rPr>
          <w:rFonts w:ascii="Arial" w:hAnsi="Arial" w:cs="Arial"/>
          <w:lang w:val="es-MX"/>
        </w:rPr>
        <w:t xml:space="preserve"> utilizadas en el documento.</w:t>
      </w:r>
    </w:p>
    <w:p w:rsidR="00255482" w:rsidRPr="001748E8" w:rsidRDefault="00255482" w:rsidP="001748E8">
      <w:pPr>
        <w:spacing w:after="0" w:line="240" w:lineRule="auto"/>
        <w:jc w:val="both"/>
        <w:rPr>
          <w:rFonts w:ascii="Arial" w:hAnsi="Arial" w:cs="Arial"/>
          <w:lang w:val="es-MX"/>
        </w:rPr>
      </w:pPr>
    </w:p>
    <w:p w:rsidR="00255482" w:rsidRPr="001748E8" w:rsidRDefault="00255482" w:rsidP="001748E8">
      <w:pPr>
        <w:spacing w:after="0" w:line="240" w:lineRule="auto"/>
        <w:jc w:val="both"/>
        <w:rPr>
          <w:rFonts w:ascii="Arial" w:hAnsi="Arial" w:cs="Arial"/>
          <w:lang w:val="es-MX"/>
        </w:rPr>
      </w:pPr>
      <w:r w:rsidRPr="001748E8">
        <w:rPr>
          <w:rFonts w:ascii="Arial" w:hAnsi="Arial" w:cs="Arial"/>
          <w:lang w:val="es-MX"/>
        </w:rPr>
        <w:t>Con la presentación del Presupuesto Ciudadano 201</w:t>
      </w:r>
      <w:r w:rsidR="001748E8" w:rsidRPr="001748E8">
        <w:rPr>
          <w:rFonts w:ascii="Arial" w:hAnsi="Arial" w:cs="Arial"/>
          <w:lang w:val="es-MX"/>
        </w:rPr>
        <w:t>9</w:t>
      </w:r>
      <w:r w:rsidRPr="001748E8">
        <w:rPr>
          <w:rFonts w:ascii="Arial" w:hAnsi="Arial" w:cs="Arial"/>
          <w:lang w:val="es-MX"/>
        </w:rPr>
        <w:t xml:space="preserve"> se aporta a las personas un documento de fácil consulta, que además da cumplimiento a los principios de “publicidad” y “transparencia” </w:t>
      </w:r>
      <w:r w:rsidR="00F714CC" w:rsidRPr="001748E8">
        <w:rPr>
          <w:rFonts w:ascii="Arial" w:hAnsi="Arial" w:cs="Arial"/>
          <w:lang w:val="es-MX"/>
        </w:rPr>
        <w:t xml:space="preserve">en el uso </w:t>
      </w:r>
      <w:r w:rsidRPr="001748E8">
        <w:rPr>
          <w:rFonts w:ascii="Arial" w:hAnsi="Arial" w:cs="Arial"/>
          <w:lang w:val="es-MX"/>
        </w:rPr>
        <w:t>de los recursos públicos.</w:t>
      </w:r>
    </w:p>
    <w:p w:rsidR="00255482" w:rsidRPr="001748E8" w:rsidRDefault="00255482" w:rsidP="001748E8">
      <w:pPr>
        <w:spacing w:after="0" w:line="240" w:lineRule="auto"/>
        <w:jc w:val="both"/>
        <w:rPr>
          <w:rFonts w:ascii="Arial" w:hAnsi="Arial" w:cs="Arial"/>
          <w:lang w:val="es-MX"/>
        </w:rPr>
      </w:pPr>
    </w:p>
    <w:p w:rsidR="00255482" w:rsidRPr="001748E8" w:rsidRDefault="00433657" w:rsidP="001748E8">
      <w:pPr>
        <w:spacing w:after="0" w:line="240" w:lineRule="auto"/>
        <w:jc w:val="both"/>
        <w:rPr>
          <w:rFonts w:ascii="Arial" w:hAnsi="Arial" w:cs="Arial"/>
          <w:lang w:val="es-MX"/>
        </w:rPr>
      </w:pPr>
      <w:r w:rsidRPr="001748E8">
        <w:rPr>
          <w:rFonts w:ascii="Arial" w:hAnsi="Arial" w:cs="Arial"/>
          <w:lang w:val="es-MX"/>
        </w:rPr>
        <w:t>D</w:t>
      </w:r>
      <w:r w:rsidR="00255482" w:rsidRPr="001748E8">
        <w:rPr>
          <w:rFonts w:ascii="Arial" w:hAnsi="Arial" w:cs="Arial"/>
          <w:lang w:val="es-MX"/>
        </w:rPr>
        <w:t>esde la perspectiva del ciudadano, se espera contribuir al conocimiento acerca de cómo se distribuyen los recursos provenientes de los impuestos y otras fuentes de ingresos, con los cuales se llevará a cabo la prestación de los servicios públicos a favor de la población guatemalteca.</w:t>
      </w:r>
    </w:p>
    <w:p w:rsidR="00255482" w:rsidRPr="001748E8" w:rsidRDefault="00255482" w:rsidP="001748E8">
      <w:pPr>
        <w:spacing w:after="0" w:line="240" w:lineRule="auto"/>
        <w:rPr>
          <w:rFonts w:ascii="Arial" w:hAnsi="Arial" w:cs="Arial"/>
          <w:lang w:val="es-MX"/>
        </w:rPr>
      </w:pPr>
    </w:p>
    <w:p w:rsidR="00255482" w:rsidRDefault="00255482" w:rsidP="001748E8">
      <w:pPr>
        <w:spacing w:after="0" w:line="240" w:lineRule="auto"/>
        <w:jc w:val="both"/>
        <w:rPr>
          <w:rFonts w:ascii="Arial" w:hAnsi="Arial" w:cs="Arial"/>
          <w:lang w:val="es-MX"/>
        </w:rPr>
      </w:pPr>
      <w:r w:rsidRPr="001748E8">
        <w:rPr>
          <w:rFonts w:ascii="Arial" w:hAnsi="Arial" w:cs="Arial"/>
          <w:lang w:val="es-MX"/>
        </w:rPr>
        <w:t xml:space="preserve">Si el lector desea profundizar en alguno de los aspectos presupuestarios, puede consultar el apartado de los presupuestos aprobados que </w:t>
      </w:r>
      <w:r w:rsidR="00F80C4B">
        <w:rPr>
          <w:rFonts w:ascii="Arial" w:hAnsi="Arial" w:cs="Arial"/>
          <w:lang w:val="es-MX"/>
        </w:rPr>
        <w:t>se encuentra</w:t>
      </w:r>
      <w:r w:rsidR="00F80C4B" w:rsidRPr="001748E8">
        <w:rPr>
          <w:rFonts w:ascii="Arial" w:hAnsi="Arial" w:cs="Arial"/>
          <w:lang w:val="es-MX"/>
        </w:rPr>
        <w:t xml:space="preserve"> </w:t>
      </w:r>
      <w:r w:rsidRPr="001748E8">
        <w:rPr>
          <w:rFonts w:ascii="Arial" w:hAnsi="Arial" w:cs="Arial"/>
          <w:lang w:val="es-MX"/>
        </w:rPr>
        <w:t>en la página de internet del Ministerio de Finanzas Públicas</w:t>
      </w:r>
      <w:r w:rsidR="00F80C4B">
        <w:rPr>
          <w:rFonts w:ascii="Arial" w:hAnsi="Arial" w:cs="Arial"/>
          <w:lang w:val="es-MX"/>
        </w:rPr>
        <w:t xml:space="preserve"> en el siguiente vínculo</w:t>
      </w:r>
      <w:r w:rsidRPr="001748E8">
        <w:rPr>
          <w:rFonts w:ascii="Arial" w:hAnsi="Arial" w:cs="Arial"/>
          <w:lang w:val="es-MX"/>
        </w:rPr>
        <w:t xml:space="preserve">: </w:t>
      </w:r>
      <w:hyperlink r:id="rId13" w:history="1">
        <w:r w:rsidRPr="001748E8">
          <w:rPr>
            <w:rStyle w:val="Hipervnculo"/>
            <w:rFonts w:ascii="Arial" w:hAnsi="Arial" w:cs="Arial"/>
            <w:lang w:val="es-MX"/>
          </w:rPr>
          <w:t>http://www.minfin.gob.gt/index.php/presupuestos-aprobados</w:t>
        </w:r>
      </w:hyperlink>
      <w:r w:rsidRPr="001748E8">
        <w:rPr>
          <w:rFonts w:ascii="Arial" w:hAnsi="Arial" w:cs="Arial"/>
          <w:lang w:val="es-MX"/>
        </w:rPr>
        <w:t xml:space="preserve"> .</w:t>
      </w:r>
    </w:p>
    <w:p w:rsidR="00124DB9" w:rsidRPr="001B4F2D" w:rsidRDefault="00736695" w:rsidP="00913903">
      <w:pPr>
        <w:tabs>
          <w:tab w:val="left" w:pos="990"/>
        </w:tabs>
        <w:spacing w:after="0" w:line="240" w:lineRule="auto"/>
        <w:jc w:val="center"/>
        <w:rPr>
          <w:rFonts w:ascii="Arial" w:hAnsi="Arial" w:cs="Arial"/>
          <w:b/>
          <w:sz w:val="40"/>
          <w:szCs w:val="40"/>
          <w:lang w:val="es-MX"/>
        </w:rPr>
      </w:pPr>
      <w:r w:rsidRPr="00883687">
        <w:rPr>
          <w:rFonts w:ascii="Arial" w:hAnsi="Arial" w:cs="Arial"/>
        </w:rPr>
        <w:br w:type="page"/>
      </w:r>
      <w:r w:rsidR="0028011B" w:rsidRPr="001B4F2D">
        <w:rPr>
          <w:rFonts w:ascii="Arial" w:hAnsi="Arial" w:cs="Arial"/>
          <w:b/>
          <w:sz w:val="40"/>
          <w:szCs w:val="40"/>
          <w:lang w:val="es-MX"/>
        </w:rPr>
        <w:lastRenderedPageBreak/>
        <w:t>CAPÍTULO I</w:t>
      </w:r>
    </w:p>
    <w:p w:rsidR="00DA53B5" w:rsidRDefault="00DA53B5" w:rsidP="00DA53B5">
      <w:pPr>
        <w:spacing w:after="0" w:line="240" w:lineRule="auto"/>
        <w:rPr>
          <w:rFonts w:ascii="Arial" w:hAnsi="Arial" w:cs="Arial"/>
          <w:b/>
          <w:color w:val="548DD4" w:themeColor="text2" w:themeTint="99"/>
          <w:lang w:val="es-MX"/>
        </w:rPr>
      </w:pPr>
    </w:p>
    <w:p w:rsidR="00B0392A" w:rsidRPr="001B4F2D" w:rsidRDefault="00B0392A" w:rsidP="00913903">
      <w:pPr>
        <w:pStyle w:val="Prrafodelista"/>
        <w:numPr>
          <w:ilvl w:val="0"/>
          <w:numId w:val="31"/>
        </w:numPr>
        <w:spacing w:after="0"/>
        <w:ind w:left="709" w:hanging="709"/>
        <w:jc w:val="both"/>
        <w:rPr>
          <w:rFonts w:ascii="Arial" w:hAnsi="Arial" w:cs="Arial"/>
          <w:b/>
          <w:sz w:val="24"/>
          <w:szCs w:val="24"/>
          <w:lang w:val="es-MX"/>
        </w:rPr>
      </w:pPr>
      <w:r w:rsidRPr="001B4F2D">
        <w:rPr>
          <w:rFonts w:ascii="Arial" w:hAnsi="Arial" w:cs="Arial"/>
          <w:b/>
          <w:sz w:val="24"/>
          <w:szCs w:val="24"/>
          <w:lang w:val="es-MX"/>
        </w:rPr>
        <w:t xml:space="preserve">Presupuesto </w:t>
      </w:r>
      <w:r w:rsidR="002A053D" w:rsidRPr="001B4F2D">
        <w:rPr>
          <w:rFonts w:ascii="Arial" w:hAnsi="Arial" w:cs="Arial"/>
          <w:b/>
          <w:sz w:val="24"/>
          <w:szCs w:val="24"/>
          <w:lang w:val="es-MX"/>
        </w:rPr>
        <w:t>C</w:t>
      </w:r>
      <w:r w:rsidRPr="001B4F2D">
        <w:rPr>
          <w:rFonts w:ascii="Arial" w:hAnsi="Arial" w:cs="Arial"/>
          <w:b/>
          <w:sz w:val="24"/>
          <w:szCs w:val="24"/>
          <w:lang w:val="es-MX"/>
        </w:rPr>
        <w:t>iudadano</w:t>
      </w:r>
      <w:r w:rsidR="002A053D" w:rsidRPr="001B4F2D">
        <w:rPr>
          <w:rFonts w:ascii="Arial" w:hAnsi="Arial" w:cs="Arial"/>
          <w:b/>
          <w:sz w:val="24"/>
          <w:szCs w:val="24"/>
          <w:lang w:val="es-MX"/>
        </w:rPr>
        <w:t xml:space="preserve"> 2019</w:t>
      </w:r>
    </w:p>
    <w:p w:rsidR="00AE67F1" w:rsidRPr="00AE67F1" w:rsidRDefault="00AE67F1" w:rsidP="00AE67F1">
      <w:pPr>
        <w:spacing w:after="0"/>
        <w:jc w:val="both"/>
        <w:rPr>
          <w:rFonts w:ascii="Arial" w:hAnsi="Arial" w:cs="Arial"/>
          <w:b/>
          <w:color w:val="C00000"/>
          <w:sz w:val="24"/>
          <w:szCs w:val="24"/>
          <w:lang w:val="es-MX"/>
        </w:rPr>
      </w:pPr>
    </w:p>
    <w:tbl>
      <w:tblPr>
        <w:tblStyle w:val="Tablaconcuadrcula"/>
        <w:tblW w:w="4139" w:type="pct"/>
        <w:tblLook w:val="04A0" w:firstRow="1" w:lastRow="0" w:firstColumn="1" w:lastColumn="0" w:noHBand="0" w:noVBand="1"/>
      </w:tblPr>
      <w:tblGrid>
        <w:gridCol w:w="250"/>
        <w:gridCol w:w="7245"/>
      </w:tblGrid>
      <w:tr w:rsidR="00C92AC8" w:rsidTr="001B4F2D">
        <w:tc>
          <w:tcPr>
            <w:tcW w:w="167" w:type="pct"/>
            <w:tcBorders>
              <w:top w:val="nil"/>
              <w:left w:val="nil"/>
              <w:bottom w:val="nil"/>
              <w:right w:val="nil"/>
            </w:tcBorders>
          </w:tcPr>
          <w:p w:rsidR="00C92AC8" w:rsidRDefault="00C92AC8" w:rsidP="00857D7D">
            <w:pPr>
              <w:pStyle w:val="Prrafodelista"/>
              <w:ind w:left="0"/>
              <w:jc w:val="both"/>
              <w:rPr>
                <w:rFonts w:ascii="Arial" w:hAnsi="Arial" w:cs="Arial"/>
                <w:b/>
                <w:sz w:val="24"/>
                <w:szCs w:val="24"/>
                <w:lang w:val="es-MX"/>
              </w:rPr>
            </w:pPr>
          </w:p>
        </w:tc>
        <w:tc>
          <w:tcPr>
            <w:tcW w:w="4833" w:type="pct"/>
            <w:tcBorders>
              <w:top w:val="nil"/>
              <w:left w:val="nil"/>
              <w:bottom w:val="nil"/>
              <w:right w:val="nil"/>
            </w:tcBorders>
          </w:tcPr>
          <w:p w:rsidR="00C92AC8" w:rsidRDefault="00C92AC8" w:rsidP="00C92AC8">
            <w:pPr>
              <w:pStyle w:val="Prrafodelista"/>
              <w:ind w:left="0"/>
              <w:rPr>
                <w:rFonts w:ascii="Arial" w:hAnsi="Arial" w:cs="Arial"/>
                <w:b/>
                <w:sz w:val="24"/>
                <w:szCs w:val="24"/>
                <w:lang w:val="es-MX"/>
              </w:rPr>
            </w:pPr>
          </w:p>
          <w:p w:rsidR="00C92AC8" w:rsidRDefault="00C92AC8" w:rsidP="001B4F2D">
            <w:pPr>
              <w:pStyle w:val="Prrafodelista"/>
              <w:numPr>
                <w:ilvl w:val="0"/>
                <w:numId w:val="27"/>
              </w:numPr>
              <w:ind w:left="0" w:firstLine="176"/>
              <w:jc w:val="both"/>
              <w:rPr>
                <w:rFonts w:ascii="Arial" w:hAnsi="Arial" w:cs="Arial"/>
                <w:b/>
                <w:sz w:val="24"/>
                <w:szCs w:val="24"/>
                <w:lang w:val="es-MX"/>
              </w:rPr>
            </w:pPr>
            <w:r w:rsidRPr="00381F52">
              <w:rPr>
                <w:rFonts w:ascii="Arial" w:hAnsi="Arial" w:cs="Arial"/>
                <w:b/>
                <w:sz w:val="24"/>
                <w:szCs w:val="24"/>
                <w:lang w:val="es-MX"/>
              </w:rPr>
              <w:t>Presupuesto Ciudadano</w:t>
            </w:r>
          </w:p>
        </w:tc>
      </w:tr>
    </w:tbl>
    <w:p w:rsidR="00B0392A" w:rsidRPr="00381F52" w:rsidRDefault="00B0392A" w:rsidP="00857D7D">
      <w:pPr>
        <w:pStyle w:val="Prrafodelista"/>
        <w:spacing w:after="0"/>
        <w:ind w:left="0"/>
        <w:jc w:val="both"/>
        <w:rPr>
          <w:rFonts w:ascii="Arial" w:hAnsi="Arial" w:cs="Arial"/>
          <w:b/>
          <w:sz w:val="24"/>
          <w:szCs w:val="24"/>
          <w:lang w:val="es-MX"/>
        </w:rPr>
      </w:pPr>
    </w:p>
    <w:p w:rsidR="00060929" w:rsidRDefault="00060929" w:rsidP="00060929">
      <w:pPr>
        <w:pStyle w:val="Default"/>
        <w:ind w:hanging="1"/>
        <w:jc w:val="both"/>
        <w:rPr>
          <w:rFonts w:ascii="Arial" w:hAnsi="Arial" w:cs="Arial"/>
          <w:color w:val="auto"/>
          <w:sz w:val="22"/>
          <w:szCs w:val="22"/>
        </w:rPr>
      </w:pPr>
      <w:r w:rsidRPr="00B053C6">
        <w:rPr>
          <w:rFonts w:ascii="Arial" w:hAnsi="Arial" w:cs="Arial"/>
          <w:color w:val="auto"/>
          <w:sz w:val="22"/>
          <w:szCs w:val="22"/>
        </w:rPr>
        <w:t xml:space="preserve">El Presupuesto Ciudadano es una versión simplificada del Presupuesto General de Ingresos y Egresos del Estado que es aprobado por el Congreso de la República. Su objetivo es que el lector se familiarice </w:t>
      </w:r>
      <w:r w:rsidR="007B516C">
        <w:rPr>
          <w:rFonts w:ascii="Arial" w:hAnsi="Arial" w:cs="Arial"/>
          <w:color w:val="auto"/>
          <w:sz w:val="22"/>
          <w:szCs w:val="22"/>
        </w:rPr>
        <w:t>con</w:t>
      </w:r>
      <w:r w:rsidR="007B516C" w:rsidRPr="00B053C6">
        <w:rPr>
          <w:rFonts w:ascii="Arial" w:hAnsi="Arial" w:cs="Arial"/>
          <w:color w:val="auto"/>
          <w:sz w:val="22"/>
          <w:szCs w:val="22"/>
        </w:rPr>
        <w:t xml:space="preserve"> </w:t>
      </w:r>
      <w:r w:rsidRPr="00B053C6">
        <w:rPr>
          <w:rFonts w:ascii="Arial" w:hAnsi="Arial" w:cs="Arial"/>
          <w:color w:val="auto"/>
          <w:sz w:val="22"/>
          <w:szCs w:val="22"/>
        </w:rPr>
        <w:t xml:space="preserve">la asignación de los recursos públicos </w:t>
      </w:r>
      <w:r w:rsidR="00470D9A">
        <w:rPr>
          <w:rFonts w:ascii="Arial" w:hAnsi="Arial" w:cs="Arial"/>
          <w:color w:val="auto"/>
          <w:sz w:val="22"/>
          <w:szCs w:val="22"/>
        </w:rPr>
        <w:t xml:space="preserve">que se programan </w:t>
      </w:r>
      <w:r w:rsidR="0004295D" w:rsidRPr="00B053C6">
        <w:rPr>
          <w:rFonts w:ascii="Arial" w:hAnsi="Arial" w:cs="Arial"/>
          <w:color w:val="auto"/>
          <w:sz w:val="22"/>
          <w:szCs w:val="22"/>
        </w:rPr>
        <w:t xml:space="preserve">para satisfacer las necesidades públicas y colectivas de la población. </w:t>
      </w:r>
      <w:r w:rsidRPr="00B053C6">
        <w:rPr>
          <w:rFonts w:ascii="Arial" w:hAnsi="Arial" w:cs="Arial"/>
          <w:color w:val="auto"/>
          <w:sz w:val="22"/>
          <w:szCs w:val="22"/>
        </w:rPr>
        <w:t xml:space="preserve"> En esta versión se incluye información macroeconómica, información global del presupuesto a nivel de ingresos, egresos, fuentes de financiamiento, y otras que se estiman relevantes</w:t>
      </w:r>
      <w:r w:rsidR="0004295D">
        <w:rPr>
          <w:rFonts w:ascii="Arial" w:hAnsi="Arial" w:cs="Arial"/>
          <w:color w:val="auto"/>
          <w:sz w:val="22"/>
          <w:szCs w:val="22"/>
        </w:rPr>
        <w:t>.</w:t>
      </w:r>
    </w:p>
    <w:p w:rsidR="00060929" w:rsidRDefault="00060929" w:rsidP="00477C99">
      <w:pPr>
        <w:pStyle w:val="Default"/>
        <w:jc w:val="both"/>
        <w:rPr>
          <w:rFonts w:ascii="Arial" w:hAnsi="Arial" w:cs="Arial"/>
          <w:color w:val="auto"/>
          <w:sz w:val="22"/>
          <w:szCs w:val="22"/>
        </w:rPr>
      </w:pPr>
    </w:p>
    <w:p w:rsidR="00477C99" w:rsidRPr="00883687" w:rsidRDefault="00477C99" w:rsidP="00477C99">
      <w:pPr>
        <w:pStyle w:val="Default"/>
        <w:jc w:val="both"/>
        <w:rPr>
          <w:rFonts w:ascii="Arial" w:hAnsi="Arial" w:cs="Arial"/>
          <w:color w:val="auto"/>
          <w:sz w:val="22"/>
          <w:szCs w:val="22"/>
        </w:rPr>
      </w:pPr>
      <w:r w:rsidRPr="00883687">
        <w:rPr>
          <w:rFonts w:ascii="Arial" w:hAnsi="Arial" w:cs="Arial"/>
          <w:color w:val="auto"/>
          <w:sz w:val="22"/>
          <w:szCs w:val="22"/>
        </w:rPr>
        <w:t xml:space="preserve">De acuerdo con la definición elaborada por </w:t>
      </w:r>
      <w:r w:rsidR="003F4907">
        <w:rPr>
          <w:rFonts w:ascii="Arial" w:hAnsi="Arial" w:cs="Arial"/>
          <w:color w:val="auto"/>
          <w:sz w:val="22"/>
          <w:szCs w:val="22"/>
        </w:rPr>
        <w:t>la</w:t>
      </w:r>
      <w:r w:rsidRPr="00883687">
        <w:rPr>
          <w:rFonts w:ascii="Arial" w:hAnsi="Arial" w:cs="Arial"/>
          <w:color w:val="auto"/>
          <w:sz w:val="22"/>
          <w:szCs w:val="22"/>
        </w:rPr>
        <w:t xml:space="preserve"> International Budget </w:t>
      </w:r>
      <w:proofErr w:type="spellStart"/>
      <w:r w:rsidRPr="00883687">
        <w:rPr>
          <w:rFonts w:ascii="Arial" w:hAnsi="Arial" w:cs="Arial"/>
          <w:color w:val="auto"/>
          <w:sz w:val="22"/>
          <w:szCs w:val="22"/>
        </w:rPr>
        <w:t>Partnership</w:t>
      </w:r>
      <w:proofErr w:type="spellEnd"/>
      <w:r w:rsidRPr="00883687">
        <w:rPr>
          <w:rFonts w:ascii="Arial" w:hAnsi="Arial" w:cs="Arial"/>
          <w:color w:val="auto"/>
          <w:sz w:val="22"/>
          <w:szCs w:val="22"/>
        </w:rPr>
        <w:t xml:space="preserve"> (IBP)</w:t>
      </w:r>
      <w:r w:rsidRPr="00883687">
        <w:rPr>
          <w:rStyle w:val="Refdenotaalpie"/>
          <w:rFonts w:ascii="Arial" w:hAnsi="Arial" w:cs="Arial"/>
          <w:color w:val="auto"/>
          <w:sz w:val="22"/>
          <w:szCs w:val="22"/>
        </w:rPr>
        <w:footnoteReference w:id="1"/>
      </w:r>
      <w:r w:rsidRPr="00883687">
        <w:rPr>
          <w:rFonts w:ascii="Arial" w:hAnsi="Arial" w:cs="Arial"/>
          <w:color w:val="auto"/>
          <w:sz w:val="22"/>
          <w:szCs w:val="22"/>
        </w:rPr>
        <w:t xml:space="preserve"> “El Presupuesto Ciudadano es una presentación no técnica del presupuesto del gobierno cuya intención es posibilitar que el público -incluyendo a quienes no están familiarizados con las finanzas públicas- entienda los planes del gobierno”.</w:t>
      </w:r>
    </w:p>
    <w:p w:rsidR="00477C99" w:rsidRPr="00883687" w:rsidRDefault="00477C99" w:rsidP="00477C99">
      <w:pPr>
        <w:pStyle w:val="Default"/>
        <w:ind w:hanging="1"/>
        <w:jc w:val="both"/>
        <w:rPr>
          <w:rFonts w:ascii="Arial" w:hAnsi="Arial" w:cs="Arial"/>
          <w:color w:val="auto"/>
          <w:sz w:val="22"/>
          <w:szCs w:val="22"/>
        </w:rPr>
      </w:pPr>
    </w:p>
    <w:p w:rsidR="00477C99" w:rsidRPr="00883687" w:rsidRDefault="00470D9A" w:rsidP="00477C99">
      <w:pPr>
        <w:pStyle w:val="Default"/>
        <w:ind w:hanging="1"/>
        <w:jc w:val="both"/>
        <w:rPr>
          <w:rFonts w:ascii="Arial" w:hAnsi="Arial" w:cs="Arial"/>
          <w:color w:val="auto"/>
          <w:sz w:val="22"/>
          <w:szCs w:val="22"/>
        </w:rPr>
      </w:pPr>
      <w:r>
        <w:rPr>
          <w:rFonts w:ascii="Arial" w:hAnsi="Arial" w:cs="Arial"/>
          <w:color w:val="auto"/>
          <w:sz w:val="22"/>
          <w:szCs w:val="22"/>
        </w:rPr>
        <w:t>Para iniciar la presentación del Presupuesto Ciudadano</w:t>
      </w:r>
      <w:r w:rsidR="007B516C">
        <w:rPr>
          <w:rFonts w:ascii="Arial" w:hAnsi="Arial" w:cs="Arial"/>
          <w:color w:val="auto"/>
          <w:sz w:val="22"/>
          <w:szCs w:val="22"/>
        </w:rPr>
        <w:t xml:space="preserve"> 2019</w:t>
      </w:r>
      <w:r>
        <w:rPr>
          <w:rFonts w:ascii="Arial" w:hAnsi="Arial" w:cs="Arial"/>
          <w:color w:val="auto"/>
          <w:sz w:val="22"/>
          <w:szCs w:val="22"/>
        </w:rPr>
        <w:t xml:space="preserve">, a </w:t>
      </w:r>
      <w:r w:rsidR="00477C99">
        <w:rPr>
          <w:rFonts w:ascii="Arial" w:hAnsi="Arial" w:cs="Arial"/>
          <w:color w:val="auto"/>
          <w:sz w:val="22"/>
          <w:szCs w:val="22"/>
        </w:rPr>
        <w:t xml:space="preserve">continuación, </w:t>
      </w:r>
      <w:r w:rsidR="007B516C">
        <w:rPr>
          <w:rFonts w:ascii="Arial" w:hAnsi="Arial" w:cs="Arial"/>
          <w:color w:val="auto"/>
          <w:sz w:val="22"/>
          <w:szCs w:val="22"/>
        </w:rPr>
        <w:t xml:space="preserve">se muestra </w:t>
      </w:r>
      <w:r w:rsidR="00477C99">
        <w:rPr>
          <w:rFonts w:ascii="Arial" w:hAnsi="Arial" w:cs="Arial"/>
          <w:color w:val="auto"/>
          <w:sz w:val="22"/>
          <w:szCs w:val="22"/>
        </w:rPr>
        <w:t>informaci</w:t>
      </w:r>
      <w:r w:rsidR="00C51D0E">
        <w:rPr>
          <w:rFonts w:ascii="Arial" w:hAnsi="Arial" w:cs="Arial"/>
          <w:color w:val="auto"/>
          <w:sz w:val="22"/>
          <w:szCs w:val="22"/>
        </w:rPr>
        <w:t xml:space="preserve">ón sobre las variables macroeconómicas consideradas como base para la elaboración del proyecto de presupuesto que el Organismo Ejecutivo sometió a consideración del </w:t>
      </w:r>
      <w:r w:rsidR="007B516C" w:rsidRPr="00B053C6">
        <w:rPr>
          <w:rFonts w:ascii="Arial" w:hAnsi="Arial" w:cs="Arial"/>
          <w:color w:val="auto"/>
          <w:sz w:val="22"/>
          <w:szCs w:val="22"/>
        </w:rPr>
        <w:t>Congreso de la República</w:t>
      </w:r>
      <w:r w:rsidR="00C51D0E">
        <w:rPr>
          <w:rFonts w:ascii="Arial" w:hAnsi="Arial" w:cs="Arial"/>
          <w:color w:val="auto"/>
          <w:sz w:val="22"/>
          <w:szCs w:val="22"/>
        </w:rPr>
        <w:t xml:space="preserve">, y que finalmente fue aprobado </w:t>
      </w:r>
      <w:r>
        <w:rPr>
          <w:rFonts w:ascii="Arial" w:hAnsi="Arial" w:cs="Arial"/>
          <w:color w:val="auto"/>
          <w:sz w:val="22"/>
          <w:szCs w:val="22"/>
        </w:rPr>
        <w:t>mediante el Decreto No. 25-2018, Ley del Presupuesto General de Ingresos y Egresos del Estado para el Ejercicio Fiscal 2019.</w:t>
      </w:r>
      <w:r w:rsidR="00C51D0E">
        <w:rPr>
          <w:rFonts w:ascii="Arial" w:hAnsi="Arial" w:cs="Arial"/>
          <w:color w:val="auto"/>
          <w:sz w:val="22"/>
          <w:szCs w:val="22"/>
        </w:rPr>
        <w:t xml:space="preserve">  En el siguiente capítulo se ilustra el contenido del </w:t>
      </w:r>
      <w:r>
        <w:rPr>
          <w:rFonts w:ascii="Arial" w:hAnsi="Arial" w:cs="Arial"/>
          <w:color w:val="auto"/>
          <w:sz w:val="22"/>
          <w:szCs w:val="22"/>
        </w:rPr>
        <w:t>referido presupuesto</w:t>
      </w:r>
      <w:r w:rsidR="00C51D0E">
        <w:rPr>
          <w:rFonts w:ascii="Arial" w:hAnsi="Arial" w:cs="Arial"/>
          <w:color w:val="auto"/>
          <w:sz w:val="22"/>
          <w:szCs w:val="22"/>
        </w:rPr>
        <w:t xml:space="preserve"> desde la perspectiva de </w:t>
      </w:r>
      <w:r>
        <w:rPr>
          <w:rFonts w:ascii="Arial" w:hAnsi="Arial" w:cs="Arial"/>
          <w:color w:val="auto"/>
          <w:sz w:val="22"/>
          <w:szCs w:val="22"/>
        </w:rPr>
        <w:t xml:space="preserve">la estimación de </w:t>
      </w:r>
      <w:r w:rsidR="00C51D0E">
        <w:rPr>
          <w:rFonts w:ascii="Arial" w:hAnsi="Arial" w:cs="Arial"/>
          <w:color w:val="auto"/>
          <w:sz w:val="22"/>
          <w:szCs w:val="22"/>
        </w:rPr>
        <w:t xml:space="preserve">los ingresos y </w:t>
      </w:r>
      <w:r>
        <w:rPr>
          <w:rFonts w:ascii="Arial" w:hAnsi="Arial" w:cs="Arial"/>
          <w:color w:val="auto"/>
          <w:sz w:val="22"/>
          <w:szCs w:val="22"/>
        </w:rPr>
        <w:t xml:space="preserve">la programación de </w:t>
      </w:r>
      <w:r w:rsidR="00C51D0E">
        <w:rPr>
          <w:rFonts w:ascii="Arial" w:hAnsi="Arial" w:cs="Arial"/>
          <w:color w:val="auto"/>
          <w:sz w:val="22"/>
          <w:szCs w:val="22"/>
        </w:rPr>
        <w:t>los egresos.</w:t>
      </w:r>
    </w:p>
    <w:p w:rsidR="00AE67F1" w:rsidRDefault="00AE67F1">
      <w:pPr>
        <w:rPr>
          <w:rFonts w:ascii="Arial" w:eastAsia="Calibri" w:hAnsi="Arial" w:cs="Arial"/>
        </w:rPr>
      </w:pPr>
      <w:r>
        <w:rPr>
          <w:rFonts w:ascii="Arial" w:eastAsia="Calibri" w:hAnsi="Arial" w:cs="Arial"/>
        </w:rPr>
        <w:br w:type="page"/>
      </w:r>
    </w:p>
    <w:p w:rsidR="0028011B" w:rsidRPr="00686846" w:rsidRDefault="00443E16" w:rsidP="00686846">
      <w:pPr>
        <w:pStyle w:val="Prrafodelista"/>
        <w:numPr>
          <w:ilvl w:val="0"/>
          <w:numId w:val="27"/>
        </w:numPr>
        <w:spacing w:after="0" w:line="240" w:lineRule="auto"/>
        <w:ind w:left="426" w:hanging="426"/>
        <w:jc w:val="both"/>
        <w:rPr>
          <w:rFonts w:ascii="Arial" w:hAnsi="Arial" w:cs="Arial"/>
          <w:b/>
          <w:sz w:val="24"/>
          <w:szCs w:val="24"/>
          <w:lang w:val="es-MX"/>
        </w:rPr>
      </w:pPr>
      <w:r w:rsidRPr="00686846">
        <w:rPr>
          <w:rFonts w:ascii="Arial" w:hAnsi="Arial" w:cs="Arial"/>
          <w:b/>
          <w:sz w:val="24"/>
          <w:szCs w:val="24"/>
          <w:lang w:val="es-MX"/>
        </w:rPr>
        <w:lastRenderedPageBreak/>
        <w:t>Escenario Macroeconómico</w:t>
      </w:r>
      <w:r w:rsidR="00B0392A" w:rsidRPr="00686846">
        <w:rPr>
          <w:rFonts w:ascii="Arial" w:hAnsi="Arial" w:cs="Arial"/>
          <w:b/>
          <w:sz w:val="24"/>
          <w:szCs w:val="24"/>
          <w:lang w:val="es-MX"/>
        </w:rPr>
        <w:t xml:space="preserve"> como base </w:t>
      </w:r>
      <w:r w:rsidR="00C13020" w:rsidRPr="00686846">
        <w:rPr>
          <w:rFonts w:ascii="Arial" w:hAnsi="Arial" w:cs="Arial"/>
          <w:b/>
          <w:sz w:val="24"/>
          <w:szCs w:val="24"/>
          <w:lang w:val="es-MX"/>
        </w:rPr>
        <w:t>d</w:t>
      </w:r>
      <w:r w:rsidR="00B0392A" w:rsidRPr="00686846">
        <w:rPr>
          <w:rFonts w:ascii="Arial" w:hAnsi="Arial" w:cs="Arial"/>
          <w:b/>
          <w:sz w:val="24"/>
          <w:szCs w:val="24"/>
          <w:lang w:val="es-MX"/>
        </w:rPr>
        <w:t>el Presupuesto 2019</w:t>
      </w:r>
      <w:r w:rsidR="0028011B" w:rsidRPr="00686846">
        <w:rPr>
          <w:rFonts w:ascii="Arial" w:hAnsi="Arial" w:cs="Arial"/>
          <w:b/>
          <w:sz w:val="24"/>
          <w:szCs w:val="24"/>
          <w:lang w:val="es-MX"/>
        </w:rPr>
        <w:t>:</w:t>
      </w:r>
    </w:p>
    <w:p w:rsidR="00153D6A" w:rsidRPr="00C13020" w:rsidRDefault="00153D6A" w:rsidP="00153D6A">
      <w:pPr>
        <w:spacing w:after="0" w:line="240" w:lineRule="auto"/>
        <w:jc w:val="both"/>
        <w:rPr>
          <w:rFonts w:ascii="Arial" w:eastAsia="Calibri" w:hAnsi="Arial" w:cs="Arial"/>
          <w:lang w:val="es-MX"/>
        </w:rPr>
      </w:pPr>
    </w:p>
    <w:p w:rsidR="00423A85" w:rsidRDefault="00423A85" w:rsidP="00153D6A">
      <w:pPr>
        <w:spacing w:after="0" w:line="240" w:lineRule="auto"/>
        <w:jc w:val="both"/>
        <w:rPr>
          <w:rFonts w:ascii="Arial" w:eastAsia="Calibri" w:hAnsi="Arial" w:cs="Arial"/>
        </w:rPr>
      </w:pPr>
      <w:r>
        <w:rPr>
          <w:rFonts w:ascii="Arial" w:eastAsia="Calibri" w:hAnsi="Arial" w:cs="Arial"/>
        </w:rPr>
        <w:t xml:space="preserve">Con el propósito de contar con </w:t>
      </w:r>
      <w:r w:rsidR="007B516C">
        <w:rPr>
          <w:rFonts w:ascii="Arial" w:eastAsia="Calibri" w:hAnsi="Arial" w:cs="Arial"/>
        </w:rPr>
        <w:t>una estimación sobre el comportamiento</w:t>
      </w:r>
      <w:r>
        <w:rPr>
          <w:rFonts w:ascii="Arial" w:eastAsia="Calibri" w:hAnsi="Arial" w:cs="Arial"/>
        </w:rPr>
        <w:t xml:space="preserve"> realista</w:t>
      </w:r>
      <w:r w:rsidR="007B516C">
        <w:rPr>
          <w:rFonts w:ascii="Arial" w:eastAsia="Calibri" w:hAnsi="Arial" w:cs="Arial"/>
        </w:rPr>
        <w:t xml:space="preserve"> de las variables macroeconómicas</w:t>
      </w:r>
      <w:r>
        <w:rPr>
          <w:rFonts w:ascii="Arial" w:eastAsia="Calibri" w:hAnsi="Arial" w:cs="Arial"/>
        </w:rPr>
        <w:t xml:space="preserve">, es importante tomar en consideración </w:t>
      </w:r>
      <w:r w:rsidR="00E02D1E">
        <w:rPr>
          <w:rFonts w:ascii="Arial" w:eastAsia="Calibri" w:hAnsi="Arial" w:cs="Arial"/>
        </w:rPr>
        <w:t xml:space="preserve">las estimaciones de crecimiento de las economías </w:t>
      </w:r>
      <w:r>
        <w:rPr>
          <w:rFonts w:ascii="Arial" w:eastAsia="Calibri" w:hAnsi="Arial" w:cs="Arial"/>
        </w:rPr>
        <w:t xml:space="preserve">a nivel mundial y en forma específica del país.  </w:t>
      </w:r>
      <w:r w:rsidR="00477006">
        <w:rPr>
          <w:rFonts w:ascii="Arial" w:eastAsia="Calibri" w:hAnsi="Arial" w:cs="Arial"/>
        </w:rPr>
        <w:t>Con e</w:t>
      </w:r>
      <w:r w:rsidR="00C13020">
        <w:rPr>
          <w:rFonts w:ascii="Arial" w:eastAsia="Calibri" w:hAnsi="Arial" w:cs="Arial"/>
        </w:rPr>
        <w:t>stos datos</w:t>
      </w:r>
      <w:r w:rsidR="00477006">
        <w:rPr>
          <w:rFonts w:ascii="Arial" w:eastAsia="Calibri" w:hAnsi="Arial" w:cs="Arial"/>
        </w:rPr>
        <w:t xml:space="preserve"> </w:t>
      </w:r>
      <w:r>
        <w:rPr>
          <w:rFonts w:ascii="Arial" w:eastAsia="Calibri" w:hAnsi="Arial" w:cs="Arial"/>
        </w:rPr>
        <w:t xml:space="preserve">los ciudadanos pueden </w:t>
      </w:r>
      <w:r w:rsidR="00477006">
        <w:rPr>
          <w:rFonts w:ascii="Arial" w:eastAsia="Calibri" w:hAnsi="Arial" w:cs="Arial"/>
        </w:rPr>
        <w:t xml:space="preserve">formarse una idea </w:t>
      </w:r>
      <w:r>
        <w:rPr>
          <w:rFonts w:ascii="Arial" w:eastAsia="Calibri" w:hAnsi="Arial" w:cs="Arial"/>
        </w:rPr>
        <w:t xml:space="preserve">general </w:t>
      </w:r>
      <w:r w:rsidR="00477006">
        <w:rPr>
          <w:rFonts w:ascii="Arial" w:eastAsia="Calibri" w:hAnsi="Arial" w:cs="Arial"/>
        </w:rPr>
        <w:t>del crecimiento económico</w:t>
      </w:r>
      <w:r w:rsidR="00C13020">
        <w:rPr>
          <w:rFonts w:ascii="Arial" w:eastAsia="Calibri" w:hAnsi="Arial" w:cs="Arial"/>
        </w:rPr>
        <w:t xml:space="preserve"> mundial</w:t>
      </w:r>
      <w:r w:rsidR="00477006">
        <w:rPr>
          <w:rFonts w:ascii="Arial" w:eastAsia="Calibri" w:hAnsi="Arial" w:cs="Arial"/>
        </w:rPr>
        <w:t xml:space="preserve"> </w:t>
      </w:r>
      <w:r>
        <w:rPr>
          <w:rFonts w:ascii="Arial" w:eastAsia="Calibri" w:hAnsi="Arial" w:cs="Arial"/>
        </w:rPr>
        <w:t>para luego revisar la situación del país.</w:t>
      </w:r>
    </w:p>
    <w:p w:rsidR="00FA0B26" w:rsidRDefault="00FA0B26" w:rsidP="00153D6A">
      <w:pPr>
        <w:spacing w:after="0" w:line="240" w:lineRule="auto"/>
        <w:jc w:val="both"/>
        <w:rPr>
          <w:rFonts w:ascii="Arial" w:eastAsia="Calibri" w:hAnsi="Arial" w:cs="Arial"/>
        </w:rPr>
      </w:pPr>
    </w:p>
    <w:tbl>
      <w:tblPr>
        <w:tblStyle w:val="Tablaconcuadrcula"/>
        <w:tblW w:w="9404" w:type="dxa"/>
        <w:tblLook w:val="04A0" w:firstRow="1" w:lastRow="0" w:firstColumn="1" w:lastColumn="0" w:noHBand="0" w:noVBand="1"/>
      </w:tblPr>
      <w:tblGrid>
        <w:gridCol w:w="5637"/>
        <w:gridCol w:w="3767"/>
      </w:tblGrid>
      <w:tr w:rsidR="00E30E37" w:rsidRPr="00CC2D4D" w:rsidTr="00DF3F93">
        <w:trPr>
          <w:trHeight w:val="1569"/>
        </w:trPr>
        <w:tc>
          <w:tcPr>
            <w:tcW w:w="5637" w:type="dxa"/>
            <w:tcBorders>
              <w:top w:val="nil"/>
              <w:left w:val="nil"/>
              <w:bottom w:val="nil"/>
              <w:right w:val="nil"/>
            </w:tcBorders>
          </w:tcPr>
          <w:p w:rsidR="00E30E37" w:rsidRPr="0024742C" w:rsidRDefault="0078789A" w:rsidP="00C923BF">
            <w:pPr>
              <w:jc w:val="both"/>
              <w:rPr>
                <w:rFonts w:ascii="Arial" w:eastAsia="Times New Roman" w:hAnsi="Arial" w:cs="Arial"/>
                <w:color w:val="333333"/>
                <w:lang w:eastAsia="es-ES"/>
              </w:rPr>
            </w:pPr>
            <w:r w:rsidRPr="0024742C">
              <w:rPr>
                <w:rFonts w:ascii="Arial" w:eastAsia="Times New Roman" w:hAnsi="Arial" w:cs="Arial"/>
                <w:color w:val="333333"/>
                <w:lang w:eastAsia="es-ES"/>
              </w:rPr>
              <w:t>La economía mundial, para 201</w:t>
            </w:r>
            <w:r w:rsidR="00555F09" w:rsidRPr="0024742C">
              <w:rPr>
                <w:rFonts w:ascii="Arial" w:eastAsia="Times New Roman" w:hAnsi="Arial" w:cs="Arial"/>
                <w:color w:val="333333"/>
                <w:lang w:eastAsia="es-ES"/>
              </w:rPr>
              <w:t>9</w:t>
            </w:r>
            <w:r w:rsidR="0086704D" w:rsidRPr="0024742C">
              <w:rPr>
                <w:rFonts w:ascii="Arial" w:eastAsia="Times New Roman" w:hAnsi="Arial" w:cs="Arial"/>
                <w:color w:val="333333"/>
                <w:lang w:eastAsia="es-ES"/>
              </w:rPr>
              <w:t>, se es</w:t>
            </w:r>
            <w:r w:rsidR="0007354D" w:rsidRPr="0024742C">
              <w:rPr>
                <w:rFonts w:ascii="Arial" w:eastAsia="Times New Roman" w:hAnsi="Arial" w:cs="Arial"/>
                <w:color w:val="333333"/>
                <w:lang w:eastAsia="es-ES"/>
              </w:rPr>
              <w:t xml:space="preserve">tima que se reducirá ligeramente respecto al año anterior, por lo que el nivel de crecimiento podría situarse en </w:t>
            </w:r>
            <w:r w:rsidR="0086704D" w:rsidRPr="0024742C">
              <w:rPr>
                <w:rFonts w:ascii="Arial" w:eastAsia="Times New Roman" w:hAnsi="Arial" w:cs="Arial"/>
                <w:color w:val="333333"/>
                <w:lang w:eastAsia="es-ES"/>
              </w:rPr>
              <w:t>3.5</w:t>
            </w:r>
            <w:r w:rsidRPr="0024742C">
              <w:rPr>
                <w:rFonts w:ascii="Arial" w:eastAsia="Times New Roman" w:hAnsi="Arial" w:cs="Arial"/>
                <w:color w:val="333333"/>
                <w:lang w:eastAsia="es-ES"/>
              </w:rPr>
              <w:t xml:space="preserve">% de acuerdo a proyecciones del Fondo Monetario Internacional (FMI) y </w:t>
            </w:r>
            <w:r w:rsidR="00FB398A">
              <w:rPr>
                <w:rFonts w:ascii="Arial" w:eastAsia="Times New Roman" w:hAnsi="Arial" w:cs="Arial"/>
                <w:color w:val="333333"/>
                <w:lang w:eastAsia="es-ES"/>
              </w:rPr>
              <w:t xml:space="preserve">en </w:t>
            </w:r>
            <w:r w:rsidR="0086704D" w:rsidRPr="0024742C">
              <w:rPr>
                <w:rFonts w:ascii="Arial" w:eastAsia="Times New Roman" w:hAnsi="Arial" w:cs="Arial"/>
                <w:color w:val="333333"/>
                <w:lang w:eastAsia="es-ES"/>
              </w:rPr>
              <w:t>2.9</w:t>
            </w:r>
            <w:r w:rsidRPr="0024742C">
              <w:rPr>
                <w:rFonts w:ascii="Arial" w:eastAsia="Times New Roman" w:hAnsi="Arial" w:cs="Arial"/>
                <w:color w:val="333333"/>
                <w:lang w:eastAsia="es-ES"/>
              </w:rPr>
              <w:t xml:space="preserve">% según estimaciones del Banco Mundial (BM). </w:t>
            </w:r>
          </w:p>
        </w:tc>
        <w:tc>
          <w:tcPr>
            <w:tcW w:w="3767" w:type="dxa"/>
            <w:tcBorders>
              <w:top w:val="nil"/>
              <w:left w:val="nil"/>
              <w:bottom w:val="nil"/>
              <w:right w:val="nil"/>
            </w:tcBorders>
          </w:tcPr>
          <w:p w:rsidR="00124DB9" w:rsidRPr="00DC12F9" w:rsidRDefault="007B516C" w:rsidP="00DF3F93">
            <w:pPr>
              <w:rPr>
                <w:rFonts w:ascii="Arial" w:hAnsi="Arial" w:cs="Arial"/>
                <w:lang w:val="es-MX"/>
              </w:rPr>
            </w:pPr>
            <w:r w:rsidRPr="007B516C">
              <w:t xml:space="preserve"> </w:t>
            </w:r>
            <w:r w:rsidRPr="00DF3F93">
              <w:rPr>
                <w:rFonts w:ascii="Arial" w:hAnsi="Arial" w:cs="Arial"/>
                <w:noProof/>
              </w:rPr>
              <w:drawing>
                <wp:inline distT="0" distB="0" distL="0" distR="0" wp14:anchorId="73408CC9" wp14:editId="0E660198">
                  <wp:extent cx="1742810" cy="1351647"/>
                  <wp:effectExtent l="0" t="0" r="0" b="1270"/>
                  <wp:docPr id="7" name="Imagen 7" descr="Resultado de imagen para economia mun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economia mundia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46697" cy="1354662"/>
                          </a:xfrm>
                          <a:prstGeom prst="rect">
                            <a:avLst/>
                          </a:prstGeom>
                          <a:noFill/>
                          <a:ln>
                            <a:noFill/>
                          </a:ln>
                        </pic:spPr>
                      </pic:pic>
                    </a:graphicData>
                  </a:graphic>
                </wp:inline>
              </w:drawing>
            </w:r>
          </w:p>
        </w:tc>
      </w:tr>
    </w:tbl>
    <w:p w:rsidR="00C923BF" w:rsidRDefault="00DF3F93" w:rsidP="00DF3F93">
      <w:pPr>
        <w:spacing w:after="0" w:line="240" w:lineRule="auto"/>
        <w:jc w:val="center"/>
        <w:rPr>
          <w:rFonts w:ascii="Arial" w:eastAsia="Times New Roman" w:hAnsi="Arial" w:cs="Arial"/>
          <w:color w:val="333333"/>
          <w:lang w:eastAsia="es-ES"/>
        </w:rPr>
      </w:pPr>
      <w:r>
        <w:rPr>
          <w:rFonts w:ascii="Arial" w:eastAsia="Times New Roman" w:hAnsi="Arial" w:cs="Arial"/>
          <w:color w:val="333333"/>
          <w:sz w:val="8"/>
          <w:lang w:eastAsia="es-ES"/>
        </w:rPr>
        <w:t xml:space="preserve">                                                                                                                                                                                                                                                                                                   </w:t>
      </w:r>
      <w:r w:rsidR="00C923BF" w:rsidRPr="00C923BF">
        <w:rPr>
          <w:rFonts w:ascii="Arial" w:eastAsia="Times New Roman" w:hAnsi="Arial" w:cs="Arial"/>
          <w:color w:val="333333"/>
          <w:sz w:val="8"/>
          <w:lang w:eastAsia="es-ES"/>
        </w:rPr>
        <w:t>https://www.dinero.com.sv</w:t>
      </w:r>
    </w:p>
    <w:p w:rsidR="00DF3F93" w:rsidRDefault="00DF3F93" w:rsidP="00C923BF">
      <w:pPr>
        <w:spacing w:after="0" w:line="240" w:lineRule="auto"/>
        <w:jc w:val="both"/>
        <w:rPr>
          <w:rFonts w:ascii="Arial" w:eastAsia="Times New Roman" w:hAnsi="Arial" w:cs="Arial"/>
          <w:color w:val="333333"/>
          <w:lang w:eastAsia="es-ES"/>
        </w:rPr>
      </w:pPr>
    </w:p>
    <w:p w:rsidR="003015ED" w:rsidRDefault="009C6ED8" w:rsidP="00C923BF">
      <w:pPr>
        <w:spacing w:after="0" w:line="240" w:lineRule="auto"/>
        <w:jc w:val="both"/>
        <w:rPr>
          <w:rFonts w:ascii="Arial" w:eastAsia="Times New Roman" w:hAnsi="Arial" w:cs="Arial"/>
          <w:color w:val="333333"/>
          <w:lang w:eastAsia="es-ES"/>
        </w:rPr>
      </w:pPr>
      <w:r>
        <w:rPr>
          <w:rFonts w:ascii="Arial" w:eastAsia="Times New Roman" w:hAnsi="Arial" w:cs="Arial"/>
          <w:color w:val="333333"/>
          <w:lang w:eastAsia="es-ES"/>
        </w:rPr>
        <w:t>L</w:t>
      </w:r>
      <w:r w:rsidR="0012725D">
        <w:rPr>
          <w:rFonts w:ascii="Arial" w:eastAsia="Times New Roman" w:hAnsi="Arial" w:cs="Arial"/>
          <w:color w:val="333333"/>
          <w:lang w:eastAsia="es-ES"/>
        </w:rPr>
        <w:t>os análisis de la situación económica mundial reflejan</w:t>
      </w:r>
      <w:r w:rsidR="00C923BF">
        <w:rPr>
          <w:rFonts w:ascii="Arial" w:eastAsia="Times New Roman" w:hAnsi="Arial" w:cs="Arial"/>
          <w:color w:val="333333"/>
          <w:lang w:eastAsia="es-ES"/>
        </w:rPr>
        <w:t>,</w:t>
      </w:r>
      <w:r w:rsidR="0012725D">
        <w:rPr>
          <w:rFonts w:ascii="Arial" w:eastAsia="Times New Roman" w:hAnsi="Arial" w:cs="Arial"/>
          <w:color w:val="333333"/>
          <w:lang w:eastAsia="es-ES"/>
        </w:rPr>
        <w:t xml:space="preserve"> </w:t>
      </w:r>
      <w:r>
        <w:rPr>
          <w:rFonts w:ascii="Arial" w:eastAsia="Times New Roman" w:hAnsi="Arial" w:cs="Arial"/>
          <w:color w:val="333333"/>
          <w:lang w:eastAsia="es-ES"/>
        </w:rPr>
        <w:t xml:space="preserve">que en general, </w:t>
      </w:r>
      <w:r w:rsidR="003015ED" w:rsidRPr="0024742C">
        <w:rPr>
          <w:rFonts w:ascii="Arial" w:eastAsia="Times New Roman" w:hAnsi="Arial" w:cs="Arial"/>
          <w:color w:val="333333"/>
          <w:lang w:eastAsia="es-ES"/>
        </w:rPr>
        <w:t>se mantiene la tensión comercial, origina</w:t>
      </w:r>
      <w:r w:rsidR="00C923BF">
        <w:rPr>
          <w:rFonts w:ascii="Arial" w:eastAsia="Times New Roman" w:hAnsi="Arial" w:cs="Arial"/>
          <w:color w:val="333333"/>
          <w:lang w:eastAsia="es-ES"/>
        </w:rPr>
        <w:t>da</w:t>
      </w:r>
      <w:r w:rsidR="003015ED" w:rsidRPr="0024742C">
        <w:rPr>
          <w:rFonts w:ascii="Arial" w:eastAsia="Times New Roman" w:hAnsi="Arial" w:cs="Arial"/>
          <w:color w:val="333333"/>
          <w:lang w:eastAsia="es-ES"/>
        </w:rPr>
        <w:t xml:space="preserve"> por el aumento de los aranceles de Estados Unidos y China.</w:t>
      </w:r>
    </w:p>
    <w:p w:rsidR="003015ED" w:rsidRDefault="003015ED" w:rsidP="006806C2">
      <w:pPr>
        <w:spacing w:after="0" w:line="240" w:lineRule="auto"/>
        <w:jc w:val="both"/>
        <w:rPr>
          <w:rFonts w:ascii="Arial" w:eastAsia="Times New Roman" w:hAnsi="Arial" w:cs="Arial"/>
          <w:color w:val="333333"/>
          <w:lang w:eastAsia="es-ES"/>
        </w:rPr>
      </w:pPr>
    </w:p>
    <w:p w:rsidR="00B26AD7" w:rsidRDefault="00D14D34" w:rsidP="003015ED">
      <w:pPr>
        <w:spacing w:after="0" w:line="240" w:lineRule="auto"/>
        <w:jc w:val="both"/>
        <w:rPr>
          <w:rFonts w:ascii="Arial" w:hAnsi="Arial" w:cs="Arial"/>
          <w:lang w:val="es-MX"/>
        </w:rPr>
      </w:pPr>
      <w:r>
        <w:rPr>
          <w:rFonts w:ascii="Arial" w:eastAsia="Times New Roman" w:hAnsi="Arial" w:cs="Arial"/>
          <w:color w:val="333333"/>
          <w:lang w:eastAsia="es-ES"/>
        </w:rPr>
        <w:t xml:space="preserve">Según el Banco Mundial </w:t>
      </w:r>
      <w:r w:rsidR="00344219">
        <w:rPr>
          <w:rFonts w:ascii="Arial" w:eastAsia="Times New Roman" w:hAnsi="Arial" w:cs="Arial"/>
          <w:color w:val="333333"/>
          <w:lang w:eastAsia="es-ES"/>
        </w:rPr>
        <w:t xml:space="preserve">de acuerdo </w:t>
      </w:r>
      <w:r w:rsidR="00C923BF">
        <w:rPr>
          <w:rFonts w:ascii="Arial" w:eastAsia="Times New Roman" w:hAnsi="Arial" w:cs="Arial"/>
          <w:color w:val="333333"/>
          <w:lang w:eastAsia="es-ES"/>
        </w:rPr>
        <w:t xml:space="preserve">con </w:t>
      </w:r>
      <w:r>
        <w:rPr>
          <w:rFonts w:ascii="Arial" w:eastAsia="Times New Roman" w:hAnsi="Arial" w:cs="Arial"/>
          <w:color w:val="333333"/>
          <w:lang w:eastAsia="es-ES"/>
        </w:rPr>
        <w:t xml:space="preserve">sus Perspectivas </w:t>
      </w:r>
      <w:r w:rsidR="00976D19">
        <w:rPr>
          <w:rFonts w:ascii="Arial" w:eastAsia="Times New Roman" w:hAnsi="Arial" w:cs="Arial"/>
          <w:color w:val="333333"/>
          <w:lang w:eastAsia="es-ES"/>
        </w:rPr>
        <w:t>E</w:t>
      </w:r>
      <w:r>
        <w:rPr>
          <w:rFonts w:ascii="Arial" w:eastAsia="Times New Roman" w:hAnsi="Arial" w:cs="Arial"/>
          <w:color w:val="333333"/>
          <w:lang w:eastAsia="es-ES"/>
        </w:rPr>
        <w:t xml:space="preserve">conómicas </w:t>
      </w:r>
      <w:r w:rsidR="00976D19">
        <w:rPr>
          <w:rFonts w:ascii="Arial" w:eastAsia="Times New Roman" w:hAnsi="Arial" w:cs="Arial"/>
          <w:color w:val="333333"/>
          <w:lang w:eastAsia="es-ES"/>
        </w:rPr>
        <w:t>M</w:t>
      </w:r>
      <w:r>
        <w:rPr>
          <w:rFonts w:ascii="Arial" w:eastAsia="Times New Roman" w:hAnsi="Arial" w:cs="Arial"/>
          <w:color w:val="333333"/>
          <w:lang w:eastAsia="es-ES"/>
        </w:rPr>
        <w:t xml:space="preserve">undiales de </w:t>
      </w:r>
      <w:r w:rsidR="00976D19">
        <w:rPr>
          <w:rFonts w:ascii="Arial" w:eastAsia="Times New Roman" w:hAnsi="Arial" w:cs="Arial"/>
          <w:color w:val="333333"/>
          <w:lang w:eastAsia="es-ES"/>
        </w:rPr>
        <w:t>Enero-</w:t>
      </w:r>
      <w:r>
        <w:rPr>
          <w:rFonts w:ascii="Arial" w:eastAsia="Times New Roman" w:hAnsi="Arial" w:cs="Arial"/>
          <w:color w:val="333333"/>
          <w:lang w:eastAsia="es-ES"/>
        </w:rPr>
        <w:t>2019, “</w:t>
      </w:r>
      <w:r w:rsidR="00FB1EC4" w:rsidRPr="00067864">
        <w:rPr>
          <w:rFonts w:ascii="Arial" w:eastAsia="Times New Roman" w:hAnsi="Arial" w:cs="Arial"/>
          <w:color w:val="333333"/>
          <w:lang w:eastAsia="es-ES"/>
        </w:rPr>
        <w:t xml:space="preserve">El comercio internacional y la inversión se han atenuado, las tensiones comerciales siguen siendo altas y las condiciones de financiamiento se han endurecido. En medio de episodios recientes de estrés financiero, se prevé que el crecimiento en las economías de mercados emergentes y en </w:t>
      </w:r>
      <w:r w:rsidR="009C6ED8">
        <w:rPr>
          <w:rFonts w:ascii="Arial" w:eastAsia="Times New Roman" w:hAnsi="Arial" w:cs="Arial"/>
          <w:color w:val="333333"/>
          <w:lang w:eastAsia="es-ES"/>
        </w:rPr>
        <w:t>desarrollo se estancará en un 4.</w:t>
      </w:r>
      <w:r w:rsidR="00FB1EC4" w:rsidRPr="00067864">
        <w:rPr>
          <w:rFonts w:ascii="Arial" w:eastAsia="Times New Roman" w:hAnsi="Arial" w:cs="Arial"/>
          <w:color w:val="333333"/>
          <w:lang w:eastAsia="es-ES"/>
        </w:rPr>
        <w:t>2 % este año, reflejo de una recuperación más débil de lo esperado en los países exportadores de productos básicos, y una desaceleración en los países importadores de dichos productos. Los riesgos al crecimiento se han acentuado, ya que las presiones financieras y las tensiones comerciales pueden aumentar, afectando negativamente la actividad económica mundial.</w:t>
      </w:r>
      <w:r>
        <w:rPr>
          <w:rFonts w:ascii="Arial" w:eastAsia="Times New Roman" w:hAnsi="Arial" w:cs="Arial"/>
          <w:color w:val="333333"/>
          <w:lang w:eastAsia="es-ES"/>
        </w:rPr>
        <w:t>”</w:t>
      </w:r>
    </w:p>
    <w:p w:rsidR="00FB1EC4" w:rsidRPr="0012036B" w:rsidRDefault="00FB1EC4" w:rsidP="006806C2">
      <w:pPr>
        <w:spacing w:after="0" w:line="240" w:lineRule="auto"/>
        <w:jc w:val="both"/>
        <w:rPr>
          <w:rFonts w:ascii="Arial" w:eastAsia="Times New Roman" w:hAnsi="Arial" w:cs="Arial"/>
          <w:color w:val="333333"/>
          <w:lang w:eastAsia="es-ES"/>
        </w:rPr>
      </w:pPr>
    </w:p>
    <w:p w:rsidR="00EB0F85" w:rsidRPr="0012036B" w:rsidRDefault="0012036B" w:rsidP="006806C2">
      <w:pPr>
        <w:spacing w:after="0" w:line="240" w:lineRule="auto"/>
        <w:jc w:val="both"/>
        <w:rPr>
          <w:rFonts w:ascii="Arial" w:eastAsia="Times New Roman" w:hAnsi="Arial" w:cs="Arial"/>
          <w:color w:val="333333"/>
          <w:lang w:eastAsia="es-ES"/>
        </w:rPr>
      </w:pPr>
      <w:r w:rsidRPr="0012036B">
        <w:rPr>
          <w:rFonts w:ascii="Arial" w:eastAsia="Times New Roman" w:hAnsi="Arial" w:cs="Arial"/>
          <w:color w:val="333333"/>
          <w:lang w:eastAsia="es-ES"/>
        </w:rPr>
        <w:t xml:space="preserve">Por su parte el FMI menciona que la prioridad de los países debiera </w:t>
      </w:r>
      <w:r>
        <w:rPr>
          <w:rFonts w:ascii="Arial" w:eastAsia="Times New Roman" w:hAnsi="Arial" w:cs="Arial"/>
          <w:color w:val="333333"/>
          <w:lang w:eastAsia="es-ES"/>
        </w:rPr>
        <w:t>ser la adopción de medidas para estimular el crecimiento, alcanzar mayo</w:t>
      </w:r>
      <w:r w:rsidR="00FC23DC">
        <w:rPr>
          <w:rFonts w:ascii="Arial" w:eastAsia="Times New Roman" w:hAnsi="Arial" w:cs="Arial"/>
          <w:color w:val="333333"/>
          <w:lang w:eastAsia="es-ES"/>
        </w:rPr>
        <w:t>r</w:t>
      </w:r>
      <w:r>
        <w:rPr>
          <w:rFonts w:ascii="Arial" w:eastAsia="Times New Roman" w:hAnsi="Arial" w:cs="Arial"/>
          <w:color w:val="333333"/>
          <w:lang w:eastAsia="es-ES"/>
        </w:rPr>
        <w:t xml:space="preserve"> inclusión y reforzar las defensas fiscales y financieras, toda vez que existe una pesada carga de la deuda y condiciones financieras más restrictivas.</w:t>
      </w:r>
    </w:p>
    <w:p w:rsidR="00124DB9" w:rsidRDefault="00124DB9" w:rsidP="00A477E1">
      <w:pPr>
        <w:spacing w:after="0" w:line="240" w:lineRule="auto"/>
        <w:jc w:val="both"/>
        <w:rPr>
          <w:rFonts w:ascii="Arial" w:hAnsi="Arial" w:cs="Arial"/>
          <w:lang w:val="es-MX"/>
        </w:rPr>
      </w:pPr>
    </w:p>
    <w:p w:rsidR="005625B2" w:rsidRDefault="002F37A0" w:rsidP="00A477E1">
      <w:pPr>
        <w:spacing w:after="0" w:line="240" w:lineRule="auto"/>
        <w:jc w:val="both"/>
        <w:rPr>
          <w:rFonts w:ascii="Arial" w:hAnsi="Arial" w:cs="Arial"/>
          <w:lang w:val="es-MX"/>
        </w:rPr>
      </w:pPr>
      <w:r>
        <w:rPr>
          <w:rFonts w:ascii="Arial" w:hAnsi="Arial" w:cs="Arial"/>
          <w:lang w:val="es-MX"/>
        </w:rPr>
        <w:t>En América Latina se espera un rep</w:t>
      </w:r>
      <w:r w:rsidR="0078706C">
        <w:rPr>
          <w:rFonts w:ascii="Arial" w:hAnsi="Arial" w:cs="Arial"/>
          <w:lang w:val="es-MX"/>
        </w:rPr>
        <w:t xml:space="preserve">unte </w:t>
      </w:r>
      <w:r w:rsidR="00FC23DC">
        <w:rPr>
          <w:rFonts w:ascii="Arial" w:hAnsi="Arial" w:cs="Arial"/>
          <w:lang w:val="es-MX"/>
        </w:rPr>
        <w:t xml:space="preserve">o mejora </w:t>
      </w:r>
      <w:r w:rsidR="0078706C">
        <w:rPr>
          <w:rFonts w:ascii="Arial" w:hAnsi="Arial" w:cs="Arial"/>
          <w:lang w:val="es-MX"/>
        </w:rPr>
        <w:t>en la actividad económica.</w:t>
      </w:r>
    </w:p>
    <w:p w:rsidR="005625B2" w:rsidRDefault="005625B2" w:rsidP="00A477E1">
      <w:pPr>
        <w:spacing w:after="0" w:line="240" w:lineRule="auto"/>
        <w:jc w:val="both"/>
        <w:rPr>
          <w:rFonts w:ascii="Arial" w:hAnsi="Arial" w:cs="Arial"/>
          <w:lang w:val="es-MX"/>
        </w:rPr>
      </w:pPr>
    </w:p>
    <w:p w:rsidR="002F37A0" w:rsidRDefault="00507FAC" w:rsidP="00A477E1">
      <w:pPr>
        <w:spacing w:after="0" w:line="240" w:lineRule="auto"/>
        <w:jc w:val="both"/>
        <w:rPr>
          <w:rFonts w:ascii="Arial" w:hAnsi="Arial" w:cs="Arial"/>
          <w:lang w:val="es-MX"/>
        </w:rPr>
      </w:pPr>
      <w:r>
        <w:rPr>
          <w:rFonts w:ascii="Arial" w:hAnsi="Arial" w:cs="Arial"/>
          <w:lang w:val="es-MX"/>
        </w:rPr>
        <w:t xml:space="preserve">En Guatemala, según cifras del Banco </w:t>
      </w:r>
      <w:r w:rsidR="00323499">
        <w:rPr>
          <w:rFonts w:ascii="Arial" w:hAnsi="Arial" w:cs="Arial"/>
          <w:lang w:val="es-MX"/>
        </w:rPr>
        <w:t>Central</w:t>
      </w:r>
      <w:r>
        <w:rPr>
          <w:rFonts w:ascii="Arial" w:hAnsi="Arial" w:cs="Arial"/>
          <w:lang w:val="es-MX"/>
        </w:rPr>
        <w:t xml:space="preserve">, </w:t>
      </w:r>
      <w:r w:rsidR="002F37A0">
        <w:rPr>
          <w:rFonts w:ascii="Arial" w:hAnsi="Arial" w:cs="Arial"/>
          <w:lang w:val="es-MX"/>
        </w:rPr>
        <w:t xml:space="preserve">en </w:t>
      </w:r>
      <w:r>
        <w:rPr>
          <w:rFonts w:ascii="Arial" w:hAnsi="Arial" w:cs="Arial"/>
          <w:lang w:val="es-MX"/>
        </w:rPr>
        <w:t xml:space="preserve">2018 </w:t>
      </w:r>
      <w:r w:rsidR="002F37A0">
        <w:rPr>
          <w:rFonts w:ascii="Arial" w:hAnsi="Arial" w:cs="Arial"/>
          <w:lang w:val="es-MX"/>
        </w:rPr>
        <w:t xml:space="preserve">el crecimiento </w:t>
      </w:r>
      <w:r>
        <w:rPr>
          <w:rFonts w:ascii="Arial" w:hAnsi="Arial" w:cs="Arial"/>
          <w:lang w:val="es-MX"/>
        </w:rPr>
        <w:t xml:space="preserve">ha sido </w:t>
      </w:r>
      <w:r w:rsidR="002F37A0">
        <w:rPr>
          <w:rFonts w:ascii="Arial" w:hAnsi="Arial" w:cs="Arial"/>
          <w:lang w:val="es-MX"/>
        </w:rPr>
        <w:t>superior al de las economías de América Latina y las economías avanzadas</w:t>
      </w:r>
      <w:r w:rsidR="00323499">
        <w:rPr>
          <w:rFonts w:ascii="Arial" w:hAnsi="Arial" w:cs="Arial"/>
          <w:lang w:val="es-MX"/>
        </w:rPr>
        <w:t xml:space="preserve">, </w:t>
      </w:r>
      <w:r w:rsidR="00323499" w:rsidRPr="00323499">
        <w:rPr>
          <w:rFonts w:ascii="Arial" w:hAnsi="Arial" w:cs="Arial"/>
          <w:lang w:val="es-MX"/>
        </w:rPr>
        <w:t xml:space="preserve"> </w:t>
      </w:r>
      <w:r w:rsidR="00323499">
        <w:rPr>
          <w:rFonts w:ascii="Arial" w:hAnsi="Arial" w:cs="Arial"/>
          <w:lang w:val="es-MX"/>
        </w:rPr>
        <w:t>y en 2019 también</w:t>
      </w:r>
      <w:r w:rsidR="002F37A0">
        <w:rPr>
          <w:rFonts w:ascii="Arial" w:hAnsi="Arial" w:cs="Arial"/>
          <w:lang w:val="es-MX"/>
        </w:rPr>
        <w:t>.</w:t>
      </w:r>
      <w:r w:rsidR="00323499">
        <w:rPr>
          <w:rFonts w:ascii="Arial" w:hAnsi="Arial" w:cs="Arial"/>
          <w:lang w:val="es-MX"/>
        </w:rPr>
        <w:t>se espera que sea superior.</w:t>
      </w:r>
    </w:p>
    <w:p w:rsidR="00507FAC" w:rsidRDefault="00507FAC" w:rsidP="00A477E1">
      <w:pPr>
        <w:spacing w:after="0" w:line="240" w:lineRule="auto"/>
        <w:jc w:val="both"/>
        <w:rPr>
          <w:rFonts w:ascii="Arial" w:hAnsi="Arial" w:cs="Arial"/>
          <w:lang w:val="es-MX"/>
        </w:rPr>
      </w:pPr>
    </w:p>
    <w:p w:rsidR="00C87C72" w:rsidRDefault="00A477E1" w:rsidP="006F6D0B">
      <w:pPr>
        <w:spacing w:after="0" w:line="240" w:lineRule="auto"/>
        <w:jc w:val="both"/>
        <w:rPr>
          <w:rFonts w:ascii="Arial" w:hAnsi="Arial" w:cs="Arial"/>
          <w:lang w:val="es-MX"/>
        </w:rPr>
      </w:pPr>
      <w:r w:rsidRPr="00CC2D4D">
        <w:rPr>
          <w:rFonts w:ascii="Arial" w:hAnsi="Arial" w:cs="Arial"/>
          <w:lang w:val="es-MX"/>
        </w:rPr>
        <w:t xml:space="preserve">En general, las perspectivas de crecimiento </w:t>
      </w:r>
      <w:r w:rsidR="00DF3D7F">
        <w:rPr>
          <w:rFonts w:ascii="Arial" w:hAnsi="Arial" w:cs="Arial"/>
          <w:lang w:val="es-MX"/>
        </w:rPr>
        <w:t xml:space="preserve">de las regiones, </w:t>
      </w:r>
      <w:r w:rsidRPr="00CC2D4D">
        <w:rPr>
          <w:rFonts w:ascii="Arial" w:hAnsi="Arial" w:cs="Arial"/>
          <w:lang w:val="es-MX"/>
        </w:rPr>
        <w:t>se considera que evolucionarán de la siguiente manera:</w:t>
      </w:r>
    </w:p>
    <w:p w:rsidR="005625B2" w:rsidRDefault="005625B2" w:rsidP="006F6D0B">
      <w:pPr>
        <w:spacing w:after="0" w:line="240" w:lineRule="auto"/>
        <w:jc w:val="both"/>
        <w:rPr>
          <w:rFonts w:ascii="Arial" w:hAnsi="Arial" w:cs="Arial"/>
          <w:lang w:val="es-MX"/>
        </w:rPr>
      </w:pPr>
    </w:p>
    <w:p w:rsidR="005810CD" w:rsidRDefault="005810CD" w:rsidP="00DF3F93">
      <w:pPr>
        <w:rPr>
          <w:rFonts w:ascii="Arial" w:hAnsi="Arial" w:cs="Arial"/>
          <w:b/>
        </w:rPr>
      </w:pPr>
    </w:p>
    <w:p w:rsidR="00DF3F93" w:rsidRDefault="00DF3F93">
      <w:pPr>
        <w:rPr>
          <w:rFonts w:ascii="Arial" w:hAnsi="Arial" w:cs="Arial"/>
          <w:b/>
        </w:rPr>
      </w:pPr>
      <w:r>
        <w:rPr>
          <w:rFonts w:ascii="Arial" w:hAnsi="Arial" w:cs="Arial"/>
          <w:b/>
        </w:rPr>
        <w:br w:type="page"/>
      </w:r>
    </w:p>
    <w:p w:rsidR="00646514" w:rsidRDefault="00646514" w:rsidP="00C87C72">
      <w:pPr>
        <w:spacing w:after="0" w:line="240" w:lineRule="auto"/>
        <w:jc w:val="center"/>
        <w:rPr>
          <w:rFonts w:ascii="Arial" w:hAnsi="Arial" w:cs="Arial"/>
          <w:b/>
        </w:rPr>
      </w:pPr>
      <w:r w:rsidRPr="00883687">
        <w:rPr>
          <w:rFonts w:ascii="Arial" w:hAnsi="Arial" w:cs="Arial"/>
          <w:b/>
        </w:rPr>
        <w:lastRenderedPageBreak/>
        <w:t>Cuadro No.</w:t>
      </w:r>
      <w:r w:rsidR="008D5B50">
        <w:rPr>
          <w:rFonts w:ascii="Arial" w:hAnsi="Arial" w:cs="Arial"/>
          <w:b/>
        </w:rPr>
        <w:t xml:space="preserve"> 1</w:t>
      </w:r>
    </w:p>
    <w:p w:rsidR="007A53ED" w:rsidRDefault="007A53ED" w:rsidP="00C87C72">
      <w:pPr>
        <w:spacing w:after="0" w:line="240" w:lineRule="auto"/>
        <w:jc w:val="center"/>
        <w:rPr>
          <w:rFonts w:ascii="Arial" w:hAnsi="Arial" w:cs="Arial"/>
          <w:b/>
        </w:rPr>
      </w:pPr>
      <w:r w:rsidRPr="007A53ED">
        <w:rPr>
          <w:noProof/>
        </w:rPr>
        <w:drawing>
          <wp:inline distT="0" distB="0" distL="0" distR="0" wp14:anchorId="680958F3" wp14:editId="49A6421C">
            <wp:extent cx="5612130" cy="2585291"/>
            <wp:effectExtent l="0" t="0" r="0" b="0"/>
            <wp:docPr id="68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grayscl/>
                    </a:blip>
                    <a:srcRect/>
                    <a:stretch>
                      <a:fillRect/>
                    </a:stretch>
                  </pic:blipFill>
                  <pic:spPr bwMode="auto">
                    <a:xfrm>
                      <a:off x="0" y="0"/>
                      <a:ext cx="5612130" cy="2585291"/>
                    </a:xfrm>
                    <a:prstGeom prst="rect">
                      <a:avLst/>
                    </a:prstGeom>
                    <a:noFill/>
                    <a:ln w="9525">
                      <a:noFill/>
                      <a:miter lim="800000"/>
                      <a:headEnd/>
                      <a:tailEnd/>
                    </a:ln>
                  </pic:spPr>
                </pic:pic>
              </a:graphicData>
            </a:graphic>
          </wp:inline>
        </w:drawing>
      </w:r>
    </w:p>
    <w:p w:rsidR="00BA086C" w:rsidRPr="00B72E3B" w:rsidRDefault="00BA086C" w:rsidP="00B72E3B">
      <w:pPr>
        <w:jc w:val="both"/>
        <w:rPr>
          <w:rFonts w:ascii="Arial" w:hAnsi="Arial" w:cs="Arial"/>
          <w:b/>
          <w:sz w:val="24"/>
          <w:szCs w:val="24"/>
        </w:rPr>
      </w:pPr>
      <w:r w:rsidRPr="00B72E3B">
        <w:rPr>
          <w:rFonts w:ascii="Arial" w:hAnsi="Arial" w:cs="Arial"/>
          <w:b/>
          <w:sz w:val="24"/>
          <w:szCs w:val="24"/>
        </w:rPr>
        <w:t>Variables macroeconómicas</w:t>
      </w:r>
      <w:r w:rsidR="0073020E" w:rsidRPr="00B72E3B">
        <w:rPr>
          <w:rFonts w:ascii="Arial" w:hAnsi="Arial" w:cs="Arial"/>
          <w:b/>
          <w:sz w:val="24"/>
          <w:szCs w:val="24"/>
        </w:rPr>
        <w:t xml:space="preserve"> (Guatemala)</w:t>
      </w:r>
      <w:r w:rsidRPr="00B72E3B">
        <w:rPr>
          <w:rFonts w:ascii="Arial" w:hAnsi="Arial" w:cs="Arial"/>
          <w:b/>
          <w:sz w:val="24"/>
          <w:szCs w:val="24"/>
        </w:rPr>
        <w:t>:</w:t>
      </w:r>
    </w:p>
    <w:p w:rsidR="00F9163A" w:rsidRDefault="00783FF4" w:rsidP="008110F5">
      <w:pPr>
        <w:jc w:val="center"/>
        <w:rPr>
          <w:rFonts w:ascii="Arial" w:hAnsi="Arial" w:cs="Arial"/>
        </w:rPr>
      </w:pPr>
      <w:r w:rsidRPr="00883687">
        <w:rPr>
          <w:rFonts w:ascii="Arial" w:hAnsi="Arial" w:cs="Arial"/>
          <w:noProof/>
        </w:rPr>
        <w:drawing>
          <wp:inline distT="0" distB="0" distL="0" distR="0" wp14:anchorId="0A43123A" wp14:editId="4A1EFDAE">
            <wp:extent cx="5667375" cy="1133475"/>
            <wp:effectExtent l="0" t="19050" r="9525" b="47625"/>
            <wp:docPr id="8" name="Diagra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783FF4" w:rsidRPr="00B72E3B" w:rsidRDefault="00AD0FFD" w:rsidP="00686846">
      <w:pPr>
        <w:pStyle w:val="Prrafodelista"/>
        <w:numPr>
          <w:ilvl w:val="0"/>
          <w:numId w:val="27"/>
        </w:numPr>
        <w:spacing w:after="0" w:line="240" w:lineRule="auto"/>
        <w:ind w:left="284" w:hanging="284"/>
        <w:jc w:val="both"/>
        <w:rPr>
          <w:rFonts w:ascii="Arial" w:hAnsi="Arial" w:cs="Arial"/>
        </w:rPr>
      </w:pPr>
      <w:r w:rsidRPr="00B72E3B">
        <w:rPr>
          <w:rFonts w:ascii="Arial" w:hAnsi="Arial" w:cs="Arial"/>
          <w:b/>
          <w:u w:val="single"/>
          <w:lang w:val="es-MX"/>
        </w:rPr>
        <w:t>Crecimiento Económico</w:t>
      </w:r>
      <w:r w:rsidRPr="00B72E3B">
        <w:rPr>
          <w:rFonts w:ascii="Arial" w:hAnsi="Arial" w:cs="Arial"/>
          <w:b/>
        </w:rPr>
        <w:t>:</w:t>
      </w:r>
    </w:p>
    <w:p w:rsidR="00C4608D" w:rsidRDefault="00C4608D" w:rsidP="00BB34DD">
      <w:pPr>
        <w:spacing w:after="0" w:line="240" w:lineRule="auto"/>
        <w:jc w:val="both"/>
        <w:rPr>
          <w:rFonts w:ascii="Arial" w:hAnsi="Arial" w:cs="Arial"/>
        </w:rPr>
      </w:pPr>
    </w:p>
    <w:p w:rsidR="008611FD" w:rsidRPr="00DF3F93" w:rsidRDefault="00DF3F93" w:rsidP="00DF3F93">
      <w:pPr>
        <w:spacing w:after="0" w:line="240" w:lineRule="auto"/>
        <w:ind w:right="3735"/>
        <w:jc w:val="both"/>
        <w:rPr>
          <w:rFonts w:ascii="Arial" w:eastAsia="Times New Roman" w:hAnsi="Arial" w:cs="Arial"/>
          <w:lang w:eastAsia="es-ES"/>
        </w:rPr>
      </w:pPr>
      <w:r w:rsidRPr="00F531FE">
        <w:rPr>
          <w:noProof/>
          <w:szCs w:val="24"/>
        </w:rPr>
        <w:drawing>
          <wp:anchor distT="0" distB="0" distL="114300" distR="114300" simplePos="0" relativeHeight="251672576" behindDoc="0" locked="0" layoutInCell="1" allowOverlap="1" wp14:anchorId="37CAF56D" wp14:editId="00361AA3">
            <wp:simplePos x="0" y="0"/>
            <wp:positionH relativeFrom="column">
              <wp:posOffset>3333115</wp:posOffset>
            </wp:positionH>
            <wp:positionV relativeFrom="paragraph">
              <wp:posOffset>17780</wp:posOffset>
            </wp:positionV>
            <wp:extent cx="2044700" cy="1251585"/>
            <wp:effectExtent l="0" t="0" r="0" b="571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44700" cy="12515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83FF4" w:rsidRPr="00DF3F93">
        <w:rPr>
          <w:rFonts w:ascii="Arial" w:eastAsia="Times New Roman" w:hAnsi="Arial" w:cs="Arial"/>
          <w:lang w:eastAsia="es-ES"/>
        </w:rPr>
        <w:t xml:space="preserve">En principio es importante conocer cuánto puede crecer la economía del país a través de las distintas actividades económicas </w:t>
      </w:r>
      <w:r w:rsidR="003F4907" w:rsidRPr="00DF3F93">
        <w:rPr>
          <w:rFonts w:ascii="Arial" w:eastAsia="Times New Roman" w:hAnsi="Arial" w:cs="Arial"/>
          <w:lang w:eastAsia="es-ES"/>
        </w:rPr>
        <w:t xml:space="preserve">tales </w:t>
      </w:r>
      <w:r w:rsidR="00783FF4" w:rsidRPr="00DF3F93">
        <w:rPr>
          <w:rFonts w:ascii="Arial" w:eastAsia="Times New Roman" w:hAnsi="Arial" w:cs="Arial"/>
          <w:lang w:eastAsia="es-ES"/>
        </w:rPr>
        <w:t>como</w:t>
      </w:r>
      <w:r w:rsidR="003F4907" w:rsidRPr="00DF3F93">
        <w:rPr>
          <w:rFonts w:ascii="Arial" w:eastAsia="Times New Roman" w:hAnsi="Arial" w:cs="Arial"/>
          <w:lang w:eastAsia="es-ES"/>
        </w:rPr>
        <w:t>,</w:t>
      </w:r>
      <w:r w:rsidR="00783FF4" w:rsidRPr="00DF3F93">
        <w:rPr>
          <w:rFonts w:ascii="Arial" w:eastAsia="Times New Roman" w:hAnsi="Arial" w:cs="Arial"/>
          <w:lang w:eastAsia="es-ES"/>
        </w:rPr>
        <w:t xml:space="preserve">  agricultura, ganadería, pesca, </w:t>
      </w:r>
      <w:r w:rsidR="00BD2FB9" w:rsidRPr="00DF3F93">
        <w:rPr>
          <w:rFonts w:ascii="Arial" w:eastAsia="Times New Roman" w:hAnsi="Arial" w:cs="Arial"/>
          <w:lang w:eastAsia="es-ES"/>
        </w:rPr>
        <w:t>silvicultura</w:t>
      </w:r>
      <w:r w:rsidR="00417EAF" w:rsidRPr="00DF3F93">
        <w:rPr>
          <w:rFonts w:ascii="Arial" w:eastAsia="Times New Roman" w:hAnsi="Arial" w:cs="Arial"/>
          <w:lang w:eastAsia="es-ES"/>
        </w:rPr>
        <w:t xml:space="preserve">, </w:t>
      </w:r>
      <w:r w:rsidR="00783FF4" w:rsidRPr="00DF3F93">
        <w:rPr>
          <w:rFonts w:ascii="Arial" w:eastAsia="Times New Roman" w:hAnsi="Arial" w:cs="Arial"/>
          <w:lang w:eastAsia="es-ES"/>
        </w:rPr>
        <w:t xml:space="preserve">minería, industria manufacturera, de alimentos, </w:t>
      </w:r>
      <w:r w:rsidR="00BD2FB9" w:rsidRPr="00DF3F93">
        <w:rPr>
          <w:rFonts w:ascii="Arial" w:eastAsia="Times New Roman" w:hAnsi="Arial" w:cs="Arial"/>
          <w:lang w:eastAsia="es-ES"/>
        </w:rPr>
        <w:t xml:space="preserve">de </w:t>
      </w:r>
      <w:r w:rsidR="00CE5406" w:rsidRPr="00DF3F93">
        <w:rPr>
          <w:rFonts w:ascii="Arial" w:eastAsia="Times New Roman" w:hAnsi="Arial" w:cs="Arial"/>
          <w:lang w:eastAsia="es-ES"/>
        </w:rPr>
        <w:t>calzado</w:t>
      </w:r>
      <w:r w:rsidR="00783FF4" w:rsidRPr="00DF3F93">
        <w:rPr>
          <w:rFonts w:ascii="Arial" w:eastAsia="Times New Roman" w:hAnsi="Arial" w:cs="Arial"/>
          <w:lang w:eastAsia="es-ES"/>
        </w:rPr>
        <w:t xml:space="preserve">, </w:t>
      </w:r>
      <w:r w:rsidR="00CE5406" w:rsidRPr="00DF3F93">
        <w:rPr>
          <w:rFonts w:ascii="Arial" w:eastAsia="Times New Roman" w:hAnsi="Arial" w:cs="Arial"/>
          <w:lang w:eastAsia="es-ES"/>
        </w:rPr>
        <w:t>entre otras, además del Sector Servicios, los cuales conforman el Producto Interno Bruto -PIB-</w:t>
      </w:r>
      <w:r w:rsidR="00783FF4" w:rsidRPr="00DF3F93">
        <w:rPr>
          <w:rFonts w:ascii="Arial" w:eastAsia="Times New Roman" w:hAnsi="Arial" w:cs="Arial"/>
          <w:lang w:eastAsia="es-ES"/>
        </w:rPr>
        <w:t>. Para 201</w:t>
      </w:r>
      <w:r w:rsidR="000E6E76" w:rsidRPr="00DF3F93">
        <w:rPr>
          <w:rFonts w:ascii="Arial" w:eastAsia="Times New Roman" w:hAnsi="Arial" w:cs="Arial"/>
          <w:lang w:eastAsia="es-ES"/>
        </w:rPr>
        <w:t>9</w:t>
      </w:r>
      <w:r w:rsidR="00783FF4" w:rsidRPr="00DF3F93">
        <w:rPr>
          <w:rFonts w:ascii="Arial" w:eastAsia="Times New Roman" w:hAnsi="Arial" w:cs="Arial"/>
          <w:lang w:eastAsia="es-ES"/>
        </w:rPr>
        <w:t xml:space="preserve"> la economía podría crecer,</w:t>
      </w:r>
      <w:r w:rsidR="00CE5406" w:rsidRPr="00DF3F93">
        <w:rPr>
          <w:rFonts w:ascii="Arial" w:eastAsia="Times New Roman" w:hAnsi="Arial" w:cs="Arial"/>
          <w:lang w:eastAsia="es-ES"/>
        </w:rPr>
        <w:t xml:space="preserve"> en términos del PIB,</w:t>
      </w:r>
      <w:r w:rsidR="00783FF4" w:rsidRPr="00DF3F93">
        <w:rPr>
          <w:rFonts w:ascii="Arial" w:eastAsia="Times New Roman" w:hAnsi="Arial" w:cs="Arial"/>
          <w:lang w:eastAsia="es-ES"/>
        </w:rPr>
        <w:t xml:space="preserve"> según </w:t>
      </w:r>
      <w:r w:rsidR="00921BC9" w:rsidRPr="00DF3F93">
        <w:rPr>
          <w:rFonts w:ascii="Arial" w:eastAsia="Times New Roman" w:hAnsi="Arial" w:cs="Arial"/>
          <w:lang w:eastAsia="es-ES"/>
        </w:rPr>
        <w:t>estimaciones</w:t>
      </w:r>
      <w:r w:rsidR="00783FF4" w:rsidRPr="00DF3F93">
        <w:rPr>
          <w:rFonts w:ascii="Arial" w:eastAsia="Times New Roman" w:hAnsi="Arial" w:cs="Arial"/>
          <w:lang w:eastAsia="es-ES"/>
        </w:rPr>
        <w:t xml:space="preserve"> del Banco de Guatemala, entre 3.0% y 3.8%</w:t>
      </w:r>
      <w:r w:rsidR="00CE5406" w:rsidRPr="00DF3F93">
        <w:rPr>
          <w:rFonts w:ascii="Arial" w:eastAsia="Times New Roman" w:hAnsi="Arial" w:cs="Arial"/>
          <w:lang w:eastAsia="es-ES"/>
        </w:rPr>
        <w:t xml:space="preserve"> respecto de 2018</w:t>
      </w:r>
      <w:r w:rsidR="00783FF4" w:rsidRPr="00DF3F93">
        <w:rPr>
          <w:rFonts w:ascii="Arial" w:eastAsia="Times New Roman" w:hAnsi="Arial" w:cs="Arial"/>
          <w:lang w:eastAsia="es-ES"/>
        </w:rPr>
        <w:t>.</w:t>
      </w:r>
    </w:p>
    <w:p w:rsidR="002D62DE" w:rsidRDefault="002D62DE" w:rsidP="002D62DE">
      <w:pPr>
        <w:spacing w:after="0"/>
        <w:jc w:val="right"/>
        <w:rPr>
          <w:rFonts w:ascii="Arial" w:hAnsi="Arial" w:cs="Arial"/>
          <w:b/>
          <w:sz w:val="24"/>
          <w:szCs w:val="24"/>
        </w:rPr>
      </w:pPr>
    </w:p>
    <w:p w:rsidR="006348C8" w:rsidRDefault="006348C8" w:rsidP="002D62DE">
      <w:pPr>
        <w:spacing w:after="0"/>
        <w:jc w:val="right"/>
        <w:rPr>
          <w:rFonts w:ascii="Arial" w:hAnsi="Arial" w:cs="Arial"/>
          <w:b/>
          <w:sz w:val="24"/>
          <w:szCs w:val="24"/>
        </w:rPr>
      </w:pPr>
    </w:p>
    <w:p w:rsidR="00F531FE" w:rsidRDefault="00F531FE">
      <w:pPr>
        <w:rPr>
          <w:rFonts w:ascii="Arial" w:hAnsi="Arial" w:cs="Arial"/>
          <w:b/>
          <w:sz w:val="24"/>
          <w:szCs w:val="24"/>
        </w:rPr>
      </w:pPr>
      <w:r>
        <w:rPr>
          <w:rFonts w:ascii="Arial" w:hAnsi="Arial" w:cs="Arial"/>
          <w:b/>
          <w:sz w:val="24"/>
          <w:szCs w:val="24"/>
        </w:rPr>
        <w:br w:type="page"/>
      </w:r>
    </w:p>
    <w:p w:rsidR="00EB4952" w:rsidRDefault="00EB4952" w:rsidP="00BB34DD">
      <w:pPr>
        <w:spacing w:after="0"/>
        <w:jc w:val="center"/>
        <w:rPr>
          <w:rFonts w:ascii="Arial" w:hAnsi="Arial" w:cs="Arial"/>
          <w:b/>
          <w:sz w:val="24"/>
          <w:szCs w:val="24"/>
        </w:rPr>
      </w:pPr>
      <w:r w:rsidRPr="00883687">
        <w:rPr>
          <w:rFonts w:ascii="Arial" w:hAnsi="Arial" w:cs="Arial"/>
          <w:b/>
          <w:sz w:val="24"/>
          <w:szCs w:val="24"/>
        </w:rPr>
        <w:lastRenderedPageBreak/>
        <w:t>Gráfica No.</w:t>
      </w:r>
      <w:r w:rsidR="008D5B50">
        <w:rPr>
          <w:rFonts w:ascii="Arial" w:hAnsi="Arial" w:cs="Arial"/>
          <w:b/>
          <w:sz w:val="24"/>
          <w:szCs w:val="24"/>
        </w:rPr>
        <w:t xml:space="preserve"> 1</w:t>
      </w:r>
    </w:p>
    <w:p w:rsidR="00E23173" w:rsidRDefault="00E35C4E" w:rsidP="00E35C4E">
      <w:pPr>
        <w:spacing w:after="0"/>
        <w:jc w:val="center"/>
        <w:rPr>
          <w:rFonts w:ascii="Arial" w:hAnsi="Arial" w:cs="Arial"/>
          <w:b/>
          <w:sz w:val="24"/>
          <w:szCs w:val="24"/>
        </w:rPr>
      </w:pPr>
      <w:r>
        <w:rPr>
          <w:noProof/>
        </w:rPr>
        <w:drawing>
          <wp:inline distT="0" distB="0" distL="0" distR="0" wp14:anchorId="67F0DDD8" wp14:editId="1E7BA2A7">
            <wp:extent cx="5612130" cy="3211195"/>
            <wp:effectExtent l="0" t="0" r="7620" b="825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35C4E" w:rsidRDefault="00E35C4E" w:rsidP="00BB34DD">
      <w:pPr>
        <w:spacing w:after="0"/>
        <w:jc w:val="center"/>
        <w:rPr>
          <w:rFonts w:ascii="Arial" w:hAnsi="Arial" w:cs="Arial"/>
          <w:b/>
          <w:sz w:val="24"/>
          <w:szCs w:val="24"/>
        </w:rPr>
      </w:pPr>
    </w:p>
    <w:p w:rsidR="00FA07AE" w:rsidRPr="00980A2F" w:rsidRDefault="00FA07AE" w:rsidP="00686846">
      <w:pPr>
        <w:pStyle w:val="Prrafodelista"/>
        <w:numPr>
          <w:ilvl w:val="0"/>
          <w:numId w:val="27"/>
        </w:numPr>
        <w:ind w:left="284" w:hanging="284"/>
        <w:jc w:val="both"/>
        <w:rPr>
          <w:rFonts w:ascii="Arial" w:hAnsi="Arial" w:cs="Arial"/>
        </w:rPr>
      </w:pPr>
      <w:r w:rsidRPr="00980A2F">
        <w:rPr>
          <w:rFonts w:ascii="Arial" w:hAnsi="Arial" w:cs="Arial"/>
          <w:b/>
          <w:u w:val="single"/>
          <w:lang w:val="es-MX"/>
        </w:rPr>
        <w:t>Carga Tributaria:</w:t>
      </w:r>
    </w:p>
    <w:p w:rsidR="00783FF4" w:rsidRDefault="00980A2F" w:rsidP="00AB1ED8">
      <w:pPr>
        <w:spacing w:after="0" w:line="240" w:lineRule="auto"/>
        <w:jc w:val="both"/>
        <w:rPr>
          <w:rFonts w:ascii="Arial" w:hAnsi="Arial" w:cs="Arial"/>
        </w:rPr>
      </w:pPr>
      <w:r w:rsidRPr="00980A2F">
        <w:rPr>
          <w:rFonts w:ascii="Arial" w:hAnsi="Arial" w:cs="Arial"/>
        </w:rPr>
        <w:t>L</w:t>
      </w:r>
      <w:r w:rsidR="00783FF4" w:rsidRPr="00980A2F">
        <w:rPr>
          <w:rFonts w:ascii="Arial" w:hAnsi="Arial" w:cs="Arial"/>
        </w:rPr>
        <w:t>a carga</w:t>
      </w:r>
      <w:r w:rsidR="00783FF4" w:rsidRPr="00883687">
        <w:rPr>
          <w:rFonts w:ascii="Arial" w:hAnsi="Arial" w:cs="Arial"/>
        </w:rPr>
        <w:t xml:space="preserve"> tributaria es el aporte de los ciudadanos a través de sus impuestos </w:t>
      </w:r>
      <w:r w:rsidR="007F5CC4">
        <w:rPr>
          <w:rFonts w:ascii="Arial" w:hAnsi="Arial" w:cs="Arial"/>
        </w:rPr>
        <w:t>con</w:t>
      </w:r>
      <w:r w:rsidR="00CE5406">
        <w:rPr>
          <w:rFonts w:ascii="Arial" w:hAnsi="Arial" w:cs="Arial"/>
        </w:rPr>
        <w:t xml:space="preserve"> relación al Producto Interno Bruto,</w:t>
      </w:r>
      <w:r w:rsidR="00A52955">
        <w:rPr>
          <w:rFonts w:ascii="Arial" w:hAnsi="Arial" w:cs="Arial"/>
        </w:rPr>
        <w:t xml:space="preserve"> se estima en 10.</w:t>
      </w:r>
      <w:r w:rsidR="007F5CC4">
        <w:rPr>
          <w:rFonts w:ascii="Arial" w:hAnsi="Arial" w:cs="Arial"/>
        </w:rPr>
        <w:t>0</w:t>
      </w:r>
      <w:r w:rsidR="00783FF4" w:rsidRPr="00883687">
        <w:rPr>
          <w:rFonts w:ascii="Arial" w:hAnsi="Arial" w:cs="Arial"/>
        </w:rPr>
        <w:t>%</w:t>
      </w:r>
      <w:r w:rsidR="00317F83" w:rsidRPr="00883687">
        <w:rPr>
          <w:rFonts w:ascii="Arial" w:hAnsi="Arial" w:cs="Arial"/>
        </w:rPr>
        <w:t xml:space="preserve"> </w:t>
      </w:r>
      <w:r w:rsidR="00CE5406">
        <w:rPr>
          <w:rFonts w:ascii="Arial" w:hAnsi="Arial" w:cs="Arial"/>
        </w:rPr>
        <w:t>para</w:t>
      </w:r>
      <w:r w:rsidR="00CE5406" w:rsidRPr="00883687">
        <w:rPr>
          <w:rFonts w:ascii="Arial" w:hAnsi="Arial" w:cs="Arial"/>
        </w:rPr>
        <w:t xml:space="preserve"> </w:t>
      </w:r>
      <w:r w:rsidR="00317F83" w:rsidRPr="00883687">
        <w:rPr>
          <w:rFonts w:ascii="Arial" w:hAnsi="Arial" w:cs="Arial"/>
        </w:rPr>
        <w:t>201</w:t>
      </w:r>
      <w:r w:rsidR="00BE4235">
        <w:rPr>
          <w:rFonts w:ascii="Arial" w:hAnsi="Arial" w:cs="Arial"/>
        </w:rPr>
        <w:t>9</w:t>
      </w:r>
      <w:r w:rsidR="00317F83" w:rsidRPr="00883687">
        <w:rPr>
          <w:rFonts w:ascii="Arial" w:hAnsi="Arial" w:cs="Arial"/>
        </w:rPr>
        <w:t>.</w:t>
      </w:r>
    </w:p>
    <w:p w:rsidR="00980A2F" w:rsidRPr="00883687" w:rsidRDefault="00980A2F" w:rsidP="00AB1ED8">
      <w:pPr>
        <w:spacing w:after="0" w:line="240" w:lineRule="auto"/>
        <w:jc w:val="both"/>
        <w:rPr>
          <w:rFonts w:ascii="Arial" w:hAnsi="Arial" w:cs="Arial"/>
        </w:rPr>
      </w:pPr>
    </w:p>
    <w:p w:rsidR="00BD2FB9" w:rsidRDefault="00317F83" w:rsidP="00AB1ED8">
      <w:pPr>
        <w:spacing w:after="0" w:line="240" w:lineRule="auto"/>
        <w:jc w:val="both"/>
        <w:rPr>
          <w:rFonts w:ascii="Arial" w:hAnsi="Arial" w:cs="Arial"/>
          <w:lang w:val="es-MX"/>
        </w:rPr>
      </w:pPr>
      <w:r w:rsidRPr="00883687">
        <w:rPr>
          <w:rFonts w:ascii="Arial" w:hAnsi="Arial" w:cs="Arial"/>
          <w:lang w:val="es-MX"/>
        </w:rPr>
        <w:t>Al revisar el nivel de aporte que los ciudadanos trasladan al Gobierno a través de los impuestos, derivado de todo lo que se produce en el país, se puede tener idea del grado de atención que las instituciones pueden dar a las demandas de servicios públicos de la población, ya que dependiendo de ello, el Gobierno tendrá que tomar decisiones trascendentales acerca de la forma de financiar sus acciones en favor de la población y priorizarlas.</w:t>
      </w:r>
      <w:r w:rsidR="003E1B4B" w:rsidRPr="00883687">
        <w:rPr>
          <w:rFonts w:ascii="Arial" w:hAnsi="Arial" w:cs="Arial"/>
          <w:lang w:val="es-MX"/>
        </w:rPr>
        <w:t xml:space="preserve"> Por ello, u</w:t>
      </w:r>
      <w:r w:rsidR="00853350" w:rsidRPr="00883687">
        <w:rPr>
          <w:rFonts w:ascii="Arial" w:hAnsi="Arial" w:cs="Arial"/>
          <w:lang w:val="es-MX"/>
        </w:rPr>
        <w:t>na acción importante es mejorar la recaudación tributaria a cargo de la Superintendencia de Ad</w:t>
      </w:r>
      <w:r w:rsidR="00980A2F">
        <w:rPr>
          <w:rFonts w:ascii="Arial" w:hAnsi="Arial" w:cs="Arial"/>
          <w:lang w:val="es-MX"/>
        </w:rPr>
        <w:t>ministración Tributaria</w:t>
      </w:r>
      <w:r w:rsidR="00CE5406">
        <w:rPr>
          <w:rFonts w:ascii="Arial" w:hAnsi="Arial" w:cs="Arial"/>
          <w:lang w:val="es-MX"/>
        </w:rPr>
        <w:t xml:space="preserve"> -SAT-</w:t>
      </w:r>
    </w:p>
    <w:p w:rsidR="00F07CFA" w:rsidRPr="00883687" w:rsidRDefault="00F07CFA" w:rsidP="00AB1ED8">
      <w:pPr>
        <w:spacing w:after="0" w:line="240" w:lineRule="auto"/>
        <w:jc w:val="both"/>
        <w:rPr>
          <w:rFonts w:ascii="Arial" w:hAnsi="Arial" w:cs="Arial"/>
          <w:lang w:val="es-MX"/>
        </w:rPr>
      </w:pPr>
    </w:p>
    <w:p w:rsidR="00853350" w:rsidRPr="00883687" w:rsidRDefault="003E1B4B" w:rsidP="00AB1ED8">
      <w:pPr>
        <w:spacing w:after="0" w:line="240" w:lineRule="auto"/>
        <w:ind w:hanging="1"/>
        <w:jc w:val="both"/>
        <w:rPr>
          <w:rFonts w:ascii="Arial" w:hAnsi="Arial" w:cs="Arial"/>
          <w:lang w:val="es-MX"/>
        </w:rPr>
      </w:pPr>
      <w:r w:rsidRPr="00883687">
        <w:rPr>
          <w:rFonts w:ascii="Arial" w:hAnsi="Arial" w:cs="Arial"/>
          <w:lang w:val="es-MX"/>
        </w:rPr>
        <w:t>Otro</w:t>
      </w:r>
      <w:r w:rsidR="00853350" w:rsidRPr="00883687">
        <w:rPr>
          <w:rFonts w:ascii="Arial" w:hAnsi="Arial" w:cs="Arial"/>
          <w:lang w:val="es-MX"/>
        </w:rPr>
        <w:t xml:space="preserve"> punto importante a destacar es que cada ciudadano debe estar consciente de su responsabilidad en cuanto al cumplimiento de sus </w:t>
      </w:r>
      <w:r w:rsidRPr="00883687">
        <w:rPr>
          <w:rFonts w:ascii="Arial" w:hAnsi="Arial" w:cs="Arial"/>
          <w:lang w:val="es-MX"/>
        </w:rPr>
        <w:t xml:space="preserve">obligaciones </w:t>
      </w:r>
      <w:r w:rsidR="00853350" w:rsidRPr="00883687">
        <w:rPr>
          <w:rFonts w:ascii="Arial" w:hAnsi="Arial" w:cs="Arial"/>
          <w:lang w:val="es-MX"/>
        </w:rPr>
        <w:t xml:space="preserve">tributarias, ya que </w:t>
      </w:r>
      <w:r w:rsidR="00CE5406">
        <w:rPr>
          <w:rFonts w:ascii="Arial" w:hAnsi="Arial" w:cs="Arial"/>
          <w:lang w:val="es-MX"/>
        </w:rPr>
        <w:t>mediante el pago de los impuestos,</w:t>
      </w:r>
      <w:r w:rsidR="00853350" w:rsidRPr="00883687">
        <w:rPr>
          <w:rFonts w:ascii="Arial" w:hAnsi="Arial" w:cs="Arial"/>
          <w:lang w:val="es-MX"/>
        </w:rPr>
        <w:t xml:space="preserve"> se posibilita o </w:t>
      </w:r>
      <w:r w:rsidR="004E754D" w:rsidRPr="00883687">
        <w:rPr>
          <w:rFonts w:ascii="Arial" w:hAnsi="Arial" w:cs="Arial"/>
          <w:lang w:val="es-MX"/>
        </w:rPr>
        <w:t xml:space="preserve">se </w:t>
      </w:r>
      <w:r w:rsidR="00853350" w:rsidRPr="00883687">
        <w:rPr>
          <w:rFonts w:ascii="Arial" w:hAnsi="Arial" w:cs="Arial"/>
          <w:lang w:val="es-MX"/>
        </w:rPr>
        <w:t>restringe el bienestar de las personas a través de la prestación de los servicios públicos.</w:t>
      </w:r>
    </w:p>
    <w:p w:rsidR="00243030" w:rsidRPr="00883687" w:rsidRDefault="00243030" w:rsidP="00243030">
      <w:pPr>
        <w:spacing w:after="0" w:line="240" w:lineRule="auto"/>
        <w:jc w:val="both"/>
        <w:rPr>
          <w:rFonts w:ascii="Arial" w:hAnsi="Arial" w:cs="Arial"/>
          <w:lang w:val="es-MX"/>
        </w:rPr>
      </w:pPr>
    </w:p>
    <w:p w:rsidR="00F07CFA" w:rsidRDefault="00F07CFA">
      <w:pPr>
        <w:rPr>
          <w:rFonts w:ascii="Arial" w:hAnsi="Arial" w:cs="Arial"/>
          <w:lang w:val="es-MX"/>
        </w:rPr>
      </w:pPr>
      <w:r>
        <w:rPr>
          <w:rFonts w:ascii="Arial" w:hAnsi="Arial" w:cs="Arial"/>
          <w:lang w:val="es-MX"/>
        </w:rPr>
        <w:br w:type="page"/>
      </w:r>
    </w:p>
    <w:p w:rsidR="00BD2FB9" w:rsidRDefault="00BD2FB9" w:rsidP="00CB338E">
      <w:pPr>
        <w:spacing w:after="0"/>
        <w:ind w:hanging="1"/>
        <w:jc w:val="both"/>
        <w:rPr>
          <w:rFonts w:ascii="Arial" w:hAnsi="Arial" w:cs="Arial"/>
          <w:lang w:val="es-MX"/>
        </w:rPr>
      </w:pPr>
    </w:p>
    <w:p w:rsidR="00853350" w:rsidRDefault="00EB4952" w:rsidP="00EB4952">
      <w:pPr>
        <w:jc w:val="center"/>
        <w:rPr>
          <w:rFonts w:ascii="Arial" w:hAnsi="Arial" w:cs="Arial"/>
          <w:b/>
          <w:sz w:val="24"/>
          <w:szCs w:val="24"/>
        </w:rPr>
      </w:pPr>
      <w:r w:rsidRPr="00883687">
        <w:rPr>
          <w:rFonts w:ascii="Arial" w:hAnsi="Arial" w:cs="Arial"/>
          <w:b/>
          <w:sz w:val="24"/>
          <w:szCs w:val="24"/>
        </w:rPr>
        <w:t>Gráfica No.</w:t>
      </w:r>
      <w:r w:rsidR="008D5B50">
        <w:rPr>
          <w:rFonts w:ascii="Arial" w:hAnsi="Arial" w:cs="Arial"/>
          <w:b/>
          <w:sz w:val="24"/>
          <w:szCs w:val="24"/>
        </w:rPr>
        <w:t>2</w:t>
      </w:r>
    </w:p>
    <w:p w:rsidR="00117DB3" w:rsidRDefault="00E35C4E" w:rsidP="00EB4952">
      <w:pPr>
        <w:jc w:val="center"/>
        <w:rPr>
          <w:rFonts w:ascii="Arial" w:hAnsi="Arial" w:cs="Arial"/>
          <w:b/>
          <w:sz w:val="24"/>
          <w:szCs w:val="24"/>
        </w:rPr>
      </w:pPr>
      <w:r>
        <w:rPr>
          <w:noProof/>
        </w:rPr>
        <w:drawing>
          <wp:inline distT="0" distB="0" distL="0" distR="0" wp14:anchorId="7B62E99B" wp14:editId="1CA8E5BC">
            <wp:extent cx="5610225" cy="3362325"/>
            <wp:effectExtent l="0" t="0" r="0" b="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83B19" w:rsidRPr="00980A2F" w:rsidRDefault="00183B19" w:rsidP="00686846">
      <w:pPr>
        <w:pStyle w:val="Prrafodelista"/>
        <w:numPr>
          <w:ilvl w:val="0"/>
          <w:numId w:val="27"/>
        </w:numPr>
        <w:spacing w:after="0" w:line="240" w:lineRule="auto"/>
        <w:ind w:left="426" w:hanging="426"/>
        <w:jc w:val="both"/>
        <w:rPr>
          <w:rFonts w:ascii="Arial" w:hAnsi="Arial" w:cs="Arial"/>
          <w:b/>
          <w:u w:val="single"/>
        </w:rPr>
      </w:pPr>
      <w:r w:rsidRPr="00980A2F">
        <w:rPr>
          <w:rFonts w:ascii="Arial" w:hAnsi="Arial" w:cs="Arial"/>
          <w:b/>
          <w:u w:val="single"/>
        </w:rPr>
        <w:t>Endeudamiento Neto:</w:t>
      </w:r>
    </w:p>
    <w:p w:rsidR="00183B19" w:rsidRPr="00980A2F" w:rsidRDefault="00183B19" w:rsidP="00980A2F">
      <w:pPr>
        <w:spacing w:after="0" w:line="240" w:lineRule="auto"/>
        <w:jc w:val="both"/>
        <w:rPr>
          <w:rFonts w:ascii="Arial" w:hAnsi="Arial" w:cs="Arial"/>
        </w:rPr>
      </w:pPr>
    </w:p>
    <w:p w:rsidR="00183B19" w:rsidRPr="00980A2F" w:rsidRDefault="00CE5406" w:rsidP="002F751A">
      <w:pPr>
        <w:spacing w:after="0" w:line="240" w:lineRule="auto"/>
        <w:jc w:val="both"/>
        <w:rPr>
          <w:rFonts w:ascii="Arial" w:hAnsi="Arial" w:cs="Arial"/>
        </w:rPr>
      </w:pPr>
      <w:r>
        <w:rPr>
          <w:rFonts w:ascii="Arial" w:hAnsi="Arial" w:cs="Arial"/>
        </w:rPr>
        <w:t>Debido a los bajos niveles de carga tributaria</w:t>
      </w:r>
      <w:r w:rsidR="00183B19" w:rsidRPr="00980A2F">
        <w:rPr>
          <w:rFonts w:ascii="Arial" w:hAnsi="Arial" w:cs="Arial"/>
        </w:rPr>
        <w:t xml:space="preserve">, es necesario recurrir a financiar parte de las acciones de Gobierno con </w:t>
      </w:r>
      <w:r w:rsidR="00202643" w:rsidRPr="00980A2F">
        <w:rPr>
          <w:rFonts w:ascii="Arial" w:hAnsi="Arial" w:cs="Arial"/>
        </w:rPr>
        <w:t xml:space="preserve">otros </w:t>
      </w:r>
      <w:r w:rsidR="00183B19" w:rsidRPr="00980A2F">
        <w:rPr>
          <w:rFonts w:ascii="Arial" w:hAnsi="Arial" w:cs="Arial"/>
        </w:rPr>
        <w:t xml:space="preserve">recursos </w:t>
      </w:r>
      <w:r w:rsidR="00E5483A" w:rsidRPr="00980A2F">
        <w:rPr>
          <w:rFonts w:ascii="Arial" w:hAnsi="Arial" w:cs="Arial"/>
        </w:rPr>
        <w:t xml:space="preserve">como </w:t>
      </w:r>
      <w:r w:rsidR="00202643" w:rsidRPr="00980A2F">
        <w:rPr>
          <w:rFonts w:ascii="Arial" w:hAnsi="Arial" w:cs="Arial"/>
        </w:rPr>
        <w:t xml:space="preserve">préstamos y colocación de bonos del tesoro, </w:t>
      </w:r>
      <w:r w:rsidR="003C7835" w:rsidRPr="00980A2F">
        <w:rPr>
          <w:rFonts w:ascii="Arial" w:hAnsi="Arial" w:cs="Arial"/>
        </w:rPr>
        <w:t xml:space="preserve">siempre </w:t>
      </w:r>
      <w:r>
        <w:rPr>
          <w:rFonts w:ascii="Arial" w:hAnsi="Arial" w:cs="Arial"/>
        </w:rPr>
        <w:t xml:space="preserve">observando </w:t>
      </w:r>
      <w:r w:rsidR="003C7835" w:rsidRPr="00980A2F">
        <w:rPr>
          <w:rFonts w:ascii="Arial" w:hAnsi="Arial" w:cs="Arial"/>
        </w:rPr>
        <w:t xml:space="preserve">que </w:t>
      </w:r>
      <w:r w:rsidR="00F6109A">
        <w:rPr>
          <w:rFonts w:ascii="Arial" w:hAnsi="Arial" w:cs="Arial"/>
        </w:rPr>
        <w:t>e</w:t>
      </w:r>
      <w:r w:rsidR="003C7835" w:rsidRPr="00980A2F">
        <w:rPr>
          <w:rFonts w:ascii="Arial" w:hAnsi="Arial" w:cs="Arial"/>
        </w:rPr>
        <w:t>st</w:t>
      </w:r>
      <w:r w:rsidR="00AC730D" w:rsidRPr="00980A2F">
        <w:rPr>
          <w:rFonts w:ascii="Arial" w:hAnsi="Arial" w:cs="Arial"/>
        </w:rPr>
        <w:t>o</w:t>
      </w:r>
      <w:r w:rsidR="003C7835" w:rsidRPr="00980A2F">
        <w:rPr>
          <w:rFonts w:ascii="Arial" w:hAnsi="Arial" w:cs="Arial"/>
        </w:rPr>
        <w:t xml:space="preserve">s </w:t>
      </w:r>
      <w:r w:rsidR="00AC730D" w:rsidRPr="00980A2F">
        <w:rPr>
          <w:rFonts w:ascii="Arial" w:hAnsi="Arial" w:cs="Arial"/>
        </w:rPr>
        <w:t>compromisos</w:t>
      </w:r>
      <w:r w:rsidR="00E5483A" w:rsidRPr="00980A2F">
        <w:rPr>
          <w:rFonts w:ascii="Arial" w:hAnsi="Arial" w:cs="Arial"/>
        </w:rPr>
        <w:t xml:space="preserve"> </w:t>
      </w:r>
      <w:r w:rsidR="003C7835" w:rsidRPr="00980A2F">
        <w:rPr>
          <w:rFonts w:ascii="Arial" w:hAnsi="Arial" w:cs="Arial"/>
        </w:rPr>
        <w:t xml:space="preserve">se encuentren </w:t>
      </w:r>
      <w:r w:rsidR="00183B19" w:rsidRPr="00980A2F">
        <w:rPr>
          <w:rFonts w:ascii="Arial" w:hAnsi="Arial" w:cs="Arial"/>
        </w:rPr>
        <w:t xml:space="preserve">dentro de los límites técnicamente aceptables para este tipo de financiamiento </w:t>
      </w:r>
      <w:r w:rsidR="003C7835" w:rsidRPr="00980A2F">
        <w:rPr>
          <w:rFonts w:ascii="Arial" w:hAnsi="Arial" w:cs="Arial"/>
        </w:rPr>
        <w:t xml:space="preserve">y </w:t>
      </w:r>
      <w:r w:rsidR="00202643" w:rsidRPr="00980A2F">
        <w:rPr>
          <w:rFonts w:ascii="Arial" w:hAnsi="Arial" w:cs="Arial"/>
        </w:rPr>
        <w:t xml:space="preserve">sin que </w:t>
      </w:r>
      <w:r w:rsidR="00183B19" w:rsidRPr="00980A2F">
        <w:rPr>
          <w:rFonts w:ascii="Arial" w:hAnsi="Arial" w:cs="Arial"/>
        </w:rPr>
        <w:t xml:space="preserve">las finanzas públicas </w:t>
      </w:r>
      <w:r w:rsidR="00AC730D" w:rsidRPr="00980A2F">
        <w:rPr>
          <w:rFonts w:ascii="Arial" w:hAnsi="Arial" w:cs="Arial"/>
        </w:rPr>
        <w:t>lleguen a</w:t>
      </w:r>
      <w:r w:rsidR="00183B19" w:rsidRPr="00980A2F">
        <w:rPr>
          <w:rFonts w:ascii="Arial" w:hAnsi="Arial" w:cs="Arial"/>
        </w:rPr>
        <w:t xml:space="preserve"> situaciones de riesgo.</w:t>
      </w:r>
    </w:p>
    <w:p w:rsidR="00183B19" w:rsidRPr="00883687" w:rsidRDefault="00183B19" w:rsidP="002F751A">
      <w:pPr>
        <w:spacing w:after="0" w:line="240" w:lineRule="auto"/>
        <w:jc w:val="both"/>
        <w:rPr>
          <w:rFonts w:ascii="Arial" w:hAnsi="Arial" w:cs="Arial"/>
        </w:rPr>
      </w:pPr>
    </w:p>
    <w:p w:rsidR="007D63F3" w:rsidRPr="00883687" w:rsidRDefault="003C7835" w:rsidP="002F751A">
      <w:pPr>
        <w:spacing w:after="0" w:line="240" w:lineRule="auto"/>
        <w:jc w:val="both"/>
        <w:rPr>
          <w:rFonts w:ascii="Arial" w:hAnsi="Arial" w:cs="Arial"/>
        </w:rPr>
      </w:pPr>
      <w:r w:rsidRPr="00883687">
        <w:rPr>
          <w:rFonts w:ascii="Arial" w:hAnsi="Arial" w:cs="Arial"/>
        </w:rPr>
        <w:t xml:space="preserve">Por tanto, </w:t>
      </w:r>
      <w:r w:rsidR="00A0087C">
        <w:rPr>
          <w:rFonts w:ascii="Arial" w:hAnsi="Arial" w:cs="Arial"/>
        </w:rPr>
        <w:t>para</w:t>
      </w:r>
      <w:r w:rsidR="00783FF4" w:rsidRPr="00883687">
        <w:rPr>
          <w:rFonts w:ascii="Arial" w:hAnsi="Arial" w:cs="Arial"/>
        </w:rPr>
        <w:t xml:space="preserve"> atender las demandas de la población, es necesario recurrir al endeudamiento, el cual para 201</w:t>
      </w:r>
      <w:r w:rsidR="001977F5">
        <w:rPr>
          <w:rFonts w:ascii="Arial" w:hAnsi="Arial" w:cs="Arial"/>
        </w:rPr>
        <w:t>9</w:t>
      </w:r>
      <w:r w:rsidR="00783FF4" w:rsidRPr="00883687">
        <w:rPr>
          <w:rFonts w:ascii="Arial" w:hAnsi="Arial" w:cs="Arial"/>
        </w:rPr>
        <w:t xml:space="preserve"> podría ser de 1.</w:t>
      </w:r>
      <w:r w:rsidR="007F5CC4">
        <w:rPr>
          <w:rFonts w:ascii="Arial" w:hAnsi="Arial" w:cs="Arial"/>
        </w:rPr>
        <w:t>8</w:t>
      </w:r>
      <w:r w:rsidR="00783FF4" w:rsidRPr="00883687">
        <w:rPr>
          <w:rFonts w:ascii="Arial" w:hAnsi="Arial" w:cs="Arial"/>
        </w:rPr>
        <w:t xml:space="preserve">% respecto del </w:t>
      </w:r>
      <w:r w:rsidR="00BD2FB9">
        <w:rPr>
          <w:rFonts w:ascii="Arial" w:hAnsi="Arial" w:cs="Arial"/>
        </w:rPr>
        <w:t>P</w:t>
      </w:r>
      <w:r w:rsidR="00783FF4" w:rsidRPr="00883687">
        <w:rPr>
          <w:rFonts w:ascii="Arial" w:hAnsi="Arial" w:cs="Arial"/>
        </w:rPr>
        <w:t xml:space="preserve">roducto </w:t>
      </w:r>
      <w:r w:rsidR="00BD2FB9">
        <w:rPr>
          <w:rFonts w:ascii="Arial" w:hAnsi="Arial" w:cs="Arial"/>
        </w:rPr>
        <w:t>I</w:t>
      </w:r>
      <w:r w:rsidR="00783FF4" w:rsidRPr="00883687">
        <w:rPr>
          <w:rFonts w:ascii="Arial" w:hAnsi="Arial" w:cs="Arial"/>
        </w:rPr>
        <w:t xml:space="preserve">nterno </w:t>
      </w:r>
      <w:r w:rsidR="00BD2FB9">
        <w:rPr>
          <w:rFonts w:ascii="Arial" w:hAnsi="Arial" w:cs="Arial"/>
        </w:rPr>
        <w:t>B</w:t>
      </w:r>
      <w:r w:rsidR="00783FF4" w:rsidRPr="00883687">
        <w:rPr>
          <w:rFonts w:ascii="Arial" w:hAnsi="Arial" w:cs="Arial"/>
        </w:rPr>
        <w:t>ruto.</w:t>
      </w:r>
    </w:p>
    <w:p w:rsidR="00EB4952" w:rsidRDefault="00EB4952" w:rsidP="002F751A">
      <w:pPr>
        <w:spacing w:after="0" w:line="240" w:lineRule="auto"/>
        <w:jc w:val="both"/>
        <w:rPr>
          <w:rFonts w:ascii="Arial" w:hAnsi="Arial" w:cs="Arial"/>
        </w:rPr>
      </w:pPr>
    </w:p>
    <w:p w:rsidR="002B3B99" w:rsidRDefault="002B3B99">
      <w:pPr>
        <w:rPr>
          <w:rFonts w:ascii="Arial" w:hAnsi="Arial" w:cs="Arial"/>
        </w:rPr>
      </w:pPr>
      <w:r>
        <w:rPr>
          <w:rFonts w:ascii="Arial" w:hAnsi="Arial" w:cs="Arial"/>
        </w:rPr>
        <w:br w:type="page"/>
      </w:r>
    </w:p>
    <w:p w:rsidR="002B3B99" w:rsidRDefault="002B3B99" w:rsidP="002F751A">
      <w:pPr>
        <w:spacing w:after="0" w:line="240" w:lineRule="auto"/>
        <w:jc w:val="both"/>
        <w:rPr>
          <w:rFonts w:ascii="Arial" w:hAnsi="Arial" w:cs="Arial"/>
        </w:rPr>
      </w:pPr>
    </w:p>
    <w:p w:rsidR="000E6813" w:rsidRPr="00883687" w:rsidRDefault="000E6813" w:rsidP="002F751A">
      <w:pPr>
        <w:spacing w:after="0" w:line="240" w:lineRule="auto"/>
        <w:jc w:val="both"/>
        <w:rPr>
          <w:rFonts w:ascii="Arial" w:hAnsi="Arial" w:cs="Arial"/>
        </w:rPr>
      </w:pPr>
    </w:p>
    <w:p w:rsidR="00EB4952" w:rsidRDefault="00EB4952" w:rsidP="00EB4952">
      <w:pPr>
        <w:jc w:val="center"/>
        <w:rPr>
          <w:rFonts w:ascii="Arial" w:hAnsi="Arial" w:cs="Arial"/>
          <w:b/>
          <w:sz w:val="24"/>
          <w:szCs w:val="24"/>
        </w:rPr>
      </w:pPr>
      <w:r w:rsidRPr="00883687">
        <w:rPr>
          <w:rFonts w:ascii="Arial" w:hAnsi="Arial" w:cs="Arial"/>
          <w:b/>
          <w:sz w:val="24"/>
          <w:szCs w:val="24"/>
        </w:rPr>
        <w:t>Grá</w:t>
      </w:r>
      <w:r w:rsidR="00301B3B" w:rsidRPr="00883687">
        <w:rPr>
          <w:rFonts w:ascii="Arial" w:hAnsi="Arial" w:cs="Arial"/>
          <w:b/>
          <w:sz w:val="24"/>
          <w:szCs w:val="24"/>
        </w:rPr>
        <w:t>fica No.</w:t>
      </w:r>
      <w:r w:rsidR="00301B3B">
        <w:rPr>
          <w:rFonts w:ascii="Arial" w:hAnsi="Arial" w:cs="Arial"/>
          <w:b/>
          <w:sz w:val="24"/>
          <w:szCs w:val="24"/>
        </w:rPr>
        <w:t xml:space="preserve"> 3</w:t>
      </w:r>
      <w:r w:rsidR="00301B3B">
        <w:rPr>
          <w:noProof/>
        </w:rPr>
        <w:drawing>
          <wp:inline distT="0" distB="0" distL="0" distR="0" wp14:anchorId="47BFB9A7" wp14:editId="01E64F62">
            <wp:extent cx="5610225" cy="3381375"/>
            <wp:effectExtent l="0" t="0" r="0" b="0"/>
            <wp:docPr id="672" name="Gráfico 6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A2C97" w:rsidRPr="00EE44ED" w:rsidRDefault="003A2C97" w:rsidP="003A2C97">
      <w:pPr>
        <w:spacing w:after="0" w:line="240" w:lineRule="auto"/>
        <w:jc w:val="both"/>
        <w:rPr>
          <w:rFonts w:ascii="Arial" w:hAnsi="Arial" w:cs="Arial"/>
          <w:b/>
          <w:u w:val="single"/>
        </w:rPr>
      </w:pPr>
    </w:p>
    <w:p w:rsidR="003A2C97" w:rsidRPr="00EE44ED" w:rsidRDefault="003A2C97" w:rsidP="00686846">
      <w:pPr>
        <w:pStyle w:val="Prrafodelista"/>
        <w:numPr>
          <w:ilvl w:val="0"/>
          <w:numId w:val="27"/>
        </w:numPr>
        <w:spacing w:after="0" w:line="240" w:lineRule="auto"/>
        <w:ind w:left="426" w:hanging="426"/>
        <w:jc w:val="both"/>
        <w:rPr>
          <w:rFonts w:ascii="Arial" w:hAnsi="Arial" w:cs="Arial"/>
          <w:b/>
          <w:u w:val="single"/>
        </w:rPr>
      </w:pPr>
      <w:r w:rsidRPr="00EE44ED">
        <w:rPr>
          <w:rFonts w:ascii="Arial" w:hAnsi="Arial" w:cs="Arial"/>
          <w:b/>
          <w:u w:val="single"/>
        </w:rPr>
        <w:t>Déficit Fiscal:</w:t>
      </w:r>
    </w:p>
    <w:p w:rsidR="006920A5" w:rsidRPr="00EE44ED" w:rsidRDefault="006920A5" w:rsidP="006920A5">
      <w:pPr>
        <w:spacing w:after="0" w:line="240" w:lineRule="auto"/>
        <w:jc w:val="both"/>
        <w:rPr>
          <w:rFonts w:ascii="Arial" w:hAnsi="Arial" w:cs="Arial"/>
          <w:b/>
          <w:u w:val="single"/>
        </w:rPr>
      </w:pPr>
    </w:p>
    <w:p w:rsidR="0012049F" w:rsidRPr="00883687" w:rsidRDefault="00783FF4" w:rsidP="0012049F">
      <w:pPr>
        <w:spacing w:after="0" w:line="240" w:lineRule="auto"/>
        <w:ind w:hanging="1"/>
        <w:jc w:val="both"/>
        <w:rPr>
          <w:rFonts w:ascii="Arial" w:hAnsi="Arial" w:cs="Arial"/>
        </w:rPr>
      </w:pPr>
      <w:r w:rsidRPr="00883687">
        <w:rPr>
          <w:rFonts w:ascii="Arial" w:hAnsi="Arial" w:cs="Arial"/>
        </w:rPr>
        <w:t xml:space="preserve">La diferencia entre los ingresos estimados y los gastos proyectados, se denomina </w:t>
      </w:r>
      <w:r w:rsidR="00A0087C">
        <w:rPr>
          <w:rFonts w:ascii="Arial" w:hAnsi="Arial" w:cs="Arial"/>
        </w:rPr>
        <w:t xml:space="preserve">Resultado Presupuestario, cuando los ingresos superan al gasto se denomina “Superávit”, mientras que, si los gastos superan a los ingresos se denomina “Déficit”, para el ejercicio fiscal 2019 se </w:t>
      </w:r>
      <w:r w:rsidRPr="00883687">
        <w:rPr>
          <w:rFonts w:ascii="Arial" w:hAnsi="Arial" w:cs="Arial"/>
        </w:rPr>
        <w:t>cons</w:t>
      </w:r>
      <w:r w:rsidR="00963575">
        <w:rPr>
          <w:rFonts w:ascii="Arial" w:hAnsi="Arial" w:cs="Arial"/>
        </w:rPr>
        <w:t xml:space="preserve">idera </w:t>
      </w:r>
      <w:r w:rsidR="00A0087C">
        <w:rPr>
          <w:rFonts w:ascii="Arial" w:hAnsi="Arial" w:cs="Arial"/>
        </w:rPr>
        <w:t xml:space="preserve">que el déficit </w:t>
      </w:r>
      <w:r w:rsidR="00963575">
        <w:rPr>
          <w:rFonts w:ascii="Arial" w:hAnsi="Arial" w:cs="Arial"/>
        </w:rPr>
        <w:t>podría alcanzar un 2.4</w:t>
      </w:r>
      <w:r w:rsidRPr="00883687">
        <w:rPr>
          <w:rFonts w:ascii="Arial" w:hAnsi="Arial" w:cs="Arial"/>
        </w:rPr>
        <w:t>% res</w:t>
      </w:r>
      <w:r w:rsidR="00C42C56" w:rsidRPr="00883687">
        <w:rPr>
          <w:rFonts w:ascii="Arial" w:hAnsi="Arial" w:cs="Arial"/>
        </w:rPr>
        <w:t xml:space="preserve">pecto </w:t>
      </w:r>
      <w:r w:rsidR="00A0087C">
        <w:rPr>
          <w:rFonts w:ascii="Arial" w:hAnsi="Arial" w:cs="Arial"/>
        </w:rPr>
        <w:t>del PIB</w:t>
      </w:r>
      <w:r w:rsidR="00B84F13" w:rsidRPr="00883687">
        <w:rPr>
          <w:rFonts w:ascii="Arial" w:hAnsi="Arial" w:cs="Arial"/>
        </w:rPr>
        <w:t xml:space="preserve">, </w:t>
      </w:r>
      <w:r w:rsidR="0055384A" w:rsidRPr="00883687">
        <w:rPr>
          <w:rFonts w:ascii="Arial" w:hAnsi="Arial" w:cs="Arial"/>
        </w:rPr>
        <w:t xml:space="preserve">el cual </w:t>
      </w:r>
      <w:r w:rsidR="00B84F13" w:rsidRPr="00883687">
        <w:rPr>
          <w:rFonts w:ascii="Arial" w:hAnsi="Arial" w:cs="Arial"/>
        </w:rPr>
        <w:t>es un nivel congruente con la sostenibilidad de la deuda pública</w:t>
      </w:r>
      <w:r w:rsidR="00963575">
        <w:rPr>
          <w:rFonts w:ascii="Arial" w:hAnsi="Arial" w:cs="Arial"/>
        </w:rPr>
        <w:t>.</w:t>
      </w:r>
    </w:p>
    <w:p w:rsidR="00C42C56" w:rsidRPr="00883687" w:rsidRDefault="00C42C56" w:rsidP="0012049F">
      <w:pPr>
        <w:spacing w:after="0" w:line="240" w:lineRule="auto"/>
        <w:ind w:hanging="1"/>
        <w:jc w:val="both"/>
        <w:rPr>
          <w:rFonts w:ascii="Arial" w:hAnsi="Arial" w:cs="Arial"/>
        </w:rPr>
      </w:pPr>
    </w:p>
    <w:p w:rsidR="0012049F" w:rsidRPr="00883687" w:rsidRDefault="0012049F" w:rsidP="0012049F">
      <w:pPr>
        <w:spacing w:after="0" w:line="240" w:lineRule="auto"/>
        <w:ind w:hanging="1"/>
        <w:jc w:val="both"/>
        <w:rPr>
          <w:rFonts w:ascii="Arial" w:hAnsi="Arial" w:cs="Arial"/>
        </w:rPr>
      </w:pPr>
      <w:r w:rsidRPr="00883687">
        <w:rPr>
          <w:rFonts w:ascii="Arial" w:hAnsi="Arial" w:cs="Arial"/>
        </w:rPr>
        <w:t>El déficit surge entre otros motivos, por la baja recaudación tributaria, la cual se ha visto afectada no sólo por situaciones de orden legal, sino también porque las personas</w:t>
      </w:r>
      <w:r w:rsidR="00A0087C">
        <w:rPr>
          <w:rFonts w:ascii="Arial" w:hAnsi="Arial" w:cs="Arial"/>
        </w:rPr>
        <w:t xml:space="preserve"> individuales o las</w:t>
      </w:r>
      <w:r w:rsidR="00A0087C" w:rsidRPr="00883687">
        <w:rPr>
          <w:rFonts w:ascii="Arial" w:hAnsi="Arial" w:cs="Arial"/>
        </w:rPr>
        <w:t xml:space="preserve"> </w:t>
      </w:r>
      <w:r w:rsidRPr="00883687">
        <w:rPr>
          <w:rFonts w:ascii="Arial" w:hAnsi="Arial" w:cs="Arial"/>
        </w:rPr>
        <w:t>empresas, evaden</w:t>
      </w:r>
      <w:r w:rsidR="006920A5">
        <w:rPr>
          <w:rFonts w:ascii="Arial" w:hAnsi="Arial" w:cs="Arial"/>
        </w:rPr>
        <w:t xml:space="preserve"> </w:t>
      </w:r>
      <w:r w:rsidR="00A0087C">
        <w:rPr>
          <w:rFonts w:ascii="Arial" w:hAnsi="Arial" w:cs="Arial"/>
        </w:rPr>
        <w:t>o</w:t>
      </w:r>
      <w:r w:rsidR="006920A5">
        <w:rPr>
          <w:rFonts w:ascii="Arial" w:hAnsi="Arial" w:cs="Arial"/>
        </w:rPr>
        <w:t xml:space="preserve"> eluden el pago de impuestos.</w:t>
      </w:r>
    </w:p>
    <w:p w:rsidR="0012049F" w:rsidRPr="00883687" w:rsidRDefault="0012049F" w:rsidP="0012049F">
      <w:pPr>
        <w:spacing w:after="0" w:line="240" w:lineRule="auto"/>
        <w:ind w:hanging="1"/>
        <w:jc w:val="both"/>
        <w:rPr>
          <w:rFonts w:ascii="Arial" w:hAnsi="Arial" w:cs="Arial"/>
        </w:rPr>
      </w:pPr>
    </w:p>
    <w:p w:rsidR="0012049F" w:rsidRPr="00883687" w:rsidRDefault="0012049F" w:rsidP="0012049F">
      <w:pPr>
        <w:spacing w:after="0" w:line="240" w:lineRule="auto"/>
        <w:ind w:hanging="1"/>
        <w:jc w:val="both"/>
        <w:rPr>
          <w:rFonts w:ascii="Arial" w:hAnsi="Arial" w:cs="Arial"/>
        </w:rPr>
      </w:pPr>
      <w:r w:rsidRPr="00883687">
        <w:rPr>
          <w:rFonts w:ascii="Arial" w:hAnsi="Arial" w:cs="Arial"/>
        </w:rPr>
        <w:t xml:space="preserve">Lo anterior también obliga al gobierno a que se tomen medidas de austeridad y priorización en la ejecución presupuestaria, </w:t>
      </w:r>
      <w:proofErr w:type="spellStart"/>
      <w:r w:rsidRPr="00883687">
        <w:rPr>
          <w:rFonts w:ascii="Arial" w:hAnsi="Arial" w:cs="Arial"/>
        </w:rPr>
        <w:t>a</w:t>
      </w:r>
      <w:r w:rsidR="004A7247">
        <w:rPr>
          <w:rFonts w:ascii="Arial" w:hAnsi="Arial" w:cs="Arial"/>
        </w:rPr>
        <w:t>ú</w:t>
      </w:r>
      <w:r w:rsidRPr="00883687">
        <w:rPr>
          <w:rFonts w:ascii="Arial" w:hAnsi="Arial" w:cs="Arial"/>
        </w:rPr>
        <w:t>n</w:t>
      </w:r>
      <w:proofErr w:type="spellEnd"/>
      <w:r w:rsidRPr="00883687">
        <w:rPr>
          <w:rFonts w:ascii="Arial" w:hAnsi="Arial" w:cs="Arial"/>
        </w:rPr>
        <w:t xml:space="preserve"> cuando en cierta medida se afectan los servicios básicos de la población.</w:t>
      </w:r>
    </w:p>
    <w:p w:rsidR="00EB4952" w:rsidRDefault="00EB4952" w:rsidP="00EB4952">
      <w:pPr>
        <w:jc w:val="both"/>
        <w:rPr>
          <w:rFonts w:ascii="Arial" w:hAnsi="Arial" w:cs="Arial"/>
        </w:rPr>
      </w:pPr>
    </w:p>
    <w:p w:rsidR="002B3B99" w:rsidRDefault="002B3B99">
      <w:pPr>
        <w:rPr>
          <w:rFonts w:ascii="Arial" w:hAnsi="Arial" w:cs="Arial"/>
        </w:rPr>
      </w:pPr>
      <w:r>
        <w:rPr>
          <w:rFonts w:ascii="Arial" w:hAnsi="Arial" w:cs="Arial"/>
        </w:rPr>
        <w:br w:type="page"/>
      </w:r>
    </w:p>
    <w:p w:rsidR="00EB4952" w:rsidRDefault="00EB4952" w:rsidP="00EB4952">
      <w:pPr>
        <w:jc w:val="center"/>
        <w:rPr>
          <w:rFonts w:ascii="Arial" w:hAnsi="Arial" w:cs="Arial"/>
          <w:b/>
          <w:sz w:val="24"/>
          <w:szCs w:val="24"/>
        </w:rPr>
      </w:pPr>
      <w:r w:rsidRPr="00883687">
        <w:rPr>
          <w:rFonts w:ascii="Arial" w:hAnsi="Arial" w:cs="Arial"/>
          <w:b/>
          <w:sz w:val="24"/>
          <w:szCs w:val="24"/>
        </w:rPr>
        <w:lastRenderedPageBreak/>
        <w:t>Gráfica No.</w:t>
      </w:r>
      <w:r w:rsidR="008D5B50">
        <w:rPr>
          <w:rFonts w:ascii="Arial" w:hAnsi="Arial" w:cs="Arial"/>
          <w:b/>
          <w:sz w:val="24"/>
          <w:szCs w:val="24"/>
        </w:rPr>
        <w:t xml:space="preserve"> 4</w:t>
      </w:r>
    </w:p>
    <w:p w:rsidR="00963575" w:rsidRDefault="00B434AB" w:rsidP="00EB4952">
      <w:pPr>
        <w:jc w:val="center"/>
        <w:rPr>
          <w:rFonts w:ascii="Arial" w:hAnsi="Arial" w:cs="Arial"/>
          <w:b/>
          <w:sz w:val="24"/>
          <w:szCs w:val="24"/>
        </w:rPr>
      </w:pPr>
      <w:r>
        <w:rPr>
          <w:noProof/>
        </w:rPr>
        <w:drawing>
          <wp:inline distT="0" distB="0" distL="0" distR="0" wp14:anchorId="1B927047" wp14:editId="1A04C859">
            <wp:extent cx="5612130" cy="3583305"/>
            <wp:effectExtent l="0" t="0" r="0" b="17145"/>
            <wp:docPr id="675" name="Gráfico 6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86099D" w:rsidRPr="00EE44ED" w:rsidRDefault="0086099D" w:rsidP="00686846">
      <w:pPr>
        <w:pStyle w:val="Prrafodelista"/>
        <w:numPr>
          <w:ilvl w:val="0"/>
          <w:numId w:val="27"/>
        </w:numPr>
        <w:spacing w:after="0" w:line="240" w:lineRule="auto"/>
        <w:ind w:left="426" w:hanging="426"/>
        <w:rPr>
          <w:rFonts w:ascii="Arial" w:hAnsi="Arial" w:cs="Arial"/>
          <w:b/>
          <w:u w:val="single"/>
        </w:rPr>
      </w:pPr>
      <w:r w:rsidRPr="00EE44ED">
        <w:rPr>
          <w:rFonts w:ascii="Arial" w:hAnsi="Arial" w:cs="Arial"/>
          <w:b/>
          <w:u w:val="single"/>
        </w:rPr>
        <w:t>Presupuesto Aprobado respecto del PIB:</w:t>
      </w:r>
    </w:p>
    <w:p w:rsidR="002B3B99" w:rsidRPr="00EE44ED" w:rsidRDefault="002B3B99" w:rsidP="006920A5">
      <w:pPr>
        <w:spacing w:after="0" w:line="240" w:lineRule="auto"/>
        <w:jc w:val="both"/>
        <w:rPr>
          <w:rFonts w:ascii="Arial" w:hAnsi="Arial" w:cs="Arial"/>
        </w:rPr>
      </w:pPr>
    </w:p>
    <w:p w:rsidR="002B3B99" w:rsidRDefault="0086099D" w:rsidP="006920A5">
      <w:pPr>
        <w:spacing w:after="0" w:line="240" w:lineRule="auto"/>
        <w:jc w:val="both"/>
        <w:rPr>
          <w:rFonts w:ascii="Arial" w:hAnsi="Arial" w:cs="Arial"/>
        </w:rPr>
      </w:pPr>
      <w:r w:rsidRPr="00EE44ED">
        <w:rPr>
          <w:rFonts w:ascii="Arial" w:hAnsi="Arial" w:cs="Arial"/>
        </w:rPr>
        <w:t>Al observar</w:t>
      </w:r>
      <w:r w:rsidRPr="00883687">
        <w:rPr>
          <w:rFonts w:ascii="Arial" w:hAnsi="Arial" w:cs="Arial"/>
        </w:rPr>
        <w:t xml:space="preserve"> </w:t>
      </w:r>
      <w:r w:rsidR="00FA46FB" w:rsidRPr="00883687">
        <w:rPr>
          <w:rFonts w:ascii="Arial" w:hAnsi="Arial" w:cs="Arial"/>
        </w:rPr>
        <w:t>la magnitud del presupuesto respecto de la producción nacional, se tiene que para 201</w:t>
      </w:r>
      <w:r w:rsidR="00F10484">
        <w:rPr>
          <w:rFonts w:ascii="Arial" w:hAnsi="Arial" w:cs="Arial"/>
        </w:rPr>
        <w:t>9</w:t>
      </w:r>
      <w:r w:rsidR="00FA46FB" w:rsidRPr="00883687">
        <w:rPr>
          <w:rFonts w:ascii="Arial" w:hAnsi="Arial" w:cs="Arial"/>
        </w:rPr>
        <w:t>, el mismo representa un 13.</w:t>
      </w:r>
      <w:r w:rsidR="007F5CC4">
        <w:rPr>
          <w:rFonts w:ascii="Arial" w:hAnsi="Arial" w:cs="Arial"/>
        </w:rPr>
        <w:t>7</w:t>
      </w:r>
      <w:r w:rsidR="00FA46FB" w:rsidRPr="00883687">
        <w:rPr>
          <w:rFonts w:ascii="Arial" w:hAnsi="Arial" w:cs="Arial"/>
        </w:rPr>
        <w:t xml:space="preserve">%. </w:t>
      </w:r>
    </w:p>
    <w:p w:rsidR="002B3B99" w:rsidRDefault="002B3B99" w:rsidP="006920A5">
      <w:pPr>
        <w:spacing w:after="0" w:line="240" w:lineRule="auto"/>
        <w:jc w:val="both"/>
        <w:rPr>
          <w:rFonts w:ascii="Arial" w:hAnsi="Arial" w:cs="Arial"/>
        </w:rPr>
      </w:pPr>
    </w:p>
    <w:p w:rsidR="00FA46FB" w:rsidRDefault="00FA46FB" w:rsidP="006920A5">
      <w:pPr>
        <w:spacing w:after="0" w:line="240" w:lineRule="auto"/>
        <w:jc w:val="both"/>
        <w:rPr>
          <w:rFonts w:ascii="Arial" w:hAnsi="Arial" w:cs="Arial"/>
        </w:rPr>
      </w:pPr>
      <w:r w:rsidRPr="00883687">
        <w:rPr>
          <w:rFonts w:ascii="Arial" w:hAnsi="Arial" w:cs="Arial"/>
        </w:rPr>
        <w:t xml:space="preserve">En los últimos años </w:t>
      </w:r>
      <w:r w:rsidR="00A0087C">
        <w:rPr>
          <w:rFonts w:ascii="Arial" w:hAnsi="Arial" w:cs="Arial"/>
        </w:rPr>
        <w:t xml:space="preserve">el presupuesto en términos del PIB </w:t>
      </w:r>
      <w:r w:rsidRPr="00883687">
        <w:rPr>
          <w:rFonts w:ascii="Arial" w:hAnsi="Arial" w:cs="Arial"/>
        </w:rPr>
        <w:t xml:space="preserve">ha oscilado entre 13.0% y 15.0%, lo que denota que aunque aumenta </w:t>
      </w:r>
      <w:r w:rsidR="00046305" w:rsidRPr="00883687">
        <w:rPr>
          <w:rFonts w:ascii="Arial" w:hAnsi="Arial" w:cs="Arial"/>
        </w:rPr>
        <w:t xml:space="preserve">año con año </w:t>
      </w:r>
      <w:r w:rsidRPr="00883687">
        <w:rPr>
          <w:rFonts w:ascii="Arial" w:hAnsi="Arial" w:cs="Arial"/>
        </w:rPr>
        <w:t xml:space="preserve">en su cifra </w:t>
      </w:r>
      <w:r w:rsidR="00A0087C">
        <w:rPr>
          <w:rFonts w:ascii="Arial" w:hAnsi="Arial" w:cs="Arial"/>
        </w:rPr>
        <w:t>nominal</w:t>
      </w:r>
      <w:r w:rsidRPr="00883687">
        <w:rPr>
          <w:rFonts w:ascii="Arial" w:hAnsi="Arial" w:cs="Arial"/>
        </w:rPr>
        <w:t>, no crece significativamente respecto de la producci</w:t>
      </w:r>
      <w:r w:rsidR="00046305" w:rsidRPr="00883687">
        <w:rPr>
          <w:rFonts w:ascii="Arial" w:hAnsi="Arial" w:cs="Arial"/>
        </w:rPr>
        <w:t>ón</w:t>
      </w:r>
      <w:r w:rsidR="007B3E0E">
        <w:rPr>
          <w:rFonts w:ascii="Arial" w:hAnsi="Arial" w:cs="Arial"/>
        </w:rPr>
        <w:t xml:space="preserve"> nacional</w:t>
      </w:r>
      <w:r w:rsidR="00046305" w:rsidRPr="00883687">
        <w:rPr>
          <w:rFonts w:ascii="Arial" w:hAnsi="Arial" w:cs="Arial"/>
        </w:rPr>
        <w:t>, y consiguientemente es difícil prestar eficiente</w:t>
      </w:r>
      <w:r w:rsidR="00001A99" w:rsidRPr="00883687">
        <w:rPr>
          <w:rFonts w:ascii="Arial" w:hAnsi="Arial" w:cs="Arial"/>
        </w:rPr>
        <w:t xml:space="preserve">mente los servicios a </w:t>
      </w:r>
      <w:r w:rsidR="00A0087C">
        <w:rPr>
          <w:rFonts w:ascii="Arial" w:hAnsi="Arial" w:cs="Arial"/>
        </w:rPr>
        <w:t>una</w:t>
      </w:r>
      <w:r w:rsidR="00A0087C" w:rsidRPr="00883687">
        <w:rPr>
          <w:rFonts w:ascii="Arial" w:hAnsi="Arial" w:cs="Arial"/>
        </w:rPr>
        <w:t xml:space="preserve"> </w:t>
      </w:r>
      <w:r w:rsidR="00001A99" w:rsidRPr="00883687">
        <w:rPr>
          <w:rFonts w:ascii="Arial" w:hAnsi="Arial" w:cs="Arial"/>
        </w:rPr>
        <w:t xml:space="preserve">población </w:t>
      </w:r>
      <w:r w:rsidR="00A0087C">
        <w:rPr>
          <w:rFonts w:ascii="Arial" w:hAnsi="Arial" w:cs="Arial"/>
        </w:rPr>
        <w:t>creciente</w:t>
      </w:r>
      <w:r w:rsidR="00001A99" w:rsidRPr="00883687">
        <w:rPr>
          <w:rFonts w:ascii="Arial" w:hAnsi="Arial" w:cs="Arial"/>
        </w:rPr>
        <w:t>.</w:t>
      </w:r>
    </w:p>
    <w:p w:rsidR="002B3B99" w:rsidRPr="00883687" w:rsidRDefault="002B3B99" w:rsidP="006920A5">
      <w:pPr>
        <w:spacing w:after="0" w:line="240" w:lineRule="auto"/>
        <w:jc w:val="both"/>
        <w:rPr>
          <w:rFonts w:ascii="Arial" w:hAnsi="Arial" w:cs="Arial"/>
        </w:rPr>
      </w:pPr>
    </w:p>
    <w:p w:rsidR="007D63F3" w:rsidRDefault="00001A99" w:rsidP="006920A5">
      <w:pPr>
        <w:spacing w:after="0" w:line="240" w:lineRule="auto"/>
        <w:jc w:val="both"/>
        <w:rPr>
          <w:rFonts w:ascii="Arial" w:hAnsi="Arial" w:cs="Arial"/>
        </w:rPr>
      </w:pPr>
      <w:r w:rsidRPr="00883687">
        <w:rPr>
          <w:rFonts w:ascii="Arial" w:hAnsi="Arial" w:cs="Arial"/>
        </w:rPr>
        <w:t xml:space="preserve">Por otro lado, </w:t>
      </w:r>
      <w:r w:rsidR="0086099D" w:rsidRPr="00883687">
        <w:rPr>
          <w:rFonts w:ascii="Arial" w:hAnsi="Arial" w:cs="Arial"/>
        </w:rPr>
        <w:t xml:space="preserve">vale destacar que Guatemala es el Estado </w:t>
      </w:r>
      <w:r w:rsidR="00A0087C" w:rsidRPr="00883687">
        <w:rPr>
          <w:rFonts w:ascii="Arial" w:hAnsi="Arial" w:cs="Arial"/>
        </w:rPr>
        <w:t>cuyo</w:t>
      </w:r>
      <w:r w:rsidR="00A0087C">
        <w:rPr>
          <w:rFonts w:ascii="Arial" w:hAnsi="Arial" w:cs="Arial"/>
        </w:rPr>
        <w:t xml:space="preserve"> presupuesto en </w:t>
      </w:r>
      <w:r w:rsidR="00521D1E">
        <w:rPr>
          <w:rFonts w:ascii="Arial" w:hAnsi="Arial" w:cs="Arial"/>
        </w:rPr>
        <w:t>términos</w:t>
      </w:r>
      <w:r w:rsidR="00A0087C">
        <w:rPr>
          <w:rFonts w:ascii="Arial" w:hAnsi="Arial" w:cs="Arial"/>
        </w:rPr>
        <w:t xml:space="preserve"> del PIB</w:t>
      </w:r>
      <w:r w:rsidR="00A0087C" w:rsidRPr="00883687">
        <w:rPr>
          <w:rFonts w:ascii="Arial" w:hAnsi="Arial" w:cs="Arial"/>
        </w:rPr>
        <w:t xml:space="preserve"> </w:t>
      </w:r>
      <w:r w:rsidR="00A0087C">
        <w:rPr>
          <w:rFonts w:ascii="Arial" w:hAnsi="Arial" w:cs="Arial"/>
        </w:rPr>
        <w:t>es de</w:t>
      </w:r>
      <w:r w:rsidR="0086099D" w:rsidRPr="00883687">
        <w:rPr>
          <w:rFonts w:ascii="Arial" w:hAnsi="Arial" w:cs="Arial"/>
        </w:rPr>
        <w:t xml:space="preserve"> los más </w:t>
      </w:r>
      <w:r w:rsidR="0003733F">
        <w:rPr>
          <w:rFonts w:ascii="Arial" w:hAnsi="Arial" w:cs="Arial"/>
        </w:rPr>
        <w:t>bajos</w:t>
      </w:r>
      <w:r w:rsidR="0086099D" w:rsidRPr="00883687">
        <w:rPr>
          <w:rFonts w:ascii="Arial" w:hAnsi="Arial" w:cs="Arial"/>
        </w:rPr>
        <w:t xml:space="preserve"> del mundo.</w:t>
      </w:r>
      <w:r w:rsidR="00F50310">
        <w:rPr>
          <w:rFonts w:ascii="Arial" w:hAnsi="Arial" w:cs="Arial"/>
        </w:rPr>
        <w:t xml:space="preserve">  Otro aspecto importante es que más que el tamaño del Estado, lo importante es su eficiencia en la prestación de los servicios a la población.</w:t>
      </w:r>
    </w:p>
    <w:p w:rsidR="002B3B99" w:rsidRDefault="002B3B99" w:rsidP="006920A5">
      <w:pPr>
        <w:spacing w:after="0" w:line="240" w:lineRule="auto"/>
        <w:jc w:val="both"/>
        <w:rPr>
          <w:rFonts w:ascii="Arial" w:hAnsi="Arial" w:cs="Arial"/>
        </w:rPr>
      </w:pPr>
    </w:p>
    <w:p w:rsidR="002B3B99" w:rsidRDefault="002B3B99">
      <w:pPr>
        <w:rPr>
          <w:rFonts w:ascii="Arial" w:hAnsi="Arial" w:cs="Arial"/>
        </w:rPr>
      </w:pPr>
      <w:r>
        <w:rPr>
          <w:rFonts w:ascii="Arial" w:hAnsi="Arial" w:cs="Arial"/>
        </w:rPr>
        <w:br w:type="page"/>
      </w:r>
    </w:p>
    <w:p w:rsidR="002B3B99" w:rsidRDefault="002B3B99" w:rsidP="006920A5">
      <w:pPr>
        <w:spacing w:after="0" w:line="240" w:lineRule="auto"/>
        <w:jc w:val="both"/>
        <w:rPr>
          <w:rFonts w:ascii="Arial" w:hAnsi="Arial" w:cs="Arial"/>
        </w:rPr>
      </w:pPr>
    </w:p>
    <w:p w:rsidR="000E6813" w:rsidRPr="00883687" w:rsidRDefault="000E6813" w:rsidP="006920A5">
      <w:pPr>
        <w:spacing w:after="0" w:line="240" w:lineRule="auto"/>
        <w:jc w:val="both"/>
        <w:rPr>
          <w:rFonts w:ascii="Arial" w:hAnsi="Arial" w:cs="Arial"/>
        </w:rPr>
      </w:pPr>
    </w:p>
    <w:p w:rsidR="00EB4952" w:rsidRDefault="00EB4952" w:rsidP="006920A5">
      <w:pPr>
        <w:spacing w:after="0"/>
        <w:jc w:val="center"/>
        <w:rPr>
          <w:rFonts w:ascii="Arial" w:hAnsi="Arial" w:cs="Arial"/>
          <w:b/>
          <w:sz w:val="24"/>
          <w:szCs w:val="24"/>
        </w:rPr>
      </w:pPr>
      <w:r w:rsidRPr="00883687">
        <w:rPr>
          <w:rFonts w:ascii="Arial" w:hAnsi="Arial" w:cs="Arial"/>
          <w:b/>
          <w:sz w:val="24"/>
          <w:szCs w:val="24"/>
        </w:rPr>
        <w:t>Gráfica No.</w:t>
      </w:r>
      <w:r w:rsidR="008D5B50">
        <w:rPr>
          <w:rFonts w:ascii="Arial" w:hAnsi="Arial" w:cs="Arial"/>
          <w:b/>
          <w:sz w:val="24"/>
          <w:szCs w:val="24"/>
        </w:rPr>
        <w:t xml:space="preserve"> 5</w:t>
      </w:r>
    </w:p>
    <w:p w:rsidR="007D63F3" w:rsidRPr="00883687" w:rsidRDefault="00B434AB">
      <w:pPr>
        <w:rPr>
          <w:rFonts w:ascii="Arial" w:hAnsi="Arial" w:cs="Arial"/>
        </w:rPr>
      </w:pPr>
      <w:r>
        <w:rPr>
          <w:noProof/>
        </w:rPr>
        <w:drawing>
          <wp:inline distT="0" distB="0" distL="0" distR="0" wp14:anchorId="0CAE89BC" wp14:editId="26B08A15">
            <wp:extent cx="5610225" cy="3810000"/>
            <wp:effectExtent l="0" t="0" r="0" b="0"/>
            <wp:docPr id="673" name="Gráfico 6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C6D34" w:rsidRPr="00EE44ED" w:rsidRDefault="00DC6D34">
      <w:pPr>
        <w:rPr>
          <w:rFonts w:ascii="Arial" w:hAnsi="Arial" w:cs="Arial"/>
        </w:rPr>
      </w:pPr>
    </w:p>
    <w:p w:rsidR="00DC6D34" w:rsidRPr="00EE44ED" w:rsidRDefault="00DC6D34" w:rsidP="00686846">
      <w:pPr>
        <w:pStyle w:val="Prrafodelista"/>
        <w:numPr>
          <w:ilvl w:val="0"/>
          <w:numId w:val="27"/>
        </w:numPr>
        <w:tabs>
          <w:tab w:val="left" w:pos="284"/>
        </w:tabs>
        <w:spacing w:after="0" w:line="240" w:lineRule="auto"/>
        <w:ind w:left="426" w:hanging="426"/>
        <w:jc w:val="both"/>
        <w:rPr>
          <w:rFonts w:ascii="Arial" w:hAnsi="Arial" w:cs="Arial"/>
          <w:b/>
          <w:u w:val="single"/>
        </w:rPr>
      </w:pPr>
      <w:r w:rsidRPr="00EE44ED">
        <w:rPr>
          <w:rFonts w:ascii="Arial" w:hAnsi="Arial" w:cs="Arial"/>
          <w:b/>
          <w:u w:val="single"/>
        </w:rPr>
        <w:t>Presupuesto Ejecutado respecto del PIB:</w:t>
      </w:r>
    </w:p>
    <w:p w:rsidR="00DC6D34" w:rsidRPr="00EE44ED" w:rsidRDefault="00DC6D34" w:rsidP="00DC6D34">
      <w:pPr>
        <w:spacing w:after="0" w:line="240" w:lineRule="auto"/>
        <w:jc w:val="both"/>
        <w:rPr>
          <w:rFonts w:ascii="Arial" w:hAnsi="Arial" w:cs="Arial"/>
          <w:b/>
          <w:u w:val="single"/>
        </w:rPr>
      </w:pPr>
    </w:p>
    <w:p w:rsidR="002B3B99" w:rsidRDefault="00DC6D34" w:rsidP="00DC6D34">
      <w:pPr>
        <w:spacing w:after="0" w:line="240" w:lineRule="auto"/>
        <w:ind w:hanging="1"/>
        <w:jc w:val="both"/>
        <w:rPr>
          <w:rFonts w:ascii="Arial" w:hAnsi="Arial" w:cs="Arial"/>
        </w:rPr>
      </w:pPr>
      <w:r w:rsidRPr="00883687">
        <w:rPr>
          <w:rFonts w:ascii="Arial" w:hAnsi="Arial" w:cs="Arial"/>
        </w:rPr>
        <w:t xml:space="preserve">El presupuesto ejecutado es el que registra los recursos que efectivamente se utilizaron a lo largo del ejercicio fiscal en la prestación de los servicios públicos. </w:t>
      </w:r>
    </w:p>
    <w:p w:rsidR="002B3B99" w:rsidRDefault="002B3B99" w:rsidP="00DC6D34">
      <w:pPr>
        <w:spacing w:after="0" w:line="240" w:lineRule="auto"/>
        <w:ind w:hanging="1"/>
        <w:jc w:val="both"/>
        <w:rPr>
          <w:rFonts w:ascii="Arial" w:hAnsi="Arial" w:cs="Arial"/>
        </w:rPr>
      </w:pPr>
    </w:p>
    <w:p w:rsidR="00DC6D34" w:rsidRPr="00883687" w:rsidRDefault="00DC6D34" w:rsidP="00DC6D34">
      <w:pPr>
        <w:spacing w:after="0" w:line="240" w:lineRule="auto"/>
        <w:ind w:hanging="1"/>
        <w:jc w:val="both"/>
        <w:rPr>
          <w:rFonts w:ascii="Arial" w:hAnsi="Arial" w:cs="Arial"/>
        </w:rPr>
      </w:pPr>
      <w:r w:rsidRPr="00883687">
        <w:rPr>
          <w:rFonts w:ascii="Arial" w:hAnsi="Arial" w:cs="Arial"/>
        </w:rPr>
        <w:t>En 201</w:t>
      </w:r>
      <w:r w:rsidR="00EC3E67">
        <w:rPr>
          <w:rFonts w:ascii="Arial" w:hAnsi="Arial" w:cs="Arial"/>
        </w:rPr>
        <w:t>8</w:t>
      </w:r>
      <w:r w:rsidRPr="00883687">
        <w:rPr>
          <w:rFonts w:ascii="Arial" w:hAnsi="Arial" w:cs="Arial"/>
        </w:rPr>
        <w:t xml:space="preserve"> la ejecución del presupuesto representó un 1</w:t>
      </w:r>
      <w:r w:rsidR="00EC3E67">
        <w:rPr>
          <w:rFonts w:ascii="Arial" w:hAnsi="Arial" w:cs="Arial"/>
        </w:rPr>
        <w:t>3</w:t>
      </w:r>
      <w:r w:rsidRPr="00883687">
        <w:rPr>
          <w:rFonts w:ascii="Arial" w:hAnsi="Arial" w:cs="Arial"/>
        </w:rPr>
        <w:t>.</w:t>
      </w:r>
      <w:r w:rsidR="007F5CC4">
        <w:rPr>
          <w:rFonts w:ascii="Arial" w:hAnsi="Arial" w:cs="Arial"/>
        </w:rPr>
        <w:t>8</w:t>
      </w:r>
      <w:r w:rsidRPr="00883687">
        <w:rPr>
          <w:rFonts w:ascii="Arial" w:hAnsi="Arial" w:cs="Arial"/>
        </w:rPr>
        <w:t xml:space="preserve">% </w:t>
      </w:r>
      <w:r w:rsidR="007B3E0E">
        <w:rPr>
          <w:rFonts w:ascii="Arial" w:hAnsi="Arial" w:cs="Arial"/>
        </w:rPr>
        <w:t>con</w:t>
      </w:r>
      <w:r w:rsidRPr="00883687">
        <w:rPr>
          <w:rFonts w:ascii="Arial" w:hAnsi="Arial" w:cs="Arial"/>
        </w:rPr>
        <w:t xml:space="preserve"> relación al Producto Interno Bruto. Para 201</w:t>
      </w:r>
      <w:r w:rsidR="00EC3E67">
        <w:rPr>
          <w:rFonts w:ascii="Arial" w:hAnsi="Arial" w:cs="Arial"/>
        </w:rPr>
        <w:t>9</w:t>
      </w:r>
      <w:r w:rsidRPr="00883687">
        <w:rPr>
          <w:rFonts w:ascii="Arial" w:hAnsi="Arial" w:cs="Arial"/>
        </w:rPr>
        <w:t xml:space="preserve"> el porcentaje </w:t>
      </w:r>
      <w:r w:rsidR="00AB716E">
        <w:rPr>
          <w:rFonts w:ascii="Arial" w:hAnsi="Arial" w:cs="Arial"/>
        </w:rPr>
        <w:t>se estima en</w:t>
      </w:r>
      <w:r w:rsidRPr="00883687">
        <w:rPr>
          <w:rFonts w:ascii="Arial" w:hAnsi="Arial" w:cs="Arial"/>
        </w:rPr>
        <w:t xml:space="preserve"> 13</w:t>
      </w:r>
      <w:r w:rsidR="002E615D" w:rsidRPr="00883687">
        <w:rPr>
          <w:rFonts w:ascii="Arial" w:hAnsi="Arial" w:cs="Arial"/>
        </w:rPr>
        <w:t>.</w:t>
      </w:r>
      <w:r w:rsidR="007F5CC4">
        <w:rPr>
          <w:rFonts w:ascii="Arial" w:hAnsi="Arial" w:cs="Arial"/>
        </w:rPr>
        <w:t>7</w:t>
      </w:r>
      <w:r w:rsidRPr="00883687">
        <w:rPr>
          <w:rFonts w:ascii="Arial" w:hAnsi="Arial" w:cs="Arial"/>
        </w:rPr>
        <w:t xml:space="preserve">%, sin menoscabo de reorientar el uso de los recursos públicos para cubrir en mayor medida las demandas sociales en </w:t>
      </w:r>
      <w:r w:rsidR="006911AE">
        <w:rPr>
          <w:rFonts w:ascii="Arial" w:hAnsi="Arial" w:cs="Arial"/>
        </w:rPr>
        <w:t xml:space="preserve">los </w:t>
      </w:r>
      <w:r w:rsidRPr="00883687">
        <w:rPr>
          <w:rFonts w:ascii="Arial" w:hAnsi="Arial" w:cs="Arial"/>
        </w:rPr>
        <w:t>sectores de salud, educación, desarrollo y protección ambiental, justicia, seguridad y defensa, principalmente.</w:t>
      </w:r>
    </w:p>
    <w:p w:rsidR="005F7F4E" w:rsidRDefault="005F7F4E" w:rsidP="005F7F4E">
      <w:pPr>
        <w:spacing w:after="0"/>
        <w:rPr>
          <w:rFonts w:ascii="Arial" w:hAnsi="Arial" w:cs="Arial"/>
        </w:rPr>
      </w:pPr>
    </w:p>
    <w:p w:rsidR="005F7F4E" w:rsidRDefault="005F7F4E" w:rsidP="005F7F4E">
      <w:pPr>
        <w:spacing w:after="0"/>
        <w:jc w:val="both"/>
        <w:rPr>
          <w:rFonts w:ascii="Arial" w:hAnsi="Arial" w:cs="Arial"/>
        </w:rPr>
      </w:pPr>
      <w:r>
        <w:rPr>
          <w:rFonts w:ascii="Arial" w:hAnsi="Arial" w:cs="Arial"/>
        </w:rPr>
        <w:t>También es importante resaltar que durante la ejecución del presupuesto 201</w:t>
      </w:r>
      <w:r w:rsidR="004149C1">
        <w:rPr>
          <w:rFonts w:ascii="Arial" w:hAnsi="Arial" w:cs="Arial"/>
        </w:rPr>
        <w:t>9</w:t>
      </w:r>
      <w:r>
        <w:rPr>
          <w:rFonts w:ascii="Arial" w:hAnsi="Arial" w:cs="Arial"/>
        </w:rPr>
        <w:t xml:space="preserve"> </w:t>
      </w:r>
      <w:r w:rsidR="004149C1">
        <w:rPr>
          <w:rFonts w:ascii="Arial" w:hAnsi="Arial" w:cs="Arial"/>
        </w:rPr>
        <w:t xml:space="preserve">será necesario </w:t>
      </w:r>
      <w:r w:rsidR="00A26809">
        <w:rPr>
          <w:rFonts w:ascii="Arial" w:hAnsi="Arial" w:cs="Arial"/>
        </w:rPr>
        <w:t>efect</w:t>
      </w:r>
      <w:r w:rsidR="004149C1">
        <w:rPr>
          <w:rFonts w:ascii="Arial" w:hAnsi="Arial" w:cs="Arial"/>
        </w:rPr>
        <w:t>uar</w:t>
      </w:r>
      <w:r w:rsidR="00A26809">
        <w:rPr>
          <w:rFonts w:ascii="Arial" w:hAnsi="Arial" w:cs="Arial"/>
        </w:rPr>
        <w:t xml:space="preserve"> </w:t>
      </w:r>
      <w:r>
        <w:rPr>
          <w:rFonts w:ascii="Arial" w:hAnsi="Arial" w:cs="Arial"/>
        </w:rPr>
        <w:t xml:space="preserve">diversas modificaciones presupuestarias que </w:t>
      </w:r>
      <w:r w:rsidR="004149C1">
        <w:rPr>
          <w:rFonts w:ascii="Arial" w:hAnsi="Arial" w:cs="Arial"/>
        </w:rPr>
        <w:t>el Congreso de la República estableció en el Decreto No. 25-2018, Ley del Presupuesto General de Ingresos y Egresos del Estado para el Ejercicio Fiscal 2019, además de las que pudieran ser necesarias por otras razones no previstas.</w:t>
      </w:r>
    </w:p>
    <w:p w:rsidR="005F7F4E" w:rsidRDefault="005F7F4E" w:rsidP="005F7F4E">
      <w:pPr>
        <w:spacing w:after="0"/>
        <w:jc w:val="both"/>
        <w:rPr>
          <w:rFonts w:ascii="Arial" w:hAnsi="Arial" w:cs="Arial"/>
        </w:rPr>
      </w:pPr>
    </w:p>
    <w:p w:rsidR="002B3B99" w:rsidRDefault="002B3B99" w:rsidP="005F7F4E">
      <w:pPr>
        <w:spacing w:after="0"/>
        <w:rPr>
          <w:rFonts w:ascii="Arial" w:hAnsi="Arial" w:cs="Arial"/>
        </w:rPr>
      </w:pPr>
      <w:r>
        <w:rPr>
          <w:rFonts w:ascii="Arial" w:hAnsi="Arial" w:cs="Arial"/>
        </w:rPr>
        <w:br w:type="page"/>
      </w:r>
    </w:p>
    <w:p w:rsidR="000E6813" w:rsidRPr="00883687" w:rsidRDefault="000E6813">
      <w:pPr>
        <w:rPr>
          <w:rFonts w:ascii="Arial" w:hAnsi="Arial" w:cs="Arial"/>
        </w:rPr>
      </w:pPr>
    </w:p>
    <w:p w:rsidR="00EB4952" w:rsidRDefault="00EB4952" w:rsidP="00EB4952">
      <w:pPr>
        <w:jc w:val="center"/>
        <w:rPr>
          <w:rFonts w:ascii="Arial" w:hAnsi="Arial" w:cs="Arial"/>
          <w:b/>
          <w:sz w:val="24"/>
          <w:szCs w:val="24"/>
        </w:rPr>
      </w:pPr>
      <w:r w:rsidRPr="00883687">
        <w:rPr>
          <w:rFonts w:ascii="Arial" w:hAnsi="Arial" w:cs="Arial"/>
          <w:b/>
          <w:sz w:val="24"/>
          <w:szCs w:val="24"/>
        </w:rPr>
        <w:t>Gráfica No.</w:t>
      </w:r>
      <w:r w:rsidR="008D5B50">
        <w:rPr>
          <w:rFonts w:ascii="Arial" w:hAnsi="Arial" w:cs="Arial"/>
          <w:b/>
          <w:sz w:val="24"/>
          <w:szCs w:val="24"/>
        </w:rPr>
        <w:t xml:space="preserve"> 6</w:t>
      </w:r>
    </w:p>
    <w:p w:rsidR="00EC3E67" w:rsidRDefault="00530A86" w:rsidP="00EB4952">
      <w:pPr>
        <w:jc w:val="center"/>
        <w:rPr>
          <w:rFonts w:ascii="Arial" w:hAnsi="Arial" w:cs="Arial"/>
          <w:b/>
          <w:sz w:val="24"/>
          <w:szCs w:val="24"/>
        </w:rPr>
      </w:pPr>
      <w:r>
        <w:rPr>
          <w:noProof/>
        </w:rPr>
        <w:drawing>
          <wp:inline distT="0" distB="0" distL="0" distR="0" wp14:anchorId="2C7F9976" wp14:editId="47CA437A">
            <wp:extent cx="5612130" cy="3885565"/>
            <wp:effectExtent l="0" t="0" r="0" b="0"/>
            <wp:docPr id="681" name="Gráfico 6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12267" w:rsidRDefault="00512267" w:rsidP="00EB4952">
      <w:pPr>
        <w:jc w:val="center"/>
        <w:rPr>
          <w:rFonts w:ascii="Arial" w:hAnsi="Arial" w:cs="Arial"/>
          <w:b/>
          <w:sz w:val="24"/>
          <w:szCs w:val="24"/>
        </w:rPr>
      </w:pPr>
    </w:p>
    <w:p w:rsidR="006362E0" w:rsidRPr="00883687" w:rsidRDefault="006362E0" w:rsidP="00EB4952">
      <w:pPr>
        <w:jc w:val="center"/>
        <w:rPr>
          <w:rFonts w:ascii="Arial" w:hAnsi="Arial" w:cs="Arial"/>
          <w:sz w:val="24"/>
          <w:szCs w:val="24"/>
          <w:lang w:val="es-MX"/>
        </w:rPr>
      </w:pPr>
    </w:p>
    <w:p w:rsidR="007D63F3" w:rsidRPr="00883687" w:rsidRDefault="007D63F3">
      <w:pPr>
        <w:rPr>
          <w:rFonts w:ascii="Arial" w:hAnsi="Arial" w:cs="Arial"/>
        </w:rPr>
      </w:pPr>
    </w:p>
    <w:p w:rsidR="005C37D7" w:rsidRPr="00883687" w:rsidRDefault="005C37D7">
      <w:pPr>
        <w:rPr>
          <w:rFonts w:ascii="Arial" w:hAnsi="Arial" w:cs="Arial"/>
        </w:rPr>
      </w:pPr>
      <w:r w:rsidRPr="00883687">
        <w:rPr>
          <w:rFonts w:ascii="Arial" w:hAnsi="Arial" w:cs="Arial"/>
        </w:rPr>
        <w:br w:type="page"/>
      </w:r>
    </w:p>
    <w:p w:rsidR="005C37D7" w:rsidRPr="00883687" w:rsidRDefault="005C37D7" w:rsidP="005C37D7">
      <w:pPr>
        <w:spacing w:after="0" w:line="240" w:lineRule="auto"/>
        <w:jc w:val="center"/>
        <w:rPr>
          <w:rFonts w:ascii="Arial" w:hAnsi="Arial" w:cs="Arial"/>
          <w:b/>
          <w:sz w:val="40"/>
          <w:szCs w:val="40"/>
          <w:lang w:val="es-MX"/>
        </w:rPr>
      </w:pPr>
    </w:p>
    <w:p w:rsidR="005C37D7" w:rsidRPr="00530A86" w:rsidRDefault="00FF57BD" w:rsidP="005C37D7">
      <w:pPr>
        <w:spacing w:after="0" w:line="240" w:lineRule="auto"/>
        <w:jc w:val="center"/>
        <w:rPr>
          <w:rFonts w:ascii="Arial" w:hAnsi="Arial" w:cs="Arial"/>
          <w:b/>
          <w:sz w:val="40"/>
          <w:szCs w:val="40"/>
          <w:lang w:val="es-MX"/>
        </w:rPr>
      </w:pPr>
      <w:r w:rsidRPr="00530A86">
        <w:rPr>
          <w:rFonts w:ascii="Arial" w:hAnsi="Arial" w:cs="Arial"/>
          <w:b/>
          <w:sz w:val="40"/>
          <w:szCs w:val="40"/>
          <w:lang w:val="es-MX"/>
        </w:rPr>
        <w:t>CAPÍTULO I</w:t>
      </w:r>
      <w:r w:rsidR="005C37D7" w:rsidRPr="00530A86">
        <w:rPr>
          <w:rFonts w:ascii="Arial" w:hAnsi="Arial" w:cs="Arial"/>
          <w:b/>
          <w:sz w:val="40"/>
          <w:szCs w:val="40"/>
          <w:lang w:val="es-MX"/>
        </w:rPr>
        <w:t>I</w:t>
      </w:r>
    </w:p>
    <w:p w:rsidR="005C37D7" w:rsidRPr="00883687" w:rsidRDefault="005C37D7" w:rsidP="005C37D7">
      <w:pPr>
        <w:spacing w:after="0" w:line="240" w:lineRule="auto"/>
        <w:jc w:val="center"/>
        <w:rPr>
          <w:rFonts w:ascii="Arial" w:hAnsi="Arial" w:cs="Arial"/>
          <w:b/>
          <w:sz w:val="24"/>
          <w:szCs w:val="24"/>
        </w:rPr>
      </w:pPr>
    </w:p>
    <w:p w:rsidR="005C37D7" w:rsidRPr="00530A86" w:rsidRDefault="003C455A" w:rsidP="003C455A">
      <w:pPr>
        <w:spacing w:after="0" w:line="240" w:lineRule="auto"/>
        <w:rPr>
          <w:rFonts w:ascii="Arial" w:hAnsi="Arial" w:cs="Arial"/>
          <w:sz w:val="24"/>
          <w:szCs w:val="24"/>
        </w:rPr>
      </w:pPr>
      <w:r w:rsidRPr="00530A86">
        <w:rPr>
          <w:rFonts w:ascii="Arial" w:hAnsi="Arial" w:cs="Arial"/>
          <w:b/>
          <w:sz w:val="24"/>
          <w:szCs w:val="24"/>
        </w:rPr>
        <w:t xml:space="preserve">II </w:t>
      </w:r>
      <w:r w:rsidR="005C37D7" w:rsidRPr="00530A86">
        <w:rPr>
          <w:rFonts w:ascii="Arial" w:hAnsi="Arial" w:cs="Arial"/>
          <w:b/>
          <w:sz w:val="24"/>
          <w:szCs w:val="24"/>
        </w:rPr>
        <w:t>PRESUPUESTO 201</w:t>
      </w:r>
      <w:r w:rsidR="00572EBF" w:rsidRPr="00530A86">
        <w:rPr>
          <w:rFonts w:ascii="Arial" w:hAnsi="Arial" w:cs="Arial"/>
          <w:b/>
          <w:sz w:val="24"/>
          <w:szCs w:val="24"/>
        </w:rPr>
        <w:t>9</w:t>
      </w:r>
    </w:p>
    <w:p w:rsidR="005C37D7" w:rsidRDefault="005C37D7" w:rsidP="00FD737C">
      <w:pPr>
        <w:spacing w:after="0" w:line="240" w:lineRule="auto"/>
        <w:jc w:val="both"/>
        <w:rPr>
          <w:rFonts w:ascii="Arial" w:hAnsi="Arial" w:cs="Arial"/>
          <w:sz w:val="24"/>
          <w:szCs w:val="24"/>
        </w:rPr>
      </w:pPr>
    </w:p>
    <w:p w:rsidR="005C37D7" w:rsidRPr="00883687" w:rsidRDefault="005C37D7" w:rsidP="00FD737C">
      <w:pPr>
        <w:spacing w:line="240" w:lineRule="auto"/>
        <w:jc w:val="both"/>
        <w:rPr>
          <w:rFonts w:ascii="Arial" w:hAnsi="Arial" w:cs="Arial"/>
        </w:rPr>
      </w:pPr>
      <w:r w:rsidRPr="00883687">
        <w:rPr>
          <w:rFonts w:ascii="Arial" w:hAnsi="Arial" w:cs="Arial"/>
        </w:rPr>
        <w:t xml:space="preserve">El Presupuesto General de Ingresos y Egresos del Estado </w:t>
      </w:r>
      <w:r w:rsidR="008D309C">
        <w:rPr>
          <w:rFonts w:ascii="Arial" w:hAnsi="Arial" w:cs="Arial"/>
        </w:rPr>
        <w:t xml:space="preserve">aprobado </w:t>
      </w:r>
      <w:r w:rsidRPr="00883687">
        <w:rPr>
          <w:rFonts w:ascii="Arial" w:hAnsi="Arial" w:cs="Arial"/>
        </w:rPr>
        <w:t>para el Ejercicio Fiscal 201</w:t>
      </w:r>
      <w:r w:rsidR="00A23225">
        <w:rPr>
          <w:rFonts w:ascii="Arial" w:hAnsi="Arial" w:cs="Arial"/>
        </w:rPr>
        <w:t>9</w:t>
      </w:r>
      <w:r w:rsidR="00E66B50">
        <w:rPr>
          <w:rFonts w:ascii="Arial" w:hAnsi="Arial" w:cs="Arial"/>
        </w:rPr>
        <w:t xml:space="preserve">, </w:t>
      </w:r>
      <w:r w:rsidRPr="00883687">
        <w:rPr>
          <w:rFonts w:ascii="Arial" w:hAnsi="Arial" w:cs="Arial"/>
        </w:rPr>
        <w:t xml:space="preserve">alcanza la suma de </w:t>
      </w:r>
      <w:r w:rsidR="00DB036C" w:rsidRPr="00883687">
        <w:rPr>
          <w:rFonts w:ascii="Arial" w:hAnsi="Arial" w:cs="Arial"/>
          <w:bCs/>
        </w:rPr>
        <w:t>Q.</w:t>
      </w:r>
      <w:r w:rsidR="00A23225">
        <w:rPr>
          <w:rFonts w:ascii="Arial" w:hAnsi="Arial" w:cs="Arial"/>
          <w:bCs/>
        </w:rPr>
        <w:t>87,715.</w:t>
      </w:r>
      <w:r w:rsidR="0003733F">
        <w:rPr>
          <w:rFonts w:ascii="Arial" w:hAnsi="Arial" w:cs="Arial"/>
          <w:bCs/>
        </w:rPr>
        <w:t>1</w:t>
      </w:r>
      <w:r w:rsidR="00DB036C" w:rsidRPr="00883687">
        <w:rPr>
          <w:rFonts w:ascii="Arial" w:hAnsi="Arial" w:cs="Arial"/>
          <w:bCs/>
        </w:rPr>
        <w:t xml:space="preserve"> millones</w:t>
      </w:r>
      <w:r w:rsidRPr="00883687">
        <w:rPr>
          <w:rFonts w:ascii="Arial" w:hAnsi="Arial" w:cs="Arial"/>
        </w:rPr>
        <w:t>, fue elaborado con base en las estimaciones macroeconómicas proporcionadas por el Banco de Guatemala, así como las estimaciones de ingresos por concepto de impuestos de la Superintendencia de Administración Tributaria –SAT- y del Ministerio de Finanzas Públicas</w:t>
      </w:r>
      <w:r w:rsidR="008D309C">
        <w:rPr>
          <w:rFonts w:ascii="Arial" w:hAnsi="Arial" w:cs="Arial"/>
        </w:rPr>
        <w:t>.</w:t>
      </w:r>
      <w:r w:rsidR="008D309C" w:rsidRPr="00883687">
        <w:rPr>
          <w:rFonts w:ascii="Arial" w:hAnsi="Arial" w:cs="Arial"/>
        </w:rPr>
        <w:t xml:space="preserve"> </w:t>
      </w:r>
      <w:r w:rsidR="008D309C">
        <w:rPr>
          <w:rFonts w:ascii="Arial" w:hAnsi="Arial" w:cs="Arial"/>
        </w:rPr>
        <w:t>Adicionalmente, incluye</w:t>
      </w:r>
      <w:r w:rsidRPr="00883687">
        <w:rPr>
          <w:rFonts w:ascii="Arial" w:hAnsi="Arial" w:cs="Arial"/>
        </w:rPr>
        <w:t xml:space="preserve"> las modificaciones que el Congreso de la República consideró pertinentes al momento de su aprobación.</w:t>
      </w:r>
    </w:p>
    <w:p w:rsidR="005C37D7" w:rsidRPr="00883687" w:rsidRDefault="005C37D7" w:rsidP="00FD737C">
      <w:pPr>
        <w:spacing w:after="0" w:line="240" w:lineRule="auto"/>
        <w:jc w:val="both"/>
        <w:rPr>
          <w:rFonts w:ascii="Arial" w:hAnsi="Arial" w:cs="Arial"/>
        </w:rPr>
      </w:pPr>
      <w:r w:rsidRPr="00883687">
        <w:rPr>
          <w:rFonts w:ascii="Arial" w:hAnsi="Arial" w:cs="Arial"/>
        </w:rPr>
        <w:t>Para contar con un panorama general del presupuesto 201</w:t>
      </w:r>
      <w:r w:rsidR="003C1C57">
        <w:rPr>
          <w:rFonts w:ascii="Arial" w:hAnsi="Arial" w:cs="Arial"/>
        </w:rPr>
        <w:t>9</w:t>
      </w:r>
      <w:r w:rsidRPr="00883687">
        <w:rPr>
          <w:rFonts w:ascii="Arial" w:hAnsi="Arial" w:cs="Arial"/>
        </w:rPr>
        <w:t xml:space="preserve">, se muestran en forma gráfica los ingresos, </w:t>
      </w:r>
      <w:r w:rsidR="000E3865">
        <w:rPr>
          <w:rFonts w:ascii="Arial" w:hAnsi="Arial" w:cs="Arial"/>
        </w:rPr>
        <w:t xml:space="preserve">posteriormente </w:t>
      </w:r>
      <w:r w:rsidRPr="00883687">
        <w:rPr>
          <w:rFonts w:ascii="Arial" w:hAnsi="Arial" w:cs="Arial"/>
        </w:rPr>
        <w:t>los egresos desde sus principales perspectivas o formas de clasificación.  Ambas categorías al regirse por el principio de “equilibrio presupuestario”, permiten que con las distintas estimaciones de ingresos, se financien las autorizaciones máximas de egresos para el período fiscal de un año.</w:t>
      </w:r>
    </w:p>
    <w:p w:rsidR="005C37D7" w:rsidRPr="00883687" w:rsidRDefault="005C37D7" w:rsidP="00FD737C">
      <w:pPr>
        <w:spacing w:line="240" w:lineRule="auto"/>
        <w:rPr>
          <w:rFonts w:ascii="Arial" w:hAnsi="Arial" w:cs="Arial"/>
        </w:rPr>
      </w:pPr>
    </w:p>
    <w:p w:rsidR="007D63F3" w:rsidRPr="00883687" w:rsidRDefault="00BA3897" w:rsidP="008D309C">
      <w:pPr>
        <w:tabs>
          <w:tab w:val="left" w:pos="4678"/>
        </w:tabs>
        <w:rPr>
          <w:rFonts w:ascii="Arial" w:hAnsi="Arial" w:cs="Arial"/>
        </w:rPr>
      </w:pPr>
      <w:r w:rsidRPr="00883687">
        <w:rPr>
          <w:rFonts w:ascii="Arial" w:hAnsi="Arial" w:cs="Arial"/>
          <w:noProof/>
        </w:rPr>
        <w:drawing>
          <wp:inline distT="0" distB="0" distL="0" distR="0" wp14:anchorId="286BEC62" wp14:editId="4F5826F2">
            <wp:extent cx="5486400" cy="3648075"/>
            <wp:effectExtent l="0" t="0" r="0" b="47625"/>
            <wp:docPr id="18"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8064E3" w:rsidRDefault="008064E3">
      <w:pPr>
        <w:rPr>
          <w:rFonts w:ascii="Arial" w:hAnsi="Arial" w:cs="Arial"/>
        </w:rPr>
      </w:pPr>
      <w:r>
        <w:rPr>
          <w:rFonts w:ascii="Arial" w:hAnsi="Arial" w:cs="Arial"/>
        </w:rPr>
        <w:br w:type="page"/>
      </w:r>
    </w:p>
    <w:p w:rsidR="00FA77CC" w:rsidRPr="00883687" w:rsidRDefault="00AB716E">
      <w:pPr>
        <w:rPr>
          <w:rFonts w:ascii="Arial" w:hAnsi="Arial" w:cs="Arial"/>
        </w:rPr>
      </w:pPr>
      <w:r>
        <w:rPr>
          <w:rFonts w:ascii="Arial" w:hAnsi="Arial" w:cs="Arial"/>
          <w:noProof/>
        </w:rPr>
        <w:lastRenderedPageBreak/>
        <mc:AlternateContent>
          <mc:Choice Requires="wps">
            <w:drawing>
              <wp:anchor distT="0" distB="0" distL="114300" distR="114300" simplePos="0" relativeHeight="251667456" behindDoc="0" locked="0" layoutInCell="1" allowOverlap="1" wp14:anchorId="03DAE65D" wp14:editId="7FC42618">
                <wp:simplePos x="0" y="0"/>
                <wp:positionH relativeFrom="column">
                  <wp:posOffset>356235</wp:posOffset>
                </wp:positionH>
                <wp:positionV relativeFrom="paragraph">
                  <wp:posOffset>-137795</wp:posOffset>
                </wp:positionV>
                <wp:extent cx="2695575" cy="2038350"/>
                <wp:effectExtent l="17145" t="19050" r="1783080" b="19050"/>
                <wp:wrapNone/>
                <wp:docPr id="28"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575" cy="2038350"/>
                        </a:xfrm>
                        <a:prstGeom prst="cloudCallout">
                          <a:avLst>
                            <a:gd name="adj1" fmla="val 112593"/>
                            <a:gd name="adj2" fmla="val -28505"/>
                          </a:avLst>
                        </a:prstGeom>
                        <a:solidFill>
                          <a:schemeClr val="lt1">
                            <a:lumMod val="100000"/>
                            <a:lumOff val="0"/>
                          </a:schemeClr>
                        </a:solidFill>
                        <a:ln w="31750">
                          <a:solidFill>
                            <a:srgbClr val="7030A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F569C8" w:rsidRPr="00883687" w:rsidRDefault="00F569C8" w:rsidP="00C66D63">
                            <w:pPr>
                              <w:jc w:val="center"/>
                              <w:rPr>
                                <w:rFonts w:ascii="Arial" w:hAnsi="Arial" w:cs="Arial"/>
                                <w:b/>
                                <w:sz w:val="24"/>
                                <w:szCs w:val="24"/>
                              </w:rPr>
                            </w:pPr>
                            <w:r>
                              <w:rPr>
                                <w:rFonts w:ascii="Arial" w:hAnsi="Arial" w:cs="Arial"/>
                                <w:b/>
                                <w:sz w:val="24"/>
                                <w:szCs w:val="24"/>
                              </w:rPr>
                              <w:t xml:space="preserve">¿Cuál fue el comportamiento del </w:t>
                            </w:r>
                            <w:r w:rsidRPr="00883687">
                              <w:rPr>
                                <w:rFonts w:ascii="Arial" w:hAnsi="Arial" w:cs="Arial"/>
                                <w:b/>
                                <w:sz w:val="24"/>
                                <w:szCs w:val="24"/>
                              </w:rPr>
                              <w:t xml:space="preserve">Presupuesto </w:t>
                            </w:r>
                            <w:r>
                              <w:rPr>
                                <w:rFonts w:ascii="Arial" w:hAnsi="Arial" w:cs="Arial"/>
                                <w:b/>
                                <w:sz w:val="24"/>
                                <w:szCs w:val="24"/>
                              </w:rPr>
                              <w:t>del año anterior y a cuánto asciende el Presupuesto 2019?</w:t>
                            </w:r>
                          </w:p>
                          <w:p w:rsidR="00F569C8" w:rsidRPr="00C66D63" w:rsidRDefault="00F569C8" w:rsidP="00C66D6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15" o:spid="_x0000_s1026" type="#_x0000_t106" style="position:absolute;margin-left:28.05pt;margin-top:-10.85pt;width:212.25pt;height:16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" adj="35120,4643" fillcolor="white [3201]" strokecolor="#7030a0" strokeweight="2.5pt">
                <v:shadow color="#868686"/>
                <v:textbox>
                  <w:txbxContent>
                    <w:p w:rsidR="007E48EA" w:rsidRPr="00883687" w:rsidRDefault="007E48EA" w:rsidP="00C66D63">
                      <w:pPr>
                        <w:jc w:val="center"/>
                        <w:rPr>
                          <w:rFonts w:ascii="Arial" w:hAnsi="Arial" w:cs="Arial"/>
                          <w:b/>
                          <w:sz w:val="24"/>
                          <w:szCs w:val="24"/>
                        </w:rPr>
                      </w:pPr>
                      <w:r>
                        <w:rPr>
                          <w:rFonts w:ascii="Arial" w:hAnsi="Arial" w:cs="Arial"/>
                          <w:b/>
                          <w:sz w:val="24"/>
                          <w:szCs w:val="24"/>
                        </w:rPr>
                        <w:t xml:space="preserve">¿Cuál fue el comportamiento del </w:t>
                      </w:r>
                      <w:r w:rsidRPr="00883687">
                        <w:rPr>
                          <w:rFonts w:ascii="Arial" w:hAnsi="Arial" w:cs="Arial"/>
                          <w:b/>
                          <w:sz w:val="24"/>
                          <w:szCs w:val="24"/>
                        </w:rPr>
                        <w:t xml:space="preserve">Presupuesto </w:t>
                      </w:r>
                      <w:r>
                        <w:rPr>
                          <w:rFonts w:ascii="Arial" w:hAnsi="Arial" w:cs="Arial"/>
                          <w:b/>
                          <w:sz w:val="24"/>
                          <w:szCs w:val="24"/>
                        </w:rPr>
                        <w:t>del año anterior y a cuánto asciende el Presupuesto 2019?</w:t>
                      </w:r>
                    </w:p>
                    <w:p w:rsidR="007E48EA" w:rsidRPr="00C66D63" w:rsidRDefault="007E48EA" w:rsidP="00C66D63">
                      <w:pPr>
                        <w:jc w:val="center"/>
                      </w:pPr>
                    </w:p>
                  </w:txbxContent>
                </v:textbox>
              </v:shape>
            </w:pict>
          </mc:Fallback>
        </mc:AlternateContent>
      </w:r>
    </w:p>
    <w:p w:rsidR="00C66D63" w:rsidRDefault="00B34363" w:rsidP="00CF7FD3">
      <w:pPr>
        <w:jc w:val="right"/>
        <w:rPr>
          <w:rFonts w:ascii="Arial" w:hAnsi="Arial" w:cs="Arial"/>
          <w:b/>
          <w:sz w:val="24"/>
          <w:szCs w:val="24"/>
        </w:rPr>
      </w:pPr>
      <w:r w:rsidRPr="00B34363">
        <w:rPr>
          <w:noProof/>
          <w:szCs w:val="24"/>
        </w:rPr>
        <w:drawing>
          <wp:inline distT="0" distB="0" distL="0" distR="0" wp14:anchorId="22F65C49" wp14:editId="603F0FD8">
            <wp:extent cx="1971675" cy="2324100"/>
            <wp:effectExtent l="19050" t="0" r="9525" b="0"/>
            <wp:docPr id="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srcRect/>
                    <a:stretch>
                      <a:fillRect/>
                    </a:stretch>
                  </pic:blipFill>
                  <pic:spPr bwMode="auto">
                    <a:xfrm>
                      <a:off x="0" y="0"/>
                      <a:ext cx="1971675" cy="2324100"/>
                    </a:xfrm>
                    <a:prstGeom prst="rect">
                      <a:avLst/>
                    </a:prstGeom>
                    <a:noFill/>
                    <a:ln w="9525">
                      <a:noFill/>
                      <a:miter lim="800000"/>
                      <a:headEnd/>
                      <a:tailEnd/>
                    </a:ln>
                  </pic:spPr>
                </pic:pic>
              </a:graphicData>
            </a:graphic>
          </wp:inline>
        </w:drawing>
      </w:r>
    </w:p>
    <w:p w:rsidR="00EB4952" w:rsidRDefault="00EB4952" w:rsidP="00EB4952">
      <w:pPr>
        <w:pStyle w:val="Prrafodelista"/>
        <w:ind w:left="0"/>
        <w:jc w:val="center"/>
        <w:rPr>
          <w:rFonts w:ascii="Arial" w:hAnsi="Arial" w:cs="Arial"/>
          <w:b/>
          <w:sz w:val="24"/>
          <w:szCs w:val="24"/>
        </w:rPr>
      </w:pPr>
      <w:r w:rsidRPr="00883687">
        <w:rPr>
          <w:rFonts w:ascii="Arial" w:hAnsi="Arial" w:cs="Arial"/>
          <w:b/>
          <w:sz w:val="24"/>
          <w:szCs w:val="24"/>
        </w:rPr>
        <w:t>Gráfica No.</w:t>
      </w:r>
      <w:r w:rsidR="008D5B50">
        <w:rPr>
          <w:rFonts w:ascii="Arial" w:hAnsi="Arial" w:cs="Arial"/>
          <w:b/>
          <w:sz w:val="24"/>
          <w:szCs w:val="24"/>
        </w:rPr>
        <w:t xml:space="preserve"> 7</w:t>
      </w:r>
      <w:r w:rsidR="0070233C">
        <w:rPr>
          <w:rFonts w:ascii="Arial" w:hAnsi="Arial" w:cs="Arial"/>
          <w:b/>
          <w:sz w:val="24"/>
          <w:szCs w:val="24"/>
        </w:rPr>
        <w:t xml:space="preserve"> </w:t>
      </w:r>
    </w:p>
    <w:p w:rsidR="008B06BF" w:rsidRDefault="00781956" w:rsidP="00781956">
      <w:pPr>
        <w:jc w:val="center"/>
        <w:rPr>
          <w:rFonts w:ascii="Arial" w:hAnsi="Arial" w:cs="Arial"/>
          <w:sz w:val="24"/>
          <w:szCs w:val="24"/>
        </w:rPr>
      </w:pPr>
      <w:r w:rsidRPr="00781956">
        <w:rPr>
          <w:rFonts w:ascii="Arial" w:hAnsi="Arial" w:cs="Arial"/>
          <w:noProof/>
          <w:sz w:val="24"/>
          <w:szCs w:val="24"/>
        </w:rPr>
        <mc:AlternateContent>
          <mc:Choice Requires="wps">
            <w:drawing>
              <wp:anchor distT="0" distB="0" distL="114300" distR="114300" simplePos="0" relativeHeight="251674624" behindDoc="0" locked="0" layoutInCell="1" allowOverlap="1" wp14:editId="36B11C9B">
                <wp:simplePos x="0" y="0"/>
                <wp:positionH relativeFrom="column">
                  <wp:posOffset>721995</wp:posOffset>
                </wp:positionH>
                <wp:positionV relativeFrom="paragraph">
                  <wp:posOffset>2886075</wp:posOffset>
                </wp:positionV>
                <wp:extent cx="2374265" cy="1403985"/>
                <wp:effectExtent l="0" t="0" r="3175"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F569C8" w:rsidRPr="00781956" w:rsidRDefault="00F569C8">
                            <w:pPr>
                              <w:rPr>
                                <w:sz w:val="16"/>
                              </w:rPr>
                            </w:pPr>
                            <w:r w:rsidRPr="00781956">
                              <w:rPr>
                                <w:sz w:val="16"/>
                              </w:rPr>
                              <w:t>Fuente: Ministerio de Finanzas Públicas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7" type="#_x0000_t202" style="position:absolute;left:0;text-align:left;margin-left:56.85pt;margin-top:227.25pt;width:186.95pt;height:110.55pt;z-index:2516746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" stroked="f">
                <v:textbox style="mso-fit-shape-to-text:t">
                  <w:txbxContent>
                    <w:p w:rsidR="007E48EA" w:rsidRPr="00781956" w:rsidRDefault="007E48EA">
                      <w:pPr>
                        <w:rPr>
                          <w:sz w:val="16"/>
                        </w:rPr>
                      </w:pPr>
                      <w:r w:rsidRPr="00781956">
                        <w:rPr>
                          <w:sz w:val="16"/>
                        </w:rPr>
                        <w:t>Fuente: Ministerio de Finanzas Públicas</w:t>
                      </w:r>
                    </w:p>
                  </w:txbxContent>
                </v:textbox>
              </v:shape>
            </w:pict>
          </mc:Fallback>
        </mc:AlternateContent>
      </w:r>
      <w:r w:rsidR="00530A86">
        <w:rPr>
          <w:noProof/>
        </w:rPr>
        <w:drawing>
          <wp:inline distT="0" distB="0" distL="0" distR="0" wp14:anchorId="49C4E36D" wp14:editId="2155B5E0">
            <wp:extent cx="4572000" cy="3095625"/>
            <wp:effectExtent l="0" t="0" r="0" b="0"/>
            <wp:docPr id="684" name="Gráfico 6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781956" w:rsidRPr="00883687" w:rsidRDefault="00781956" w:rsidP="00781956">
      <w:pPr>
        <w:jc w:val="center"/>
        <w:rPr>
          <w:rFonts w:ascii="Arial" w:hAnsi="Arial" w:cs="Arial"/>
          <w:sz w:val="24"/>
          <w:szCs w:val="24"/>
        </w:rPr>
      </w:pPr>
    </w:p>
    <w:p w:rsidR="005328D7" w:rsidRPr="0081160A" w:rsidRDefault="00D37250" w:rsidP="00EB3C80">
      <w:pPr>
        <w:pStyle w:val="Prrafodelista"/>
        <w:numPr>
          <w:ilvl w:val="0"/>
          <w:numId w:val="9"/>
        </w:numPr>
        <w:ind w:left="284" w:hanging="284"/>
        <w:jc w:val="both"/>
        <w:rPr>
          <w:rFonts w:ascii="Arial" w:hAnsi="Arial" w:cs="Arial"/>
          <w:b/>
          <w:u w:val="single"/>
        </w:rPr>
      </w:pPr>
      <w:r w:rsidRPr="0081160A">
        <w:rPr>
          <w:rFonts w:ascii="Arial" w:hAnsi="Arial" w:cs="Arial"/>
          <w:b/>
          <w:u w:val="single"/>
        </w:rPr>
        <w:t>Presupuesto de Ingresos 201</w:t>
      </w:r>
      <w:r w:rsidR="00985BBB">
        <w:rPr>
          <w:rFonts w:ascii="Arial" w:hAnsi="Arial" w:cs="Arial"/>
          <w:b/>
          <w:u w:val="single"/>
        </w:rPr>
        <w:t>9</w:t>
      </w:r>
      <w:r w:rsidR="0081160A">
        <w:rPr>
          <w:rFonts w:ascii="Arial" w:hAnsi="Arial" w:cs="Arial"/>
          <w:b/>
          <w:u w:val="single"/>
        </w:rPr>
        <w:t>:</w:t>
      </w:r>
    </w:p>
    <w:p w:rsidR="008D0AF4" w:rsidRPr="0081160A" w:rsidRDefault="008D0AF4" w:rsidP="00F86E86">
      <w:pPr>
        <w:pStyle w:val="Prrafodelista"/>
        <w:spacing w:after="0" w:line="240" w:lineRule="auto"/>
        <w:ind w:left="0"/>
        <w:jc w:val="both"/>
        <w:rPr>
          <w:rFonts w:ascii="Arial" w:hAnsi="Arial" w:cs="Arial"/>
          <w:b/>
          <w:u w:val="single"/>
        </w:rPr>
      </w:pPr>
    </w:p>
    <w:p w:rsidR="008D0AF4" w:rsidRPr="00883687" w:rsidRDefault="008D0AF4" w:rsidP="00F86245">
      <w:pPr>
        <w:spacing w:after="0" w:line="240" w:lineRule="auto"/>
        <w:ind w:hanging="1"/>
        <w:jc w:val="both"/>
        <w:rPr>
          <w:rFonts w:ascii="Arial" w:hAnsi="Arial" w:cs="Arial"/>
        </w:rPr>
      </w:pPr>
      <w:r w:rsidRPr="00883687">
        <w:rPr>
          <w:rFonts w:ascii="Arial" w:hAnsi="Arial" w:cs="Arial"/>
        </w:rPr>
        <w:t>En el Presupuesto de Ingresos de 201</w:t>
      </w:r>
      <w:r w:rsidR="008856D3">
        <w:rPr>
          <w:rFonts w:ascii="Arial" w:hAnsi="Arial" w:cs="Arial"/>
        </w:rPr>
        <w:t>9</w:t>
      </w:r>
      <w:r w:rsidRPr="00883687">
        <w:rPr>
          <w:rFonts w:ascii="Arial" w:hAnsi="Arial" w:cs="Arial"/>
        </w:rPr>
        <w:t>, el 7</w:t>
      </w:r>
      <w:r w:rsidR="00BF0A20">
        <w:rPr>
          <w:rFonts w:ascii="Arial" w:hAnsi="Arial" w:cs="Arial"/>
        </w:rPr>
        <w:t>3.0</w:t>
      </w:r>
      <w:r w:rsidRPr="00883687">
        <w:rPr>
          <w:rFonts w:ascii="Arial" w:hAnsi="Arial" w:cs="Arial"/>
        </w:rPr>
        <w:t xml:space="preserve">% de los recursos se estima obtenerlos de los diversos impuestos </w:t>
      </w:r>
      <w:r w:rsidR="00834FBB">
        <w:rPr>
          <w:rFonts w:ascii="Arial" w:hAnsi="Arial" w:cs="Arial"/>
        </w:rPr>
        <w:t>(ingresos tributarios)</w:t>
      </w:r>
      <w:r w:rsidR="00551E69">
        <w:rPr>
          <w:rFonts w:ascii="Arial" w:hAnsi="Arial" w:cs="Arial"/>
        </w:rPr>
        <w:t xml:space="preserve"> </w:t>
      </w:r>
      <w:r w:rsidR="00551E69" w:rsidRPr="00883687">
        <w:rPr>
          <w:rFonts w:ascii="Arial" w:hAnsi="Arial" w:cs="Arial"/>
        </w:rPr>
        <w:t>que establecen las leyes tributarias vigente</w:t>
      </w:r>
      <w:r w:rsidR="00551E69">
        <w:rPr>
          <w:rFonts w:ascii="Arial" w:hAnsi="Arial" w:cs="Arial"/>
        </w:rPr>
        <w:t>s</w:t>
      </w:r>
      <w:r w:rsidR="00834FBB">
        <w:rPr>
          <w:rFonts w:ascii="Arial" w:hAnsi="Arial" w:cs="Arial"/>
        </w:rPr>
        <w:t>, el 16.2</w:t>
      </w:r>
      <w:r w:rsidRPr="00883687">
        <w:rPr>
          <w:rFonts w:ascii="Arial" w:hAnsi="Arial" w:cs="Arial"/>
        </w:rPr>
        <w:t>% se obtendrán de la emisión, colocación y negoc</w:t>
      </w:r>
      <w:r w:rsidR="00834FBB">
        <w:rPr>
          <w:rFonts w:ascii="Arial" w:hAnsi="Arial" w:cs="Arial"/>
        </w:rPr>
        <w:t>iación de Bonos del Tesoro, un 1.8</w:t>
      </w:r>
      <w:r w:rsidRPr="00883687">
        <w:rPr>
          <w:rFonts w:ascii="Arial" w:hAnsi="Arial" w:cs="Arial"/>
        </w:rPr>
        <w:t xml:space="preserve">% con préstamos obtenidos </w:t>
      </w:r>
      <w:r w:rsidR="00EB0AAB">
        <w:rPr>
          <w:rFonts w:ascii="Arial" w:hAnsi="Arial" w:cs="Arial"/>
        </w:rPr>
        <w:t>de</w:t>
      </w:r>
      <w:r w:rsidRPr="00883687">
        <w:rPr>
          <w:rFonts w:ascii="Arial" w:hAnsi="Arial" w:cs="Arial"/>
        </w:rPr>
        <w:t xml:space="preserve"> Organismos Internacionales, </w:t>
      </w:r>
      <w:r w:rsidR="00834FBB">
        <w:rPr>
          <w:rFonts w:ascii="Arial" w:hAnsi="Arial" w:cs="Arial"/>
        </w:rPr>
        <w:t>0.9</w:t>
      </w:r>
      <w:r w:rsidRPr="00883687">
        <w:rPr>
          <w:rFonts w:ascii="Arial" w:hAnsi="Arial" w:cs="Arial"/>
        </w:rPr>
        <w:t xml:space="preserve">% </w:t>
      </w:r>
      <w:r w:rsidR="00834FBB">
        <w:rPr>
          <w:rFonts w:ascii="Arial" w:hAnsi="Arial" w:cs="Arial"/>
        </w:rPr>
        <w:t>con ingresos no tributarios, 0.3</w:t>
      </w:r>
      <w:r w:rsidRPr="00883687">
        <w:rPr>
          <w:rFonts w:ascii="Arial" w:hAnsi="Arial" w:cs="Arial"/>
        </w:rPr>
        <w:t xml:space="preserve">% con donaciones de organismos e instituciones internacionales y de países amigos, </w:t>
      </w:r>
      <w:r w:rsidR="004D5564" w:rsidRPr="00883687">
        <w:rPr>
          <w:rFonts w:ascii="Arial" w:hAnsi="Arial" w:cs="Arial"/>
        </w:rPr>
        <w:t>contribucion</w:t>
      </w:r>
      <w:r w:rsidR="00834FBB">
        <w:rPr>
          <w:rFonts w:ascii="Arial" w:hAnsi="Arial" w:cs="Arial"/>
        </w:rPr>
        <w:t>es a la seguridad social 2.9</w:t>
      </w:r>
      <w:r w:rsidR="004D5564" w:rsidRPr="00883687">
        <w:rPr>
          <w:rFonts w:ascii="Arial" w:hAnsi="Arial" w:cs="Arial"/>
        </w:rPr>
        <w:t>%,</w:t>
      </w:r>
      <w:r w:rsidR="00834FBB">
        <w:rPr>
          <w:rFonts w:ascii="Arial" w:hAnsi="Arial" w:cs="Arial"/>
        </w:rPr>
        <w:t xml:space="preserve"> venta de bienes y servicios </w:t>
      </w:r>
      <w:r w:rsidR="00834FBB">
        <w:rPr>
          <w:rFonts w:ascii="Arial" w:hAnsi="Arial" w:cs="Arial"/>
        </w:rPr>
        <w:lastRenderedPageBreak/>
        <w:t>0.5%, rentas de la propiedad 0.5</w:t>
      </w:r>
      <w:r w:rsidR="004D5564" w:rsidRPr="00883687">
        <w:rPr>
          <w:rFonts w:ascii="Arial" w:hAnsi="Arial" w:cs="Arial"/>
        </w:rPr>
        <w:t>%,</w:t>
      </w:r>
      <w:r w:rsidRPr="00883687">
        <w:rPr>
          <w:rFonts w:ascii="Arial" w:hAnsi="Arial" w:cs="Arial"/>
        </w:rPr>
        <w:t xml:space="preserve"> y </w:t>
      </w:r>
      <w:r w:rsidR="00834FBB">
        <w:rPr>
          <w:rFonts w:ascii="Arial" w:hAnsi="Arial" w:cs="Arial"/>
        </w:rPr>
        <w:t>3.8</w:t>
      </w:r>
      <w:r w:rsidRPr="00883687">
        <w:rPr>
          <w:rFonts w:ascii="Arial" w:hAnsi="Arial" w:cs="Arial"/>
        </w:rPr>
        <w:t>% de saldos de caja (Fondo Común)</w:t>
      </w:r>
      <w:r w:rsidR="00094A32">
        <w:rPr>
          <w:rFonts w:ascii="Arial" w:hAnsi="Arial" w:cs="Arial"/>
        </w:rPr>
        <w:t>, y el restante 0.1% de transferencias corrientes y recuperaciones de préstamos de largo plazo.</w:t>
      </w:r>
    </w:p>
    <w:p w:rsidR="00431B67" w:rsidRPr="00883687" w:rsidRDefault="00431B67" w:rsidP="00F86245">
      <w:pPr>
        <w:spacing w:after="0" w:line="240" w:lineRule="auto"/>
        <w:ind w:hanging="1"/>
        <w:jc w:val="both"/>
        <w:rPr>
          <w:rFonts w:ascii="Arial" w:hAnsi="Arial" w:cs="Arial"/>
        </w:rPr>
      </w:pPr>
    </w:p>
    <w:p w:rsidR="008D0AF4" w:rsidRPr="00883687" w:rsidRDefault="004105E7" w:rsidP="00FA641B">
      <w:pPr>
        <w:spacing w:after="0" w:line="240" w:lineRule="auto"/>
        <w:ind w:hanging="1"/>
        <w:jc w:val="center"/>
        <w:rPr>
          <w:rFonts w:ascii="Arial" w:hAnsi="Arial" w:cs="Arial"/>
        </w:rPr>
      </w:pPr>
      <w:r w:rsidRPr="00883687">
        <w:rPr>
          <w:rFonts w:ascii="Arial" w:hAnsi="Arial" w:cs="Arial"/>
          <w:noProof/>
        </w:rPr>
        <w:drawing>
          <wp:inline distT="0" distB="0" distL="0" distR="0" wp14:anchorId="657A899A" wp14:editId="28FDC405">
            <wp:extent cx="5391150" cy="2381250"/>
            <wp:effectExtent l="19050" t="38100" r="95250" b="0"/>
            <wp:docPr id="13"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8D0AF4" w:rsidRDefault="008D0AF4" w:rsidP="00F86245">
      <w:pPr>
        <w:spacing w:after="0" w:line="240" w:lineRule="auto"/>
        <w:ind w:hanging="1"/>
        <w:jc w:val="both"/>
        <w:rPr>
          <w:rFonts w:ascii="Arial" w:hAnsi="Arial" w:cs="Arial"/>
        </w:rPr>
      </w:pPr>
      <w:r w:rsidRPr="00883687">
        <w:rPr>
          <w:rFonts w:ascii="Arial" w:hAnsi="Arial" w:cs="Arial"/>
        </w:rPr>
        <w:t xml:space="preserve">A continuación se muestran dos gráficas sobre </w:t>
      </w:r>
      <w:r w:rsidR="009C675B" w:rsidRPr="00883687">
        <w:rPr>
          <w:rFonts w:ascii="Arial" w:hAnsi="Arial" w:cs="Arial"/>
        </w:rPr>
        <w:t xml:space="preserve">la estimación de </w:t>
      </w:r>
      <w:r w:rsidRPr="00883687">
        <w:rPr>
          <w:rFonts w:ascii="Arial" w:hAnsi="Arial" w:cs="Arial"/>
        </w:rPr>
        <w:t>los ingresos</w:t>
      </w:r>
      <w:r w:rsidR="009C675B" w:rsidRPr="00883687">
        <w:rPr>
          <w:rFonts w:ascii="Arial" w:hAnsi="Arial" w:cs="Arial"/>
        </w:rPr>
        <w:t>.</w:t>
      </w:r>
      <w:r w:rsidR="00F86245" w:rsidRPr="00883687">
        <w:rPr>
          <w:rFonts w:ascii="Arial" w:hAnsi="Arial" w:cs="Arial"/>
        </w:rPr>
        <w:t xml:space="preserve"> </w:t>
      </w:r>
      <w:r w:rsidR="009C675B" w:rsidRPr="00883687">
        <w:rPr>
          <w:rFonts w:ascii="Arial" w:hAnsi="Arial" w:cs="Arial"/>
        </w:rPr>
        <w:t>E</w:t>
      </w:r>
      <w:r w:rsidRPr="00883687">
        <w:rPr>
          <w:rFonts w:ascii="Arial" w:hAnsi="Arial" w:cs="Arial"/>
        </w:rPr>
        <w:t xml:space="preserve">n la primera se ilustra la composición del 100.0% de los ingresos en forma general, resaltándose que los tributos constituyen la mayor fuente de </w:t>
      </w:r>
      <w:r w:rsidR="009C675B" w:rsidRPr="00883687">
        <w:rPr>
          <w:rFonts w:ascii="Arial" w:hAnsi="Arial" w:cs="Arial"/>
        </w:rPr>
        <w:t xml:space="preserve">recursos </w:t>
      </w:r>
      <w:r w:rsidRPr="00883687">
        <w:rPr>
          <w:rFonts w:ascii="Arial" w:hAnsi="Arial" w:cs="Arial"/>
        </w:rPr>
        <w:t>dentro del presupuesto.</w:t>
      </w:r>
    </w:p>
    <w:p w:rsidR="00ED3DAF" w:rsidRDefault="00ED3DAF" w:rsidP="00ED3DAF">
      <w:pPr>
        <w:jc w:val="center"/>
        <w:rPr>
          <w:rFonts w:ascii="Arial" w:hAnsi="Arial" w:cs="Arial"/>
          <w:b/>
          <w:sz w:val="24"/>
          <w:szCs w:val="24"/>
        </w:rPr>
      </w:pPr>
      <w:r w:rsidRPr="00883687">
        <w:rPr>
          <w:rFonts w:ascii="Arial" w:hAnsi="Arial" w:cs="Arial"/>
          <w:b/>
          <w:sz w:val="24"/>
          <w:szCs w:val="24"/>
        </w:rPr>
        <w:t xml:space="preserve">Gráfica </w:t>
      </w:r>
      <w:r w:rsidR="00EB4952" w:rsidRPr="00883687">
        <w:rPr>
          <w:rFonts w:ascii="Arial" w:hAnsi="Arial" w:cs="Arial"/>
          <w:b/>
          <w:sz w:val="24"/>
          <w:szCs w:val="24"/>
        </w:rPr>
        <w:t xml:space="preserve">No. </w:t>
      </w:r>
      <w:r w:rsidR="008D5B50">
        <w:rPr>
          <w:rFonts w:ascii="Arial" w:hAnsi="Arial" w:cs="Arial"/>
          <w:b/>
          <w:sz w:val="24"/>
          <w:szCs w:val="24"/>
        </w:rPr>
        <w:t>8</w:t>
      </w:r>
    </w:p>
    <w:p w:rsidR="00CF6FBE" w:rsidRDefault="00DB749A" w:rsidP="00ED3DAF">
      <w:pPr>
        <w:jc w:val="center"/>
        <w:rPr>
          <w:rFonts w:ascii="Arial" w:hAnsi="Arial" w:cs="Arial"/>
          <w:b/>
          <w:sz w:val="24"/>
          <w:szCs w:val="24"/>
        </w:rPr>
      </w:pPr>
      <w:r>
        <w:rPr>
          <w:noProof/>
        </w:rPr>
        <w:drawing>
          <wp:inline distT="0" distB="0" distL="0" distR="0" wp14:anchorId="22DAB302" wp14:editId="41685C7F">
            <wp:extent cx="5610225" cy="4200525"/>
            <wp:effectExtent l="0" t="0" r="0" b="0"/>
            <wp:docPr id="685" name="Gráfico 6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9A58F2" w:rsidRPr="00883687" w:rsidRDefault="009A58F2" w:rsidP="009A58F2">
      <w:pPr>
        <w:spacing w:after="0" w:line="240" w:lineRule="auto"/>
        <w:ind w:hanging="1"/>
        <w:jc w:val="both"/>
        <w:rPr>
          <w:rFonts w:ascii="Arial" w:hAnsi="Arial" w:cs="Arial"/>
        </w:rPr>
      </w:pPr>
      <w:r w:rsidRPr="00883687">
        <w:rPr>
          <w:rFonts w:ascii="Arial" w:hAnsi="Arial" w:cs="Arial"/>
        </w:rPr>
        <w:lastRenderedPageBreak/>
        <w:t>En la s</w:t>
      </w:r>
      <w:r w:rsidR="00335972">
        <w:rPr>
          <w:rFonts w:ascii="Arial" w:hAnsi="Arial" w:cs="Arial"/>
        </w:rPr>
        <w:t>iguiente</w:t>
      </w:r>
      <w:r w:rsidRPr="00883687">
        <w:rPr>
          <w:rFonts w:ascii="Arial" w:hAnsi="Arial" w:cs="Arial"/>
        </w:rPr>
        <w:t xml:space="preserve"> gráfica, se desagregan los principales ingresos tributarios </w:t>
      </w:r>
      <w:r w:rsidR="00551E69">
        <w:rPr>
          <w:rFonts w:ascii="Arial" w:hAnsi="Arial" w:cs="Arial"/>
        </w:rPr>
        <w:t xml:space="preserve">los que principalmente </w:t>
      </w:r>
      <w:r w:rsidR="00835A8D" w:rsidRPr="00883687">
        <w:rPr>
          <w:rFonts w:ascii="Arial" w:hAnsi="Arial" w:cs="Arial"/>
        </w:rPr>
        <w:t>se integran por el Im</w:t>
      </w:r>
      <w:r w:rsidR="00242215" w:rsidRPr="00883687">
        <w:rPr>
          <w:rFonts w:ascii="Arial" w:hAnsi="Arial" w:cs="Arial"/>
        </w:rPr>
        <w:t>puesto al V</w:t>
      </w:r>
      <w:r w:rsidR="00835A8D" w:rsidRPr="00883687">
        <w:rPr>
          <w:rFonts w:ascii="Arial" w:hAnsi="Arial" w:cs="Arial"/>
        </w:rPr>
        <w:t xml:space="preserve">alor </w:t>
      </w:r>
      <w:r w:rsidR="00242215" w:rsidRPr="00883687">
        <w:rPr>
          <w:rFonts w:ascii="Arial" w:hAnsi="Arial" w:cs="Arial"/>
        </w:rPr>
        <w:t>A</w:t>
      </w:r>
      <w:r w:rsidR="00835A8D" w:rsidRPr="00883687">
        <w:rPr>
          <w:rFonts w:ascii="Arial" w:hAnsi="Arial" w:cs="Arial"/>
        </w:rPr>
        <w:t>gregado (IVA) y por el Impuesto sobre la Renta (ISR)</w:t>
      </w:r>
      <w:r w:rsidR="00835A8D" w:rsidRPr="00883687">
        <w:rPr>
          <w:rFonts w:ascii="Arial" w:hAnsi="Arial" w:cs="Arial"/>
          <w:sz w:val="24"/>
          <w:szCs w:val="24"/>
        </w:rPr>
        <w:t>.</w:t>
      </w:r>
    </w:p>
    <w:p w:rsidR="00ED3DAF" w:rsidRPr="00883687" w:rsidRDefault="00ED3DAF">
      <w:pPr>
        <w:rPr>
          <w:rFonts w:ascii="Arial" w:hAnsi="Arial" w:cs="Arial"/>
        </w:rPr>
      </w:pPr>
    </w:p>
    <w:p w:rsidR="00ED3DAF" w:rsidRDefault="00EB4952" w:rsidP="00ED3DAF">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9</w:t>
      </w:r>
    </w:p>
    <w:p w:rsidR="00C45F11" w:rsidRPr="00C45F11" w:rsidRDefault="00C45F11" w:rsidP="00C45F11">
      <w:pPr>
        <w:spacing w:after="0" w:line="240" w:lineRule="auto"/>
        <w:jc w:val="center"/>
        <w:rPr>
          <w:rFonts w:ascii="Arial" w:hAnsi="Arial" w:cs="Arial"/>
          <w:b/>
          <w:sz w:val="24"/>
          <w:szCs w:val="24"/>
        </w:rPr>
      </w:pPr>
      <w:r w:rsidRPr="00C45F11">
        <w:rPr>
          <w:rFonts w:ascii="Arial" w:hAnsi="Arial" w:cs="Arial"/>
          <w:b/>
          <w:bCs/>
          <w:sz w:val="24"/>
          <w:szCs w:val="24"/>
          <w:lang w:val="es-ES"/>
        </w:rPr>
        <w:t>Presupuesto de Ingresos 2019</w:t>
      </w:r>
    </w:p>
    <w:p w:rsidR="00C45F11" w:rsidRPr="00C45F11" w:rsidRDefault="00C45F11" w:rsidP="00C45F11">
      <w:pPr>
        <w:spacing w:after="0" w:line="240" w:lineRule="auto"/>
        <w:jc w:val="center"/>
        <w:rPr>
          <w:rFonts w:ascii="Arial" w:hAnsi="Arial" w:cs="Arial"/>
          <w:b/>
          <w:sz w:val="24"/>
          <w:szCs w:val="24"/>
        </w:rPr>
      </w:pPr>
      <w:r w:rsidRPr="00C45F11">
        <w:rPr>
          <w:rFonts w:ascii="Arial" w:hAnsi="Arial" w:cs="Arial"/>
          <w:b/>
          <w:bCs/>
          <w:sz w:val="24"/>
          <w:szCs w:val="24"/>
          <w:lang w:val="es-ES"/>
        </w:rPr>
        <w:t xml:space="preserve">Estimación de los Ingresos Tributarios </w:t>
      </w:r>
    </w:p>
    <w:p w:rsidR="00C45F11" w:rsidRPr="00C45F11" w:rsidRDefault="00C45F11" w:rsidP="00C45F11">
      <w:pPr>
        <w:spacing w:after="0" w:line="240" w:lineRule="auto"/>
        <w:jc w:val="center"/>
        <w:rPr>
          <w:rFonts w:ascii="Arial" w:hAnsi="Arial" w:cs="Arial"/>
          <w:b/>
          <w:sz w:val="24"/>
          <w:szCs w:val="24"/>
        </w:rPr>
      </w:pPr>
      <w:r w:rsidRPr="00C45F11">
        <w:rPr>
          <w:rFonts w:ascii="Arial" w:hAnsi="Arial" w:cs="Arial"/>
          <w:b/>
          <w:bCs/>
          <w:sz w:val="24"/>
          <w:szCs w:val="24"/>
          <w:lang w:val="es-ES"/>
        </w:rPr>
        <w:t>(En millones de quetzales  y porcentajes)</w:t>
      </w:r>
    </w:p>
    <w:p w:rsidR="00395A6D" w:rsidRDefault="00837199" w:rsidP="00ED3DAF">
      <w:pPr>
        <w:jc w:val="center"/>
        <w:rPr>
          <w:rFonts w:ascii="Arial" w:hAnsi="Arial" w:cs="Arial"/>
          <w:b/>
          <w:sz w:val="24"/>
          <w:szCs w:val="24"/>
        </w:rPr>
      </w:pPr>
      <w:r w:rsidRPr="00837199">
        <w:rPr>
          <w:noProof/>
        </w:rPr>
        <w:t xml:space="preserve"> </w:t>
      </w:r>
      <w:r>
        <w:rPr>
          <w:noProof/>
        </w:rPr>
        <w:drawing>
          <wp:inline distT="0" distB="0" distL="0" distR="0" wp14:anchorId="5CE63379" wp14:editId="06519F93">
            <wp:extent cx="5612130" cy="4591050"/>
            <wp:effectExtent l="0" t="0" r="7620" b="0"/>
            <wp:docPr id="689" name="Gráfico 68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753D48" w:rsidRPr="00883687" w:rsidRDefault="00753D48" w:rsidP="00C75044">
      <w:pPr>
        <w:rPr>
          <w:rFonts w:ascii="Arial" w:hAnsi="Arial" w:cs="Arial"/>
          <w:b/>
          <w:sz w:val="24"/>
          <w:szCs w:val="24"/>
        </w:rPr>
      </w:pPr>
    </w:p>
    <w:p w:rsidR="00C77D47" w:rsidRPr="00883687" w:rsidRDefault="00C77D47">
      <w:pPr>
        <w:rPr>
          <w:rFonts w:ascii="Arial" w:hAnsi="Arial" w:cs="Arial"/>
        </w:rPr>
      </w:pPr>
      <w:r w:rsidRPr="00883687">
        <w:rPr>
          <w:rFonts w:ascii="Arial" w:hAnsi="Arial" w:cs="Arial"/>
        </w:rPr>
        <w:br w:type="page"/>
      </w:r>
    </w:p>
    <w:p w:rsidR="00183FD7" w:rsidRPr="0081160A" w:rsidRDefault="00450B7E" w:rsidP="00EB3C80">
      <w:pPr>
        <w:pStyle w:val="Prrafodelista"/>
        <w:numPr>
          <w:ilvl w:val="0"/>
          <w:numId w:val="9"/>
        </w:numPr>
        <w:ind w:left="284" w:hanging="284"/>
        <w:jc w:val="both"/>
        <w:rPr>
          <w:rFonts w:ascii="Arial" w:hAnsi="Arial" w:cs="Arial"/>
          <w:b/>
          <w:u w:val="single"/>
        </w:rPr>
      </w:pPr>
      <w:r w:rsidRPr="0081160A">
        <w:rPr>
          <w:rFonts w:ascii="Arial" w:hAnsi="Arial" w:cs="Arial"/>
          <w:b/>
          <w:u w:val="single"/>
        </w:rPr>
        <w:lastRenderedPageBreak/>
        <w:t>Presupuesto de Egresos 201</w:t>
      </w:r>
      <w:r w:rsidR="00AD587B">
        <w:rPr>
          <w:rFonts w:ascii="Arial" w:hAnsi="Arial" w:cs="Arial"/>
          <w:b/>
          <w:u w:val="single"/>
        </w:rPr>
        <w:t>9</w:t>
      </w:r>
      <w:r w:rsidRPr="0081160A">
        <w:rPr>
          <w:rFonts w:ascii="Arial" w:hAnsi="Arial" w:cs="Arial"/>
          <w:b/>
          <w:u w:val="single"/>
        </w:rPr>
        <w:t>:</w:t>
      </w:r>
    </w:p>
    <w:p w:rsidR="00000033" w:rsidRPr="0081160A" w:rsidRDefault="00000033" w:rsidP="00000033">
      <w:pPr>
        <w:pStyle w:val="Prrafodelista"/>
        <w:spacing w:after="0" w:line="240" w:lineRule="auto"/>
        <w:ind w:left="851" w:hanging="284"/>
        <w:jc w:val="both"/>
        <w:rPr>
          <w:rFonts w:ascii="Arial" w:hAnsi="Arial" w:cs="Arial"/>
          <w:b/>
          <w:u w:val="single"/>
        </w:rPr>
      </w:pPr>
    </w:p>
    <w:p w:rsidR="00000033" w:rsidRPr="00883687" w:rsidRDefault="00000033" w:rsidP="00117980">
      <w:pPr>
        <w:spacing w:after="0" w:line="240" w:lineRule="auto"/>
        <w:jc w:val="both"/>
        <w:rPr>
          <w:rFonts w:ascii="Arial" w:hAnsi="Arial" w:cs="Arial"/>
        </w:rPr>
      </w:pPr>
      <w:r w:rsidRPr="00883687">
        <w:rPr>
          <w:rFonts w:ascii="Arial" w:hAnsi="Arial" w:cs="Arial"/>
        </w:rPr>
        <w:t>El Presupuesto de Egresos de 201</w:t>
      </w:r>
      <w:r w:rsidR="00AD587B">
        <w:rPr>
          <w:rFonts w:ascii="Arial" w:hAnsi="Arial" w:cs="Arial"/>
        </w:rPr>
        <w:t>9</w:t>
      </w:r>
      <w:r w:rsidRPr="00883687">
        <w:rPr>
          <w:rFonts w:ascii="Arial" w:hAnsi="Arial" w:cs="Arial"/>
        </w:rPr>
        <w:t xml:space="preserve">, puede ser analizado desde distintas perspectivas. Dentro de las principales, se puede observar el presupuesto por: </w:t>
      </w:r>
    </w:p>
    <w:p w:rsidR="00000033" w:rsidRPr="00883687" w:rsidRDefault="00000033" w:rsidP="00000033">
      <w:pPr>
        <w:spacing w:after="0" w:line="240" w:lineRule="auto"/>
        <w:ind w:left="851" w:hanging="284"/>
        <w:jc w:val="both"/>
        <w:rPr>
          <w:rFonts w:ascii="Arial" w:hAnsi="Arial" w:cs="Arial"/>
        </w:rPr>
      </w:pPr>
    </w:p>
    <w:p w:rsidR="00000033" w:rsidRPr="00883687" w:rsidRDefault="00000033" w:rsidP="00EB3C80">
      <w:pPr>
        <w:pStyle w:val="Prrafodelista"/>
        <w:numPr>
          <w:ilvl w:val="0"/>
          <w:numId w:val="10"/>
        </w:numPr>
        <w:spacing w:line="240" w:lineRule="auto"/>
        <w:jc w:val="both"/>
        <w:rPr>
          <w:rFonts w:ascii="Arial" w:hAnsi="Arial" w:cs="Arial"/>
        </w:rPr>
      </w:pPr>
      <w:r w:rsidRPr="00883687">
        <w:rPr>
          <w:rFonts w:ascii="Arial" w:hAnsi="Arial" w:cs="Arial"/>
          <w:b/>
        </w:rPr>
        <w:t>Tipo de gasto</w:t>
      </w:r>
      <w:r w:rsidRPr="00883687">
        <w:rPr>
          <w:rFonts w:ascii="Arial" w:hAnsi="Arial" w:cs="Arial"/>
        </w:rPr>
        <w:t xml:space="preserve"> que son las agrupaciones o clasificaciones técnicas más amplias o generales del presupuesto,</w:t>
      </w:r>
    </w:p>
    <w:p w:rsidR="00000033" w:rsidRPr="00883687" w:rsidRDefault="00000033" w:rsidP="00EB3C80">
      <w:pPr>
        <w:pStyle w:val="Prrafodelista"/>
        <w:numPr>
          <w:ilvl w:val="0"/>
          <w:numId w:val="10"/>
        </w:numPr>
        <w:spacing w:line="240" w:lineRule="auto"/>
        <w:jc w:val="both"/>
        <w:rPr>
          <w:rFonts w:ascii="Arial" w:hAnsi="Arial" w:cs="Arial"/>
        </w:rPr>
      </w:pPr>
      <w:r w:rsidRPr="00883687">
        <w:rPr>
          <w:rFonts w:ascii="Arial" w:hAnsi="Arial" w:cs="Arial"/>
          <w:b/>
        </w:rPr>
        <w:t>Por finalidad del gasto</w:t>
      </w:r>
      <w:r w:rsidRPr="00883687">
        <w:rPr>
          <w:rFonts w:ascii="Arial" w:hAnsi="Arial" w:cs="Arial"/>
        </w:rPr>
        <w:t xml:space="preserve">, que se refiere </w:t>
      </w:r>
      <w:r w:rsidR="00664F45">
        <w:rPr>
          <w:rFonts w:ascii="Arial" w:hAnsi="Arial" w:cs="Arial"/>
        </w:rPr>
        <w:t>a las</w:t>
      </w:r>
      <w:r w:rsidRPr="00883687">
        <w:rPr>
          <w:rFonts w:ascii="Arial" w:hAnsi="Arial" w:cs="Arial"/>
        </w:rPr>
        <w:t xml:space="preserve"> necesidades colectivas que se satisfacen,</w:t>
      </w:r>
    </w:p>
    <w:p w:rsidR="00000033" w:rsidRPr="00883687" w:rsidRDefault="00000033" w:rsidP="00EB3C80">
      <w:pPr>
        <w:pStyle w:val="Prrafodelista"/>
        <w:numPr>
          <w:ilvl w:val="0"/>
          <w:numId w:val="10"/>
        </w:numPr>
        <w:spacing w:line="240" w:lineRule="auto"/>
        <w:jc w:val="both"/>
        <w:rPr>
          <w:rFonts w:ascii="Arial" w:hAnsi="Arial" w:cs="Arial"/>
        </w:rPr>
      </w:pPr>
      <w:r w:rsidRPr="00883687">
        <w:rPr>
          <w:rFonts w:ascii="Arial" w:hAnsi="Arial" w:cs="Arial"/>
          <w:b/>
        </w:rPr>
        <w:t>Fuentes de financiamiento</w:t>
      </w:r>
      <w:r w:rsidRPr="00883687">
        <w:rPr>
          <w:rFonts w:ascii="Arial" w:hAnsi="Arial" w:cs="Arial"/>
        </w:rPr>
        <w:t xml:space="preserve"> </w:t>
      </w:r>
      <w:r w:rsidR="00664F45">
        <w:rPr>
          <w:rFonts w:ascii="Arial" w:hAnsi="Arial" w:cs="Arial"/>
        </w:rPr>
        <w:t xml:space="preserve">la procedencia de los recursos </w:t>
      </w:r>
      <w:r w:rsidRPr="00883687">
        <w:rPr>
          <w:rFonts w:ascii="Arial" w:hAnsi="Arial" w:cs="Arial"/>
        </w:rPr>
        <w:t>disponibles para desarrollar los programas y proyectos que se realizarán en el año,</w:t>
      </w:r>
    </w:p>
    <w:p w:rsidR="00000033" w:rsidRPr="00883687" w:rsidRDefault="00000033" w:rsidP="00EB3C80">
      <w:pPr>
        <w:pStyle w:val="Prrafodelista"/>
        <w:numPr>
          <w:ilvl w:val="0"/>
          <w:numId w:val="10"/>
        </w:numPr>
        <w:spacing w:line="240" w:lineRule="auto"/>
        <w:jc w:val="both"/>
        <w:rPr>
          <w:rFonts w:ascii="Arial" w:hAnsi="Arial" w:cs="Arial"/>
        </w:rPr>
      </w:pPr>
      <w:r w:rsidRPr="00883687">
        <w:rPr>
          <w:rFonts w:ascii="Arial" w:hAnsi="Arial" w:cs="Arial"/>
          <w:b/>
        </w:rPr>
        <w:t>Instituciones</w:t>
      </w:r>
      <w:r w:rsidRPr="00883687">
        <w:rPr>
          <w:rFonts w:ascii="Arial" w:hAnsi="Arial" w:cs="Arial"/>
        </w:rPr>
        <w:t xml:space="preserve"> que tienen a su cargo la prestación de los servicios públicos,</w:t>
      </w:r>
    </w:p>
    <w:p w:rsidR="00000033" w:rsidRPr="00883687" w:rsidRDefault="00000033" w:rsidP="00EB3C80">
      <w:pPr>
        <w:pStyle w:val="Prrafodelista"/>
        <w:numPr>
          <w:ilvl w:val="0"/>
          <w:numId w:val="10"/>
        </w:numPr>
        <w:spacing w:line="240" w:lineRule="auto"/>
        <w:jc w:val="both"/>
        <w:rPr>
          <w:rFonts w:ascii="Arial" w:hAnsi="Arial" w:cs="Arial"/>
        </w:rPr>
      </w:pPr>
      <w:r w:rsidRPr="00883687">
        <w:rPr>
          <w:rFonts w:ascii="Arial" w:hAnsi="Arial" w:cs="Arial"/>
          <w:b/>
        </w:rPr>
        <w:t>Rigidez de los recursos</w:t>
      </w:r>
      <w:r w:rsidRPr="00883687">
        <w:rPr>
          <w:rFonts w:ascii="Arial" w:hAnsi="Arial" w:cs="Arial"/>
        </w:rPr>
        <w:t xml:space="preserve"> </w:t>
      </w:r>
      <w:r w:rsidR="00664F45">
        <w:rPr>
          <w:rFonts w:ascii="Arial" w:hAnsi="Arial" w:cs="Arial"/>
        </w:rPr>
        <w:t xml:space="preserve">las restricciones </w:t>
      </w:r>
      <w:r w:rsidRPr="00883687">
        <w:rPr>
          <w:rFonts w:ascii="Arial" w:hAnsi="Arial" w:cs="Arial"/>
        </w:rPr>
        <w:t>derivad</w:t>
      </w:r>
      <w:r w:rsidR="00664F45">
        <w:rPr>
          <w:rFonts w:ascii="Arial" w:hAnsi="Arial" w:cs="Arial"/>
        </w:rPr>
        <w:t>as</w:t>
      </w:r>
      <w:r w:rsidRPr="00883687">
        <w:rPr>
          <w:rFonts w:ascii="Arial" w:hAnsi="Arial" w:cs="Arial"/>
        </w:rPr>
        <w:t xml:space="preserve"> de las obligaciones constitucionales y de leyes ordinarias,</w:t>
      </w:r>
    </w:p>
    <w:p w:rsidR="00000033" w:rsidRPr="00883687" w:rsidRDefault="00000033" w:rsidP="00EB3C80">
      <w:pPr>
        <w:pStyle w:val="Prrafodelista"/>
        <w:numPr>
          <w:ilvl w:val="0"/>
          <w:numId w:val="10"/>
        </w:numPr>
        <w:spacing w:line="240" w:lineRule="auto"/>
        <w:jc w:val="both"/>
        <w:rPr>
          <w:rFonts w:ascii="Arial" w:hAnsi="Arial" w:cs="Arial"/>
        </w:rPr>
      </w:pPr>
      <w:r w:rsidRPr="00883687">
        <w:rPr>
          <w:rFonts w:ascii="Arial" w:hAnsi="Arial" w:cs="Arial"/>
          <w:b/>
        </w:rPr>
        <w:t>Cumplimiento de obligaciones</w:t>
      </w:r>
      <w:r w:rsidRPr="00883687">
        <w:rPr>
          <w:rFonts w:ascii="Arial" w:hAnsi="Arial" w:cs="Arial"/>
        </w:rPr>
        <w:t xml:space="preserve"> constitucionales y de los Acuerdos de Paz.</w:t>
      </w:r>
    </w:p>
    <w:p w:rsidR="00000033" w:rsidRPr="0081160A" w:rsidRDefault="00000033" w:rsidP="00000033">
      <w:pPr>
        <w:spacing w:after="0" w:line="240" w:lineRule="auto"/>
        <w:jc w:val="both"/>
        <w:rPr>
          <w:rFonts w:ascii="Arial" w:hAnsi="Arial" w:cs="Arial"/>
        </w:rPr>
      </w:pPr>
    </w:p>
    <w:p w:rsidR="00000033" w:rsidRPr="0081160A" w:rsidRDefault="00000033" w:rsidP="00EB3C80">
      <w:pPr>
        <w:pStyle w:val="Prrafodelista"/>
        <w:numPr>
          <w:ilvl w:val="0"/>
          <w:numId w:val="11"/>
        </w:numPr>
        <w:spacing w:after="0" w:line="240" w:lineRule="auto"/>
        <w:jc w:val="both"/>
        <w:rPr>
          <w:rFonts w:ascii="Arial" w:hAnsi="Arial" w:cs="Arial"/>
          <w:b/>
        </w:rPr>
      </w:pPr>
      <w:r w:rsidRPr="0081160A">
        <w:rPr>
          <w:rFonts w:ascii="Arial" w:hAnsi="Arial" w:cs="Arial"/>
          <w:b/>
          <w:u w:val="single"/>
        </w:rPr>
        <w:t>Por tipo de gasto</w:t>
      </w:r>
      <w:r w:rsidRPr="0081160A">
        <w:rPr>
          <w:rFonts w:ascii="Arial" w:hAnsi="Arial" w:cs="Arial"/>
        </w:rPr>
        <w:t>:</w:t>
      </w:r>
    </w:p>
    <w:p w:rsidR="00000033" w:rsidRPr="0081160A" w:rsidRDefault="00000033" w:rsidP="007E3FC9">
      <w:pPr>
        <w:spacing w:after="0" w:line="240" w:lineRule="auto"/>
        <w:rPr>
          <w:rFonts w:ascii="Arial" w:hAnsi="Arial" w:cs="Arial"/>
          <w:b/>
        </w:rPr>
      </w:pPr>
    </w:p>
    <w:p w:rsidR="00000033" w:rsidRDefault="00000033" w:rsidP="00BC5F13">
      <w:pPr>
        <w:spacing w:after="0" w:line="240" w:lineRule="auto"/>
        <w:jc w:val="both"/>
        <w:rPr>
          <w:rFonts w:ascii="Arial" w:hAnsi="Arial" w:cs="Arial"/>
          <w:lang w:val="es-MX"/>
        </w:rPr>
      </w:pPr>
      <w:r w:rsidRPr="00BC5F13">
        <w:rPr>
          <w:rFonts w:ascii="Arial" w:hAnsi="Arial" w:cs="Arial"/>
          <w:lang w:val="es-MX"/>
        </w:rPr>
        <w:t xml:space="preserve">A través del </w:t>
      </w:r>
      <w:r w:rsidR="00CD17CD">
        <w:rPr>
          <w:rFonts w:ascii="Arial" w:hAnsi="Arial" w:cs="Arial"/>
          <w:lang w:val="es-MX"/>
        </w:rPr>
        <w:t>presupuesto</w:t>
      </w:r>
      <w:r w:rsidRPr="00BC5F13">
        <w:rPr>
          <w:rFonts w:ascii="Arial" w:hAnsi="Arial" w:cs="Arial"/>
          <w:lang w:val="es-MX"/>
        </w:rPr>
        <w:t xml:space="preserve"> se busca satisfacer las necesidades colectivas de la población, y para ello se programan los distintos tipos de gasto. A continuación su descripción</w:t>
      </w:r>
      <w:r w:rsidRPr="00883687">
        <w:rPr>
          <w:rFonts w:ascii="Arial" w:hAnsi="Arial" w:cs="Arial"/>
          <w:lang w:val="es-MX"/>
        </w:rPr>
        <w:t>.</w:t>
      </w:r>
    </w:p>
    <w:p w:rsidR="00BC5F13" w:rsidRPr="00883687" w:rsidRDefault="00BC5F13" w:rsidP="00BC5F13">
      <w:pPr>
        <w:spacing w:after="0" w:line="240" w:lineRule="auto"/>
        <w:jc w:val="both"/>
        <w:rPr>
          <w:rFonts w:ascii="Arial" w:hAnsi="Arial" w:cs="Arial"/>
          <w:lang w:val="es-MX"/>
        </w:rPr>
      </w:pP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1611"/>
        <w:gridCol w:w="6611"/>
      </w:tblGrid>
      <w:tr w:rsidR="00000033" w:rsidRPr="00883687" w:rsidTr="00FE6E6E">
        <w:trPr>
          <w:trHeight w:val="379"/>
          <w:tblHeader/>
        </w:trPr>
        <w:tc>
          <w:tcPr>
            <w:tcW w:w="2178" w:type="dxa"/>
            <w:gridSpan w:val="2"/>
            <w:shd w:val="clear" w:color="auto" w:fill="FFFFCC"/>
            <w:vAlign w:val="center"/>
          </w:tcPr>
          <w:p w:rsidR="00000033" w:rsidRPr="00883687" w:rsidRDefault="00000033" w:rsidP="00B8551B">
            <w:pPr>
              <w:spacing w:after="0"/>
              <w:jc w:val="center"/>
              <w:rPr>
                <w:rFonts w:ascii="Arial" w:hAnsi="Arial" w:cs="Arial"/>
                <w:b/>
              </w:rPr>
            </w:pPr>
            <w:r w:rsidRPr="00883687">
              <w:rPr>
                <w:rFonts w:ascii="Arial" w:hAnsi="Arial" w:cs="Arial"/>
                <w:b/>
              </w:rPr>
              <w:t>Tipo de Gasto</w:t>
            </w:r>
          </w:p>
        </w:tc>
        <w:tc>
          <w:tcPr>
            <w:tcW w:w="6611" w:type="dxa"/>
            <w:shd w:val="clear" w:color="auto" w:fill="FFFFCC"/>
            <w:vAlign w:val="center"/>
          </w:tcPr>
          <w:p w:rsidR="00000033" w:rsidRPr="00883687" w:rsidRDefault="00000033" w:rsidP="008159B1">
            <w:pPr>
              <w:spacing w:after="0"/>
              <w:jc w:val="center"/>
              <w:rPr>
                <w:rFonts w:ascii="Arial" w:hAnsi="Arial" w:cs="Arial"/>
                <w:b/>
              </w:rPr>
            </w:pPr>
            <w:r w:rsidRPr="00883687">
              <w:rPr>
                <w:rFonts w:ascii="Arial" w:hAnsi="Arial" w:cs="Arial"/>
                <w:b/>
              </w:rPr>
              <w:t>¿En qué consiste?</w:t>
            </w:r>
          </w:p>
        </w:tc>
      </w:tr>
      <w:tr w:rsidR="00DA3528" w:rsidRPr="00883687" w:rsidTr="00BE7066">
        <w:trPr>
          <w:trHeight w:val="728"/>
        </w:trPr>
        <w:tc>
          <w:tcPr>
            <w:tcW w:w="567" w:type="dxa"/>
            <w:vMerge w:val="restart"/>
            <w:shd w:val="clear" w:color="auto" w:fill="948A54" w:themeFill="background2" w:themeFillShade="80"/>
            <w:textDirection w:val="btLr"/>
            <w:vAlign w:val="center"/>
          </w:tcPr>
          <w:p w:rsidR="00DA3528" w:rsidRPr="00883687" w:rsidRDefault="00DA3528" w:rsidP="00B8551B">
            <w:pPr>
              <w:spacing w:after="0"/>
              <w:ind w:left="113" w:right="113"/>
              <w:jc w:val="center"/>
              <w:rPr>
                <w:rFonts w:ascii="Arial" w:hAnsi="Arial" w:cs="Arial"/>
                <w:b/>
                <w:sz w:val="20"/>
              </w:rPr>
            </w:pPr>
            <w:r w:rsidRPr="00883687">
              <w:rPr>
                <w:rFonts w:ascii="Arial" w:hAnsi="Arial" w:cs="Arial"/>
                <w:b/>
                <w:sz w:val="20"/>
              </w:rPr>
              <w:t>Funcionamiento</w:t>
            </w:r>
          </w:p>
        </w:tc>
        <w:tc>
          <w:tcPr>
            <w:tcW w:w="1611" w:type="dxa"/>
            <w:vAlign w:val="center"/>
          </w:tcPr>
          <w:p w:rsidR="00DA3528" w:rsidRPr="00883687" w:rsidRDefault="00DA3528" w:rsidP="001F6E34">
            <w:pPr>
              <w:spacing w:after="0" w:line="240" w:lineRule="auto"/>
              <w:ind w:left="34" w:hanging="7"/>
              <w:jc w:val="center"/>
              <w:rPr>
                <w:rFonts w:ascii="Arial" w:hAnsi="Arial" w:cs="Arial"/>
                <w:sz w:val="20"/>
              </w:rPr>
            </w:pPr>
            <w:r w:rsidRPr="00883687">
              <w:rPr>
                <w:rFonts w:ascii="Arial" w:hAnsi="Arial" w:cs="Arial"/>
                <w:sz w:val="20"/>
              </w:rPr>
              <w:t>Administración</w:t>
            </w:r>
          </w:p>
        </w:tc>
        <w:tc>
          <w:tcPr>
            <w:tcW w:w="6611" w:type="dxa"/>
            <w:vAlign w:val="center"/>
          </w:tcPr>
          <w:p w:rsidR="00DA3528" w:rsidRPr="00883687" w:rsidRDefault="00DA3528" w:rsidP="00B8551B">
            <w:pPr>
              <w:spacing w:after="0" w:line="240" w:lineRule="auto"/>
              <w:jc w:val="both"/>
              <w:rPr>
                <w:rFonts w:ascii="Arial" w:hAnsi="Arial" w:cs="Arial"/>
                <w:sz w:val="20"/>
              </w:rPr>
            </w:pPr>
            <w:r w:rsidRPr="00883687">
              <w:rPr>
                <w:rFonts w:ascii="Arial" w:hAnsi="Arial" w:cs="Arial"/>
                <w:sz w:val="20"/>
              </w:rPr>
              <w:t>Apoyo de la gestión administrativa correspondiente a la producción de bienes y servicios públicos.</w:t>
            </w:r>
          </w:p>
        </w:tc>
      </w:tr>
      <w:tr w:rsidR="00DA3528" w:rsidRPr="00883687" w:rsidTr="00BE7066">
        <w:trPr>
          <w:trHeight w:val="131"/>
        </w:trPr>
        <w:tc>
          <w:tcPr>
            <w:tcW w:w="567" w:type="dxa"/>
            <w:vMerge/>
            <w:shd w:val="clear" w:color="auto" w:fill="948A54" w:themeFill="background2" w:themeFillShade="80"/>
            <w:vAlign w:val="center"/>
          </w:tcPr>
          <w:p w:rsidR="00DA3528" w:rsidRPr="00883687" w:rsidRDefault="00DA3528" w:rsidP="00B8551B">
            <w:pPr>
              <w:spacing w:after="0"/>
              <w:jc w:val="center"/>
              <w:rPr>
                <w:rFonts w:ascii="Arial" w:hAnsi="Arial" w:cs="Arial"/>
                <w:sz w:val="20"/>
              </w:rPr>
            </w:pPr>
          </w:p>
        </w:tc>
        <w:tc>
          <w:tcPr>
            <w:tcW w:w="1611" w:type="dxa"/>
            <w:vAlign w:val="center"/>
          </w:tcPr>
          <w:p w:rsidR="00DA3528" w:rsidRPr="00883687" w:rsidRDefault="001F6E34" w:rsidP="001F6E34">
            <w:pPr>
              <w:spacing w:after="0" w:line="240" w:lineRule="auto"/>
              <w:ind w:left="34"/>
              <w:jc w:val="center"/>
              <w:rPr>
                <w:rFonts w:ascii="Arial" w:hAnsi="Arial" w:cs="Arial"/>
                <w:sz w:val="20"/>
              </w:rPr>
            </w:pPr>
            <w:r>
              <w:rPr>
                <w:rFonts w:ascii="Arial" w:hAnsi="Arial" w:cs="Arial"/>
                <w:sz w:val="20"/>
              </w:rPr>
              <w:t>Desarrollo</w:t>
            </w:r>
            <w:r w:rsidR="00DA3528" w:rsidRPr="00883687">
              <w:rPr>
                <w:rFonts w:ascii="Arial" w:hAnsi="Arial" w:cs="Arial"/>
                <w:sz w:val="20"/>
              </w:rPr>
              <w:t xml:space="preserve"> Humano</w:t>
            </w:r>
          </w:p>
        </w:tc>
        <w:tc>
          <w:tcPr>
            <w:tcW w:w="6611" w:type="dxa"/>
            <w:vAlign w:val="center"/>
          </w:tcPr>
          <w:p w:rsidR="00DA3528" w:rsidRPr="00883687" w:rsidRDefault="00DA3528" w:rsidP="00D709ED">
            <w:pPr>
              <w:spacing w:after="0"/>
              <w:jc w:val="both"/>
              <w:rPr>
                <w:rFonts w:ascii="Arial" w:hAnsi="Arial" w:cs="Arial"/>
                <w:sz w:val="20"/>
              </w:rPr>
            </w:pPr>
            <w:r w:rsidRPr="00883687">
              <w:rPr>
                <w:rFonts w:ascii="Arial" w:hAnsi="Arial" w:cs="Arial"/>
                <w:sz w:val="20"/>
              </w:rPr>
              <w:t>Recursos que se destinan a mejorar las condiciones de la población, a través de programas de educación, ciencia y cultura; salud y asistencia social; y, trabajo y previsión social.</w:t>
            </w:r>
          </w:p>
        </w:tc>
      </w:tr>
      <w:tr w:rsidR="00DA3528" w:rsidRPr="00883687" w:rsidTr="00BE7066">
        <w:trPr>
          <w:trHeight w:val="131"/>
        </w:trPr>
        <w:tc>
          <w:tcPr>
            <w:tcW w:w="567" w:type="dxa"/>
            <w:vMerge/>
            <w:shd w:val="clear" w:color="auto" w:fill="948A54" w:themeFill="background2" w:themeFillShade="80"/>
            <w:vAlign w:val="center"/>
          </w:tcPr>
          <w:p w:rsidR="00DA3528" w:rsidRPr="00883687" w:rsidRDefault="00DA3528" w:rsidP="00B8551B">
            <w:pPr>
              <w:spacing w:after="0"/>
              <w:jc w:val="center"/>
              <w:rPr>
                <w:rFonts w:ascii="Arial" w:hAnsi="Arial" w:cs="Arial"/>
                <w:sz w:val="20"/>
              </w:rPr>
            </w:pPr>
          </w:p>
        </w:tc>
        <w:tc>
          <w:tcPr>
            <w:tcW w:w="1611" w:type="dxa"/>
            <w:vAlign w:val="center"/>
          </w:tcPr>
          <w:p w:rsidR="00DA3528" w:rsidRPr="00883687" w:rsidRDefault="00DA3528" w:rsidP="003D5D2D">
            <w:pPr>
              <w:spacing w:after="0" w:line="240" w:lineRule="auto"/>
              <w:ind w:left="34"/>
              <w:jc w:val="center"/>
              <w:rPr>
                <w:rFonts w:ascii="Arial" w:hAnsi="Arial" w:cs="Arial"/>
                <w:sz w:val="20"/>
              </w:rPr>
            </w:pPr>
            <w:r w:rsidRPr="00883687">
              <w:rPr>
                <w:rFonts w:ascii="Arial" w:hAnsi="Arial" w:cs="Arial"/>
                <w:sz w:val="20"/>
              </w:rPr>
              <w:t>Transferencias Corrientes</w:t>
            </w:r>
          </w:p>
        </w:tc>
        <w:tc>
          <w:tcPr>
            <w:tcW w:w="6611" w:type="dxa"/>
            <w:vAlign w:val="center"/>
          </w:tcPr>
          <w:p w:rsidR="00DA3528" w:rsidRPr="00883687" w:rsidRDefault="00D70809" w:rsidP="007D26A4">
            <w:pPr>
              <w:spacing w:after="0"/>
              <w:jc w:val="both"/>
              <w:rPr>
                <w:rFonts w:ascii="Arial" w:hAnsi="Arial" w:cs="Arial"/>
                <w:sz w:val="20"/>
              </w:rPr>
            </w:pPr>
            <w:r w:rsidRPr="00883687">
              <w:rPr>
                <w:rFonts w:ascii="Arial" w:hAnsi="Arial" w:cs="Arial"/>
                <w:sz w:val="20"/>
              </w:rPr>
              <w:t>Corresponde a las asignaciones que se trasladan a personas individuales o instituciones, clasificad</w:t>
            </w:r>
            <w:r w:rsidR="007D26A4">
              <w:rPr>
                <w:rFonts w:ascii="Arial" w:hAnsi="Arial" w:cs="Arial"/>
                <w:sz w:val="20"/>
              </w:rPr>
              <w:t>a</w:t>
            </w:r>
            <w:r w:rsidRPr="00883687">
              <w:rPr>
                <w:rFonts w:ascii="Arial" w:hAnsi="Arial" w:cs="Arial"/>
                <w:sz w:val="20"/>
              </w:rPr>
              <w:t>s como grupo 4 y</w:t>
            </w:r>
            <w:r w:rsidR="007D26A4">
              <w:rPr>
                <w:rFonts w:ascii="Arial" w:hAnsi="Arial" w:cs="Arial"/>
                <w:sz w:val="20"/>
              </w:rPr>
              <w:t xml:space="preserve"> que</w:t>
            </w:r>
            <w:r w:rsidRPr="00883687">
              <w:rPr>
                <w:rFonts w:ascii="Arial" w:hAnsi="Arial" w:cs="Arial"/>
                <w:sz w:val="20"/>
              </w:rPr>
              <w:t xml:space="preserve"> no tienen contraprestación de servicios</w:t>
            </w:r>
            <w:r w:rsidR="00A50807">
              <w:rPr>
                <w:rStyle w:val="Refdenotaalpie"/>
                <w:rFonts w:ascii="Arial" w:hAnsi="Arial" w:cs="Arial"/>
                <w:sz w:val="20"/>
              </w:rPr>
              <w:footnoteReference w:id="2"/>
            </w:r>
            <w:r w:rsidRPr="00883687">
              <w:rPr>
                <w:rFonts w:ascii="Arial" w:hAnsi="Arial" w:cs="Arial"/>
                <w:sz w:val="20"/>
              </w:rPr>
              <w:t>.</w:t>
            </w:r>
          </w:p>
        </w:tc>
      </w:tr>
      <w:tr w:rsidR="00000033" w:rsidRPr="00883687" w:rsidTr="00BE7066">
        <w:trPr>
          <w:trHeight w:val="833"/>
        </w:trPr>
        <w:tc>
          <w:tcPr>
            <w:tcW w:w="567" w:type="dxa"/>
            <w:vMerge w:val="restart"/>
            <w:shd w:val="clear" w:color="auto" w:fill="FFCCFF"/>
            <w:textDirection w:val="btLr"/>
            <w:vAlign w:val="center"/>
          </w:tcPr>
          <w:p w:rsidR="00000033" w:rsidRPr="00883687" w:rsidRDefault="00000033" w:rsidP="0069650B">
            <w:pPr>
              <w:spacing w:after="0"/>
              <w:ind w:left="113" w:right="113"/>
              <w:jc w:val="center"/>
              <w:rPr>
                <w:rFonts w:ascii="Arial" w:hAnsi="Arial" w:cs="Arial"/>
                <w:b/>
                <w:sz w:val="20"/>
              </w:rPr>
            </w:pPr>
            <w:r w:rsidRPr="00883687">
              <w:rPr>
                <w:rFonts w:ascii="Arial" w:hAnsi="Arial" w:cs="Arial"/>
                <w:b/>
                <w:sz w:val="20"/>
              </w:rPr>
              <w:t>Inver</w:t>
            </w:r>
            <w:r w:rsidR="0069650B" w:rsidRPr="00883687">
              <w:rPr>
                <w:rFonts w:ascii="Arial" w:hAnsi="Arial" w:cs="Arial"/>
                <w:b/>
                <w:sz w:val="20"/>
              </w:rPr>
              <w:t>s</w:t>
            </w:r>
            <w:r w:rsidRPr="00883687">
              <w:rPr>
                <w:rFonts w:ascii="Arial" w:hAnsi="Arial" w:cs="Arial"/>
                <w:b/>
                <w:sz w:val="20"/>
              </w:rPr>
              <w:t>ión</w:t>
            </w:r>
          </w:p>
        </w:tc>
        <w:tc>
          <w:tcPr>
            <w:tcW w:w="1611" w:type="dxa"/>
            <w:vAlign w:val="center"/>
          </w:tcPr>
          <w:p w:rsidR="00000033" w:rsidRPr="00883687" w:rsidRDefault="00000033" w:rsidP="003D5D2D">
            <w:pPr>
              <w:spacing w:after="0" w:line="240" w:lineRule="auto"/>
              <w:ind w:left="34"/>
              <w:jc w:val="center"/>
              <w:rPr>
                <w:rFonts w:ascii="Arial" w:hAnsi="Arial" w:cs="Arial"/>
                <w:sz w:val="20"/>
              </w:rPr>
            </w:pPr>
            <w:r w:rsidRPr="00883687">
              <w:rPr>
                <w:rFonts w:ascii="Arial" w:hAnsi="Arial" w:cs="Arial"/>
                <w:sz w:val="20"/>
              </w:rPr>
              <w:t>Inversión Física</w:t>
            </w:r>
          </w:p>
        </w:tc>
        <w:tc>
          <w:tcPr>
            <w:tcW w:w="6611" w:type="dxa"/>
            <w:vAlign w:val="center"/>
          </w:tcPr>
          <w:p w:rsidR="00000033" w:rsidRPr="00883687" w:rsidRDefault="00000033" w:rsidP="00D709ED">
            <w:pPr>
              <w:spacing w:after="0"/>
              <w:jc w:val="both"/>
              <w:rPr>
                <w:rFonts w:ascii="Arial" w:hAnsi="Arial" w:cs="Arial"/>
                <w:sz w:val="20"/>
              </w:rPr>
            </w:pPr>
            <w:r w:rsidRPr="00883687">
              <w:rPr>
                <w:rFonts w:ascii="Arial" w:hAnsi="Arial" w:cs="Arial"/>
                <w:sz w:val="20"/>
              </w:rPr>
              <w:t>Recursos destinados a proyectos y obras específicas, que derivan del Programa de Inversiones Públicas y que pueden consistir en ampliación, construcción, mejoramiento y/o reposición de un medio de producción durable</w:t>
            </w:r>
            <w:r w:rsidRPr="00883687">
              <w:rPr>
                <w:rStyle w:val="Refdenotaalpie"/>
                <w:rFonts w:ascii="Arial" w:hAnsi="Arial" w:cs="Arial"/>
                <w:sz w:val="20"/>
              </w:rPr>
              <w:footnoteReference w:id="3"/>
            </w:r>
            <w:r w:rsidRPr="00883687">
              <w:rPr>
                <w:rFonts w:ascii="Arial" w:hAnsi="Arial" w:cs="Arial"/>
                <w:sz w:val="20"/>
              </w:rPr>
              <w:t>.</w:t>
            </w:r>
          </w:p>
        </w:tc>
      </w:tr>
      <w:tr w:rsidR="00000033" w:rsidRPr="00883687" w:rsidTr="00BE7066">
        <w:trPr>
          <w:trHeight w:val="131"/>
        </w:trPr>
        <w:tc>
          <w:tcPr>
            <w:tcW w:w="567" w:type="dxa"/>
            <w:vMerge/>
            <w:shd w:val="clear" w:color="auto" w:fill="FFCCFF"/>
            <w:vAlign w:val="center"/>
          </w:tcPr>
          <w:p w:rsidR="00000033" w:rsidRPr="00883687" w:rsidRDefault="00000033" w:rsidP="00B8551B">
            <w:pPr>
              <w:spacing w:after="0"/>
              <w:jc w:val="center"/>
              <w:rPr>
                <w:rFonts w:ascii="Arial" w:hAnsi="Arial" w:cs="Arial"/>
                <w:sz w:val="20"/>
              </w:rPr>
            </w:pPr>
          </w:p>
        </w:tc>
        <w:tc>
          <w:tcPr>
            <w:tcW w:w="1611" w:type="dxa"/>
            <w:vAlign w:val="center"/>
          </w:tcPr>
          <w:p w:rsidR="00000033" w:rsidRPr="00883687" w:rsidRDefault="00000033" w:rsidP="003D5D2D">
            <w:pPr>
              <w:spacing w:after="0" w:line="240" w:lineRule="auto"/>
              <w:ind w:left="34" w:hanging="7"/>
              <w:jc w:val="center"/>
              <w:rPr>
                <w:rFonts w:ascii="Arial" w:hAnsi="Arial" w:cs="Arial"/>
                <w:sz w:val="20"/>
              </w:rPr>
            </w:pPr>
            <w:r w:rsidRPr="00883687">
              <w:rPr>
                <w:rFonts w:ascii="Arial" w:hAnsi="Arial" w:cs="Arial"/>
                <w:sz w:val="20"/>
              </w:rPr>
              <w:t>Transferencias de Capital</w:t>
            </w:r>
          </w:p>
        </w:tc>
        <w:tc>
          <w:tcPr>
            <w:tcW w:w="6611" w:type="dxa"/>
            <w:vAlign w:val="center"/>
          </w:tcPr>
          <w:p w:rsidR="00000033" w:rsidRPr="00883687" w:rsidRDefault="00000033" w:rsidP="00D709ED">
            <w:pPr>
              <w:spacing w:after="0"/>
              <w:jc w:val="both"/>
              <w:rPr>
                <w:rFonts w:ascii="Arial" w:hAnsi="Arial" w:cs="Arial"/>
                <w:sz w:val="20"/>
              </w:rPr>
            </w:pPr>
            <w:r w:rsidRPr="00883687">
              <w:rPr>
                <w:rFonts w:ascii="Arial" w:hAnsi="Arial" w:cs="Arial"/>
                <w:sz w:val="20"/>
              </w:rPr>
              <w:t>Erogaciones destinadas a la formación bruta de capital fijo, a través de organismos, asociaciones, instituciones u organizaciones no gubernamentales.</w:t>
            </w:r>
          </w:p>
        </w:tc>
      </w:tr>
      <w:tr w:rsidR="00000033" w:rsidRPr="00883687" w:rsidTr="00BE7066">
        <w:trPr>
          <w:trHeight w:val="131"/>
        </w:trPr>
        <w:tc>
          <w:tcPr>
            <w:tcW w:w="567" w:type="dxa"/>
            <w:vMerge/>
            <w:shd w:val="clear" w:color="auto" w:fill="FFCCFF"/>
            <w:vAlign w:val="center"/>
          </w:tcPr>
          <w:p w:rsidR="00000033" w:rsidRPr="00883687" w:rsidRDefault="00000033" w:rsidP="00B8551B">
            <w:pPr>
              <w:spacing w:after="0"/>
              <w:jc w:val="center"/>
              <w:rPr>
                <w:rFonts w:ascii="Arial" w:hAnsi="Arial" w:cs="Arial"/>
                <w:sz w:val="20"/>
              </w:rPr>
            </w:pPr>
          </w:p>
        </w:tc>
        <w:tc>
          <w:tcPr>
            <w:tcW w:w="1611" w:type="dxa"/>
            <w:vAlign w:val="center"/>
          </w:tcPr>
          <w:p w:rsidR="00000033" w:rsidRPr="00883687" w:rsidRDefault="00000033" w:rsidP="003D5D2D">
            <w:pPr>
              <w:spacing w:after="0" w:line="240" w:lineRule="auto"/>
              <w:ind w:left="34"/>
              <w:jc w:val="center"/>
              <w:rPr>
                <w:rFonts w:ascii="Arial" w:hAnsi="Arial" w:cs="Arial"/>
                <w:sz w:val="20"/>
              </w:rPr>
            </w:pPr>
            <w:r w:rsidRPr="00883687">
              <w:rPr>
                <w:rFonts w:ascii="Arial" w:hAnsi="Arial" w:cs="Arial"/>
                <w:sz w:val="20"/>
              </w:rPr>
              <w:t>Inversión Financiera</w:t>
            </w:r>
          </w:p>
        </w:tc>
        <w:tc>
          <w:tcPr>
            <w:tcW w:w="6611" w:type="dxa"/>
            <w:vAlign w:val="center"/>
          </w:tcPr>
          <w:p w:rsidR="00000033" w:rsidRPr="00883687" w:rsidRDefault="00000033" w:rsidP="00D709ED">
            <w:pPr>
              <w:spacing w:after="0"/>
              <w:jc w:val="both"/>
              <w:rPr>
                <w:rFonts w:ascii="Arial" w:hAnsi="Arial" w:cs="Arial"/>
                <w:sz w:val="20"/>
              </w:rPr>
            </w:pPr>
            <w:r w:rsidRPr="00883687">
              <w:rPr>
                <w:rFonts w:ascii="Arial" w:hAnsi="Arial" w:cs="Arial"/>
                <w:sz w:val="20"/>
              </w:rPr>
              <w:t>Recursos programados como activos financieros.</w:t>
            </w:r>
          </w:p>
        </w:tc>
      </w:tr>
      <w:tr w:rsidR="00000033" w:rsidRPr="00883687" w:rsidTr="00BE7066">
        <w:trPr>
          <w:cantSplit/>
          <w:trHeight w:val="890"/>
        </w:trPr>
        <w:tc>
          <w:tcPr>
            <w:tcW w:w="567" w:type="dxa"/>
            <w:shd w:val="clear" w:color="auto" w:fill="B8CCE4" w:themeFill="accent1" w:themeFillTint="66"/>
            <w:textDirection w:val="btLr"/>
            <w:vAlign w:val="center"/>
          </w:tcPr>
          <w:p w:rsidR="00000033" w:rsidRPr="00BE7066" w:rsidRDefault="00000033" w:rsidP="00B8551B">
            <w:pPr>
              <w:spacing w:after="0"/>
              <w:ind w:left="113" w:right="113"/>
              <w:jc w:val="center"/>
              <w:rPr>
                <w:rFonts w:ascii="Arial" w:hAnsi="Arial" w:cs="Arial"/>
                <w:b/>
                <w:sz w:val="18"/>
                <w:szCs w:val="18"/>
              </w:rPr>
            </w:pPr>
            <w:r w:rsidRPr="00BE7066">
              <w:rPr>
                <w:rFonts w:ascii="Arial" w:hAnsi="Arial" w:cs="Arial"/>
                <w:b/>
                <w:sz w:val="18"/>
                <w:szCs w:val="18"/>
              </w:rPr>
              <w:t>Deuda Pública</w:t>
            </w:r>
          </w:p>
        </w:tc>
        <w:tc>
          <w:tcPr>
            <w:tcW w:w="1611" w:type="dxa"/>
            <w:vAlign w:val="center"/>
          </w:tcPr>
          <w:p w:rsidR="00000033" w:rsidRPr="00883687" w:rsidRDefault="00000033" w:rsidP="003D5D2D">
            <w:pPr>
              <w:spacing w:after="0" w:line="240" w:lineRule="auto"/>
              <w:ind w:left="34"/>
              <w:jc w:val="center"/>
              <w:rPr>
                <w:rFonts w:ascii="Arial" w:hAnsi="Arial" w:cs="Arial"/>
                <w:sz w:val="20"/>
              </w:rPr>
            </w:pPr>
            <w:r w:rsidRPr="00883687">
              <w:rPr>
                <w:rFonts w:ascii="Arial" w:hAnsi="Arial" w:cs="Arial"/>
                <w:sz w:val="20"/>
              </w:rPr>
              <w:t>Deuda Pública</w:t>
            </w:r>
          </w:p>
        </w:tc>
        <w:tc>
          <w:tcPr>
            <w:tcW w:w="6611" w:type="dxa"/>
            <w:vAlign w:val="center"/>
          </w:tcPr>
          <w:p w:rsidR="00000033" w:rsidRPr="00883687" w:rsidRDefault="00000033" w:rsidP="00D709ED">
            <w:pPr>
              <w:spacing w:after="0"/>
              <w:jc w:val="both"/>
              <w:rPr>
                <w:rFonts w:ascii="Arial" w:hAnsi="Arial" w:cs="Arial"/>
                <w:sz w:val="20"/>
              </w:rPr>
            </w:pPr>
            <w:r w:rsidRPr="00883687">
              <w:rPr>
                <w:rFonts w:ascii="Arial" w:hAnsi="Arial" w:cs="Arial"/>
                <w:sz w:val="20"/>
              </w:rPr>
              <w:t>Comprende los egresos programados para cubrir el servicio de la deuda pública y la amortización de pasivos.</w:t>
            </w:r>
          </w:p>
        </w:tc>
      </w:tr>
    </w:tbl>
    <w:p w:rsidR="00000033" w:rsidRPr="00883687" w:rsidRDefault="00000033" w:rsidP="00A470D7">
      <w:pPr>
        <w:spacing w:after="0" w:line="240" w:lineRule="auto"/>
        <w:jc w:val="both"/>
        <w:rPr>
          <w:rFonts w:ascii="Arial" w:hAnsi="Arial" w:cs="Arial"/>
        </w:rPr>
      </w:pPr>
      <w:r w:rsidRPr="00883687">
        <w:rPr>
          <w:rFonts w:ascii="Arial" w:hAnsi="Arial" w:cs="Arial"/>
        </w:rPr>
        <w:lastRenderedPageBreak/>
        <w:t>El presupuesto desde esta perspectiva, permite conocer cómo se agrupan los programas, subprogramas, proyectos, actividades y obras que ejecutan las entidades y dependencias del sector público. Todo ello forma parte de la estructura que se toma en consideración para programar los recursos con que se financian los servicios</w:t>
      </w:r>
      <w:r w:rsidR="0043698A">
        <w:rPr>
          <w:rFonts w:ascii="Arial" w:hAnsi="Arial" w:cs="Arial"/>
        </w:rPr>
        <w:t xml:space="preserve"> que se prestan a la población.</w:t>
      </w:r>
    </w:p>
    <w:p w:rsidR="00000033" w:rsidRPr="00883687" w:rsidRDefault="00000033" w:rsidP="00A470D7">
      <w:pPr>
        <w:spacing w:after="0" w:line="240" w:lineRule="auto"/>
        <w:jc w:val="both"/>
        <w:rPr>
          <w:rFonts w:ascii="Arial" w:hAnsi="Arial" w:cs="Arial"/>
        </w:rPr>
      </w:pPr>
    </w:p>
    <w:p w:rsidR="00000033" w:rsidRPr="00883687" w:rsidRDefault="00000033" w:rsidP="00A470D7">
      <w:pPr>
        <w:spacing w:after="0" w:line="240" w:lineRule="auto"/>
        <w:jc w:val="both"/>
        <w:rPr>
          <w:rFonts w:ascii="Arial" w:hAnsi="Arial" w:cs="Arial"/>
        </w:rPr>
      </w:pPr>
      <w:r w:rsidRPr="00883687">
        <w:rPr>
          <w:rFonts w:ascii="Arial" w:hAnsi="Arial" w:cs="Arial"/>
        </w:rPr>
        <w:t>Adicionalmente facilita conocer si los programas a realizar apoyan la gestión administrativa, o bien si incrementan la cobertura y la calidad de los servicios públicos a favor de la población, la inversión, o si contribuyen al pago de la deuda pública.</w:t>
      </w:r>
    </w:p>
    <w:p w:rsidR="00000033" w:rsidRPr="00883687" w:rsidRDefault="00000033" w:rsidP="00A470D7">
      <w:pPr>
        <w:spacing w:after="0" w:line="240" w:lineRule="auto"/>
        <w:jc w:val="both"/>
        <w:rPr>
          <w:rFonts w:ascii="Arial" w:hAnsi="Arial" w:cs="Arial"/>
        </w:rPr>
      </w:pPr>
    </w:p>
    <w:p w:rsidR="00000033" w:rsidRDefault="00000033" w:rsidP="00A470D7">
      <w:pPr>
        <w:spacing w:after="0" w:line="240" w:lineRule="auto"/>
        <w:jc w:val="both"/>
        <w:rPr>
          <w:rFonts w:ascii="Arial" w:hAnsi="Arial" w:cs="Arial"/>
        </w:rPr>
      </w:pPr>
      <w:r w:rsidRPr="00883687">
        <w:rPr>
          <w:rFonts w:ascii="Arial" w:hAnsi="Arial" w:cs="Arial"/>
        </w:rPr>
        <w:t xml:space="preserve">En las siguientes gráficas se muestra que el tipo de gasto de funcionamiento, absorbe mayores recursos que los que se destinan a la inversión y deuda pública. Esto se explica porque en </w:t>
      </w:r>
      <w:r w:rsidR="00664F45">
        <w:rPr>
          <w:rFonts w:ascii="Arial" w:hAnsi="Arial" w:cs="Arial"/>
        </w:rPr>
        <w:t xml:space="preserve">los gastos de </w:t>
      </w:r>
      <w:r w:rsidRPr="00883687">
        <w:rPr>
          <w:rFonts w:ascii="Arial" w:hAnsi="Arial" w:cs="Arial"/>
        </w:rPr>
        <w:t xml:space="preserve">funcionamiento </w:t>
      </w:r>
      <w:r w:rsidR="00664F45">
        <w:rPr>
          <w:rFonts w:ascii="Arial" w:hAnsi="Arial" w:cs="Arial"/>
        </w:rPr>
        <w:t>se incluyen</w:t>
      </w:r>
      <w:r w:rsidR="00664F45" w:rsidRPr="00883687">
        <w:rPr>
          <w:rFonts w:ascii="Arial" w:hAnsi="Arial" w:cs="Arial"/>
        </w:rPr>
        <w:t xml:space="preserve"> </w:t>
      </w:r>
      <w:r w:rsidRPr="00883687">
        <w:rPr>
          <w:rFonts w:ascii="Arial" w:hAnsi="Arial" w:cs="Arial"/>
        </w:rPr>
        <w:t xml:space="preserve">los servicios esenciales de salud, educación y seguridad que son prioritarios para beneficiar al ciudadano.  </w:t>
      </w:r>
      <w:r w:rsidR="00664F45">
        <w:rPr>
          <w:rFonts w:ascii="Arial" w:hAnsi="Arial" w:cs="Arial"/>
        </w:rPr>
        <w:t>Es por eso que</w:t>
      </w:r>
      <w:r w:rsidRPr="00883687">
        <w:rPr>
          <w:rFonts w:ascii="Arial" w:hAnsi="Arial" w:cs="Arial"/>
        </w:rPr>
        <w:t xml:space="preserve">  este tipo de gasto se ve incrementado</w:t>
      </w:r>
      <w:r w:rsidR="00664F45">
        <w:rPr>
          <w:rFonts w:ascii="Arial" w:hAnsi="Arial" w:cs="Arial"/>
        </w:rPr>
        <w:t xml:space="preserve"> anualmente,</w:t>
      </w:r>
      <w:r w:rsidRPr="00883687">
        <w:rPr>
          <w:rFonts w:ascii="Arial" w:hAnsi="Arial" w:cs="Arial"/>
        </w:rPr>
        <w:t xml:space="preserve"> sin que</w:t>
      </w:r>
      <w:r w:rsidR="00664F45">
        <w:rPr>
          <w:rFonts w:ascii="Arial" w:hAnsi="Arial" w:cs="Arial"/>
        </w:rPr>
        <w:t xml:space="preserve"> eso</w:t>
      </w:r>
      <w:r w:rsidRPr="00883687">
        <w:rPr>
          <w:rFonts w:ascii="Arial" w:hAnsi="Arial" w:cs="Arial"/>
        </w:rPr>
        <w:t xml:space="preserve"> signifique que aumentan gastos superfluos o innecesarios en la administración pública.</w:t>
      </w:r>
    </w:p>
    <w:p w:rsidR="006542FC" w:rsidRPr="00883687" w:rsidRDefault="006542FC" w:rsidP="00A470D7">
      <w:pPr>
        <w:spacing w:after="0" w:line="240" w:lineRule="auto"/>
        <w:jc w:val="both"/>
        <w:rPr>
          <w:rFonts w:ascii="Arial" w:hAnsi="Arial" w:cs="Arial"/>
        </w:rPr>
      </w:pPr>
    </w:p>
    <w:p w:rsidR="00D878D3" w:rsidRDefault="00D878D3" w:rsidP="00D878D3">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10</w:t>
      </w:r>
    </w:p>
    <w:p w:rsidR="00B90E52" w:rsidRDefault="00C45F11" w:rsidP="006542FC">
      <w:pPr>
        <w:jc w:val="center"/>
        <w:rPr>
          <w:rFonts w:ascii="Arial" w:hAnsi="Arial" w:cs="Arial"/>
          <w:b/>
          <w:sz w:val="24"/>
          <w:szCs w:val="24"/>
        </w:rPr>
      </w:pPr>
      <w:r w:rsidRPr="00C45F11">
        <w:rPr>
          <w:noProof/>
        </w:rPr>
        <w:t xml:space="preserve"> </w:t>
      </w:r>
      <w:r>
        <w:rPr>
          <w:noProof/>
        </w:rPr>
        <w:drawing>
          <wp:inline distT="0" distB="0" distL="0" distR="0" wp14:anchorId="1C03F732" wp14:editId="27AED070">
            <wp:extent cx="5391150" cy="4791075"/>
            <wp:effectExtent l="0" t="0" r="0" b="0"/>
            <wp:docPr id="691" name="Gráfico 6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B90E52" w:rsidRPr="00883687" w:rsidRDefault="00B90E52" w:rsidP="00B90E52">
      <w:pPr>
        <w:jc w:val="both"/>
        <w:rPr>
          <w:rFonts w:ascii="Arial" w:hAnsi="Arial" w:cs="Arial"/>
          <w:b/>
          <w:sz w:val="24"/>
          <w:szCs w:val="24"/>
        </w:rPr>
      </w:pPr>
    </w:p>
    <w:p w:rsidR="001E7783" w:rsidRPr="00883687" w:rsidRDefault="001F0A16" w:rsidP="00D878D3">
      <w:pPr>
        <w:jc w:val="both"/>
        <w:rPr>
          <w:rFonts w:ascii="Arial" w:hAnsi="Arial" w:cs="Arial"/>
          <w:b/>
          <w:sz w:val="24"/>
          <w:szCs w:val="24"/>
        </w:rPr>
      </w:pPr>
      <w:r w:rsidRPr="00883687">
        <w:rPr>
          <w:rFonts w:ascii="Arial" w:hAnsi="Arial" w:cs="Arial"/>
          <w:b/>
          <w:noProof/>
          <w:sz w:val="24"/>
          <w:szCs w:val="24"/>
        </w:rPr>
        <w:lastRenderedPageBreak/>
        <w:drawing>
          <wp:inline distT="0" distB="0" distL="0" distR="0" wp14:anchorId="52EA8542" wp14:editId="0A071EA1">
            <wp:extent cx="5486400" cy="4276725"/>
            <wp:effectExtent l="0" t="57150" r="114300" b="123825"/>
            <wp:docPr id="30" name="Diagra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D743C8" w:rsidRPr="00883687" w:rsidRDefault="00D743C8" w:rsidP="00D743C8">
      <w:pPr>
        <w:spacing w:after="0" w:line="240" w:lineRule="auto"/>
        <w:jc w:val="both"/>
        <w:rPr>
          <w:rFonts w:ascii="Arial" w:hAnsi="Arial" w:cs="Arial"/>
        </w:rPr>
      </w:pPr>
      <w:r w:rsidRPr="00883687">
        <w:rPr>
          <w:rFonts w:ascii="Arial" w:hAnsi="Arial" w:cs="Arial"/>
        </w:rPr>
        <w:t xml:space="preserve">Para un mejor análisis de lo antes expuesto, </w:t>
      </w:r>
      <w:r w:rsidR="009E5484" w:rsidRPr="00883687">
        <w:rPr>
          <w:rFonts w:ascii="Arial" w:hAnsi="Arial" w:cs="Arial"/>
        </w:rPr>
        <w:t xml:space="preserve">en la siguiente gráfica </w:t>
      </w:r>
      <w:r w:rsidRPr="00883687">
        <w:rPr>
          <w:rFonts w:ascii="Arial" w:hAnsi="Arial" w:cs="Arial"/>
        </w:rPr>
        <w:t>se presenta el presupuesto 201</w:t>
      </w:r>
      <w:r w:rsidR="00187101">
        <w:rPr>
          <w:rFonts w:ascii="Arial" w:hAnsi="Arial" w:cs="Arial"/>
        </w:rPr>
        <w:t>8</w:t>
      </w:r>
      <w:r w:rsidRPr="00883687">
        <w:rPr>
          <w:rFonts w:ascii="Arial" w:hAnsi="Arial" w:cs="Arial"/>
        </w:rPr>
        <w:t xml:space="preserve"> y 201</w:t>
      </w:r>
      <w:r w:rsidR="00187101">
        <w:rPr>
          <w:rFonts w:ascii="Arial" w:hAnsi="Arial" w:cs="Arial"/>
        </w:rPr>
        <w:t>9</w:t>
      </w:r>
      <w:r w:rsidRPr="00883687">
        <w:rPr>
          <w:rFonts w:ascii="Arial" w:hAnsi="Arial" w:cs="Arial"/>
        </w:rPr>
        <w:t xml:space="preserve">, por subgrupo de tipo de gasto, en cuya gráfica se puede observar que la razón por la cual </w:t>
      </w:r>
      <w:r w:rsidR="00383AB2">
        <w:rPr>
          <w:rFonts w:ascii="Arial" w:hAnsi="Arial" w:cs="Arial"/>
        </w:rPr>
        <w:t>es mayor</w:t>
      </w:r>
      <w:r w:rsidRPr="00883687">
        <w:rPr>
          <w:rFonts w:ascii="Arial" w:hAnsi="Arial" w:cs="Arial"/>
        </w:rPr>
        <w:t xml:space="preserve"> “Funcionamiento”, es porque dentro de este tipo de gasto figuran los </w:t>
      </w:r>
      <w:r w:rsidR="00123684">
        <w:rPr>
          <w:rFonts w:ascii="Arial" w:hAnsi="Arial" w:cs="Arial"/>
        </w:rPr>
        <w:t>gastos en</w:t>
      </w:r>
      <w:r w:rsidR="00383AB2">
        <w:rPr>
          <w:rFonts w:ascii="Arial" w:hAnsi="Arial" w:cs="Arial"/>
        </w:rPr>
        <w:t xml:space="preserve"> </w:t>
      </w:r>
      <w:r w:rsidRPr="00883687">
        <w:rPr>
          <w:rFonts w:ascii="Arial" w:hAnsi="Arial" w:cs="Arial"/>
        </w:rPr>
        <w:t>“</w:t>
      </w:r>
      <w:r w:rsidR="00123684">
        <w:rPr>
          <w:rFonts w:ascii="Arial" w:hAnsi="Arial" w:cs="Arial"/>
        </w:rPr>
        <w:t>Desarrollo</w:t>
      </w:r>
      <w:r w:rsidRPr="00883687">
        <w:rPr>
          <w:rFonts w:ascii="Arial" w:hAnsi="Arial" w:cs="Arial"/>
        </w:rPr>
        <w:t xml:space="preserve"> Humano”, con lo que se fortalecen aquellos programas que facilitan la prestación de los servicios educativos, de salud y asistencia social, trabajo y previsión social, además de los servicios públicos de seguridad interna y vivienda y que en su conjunto son prioritarios para la población guatemalteca.</w:t>
      </w:r>
    </w:p>
    <w:p w:rsidR="00D743C8" w:rsidRPr="00883687" w:rsidRDefault="00D743C8" w:rsidP="00D743C8">
      <w:pPr>
        <w:spacing w:after="0" w:line="240" w:lineRule="auto"/>
        <w:jc w:val="both"/>
        <w:rPr>
          <w:rFonts w:ascii="Arial" w:hAnsi="Arial" w:cs="Arial"/>
        </w:rPr>
      </w:pPr>
    </w:p>
    <w:p w:rsidR="00D743C8" w:rsidRPr="00883687" w:rsidRDefault="00D743C8" w:rsidP="00D743C8">
      <w:pPr>
        <w:spacing w:after="0" w:line="240" w:lineRule="auto"/>
        <w:jc w:val="both"/>
        <w:rPr>
          <w:rFonts w:ascii="Arial" w:hAnsi="Arial" w:cs="Arial"/>
        </w:rPr>
      </w:pPr>
      <w:r w:rsidRPr="00883687">
        <w:rPr>
          <w:rFonts w:ascii="Arial" w:hAnsi="Arial" w:cs="Arial"/>
        </w:rPr>
        <w:t>Quiere decir entonces que para satisfacer las necesidades básicas de la población y dar cumplimiento al precepto constitucional de buscar el bien común de la sociedad guatemalteca, es preciso destinar recursos en los programas educativos cuyos insumos básicos son el pago de salarios de los maestros de cada nivel educativo, compra de útiles y textos escolares, alimentación escolar, valija didáctica, profesionalización de maestros, entre otros rubros.</w:t>
      </w:r>
    </w:p>
    <w:p w:rsidR="00D743C8" w:rsidRPr="00883687" w:rsidRDefault="00D743C8" w:rsidP="00D743C8">
      <w:pPr>
        <w:spacing w:after="0" w:line="240" w:lineRule="auto"/>
        <w:jc w:val="both"/>
        <w:rPr>
          <w:rFonts w:ascii="Arial" w:hAnsi="Arial" w:cs="Arial"/>
        </w:rPr>
      </w:pPr>
    </w:p>
    <w:p w:rsidR="00D743C8" w:rsidRPr="00883687" w:rsidRDefault="00D743C8" w:rsidP="00D743C8">
      <w:pPr>
        <w:spacing w:after="0" w:line="240" w:lineRule="auto"/>
        <w:jc w:val="both"/>
        <w:rPr>
          <w:rFonts w:ascii="Arial" w:hAnsi="Arial" w:cs="Arial"/>
        </w:rPr>
      </w:pPr>
      <w:r w:rsidRPr="00883687">
        <w:rPr>
          <w:rFonts w:ascii="Arial" w:hAnsi="Arial" w:cs="Arial"/>
        </w:rPr>
        <w:t>En los programas de salud corresponde programar el pago de los médicos, personal de enfermería, compra de medicamentos y equipo médico-quirúrgico, principalmente.  Para  los programas de seguridad implica efectuar el pago a los agentes de seguridad, compra de armas y municiones y gasolina para patrullajes, principalmente.</w:t>
      </w:r>
    </w:p>
    <w:p w:rsidR="009E5484" w:rsidRPr="00883687" w:rsidRDefault="009E5484" w:rsidP="009E5484">
      <w:pPr>
        <w:spacing w:after="0" w:line="240" w:lineRule="auto"/>
        <w:jc w:val="both"/>
        <w:rPr>
          <w:rFonts w:ascii="Arial" w:hAnsi="Arial" w:cs="Arial"/>
        </w:rPr>
      </w:pPr>
    </w:p>
    <w:p w:rsidR="009E5484" w:rsidRDefault="009E5484" w:rsidP="009E5484">
      <w:pPr>
        <w:spacing w:after="0" w:line="240" w:lineRule="auto"/>
        <w:jc w:val="both"/>
        <w:rPr>
          <w:rFonts w:ascii="Arial" w:hAnsi="Arial" w:cs="Arial"/>
        </w:rPr>
      </w:pPr>
      <w:r w:rsidRPr="00883687">
        <w:rPr>
          <w:rFonts w:ascii="Arial" w:hAnsi="Arial" w:cs="Arial"/>
        </w:rPr>
        <w:t xml:space="preserve">Con base en lo anterior, se puede concluir que es importante fortalecer el tipo de gasto de “Funcionamiento”, dado que el mismo se destina a cubrir el gasto social a favor de la </w:t>
      </w:r>
      <w:r w:rsidRPr="00883687">
        <w:rPr>
          <w:rFonts w:ascii="Arial" w:hAnsi="Arial" w:cs="Arial"/>
        </w:rPr>
        <w:lastRenderedPageBreak/>
        <w:t>población. Caso contrario, si no se incrementa funcionamiento, significaría que no podría ampliarse la cobertura de los servicios públicos, los cuales son esenciales para mejorar las condiciones de vida de las personas como generadoras e impulsoras del desarrollo del país. Y es en estas áreas en donde la población espera mayores resultados por parte del gobierno</w:t>
      </w:r>
      <w:r w:rsidR="003D10BF">
        <w:rPr>
          <w:rFonts w:ascii="Arial" w:hAnsi="Arial" w:cs="Arial"/>
        </w:rPr>
        <w:t>.</w:t>
      </w:r>
    </w:p>
    <w:p w:rsidR="0028396F" w:rsidRPr="00883687" w:rsidRDefault="0028396F" w:rsidP="009E5484">
      <w:pPr>
        <w:spacing w:after="0" w:line="240" w:lineRule="auto"/>
        <w:jc w:val="both"/>
        <w:rPr>
          <w:rFonts w:ascii="Arial" w:hAnsi="Arial" w:cs="Arial"/>
        </w:rPr>
      </w:pPr>
    </w:p>
    <w:p w:rsidR="00507203" w:rsidRDefault="00EB4952" w:rsidP="00507203">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11</w:t>
      </w:r>
    </w:p>
    <w:p w:rsidR="006E440D" w:rsidRDefault="00D02721" w:rsidP="00507203">
      <w:pPr>
        <w:jc w:val="center"/>
        <w:rPr>
          <w:rFonts w:ascii="Arial" w:hAnsi="Arial" w:cs="Arial"/>
          <w:b/>
          <w:sz w:val="24"/>
          <w:szCs w:val="24"/>
        </w:rPr>
      </w:pPr>
      <w:r w:rsidRPr="00FA6B87">
        <w:rPr>
          <w:noProof/>
          <w:szCs w:val="24"/>
        </w:rPr>
        <w:drawing>
          <wp:inline distT="0" distB="0" distL="0" distR="0" wp14:anchorId="09B334EA" wp14:editId="3B019DFF">
            <wp:extent cx="5612130" cy="4731385"/>
            <wp:effectExtent l="0" t="0" r="0" b="0"/>
            <wp:docPr id="1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srcRect/>
                    <a:stretch>
                      <a:fillRect/>
                    </a:stretch>
                  </pic:blipFill>
                  <pic:spPr bwMode="auto">
                    <a:xfrm>
                      <a:off x="0" y="0"/>
                      <a:ext cx="5612130" cy="4731385"/>
                    </a:xfrm>
                    <a:prstGeom prst="rect">
                      <a:avLst/>
                    </a:prstGeom>
                    <a:noFill/>
                    <a:ln w="9525">
                      <a:noFill/>
                      <a:miter lim="800000"/>
                      <a:headEnd/>
                      <a:tailEnd/>
                    </a:ln>
                  </pic:spPr>
                </pic:pic>
              </a:graphicData>
            </a:graphic>
          </wp:inline>
        </w:drawing>
      </w:r>
    </w:p>
    <w:p w:rsidR="00140D25" w:rsidRPr="00883687" w:rsidRDefault="00140D25" w:rsidP="00507203">
      <w:pPr>
        <w:jc w:val="center"/>
        <w:rPr>
          <w:rFonts w:ascii="Arial" w:hAnsi="Arial" w:cs="Arial"/>
          <w:b/>
          <w:sz w:val="24"/>
          <w:szCs w:val="24"/>
        </w:rPr>
      </w:pPr>
    </w:p>
    <w:p w:rsidR="008A7EE9" w:rsidRPr="0081160A" w:rsidRDefault="008A7EE9" w:rsidP="00507203">
      <w:pPr>
        <w:jc w:val="center"/>
        <w:rPr>
          <w:rFonts w:ascii="Arial" w:hAnsi="Arial" w:cs="Arial"/>
          <w:b/>
        </w:rPr>
      </w:pPr>
    </w:p>
    <w:p w:rsidR="00431A37" w:rsidRPr="0081160A" w:rsidRDefault="00431A37" w:rsidP="00EB3C80">
      <w:pPr>
        <w:pStyle w:val="Prrafodelista"/>
        <w:numPr>
          <w:ilvl w:val="0"/>
          <w:numId w:val="11"/>
        </w:numPr>
        <w:rPr>
          <w:rFonts w:ascii="Arial" w:hAnsi="Arial" w:cs="Arial"/>
          <w:b/>
          <w:u w:val="single"/>
        </w:rPr>
      </w:pPr>
      <w:r w:rsidRPr="0081160A">
        <w:rPr>
          <w:rFonts w:ascii="Arial" w:hAnsi="Arial" w:cs="Arial"/>
          <w:b/>
          <w:u w:val="single"/>
        </w:rPr>
        <w:t>Por finalidad del gasto:</w:t>
      </w:r>
    </w:p>
    <w:p w:rsidR="00431A37" w:rsidRPr="0081160A" w:rsidRDefault="00431A37" w:rsidP="00431A37">
      <w:pPr>
        <w:pStyle w:val="Prrafodelista"/>
        <w:ind w:left="0"/>
        <w:jc w:val="both"/>
        <w:rPr>
          <w:rFonts w:ascii="Arial" w:hAnsi="Arial" w:cs="Arial"/>
        </w:rPr>
      </w:pPr>
    </w:p>
    <w:p w:rsidR="00431A37" w:rsidRPr="00883687" w:rsidRDefault="00431A37" w:rsidP="00431A37">
      <w:pPr>
        <w:pStyle w:val="Prrafodelista"/>
        <w:spacing w:after="0" w:line="240" w:lineRule="auto"/>
        <w:ind w:left="0"/>
        <w:jc w:val="both"/>
        <w:rPr>
          <w:rFonts w:ascii="Arial" w:hAnsi="Arial" w:cs="Arial"/>
        </w:rPr>
      </w:pPr>
      <w:r w:rsidRPr="00883687">
        <w:rPr>
          <w:rFonts w:ascii="Arial" w:hAnsi="Arial" w:cs="Arial"/>
        </w:rPr>
        <w:t>Esta perspectiva del presupuesto permite observar la tendencia del gasto en forma global,  independientemente de cómo se organicen las instituciones para alcanzar los objetivos planteados por cada una de ellas. Visibiliza en general la tendencia de los objetivos de gobierno.</w:t>
      </w:r>
    </w:p>
    <w:p w:rsidR="00431A37" w:rsidRPr="00883687" w:rsidRDefault="00431A37" w:rsidP="00431A37">
      <w:pPr>
        <w:pStyle w:val="Prrafodelista"/>
        <w:spacing w:after="0" w:line="240" w:lineRule="auto"/>
        <w:ind w:left="0"/>
        <w:jc w:val="both"/>
        <w:rPr>
          <w:rFonts w:ascii="Arial" w:hAnsi="Arial" w:cs="Arial"/>
        </w:rPr>
      </w:pPr>
    </w:p>
    <w:p w:rsidR="00423193" w:rsidRPr="00883687" w:rsidRDefault="00423193" w:rsidP="00431A37">
      <w:pPr>
        <w:pStyle w:val="Prrafodelista"/>
        <w:spacing w:after="0" w:line="240" w:lineRule="auto"/>
        <w:ind w:left="0"/>
        <w:jc w:val="both"/>
        <w:rPr>
          <w:rFonts w:ascii="Arial" w:hAnsi="Arial" w:cs="Arial"/>
        </w:rPr>
      </w:pPr>
    </w:p>
    <w:p w:rsidR="003E5411" w:rsidRDefault="003E5411" w:rsidP="003E5411">
      <w:pPr>
        <w:pStyle w:val="Prrafodelista"/>
        <w:ind w:left="0"/>
        <w:jc w:val="both"/>
        <w:rPr>
          <w:rFonts w:ascii="Arial" w:hAnsi="Arial" w:cs="Arial"/>
        </w:rPr>
      </w:pPr>
      <w:r w:rsidRPr="00883687">
        <w:rPr>
          <w:rFonts w:ascii="Arial" w:hAnsi="Arial" w:cs="Arial"/>
        </w:rPr>
        <w:lastRenderedPageBreak/>
        <w:t>El presupuesto de egresos  ap</w:t>
      </w:r>
      <w:r>
        <w:rPr>
          <w:rFonts w:ascii="Arial" w:hAnsi="Arial" w:cs="Arial"/>
        </w:rPr>
        <w:t>robado, vigente y ejecutado 2018</w:t>
      </w:r>
      <w:r w:rsidRPr="00883687">
        <w:rPr>
          <w:rFonts w:ascii="Arial" w:hAnsi="Arial" w:cs="Arial"/>
        </w:rPr>
        <w:t xml:space="preserve"> y el presupuesto de egresos  aprobado 201</w:t>
      </w:r>
      <w:r>
        <w:rPr>
          <w:rFonts w:ascii="Arial" w:hAnsi="Arial" w:cs="Arial"/>
        </w:rPr>
        <w:t>9</w:t>
      </w:r>
      <w:r w:rsidRPr="00883687">
        <w:rPr>
          <w:rFonts w:ascii="Arial" w:hAnsi="Arial" w:cs="Arial"/>
        </w:rPr>
        <w:t>, ordenado por la finalidad de los recursos, muestra que para coadyuvar al cumplimiento de los objetivos generales de gobierno se da prioridad a la educación; pago de la deuda pública; orden público y seguridad ciudadana, urbanización y servicios comunitarios, salud, protección social; asuntos económicos.</w:t>
      </w:r>
    </w:p>
    <w:p w:rsidR="003E5411" w:rsidRDefault="003E5411" w:rsidP="003E5411">
      <w:pPr>
        <w:jc w:val="center"/>
        <w:rPr>
          <w:rFonts w:ascii="Arial" w:hAnsi="Arial" w:cs="Arial"/>
          <w:b/>
          <w:sz w:val="24"/>
          <w:szCs w:val="24"/>
        </w:rPr>
      </w:pPr>
    </w:p>
    <w:p w:rsidR="003E5411" w:rsidRDefault="003E5411" w:rsidP="003E5411">
      <w:pPr>
        <w:jc w:val="center"/>
        <w:rPr>
          <w:rFonts w:ascii="Arial" w:hAnsi="Arial" w:cs="Arial"/>
          <w:b/>
          <w:sz w:val="24"/>
          <w:szCs w:val="24"/>
        </w:rPr>
      </w:pPr>
      <w:r w:rsidRPr="00883687">
        <w:rPr>
          <w:rFonts w:ascii="Arial" w:hAnsi="Arial" w:cs="Arial"/>
          <w:b/>
          <w:sz w:val="24"/>
          <w:szCs w:val="24"/>
        </w:rPr>
        <w:t xml:space="preserve">Gráfica No. </w:t>
      </w:r>
      <w:r>
        <w:rPr>
          <w:rFonts w:ascii="Arial" w:hAnsi="Arial" w:cs="Arial"/>
          <w:b/>
          <w:sz w:val="24"/>
          <w:szCs w:val="24"/>
        </w:rPr>
        <w:t>12</w:t>
      </w:r>
    </w:p>
    <w:p w:rsidR="00BE7B83" w:rsidRDefault="00C3310D" w:rsidP="00507203">
      <w:pPr>
        <w:jc w:val="center"/>
        <w:rPr>
          <w:rFonts w:ascii="Arial" w:hAnsi="Arial" w:cs="Arial"/>
          <w:b/>
          <w:sz w:val="24"/>
          <w:szCs w:val="24"/>
        </w:rPr>
      </w:pPr>
      <w:r>
        <w:rPr>
          <w:rFonts w:ascii="Arial" w:hAnsi="Arial" w:cs="Arial"/>
          <w:b/>
          <w:noProof/>
          <w:sz w:val="24"/>
          <w:szCs w:val="24"/>
        </w:rPr>
        <w:drawing>
          <wp:inline distT="0" distB="0" distL="0" distR="0" wp14:anchorId="3509E578">
            <wp:extent cx="5653378" cy="3888188"/>
            <wp:effectExtent l="0" t="0" r="508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56708" cy="3890478"/>
                    </a:xfrm>
                    <a:prstGeom prst="rect">
                      <a:avLst/>
                    </a:prstGeom>
                    <a:noFill/>
                  </pic:spPr>
                </pic:pic>
              </a:graphicData>
            </a:graphic>
          </wp:inline>
        </w:drawing>
      </w:r>
    </w:p>
    <w:p w:rsidR="00083AF8" w:rsidRPr="00883687" w:rsidRDefault="00083AF8" w:rsidP="00507203">
      <w:pPr>
        <w:jc w:val="center"/>
        <w:rPr>
          <w:rFonts w:ascii="Arial" w:hAnsi="Arial" w:cs="Arial"/>
          <w:b/>
          <w:sz w:val="24"/>
          <w:szCs w:val="24"/>
        </w:rPr>
      </w:pPr>
    </w:p>
    <w:p w:rsidR="006520D5" w:rsidRDefault="006520D5" w:rsidP="00BC5F13">
      <w:pPr>
        <w:spacing w:after="0" w:line="240" w:lineRule="auto"/>
        <w:jc w:val="both"/>
        <w:rPr>
          <w:rFonts w:ascii="Arial" w:hAnsi="Arial" w:cs="Arial"/>
          <w:b/>
        </w:rPr>
      </w:pPr>
    </w:p>
    <w:p w:rsidR="00A21F90" w:rsidRPr="0081160A" w:rsidRDefault="00A21F90" w:rsidP="00BC5F13">
      <w:pPr>
        <w:spacing w:after="0" w:line="240" w:lineRule="auto"/>
        <w:jc w:val="both"/>
        <w:rPr>
          <w:rFonts w:ascii="Arial" w:hAnsi="Arial" w:cs="Arial"/>
          <w:b/>
        </w:rPr>
      </w:pPr>
    </w:p>
    <w:p w:rsidR="0059720B" w:rsidRPr="0081160A" w:rsidRDefault="0059720B" w:rsidP="00EB3C80">
      <w:pPr>
        <w:pStyle w:val="Prrafodelista"/>
        <w:numPr>
          <w:ilvl w:val="0"/>
          <w:numId w:val="11"/>
        </w:numPr>
        <w:tabs>
          <w:tab w:val="left" w:pos="1845"/>
        </w:tabs>
        <w:spacing w:after="0" w:line="240" w:lineRule="auto"/>
        <w:rPr>
          <w:rFonts w:ascii="Arial" w:hAnsi="Arial" w:cs="Arial"/>
        </w:rPr>
      </w:pPr>
      <w:r w:rsidRPr="0081160A">
        <w:rPr>
          <w:rFonts w:ascii="Arial" w:hAnsi="Arial" w:cs="Arial"/>
          <w:b/>
          <w:u w:val="single"/>
        </w:rPr>
        <w:t>Por Fuente de Financiamiento</w:t>
      </w:r>
      <w:r w:rsidRPr="0081160A">
        <w:rPr>
          <w:rFonts w:ascii="Arial" w:hAnsi="Arial" w:cs="Arial"/>
        </w:rPr>
        <w:t xml:space="preserve">: </w:t>
      </w:r>
    </w:p>
    <w:p w:rsidR="0059720B" w:rsidRPr="0081160A" w:rsidRDefault="0059720B" w:rsidP="0081160A">
      <w:pPr>
        <w:spacing w:after="0" w:line="240" w:lineRule="auto"/>
        <w:jc w:val="both"/>
        <w:rPr>
          <w:rFonts w:ascii="Arial" w:hAnsi="Arial" w:cs="Arial"/>
        </w:rPr>
      </w:pPr>
    </w:p>
    <w:p w:rsidR="0059720B" w:rsidRPr="00BC5F13" w:rsidRDefault="0059720B" w:rsidP="00BC5F13">
      <w:pPr>
        <w:spacing w:after="0" w:line="240" w:lineRule="auto"/>
        <w:jc w:val="both"/>
        <w:rPr>
          <w:rFonts w:ascii="Arial" w:hAnsi="Arial" w:cs="Arial"/>
        </w:rPr>
      </w:pPr>
      <w:r w:rsidRPr="0081160A">
        <w:rPr>
          <w:rFonts w:ascii="Arial" w:hAnsi="Arial" w:cs="Arial"/>
        </w:rPr>
        <w:t>El</w:t>
      </w:r>
      <w:r w:rsidRPr="00BC5F13">
        <w:rPr>
          <w:rFonts w:ascii="Arial" w:hAnsi="Arial" w:cs="Arial"/>
        </w:rPr>
        <w:t xml:space="preserve"> presupuesto también puede analizarse respecto de los recursos que estarán financiando las asignaciones de gasto. </w:t>
      </w:r>
    </w:p>
    <w:p w:rsidR="0059720B" w:rsidRPr="00BC5F13" w:rsidRDefault="0059720B" w:rsidP="00BC5F13">
      <w:pPr>
        <w:spacing w:after="0" w:line="240" w:lineRule="auto"/>
        <w:jc w:val="both"/>
        <w:rPr>
          <w:rFonts w:ascii="Arial" w:hAnsi="Arial" w:cs="Arial"/>
        </w:rPr>
      </w:pPr>
    </w:p>
    <w:p w:rsidR="0059720B" w:rsidRPr="00BC5F13" w:rsidRDefault="0059720B" w:rsidP="00BC5F13">
      <w:pPr>
        <w:spacing w:after="0" w:line="240" w:lineRule="auto"/>
        <w:jc w:val="both"/>
        <w:rPr>
          <w:rFonts w:ascii="Arial" w:hAnsi="Arial" w:cs="Arial"/>
        </w:rPr>
      </w:pPr>
      <w:r w:rsidRPr="00BC5F13">
        <w:rPr>
          <w:rFonts w:ascii="Arial" w:hAnsi="Arial" w:cs="Arial"/>
        </w:rPr>
        <w:t>En la gráfica siguiente puede observarse que el presupuesto en su mayoría, se encuentra financiado con recursos del tesoro, dentro de los que destacan los ingresos corrientes que provienen de la recaudación de los impuestos. En segundo término los recursos con afectación específica derivado de un mandato legal que les establece un destino que no puede ser variado.</w:t>
      </w:r>
    </w:p>
    <w:p w:rsidR="0059720B" w:rsidRPr="00BC5F13" w:rsidRDefault="0059720B" w:rsidP="00BC5F13">
      <w:pPr>
        <w:spacing w:after="0" w:line="240" w:lineRule="auto"/>
        <w:jc w:val="both"/>
        <w:rPr>
          <w:rFonts w:ascii="Arial" w:hAnsi="Arial" w:cs="Arial"/>
        </w:rPr>
      </w:pPr>
    </w:p>
    <w:p w:rsidR="0059720B" w:rsidRDefault="0059720B" w:rsidP="00BC5F13">
      <w:pPr>
        <w:spacing w:after="0" w:line="240" w:lineRule="auto"/>
        <w:jc w:val="both"/>
        <w:rPr>
          <w:rFonts w:ascii="Arial" w:hAnsi="Arial" w:cs="Arial"/>
        </w:rPr>
      </w:pPr>
      <w:r w:rsidRPr="00BC5F13">
        <w:rPr>
          <w:rFonts w:ascii="Arial" w:hAnsi="Arial" w:cs="Arial"/>
        </w:rPr>
        <w:lastRenderedPageBreak/>
        <w:t>Derivado que los recursos tributarios son insuficientes para atender la inversión pública y otras necesidades particulares de la población, los ingresos son complementados con créditos y donaciones provenientes de organismos internacionales y de países amigos.</w:t>
      </w:r>
    </w:p>
    <w:p w:rsidR="00A21F90" w:rsidRDefault="00A21F90" w:rsidP="00BC5F13">
      <w:pPr>
        <w:spacing w:after="0" w:line="240" w:lineRule="auto"/>
        <w:jc w:val="both"/>
        <w:rPr>
          <w:rFonts w:ascii="Arial" w:hAnsi="Arial" w:cs="Arial"/>
        </w:rPr>
      </w:pPr>
    </w:p>
    <w:p w:rsidR="00A21F90" w:rsidRPr="00BC5F13" w:rsidRDefault="00A21F90" w:rsidP="00BC5F13">
      <w:pPr>
        <w:spacing w:after="0" w:line="240" w:lineRule="auto"/>
        <w:jc w:val="both"/>
        <w:rPr>
          <w:rFonts w:ascii="Arial" w:hAnsi="Arial" w:cs="Arial"/>
        </w:rPr>
      </w:pPr>
      <w:r w:rsidRPr="00883687">
        <w:rPr>
          <w:rFonts w:ascii="Arial" w:hAnsi="Arial" w:cs="Arial"/>
        </w:rPr>
        <w:t>A continuación se observa en forma comparativa el financiamiento del presupuesto 201</w:t>
      </w:r>
      <w:r>
        <w:rPr>
          <w:rFonts w:ascii="Arial" w:hAnsi="Arial" w:cs="Arial"/>
        </w:rPr>
        <w:t>8</w:t>
      </w:r>
      <w:r w:rsidRPr="00883687">
        <w:rPr>
          <w:rFonts w:ascii="Arial" w:hAnsi="Arial" w:cs="Arial"/>
        </w:rPr>
        <w:t xml:space="preserve"> y 201</w:t>
      </w:r>
      <w:r>
        <w:rPr>
          <w:rFonts w:ascii="Arial" w:hAnsi="Arial" w:cs="Arial"/>
        </w:rPr>
        <w:t>9</w:t>
      </w:r>
    </w:p>
    <w:p w:rsidR="00D43BDB" w:rsidRDefault="00D43BDB" w:rsidP="0059720B">
      <w:pPr>
        <w:spacing w:after="0" w:line="240" w:lineRule="auto"/>
        <w:jc w:val="both"/>
        <w:rPr>
          <w:rFonts w:ascii="Arial" w:hAnsi="Arial" w:cs="Arial"/>
        </w:rPr>
      </w:pPr>
    </w:p>
    <w:p w:rsidR="00507203" w:rsidRDefault="00EB4952" w:rsidP="00507203">
      <w:pPr>
        <w:jc w:val="center"/>
        <w:rPr>
          <w:rFonts w:ascii="Arial" w:hAnsi="Arial" w:cs="Arial"/>
          <w:b/>
          <w:sz w:val="24"/>
          <w:szCs w:val="24"/>
        </w:rPr>
      </w:pPr>
      <w:r w:rsidRPr="00883687">
        <w:rPr>
          <w:rFonts w:ascii="Arial" w:hAnsi="Arial" w:cs="Arial"/>
          <w:b/>
          <w:sz w:val="24"/>
          <w:szCs w:val="24"/>
        </w:rPr>
        <w:t xml:space="preserve">Gráfica No. </w:t>
      </w:r>
      <w:r w:rsidR="005E1BB9">
        <w:rPr>
          <w:rFonts w:ascii="Arial" w:hAnsi="Arial" w:cs="Arial"/>
          <w:b/>
          <w:sz w:val="24"/>
          <w:szCs w:val="24"/>
        </w:rPr>
        <w:t>13</w:t>
      </w:r>
    </w:p>
    <w:p w:rsidR="006209BC" w:rsidRDefault="00A21F90" w:rsidP="00507203">
      <w:pPr>
        <w:jc w:val="center"/>
        <w:rPr>
          <w:rFonts w:ascii="Arial" w:hAnsi="Arial" w:cs="Arial"/>
          <w:b/>
          <w:sz w:val="24"/>
          <w:szCs w:val="24"/>
        </w:rPr>
      </w:pPr>
      <w:r>
        <w:rPr>
          <w:noProof/>
        </w:rPr>
        <w:drawing>
          <wp:inline distT="0" distB="0" distL="0" distR="0" wp14:anchorId="354DD85D" wp14:editId="067237AA">
            <wp:extent cx="5727801" cy="4886554"/>
            <wp:effectExtent l="0" t="0" r="6350" b="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DC69CC" w:rsidRPr="00883687" w:rsidRDefault="00D43BDB" w:rsidP="00DC69CC">
      <w:pPr>
        <w:spacing w:after="0" w:line="240" w:lineRule="auto"/>
        <w:jc w:val="both"/>
        <w:rPr>
          <w:rFonts w:ascii="Arial" w:hAnsi="Arial" w:cs="Arial"/>
        </w:rPr>
      </w:pPr>
      <w:r>
        <w:rPr>
          <w:rFonts w:ascii="Arial" w:hAnsi="Arial" w:cs="Arial"/>
        </w:rPr>
        <w:t>E</w:t>
      </w:r>
      <w:r w:rsidR="00DC69CC" w:rsidRPr="00883687">
        <w:rPr>
          <w:rFonts w:ascii="Arial" w:hAnsi="Arial" w:cs="Arial"/>
        </w:rPr>
        <w:t xml:space="preserve">l total del financiamiento autorizado en el Decreto </w:t>
      </w:r>
      <w:r w:rsidR="000B6053">
        <w:rPr>
          <w:rFonts w:ascii="Arial" w:hAnsi="Arial" w:cs="Arial"/>
        </w:rPr>
        <w:t xml:space="preserve">No. </w:t>
      </w:r>
      <w:r w:rsidR="006209BC">
        <w:rPr>
          <w:rFonts w:ascii="Arial" w:hAnsi="Arial" w:cs="Arial"/>
        </w:rPr>
        <w:t>25-2018</w:t>
      </w:r>
      <w:r w:rsidR="00DC69CC" w:rsidRPr="00883687">
        <w:rPr>
          <w:rFonts w:ascii="Arial" w:hAnsi="Arial" w:cs="Arial"/>
        </w:rPr>
        <w:t xml:space="preserve"> de aprobación del presupuesto</w:t>
      </w:r>
      <w:r>
        <w:rPr>
          <w:rFonts w:ascii="Arial" w:hAnsi="Arial" w:cs="Arial"/>
        </w:rPr>
        <w:t xml:space="preserve"> 201</w:t>
      </w:r>
      <w:r w:rsidR="006209BC">
        <w:rPr>
          <w:rFonts w:ascii="Arial" w:hAnsi="Arial" w:cs="Arial"/>
        </w:rPr>
        <w:t>9</w:t>
      </w:r>
      <w:r w:rsidR="00DC69CC" w:rsidRPr="00883687">
        <w:rPr>
          <w:rFonts w:ascii="Arial" w:hAnsi="Arial" w:cs="Arial"/>
        </w:rPr>
        <w:t>, se muestra en forma gráfica, así:</w:t>
      </w:r>
    </w:p>
    <w:p w:rsidR="00997D5E" w:rsidRPr="00883687" w:rsidRDefault="00997D5E">
      <w:pPr>
        <w:rPr>
          <w:rFonts w:ascii="Arial" w:hAnsi="Arial" w:cs="Arial"/>
        </w:rPr>
      </w:pPr>
    </w:p>
    <w:p w:rsidR="00CE41D1" w:rsidRDefault="007A2687" w:rsidP="00CE41D1">
      <w:pPr>
        <w:jc w:val="center"/>
        <w:rPr>
          <w:rFonts w:ascii="Arial" w:hAnsi="Arial" w:cs="Arial"/>
          <w:b/>
          <w:sz w:val="24"/>
          <w:szCs w:val="24"/>
        </w:rPr>
      </w:pPr>
      <w:r>
        <w:rPr>
          <w:rFonts w:ascii="Arial" w:hAnsi="Arial" w:cs="Arial"/>
          <w:b/>
          <w:sz w:val="24"/>
          <w:szCs w:val="24"/>
        </w:rPr>
        <w:lastRenderedPageBreak/>
        <w:t>Gráfica</w:t>
      </w:r>
      <w:r w:rsidRPr="00883687">
        <w:rPr>
          <w:rFonts w:ascii="Arial" w:hAnsi="Arial" w:cs="Arial"/>
          <w:b/>
          <w:sz w:val="24"/>
          <w:szCs w:val="24"/>
        </w:rPr>
        <w:t xml:space="preserve"> No. </w:t>
      </w:r>
      <w:r>
        <w:rPr>
          <w:rFonts w:ascii="Arial" w:hAnsi="Arial" w:cs="Arial"/>
          <w:b/>
          <w:sz w:val="24"/>
          <w:szCs w:val="24"/>
        </w:rPr>
        <w:t>14</w:t>
      </w:r>
      <w:r>
        <w:rPr>
          <w:noProof/>
        </w:rPr>
        <w:drawing>
          <wp:inline distT="0" distB="0" distL="0" distR="0" wp14:anchorId="068AD38A" wp14:editId="78B89B20">
            <wp:extent cx="5610225" cy="5467350"/>
            <wp:effectExtent l="0" t="0" r="0" b="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6209BC" w:rsidRDefault="006209BC" w:rsidP="00CE41D1">
      <w:pPr>
        <w:jc w:val="center"/>
        <w:rPr>
          <w:rFonts w:ascii="Arial" w:hAnsi="Arial" w:cs="Arial"/>
          <w:b/>
          <w:sz w:val="24"/>
          <w:szCs w:val="24"/>
        </w:rPr>
      </w:pPr>
    </w:p>
    <w:p w:rsidR="00BF3FE8" w:rsidRDefault="00BF3FE8" w:rsidP="00CE41D1">
      <w:pPr>
        <w:jc w:val="center"/>
        <w:rPr>
          <w:noProof/>
          <w:szCs w:val="24"/>
          <w:lang w:val="es-ES" w:eastAsia="es-ES"/>
        </w:rPr>
      </w:pPr>
    </w:p>
    <w:p w:rsidR="00752820" w:rsidRPr="00883687" w:rsidRDefault="00752820" w:rsidP="00CE41D1">
      <w:pPr>
        <w:jc w:val="center"/>
        <w:rPr>
          <w:rFonts w:ascii="Arial" w:hAnsi="Arial" w:cs="Arial"/>
          <w:b/>
          <w:sz w:val="24"/>
          <w:szCs w:val="24"/>
        </w:rPr>
      </w:pPr>
    </w:p>
    <w:p w:rsidR="00BC6C8D" w:rsidRDefault="00BC6C8D" w:rsidP="00CE41D1">
      <w:pPr>
        <w:jc w:val="center"/>
        <w:rPr>
          <w:rFonts w:ascii="Arial" w:hAnsi="Arial" w:cs="Arial"/>
          <w:b/>
          <w:sz w:val="24"/>
          <w:szCs w:val="24"/>
        </w:rPr>
      </w:pPr>
    </w:p>
    <w:p w:rsidR="007E48EA" w:rsidRDefault="007E48EA" w:rsidP="00CE41D1">
      <w:pPr>
        <w:jc w:val="center"/>
        <w:rPr>
          <w:rFonts w:ascii="Arial" w:hAnsi="Arial" w:cs="Arial"/>
          <w:b/>
          <w:sz w:val="24"/>
          <w:szCs w:val="24"/>
        </w:rPr>
      </w:pPr>
    </w:p>
    <w:p w:rsidR="008B0E89" w:rsidRDefault="008B0E89" w:rsidP="00CE41D1">
      <w:pPr>
        <w:jc w:val="center"/>
        <w:rPr>
          <w:rFonts w:ascii="Arial" w:hAnsi="Arial" w:cs="Arial"/>
          <w:b/>
          <w:sz w:val="24"/>
          <w:szCs w:val="24"/>
        </w:rPr>
      </w:pPr>
    </w:p>
    <w:p w:rsidR="008B0E89" w:rsidRDefault="008B0E89" w:rsidP="00CE41D1">
      <w:pPr>
        <w:jc w:val="center"/>
        <w:rPr>
          <w:rFonts w:ascii="Arial" w:hAnsi="Arial" w:cs="Arial"/>
          <w:b/>
          <w:sz w:val="24"/>
          <w:szCs w:val="24"/>
        </w:rPr>
      </w:pPr>
    </w:p>
    <w:p w:rsidR="00174FDA" w:rsidRPr="001E3BAB" w:rsidRDefault="00174FDA" w:rsidP="00EB3C80">
      <w:pPr>
        <w:pStyle w:val="Prrafodelista"/>
        <w:numPr>
          <w:ilvl w:val="0"/>
          <w:numId w:val="11"/>
        </w:numPr>
        <w:jc w:val="both"/>
        <w:rPr>
          <w:rFonts w:ascii="Arial" w:hAnsi="Arial" w:cs="Arial"/>
        </w:rPr>
      </w:pPr>
      <w:r w:rsidRPr="001E3BAB">
        <w:rPr>
          <w:rFonts w:ascii="Arial" w:hAnsi="Arial" w:cs="Arial"/>
          <w:b/>
          <w:u w:val="single"/>
        </w:rPr>
        <w:lastRenderedPageBreak/>
        <w:t>Por Institución</w:t>
      </w:r>
      <w:r w:rsidRPr="001E3BAB">
        <w:rPr>
          <w:rFonts w:ascii="Arial" w:hAnsi="Arial" w:cs="Arial"/>
        </w:rPr>
        <w:t>:</w:t>
      </w:r>
    </w:p>
    <w:p w:rsidR="00174FDA" w:rsidRDefault="00174FDA" w:rsidP="00174FDA">
      <w:pPr>
        <w:spacing w:after="0" w:line="240" w:lineRule="auto"/>
        <w:jc w:val="both"/>
        <w:rPr>
          <w:rFonts w:ascii="Arial" w:hAnsi="Arial" w:cs="Arial"/>
        </w:rPr>
      </w:pPr>
      <w:r w:rsidRPr="00883687">
        <w:rPr>
          <w:rFonts w:ascii="Arial" w:hAnsi="Arial" w:cs="Arial"/>
        </w:rPr>
        <w:t>El presupuesto visto desde la perspectiva institucional, permite analizar y conocer la</w:t>
      </w:r>
      <w:r w:rsidR="008B0E89">
        <w:rPr>
          <w:rFonts w:ascii="Arial" w:hAnsi="Arial" w:cs="Arial"/>
        </w:rPr>
        <w:t>s</w:t>
      </w:r>
      <w:r w:rsidRPr="00883687">
        <w:rPr>
          <w:rFonts w:ascii="Arial" w:hAnsi="Arial" w:cs="Arial"/>
        </w:rPr>
        <w:t xml:space="preserve"> </w:t>
      </w:r>
      <w:r w:rsidR="008B0E89">
        <w:rPr>
          <w:rFonts w:ascii="Arial" w:hAnsi="Arial" w:cs="Arial"/>
        </w:rPr>
        <w:t>asignaciones que han sido otorgadas a las entidades para</w:t>
      </w:r>
      <w:r w:rsidRPr="00883687">
        <w:rPr>
          <w:rFonts w:ascii="Arial" w:hAnsi="Arial" w:cs="Arial"/>
        </w:rPr>
        <w:t xml:space="preserve"> la ejecución de los programas y proyectos a través de los cuales se brindarán los distintos servicios a la población.</w:t>
      </w:r>
    </w:p>
    <w:p w:rsidR="008B0E89" w:rsidRDefault="008B0E89" w:rsidP="00174FDA">
      <w:pPr>
        <w:spacing w:after="0" w:line="240" w:lineRule="auto"/>
        <w:jc w:val="both"/>
        <w:rPr>
          <w:rFonts w:ascii="Arial" w:hAnsi="Arial" w:cs="Arial"/>
        </w:rPr>
      </w:pPr>
    </w:p>
    <w:p w:rsidR="008B0E89" w:rsidRPr="00883687" w:rsidRDefault="008B0E89" w:rsidP="00174FDA">
      <w:pPr>
        <w:spacing w:after="0" w:line="240" w:lineRule="auto"/>
        <w:jc w:val="both"/>
        <w:rPr>
          <w:rFonts w:ascii="Arial" w:hAnsi="Arial" w:cs="Arial"/>
        </w:rPr>
      </w:pPr>
    </w:p>
    <w:tbl>
      <w:tblPr>
        <w:tblStyle w:val="Tablaconcuadrcula"/>
        <w:tblW w:w="0" w:type="auto"/>
        <w:tblLook w:val="04A0" w:firstRow="1" w:lastRow="0" w:firstColumn="1" w:lastColumn="0" w:noHBand="0" w:noVBand="1"/>
      </w:tblPr>
      <w:tblGrid>
        <w:gridCol w:w="2826"/>
        <w:gridCol w:w="6228"/>
      </w:tblGrid>
      <w:tr w:rsidR="00725C3A" w:rsidRPr="00883687" w:rsidTr="006D01DE">
        <w:tc>
          <w:tcPr>
            <w:tcW w:w="2826" w:type="dxa"/>
            <w:tcBorders>
              <w:top w:val="nil"/>
              <w:left w:val="nil"/>
              <w:bottom w:val="nil"/>
              <w:right w:val="nil"/>
            </w:tcBorders>
          </w:tcPr>
          <w:p w:rsidR="0017505D" w:rsidRDefault="0017505D" w:rsidP="007870BC">
            <w:pPr>
              <w:rPr>
                <w:rFonts w:ascii="Arial" w:hAnsi="Arial" w:cs="Arial"/>
                <w:szCs w:val="24"/>
              </w:rPr>
            </w:pPr>
          </w:p>
          <w:p w:rsidR="00725C3A" w:rsidRPr="00E200DF" w:rsidRDefault="00725C3A" w:rsidP="007870BC">
            <w:pPr>
              <w:rPr>
                <w:rFonts w:ascii="Arial" w:hAnsi="Arial" w:cs="Arial"/>
                <w:szCs w:val="24"/>
              </w:rPr>
            </w:pPr>
            <w:r w:rsidRPr="00E200DF">
              <w:rPr>
                <w:rFonts w:ascii="Arial" w:hAnsi="Arial" w:cs="Arial"/>
                <w:szCs w:val="24"/>
              </w:rPr>
              <w:t>¿Qué instituciones absorben mayor presupuesto en 201</w:t>
            </w:r>
            <w:r w:rsidR="00E15736">
              <w:rPr>
                <w:rFonts w:ascii="Arial" w:hAnsi="Arial" w:cs="Arial"/>
                <w:szCs w:val="24"/>
              </w:rPr>
              <w:t>9</w:t>
            </w:r>
            <w:r w:rsidRPr="00E200DF">
              <w:rPr>
                <w:rFonts w:ascii="Arial" w:hAnsi="Arial" w:cs="Arial"/>
                <w:szCs w:val="24"/>
              </w:rPr>
              <w:t>?</w:t>
            </w:r>
          </w:p>
          <w:p w:rsidR="00607AA3" w:rsidRPr="006D01DE" w:rsidRDefault="00607AA3" w:rsidP="007870BC">
            <w:pPr>
              <w:rPr>
                <w:rFonts w:ascii="Arial" w:hAnsi="Arial" w:cs="Arial"/>
                <w:sz w:val="24"/>
                <w:szCs w:val="24"/>
              </w:rPr>
            </w:pPr>
          </w:p>
          <w:p w:rsidR="00272557" w:rsidRPr="006D01DE" w:rsidRDefault="0017505D" w:rsidP="00F42C53">
            <w:pPr>
              <w:jc w:val="center"/>
              <w:rPr>
                <w:rFonts w:ascii="Arial" w:hAnsi="Arial" w:cs="Arial"/>
                <w:sz w:val="24"/>
                <w:szCs w:val="24"/>
              </w:rPr>
            </w:pPr>
            <w:r>
              <w:rPr>
                <w:noProof/>
              </w:rPr>
              <w:drawing>
                <wp:inline distT="0" distB="0" distL="0" distR="0" wp14:anchorId="3F993BC1" wp14:editId="74963BC5">
                  <wp:extent cx="1516310" cy="1028700"/>
                  <wp:effectExtent l="19050" t="0" r="7690" b="0"/>
                  <wp:docPr id="10" name="Imagen 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52" cstate="print"/>
                          <a:srcRect/>
                          <a:stretch>
                            <a:fillRect/>
                          </a:stretch>
                        </pic:blipFill>
                        <pic:spPr bwMode="auto">
                          <a:xfrm flipH="1">
                            <a:off x="0" y="0"/>
                            <a:ext cx="1518469" cy="1030165"/>
                          </a:xfrm>
                          <a:prstGeom prst="rect">
                            <a:avLst/>
                          </a:prstGeom>
                          <a:noFill/>
                          <a:ln w="9525">
                            <a:noFill/>
                            <a:miter lim="800000"/>
                            <a:headEnd/>
                            <a:tailEnd/>
                          </a:ln>
                        </pic:spPr>
                      </pic:pic>
                    </a:graphicData>
                  </a:graphic>
                </wp:inline>
              </w:drawing>
            </w:r>
          </w:p>
          <w:p w:rsidR="00272557" w:rsidRPr="006D01DE" w:rsidRDefault="00272557">
            <w:pPr>
              <w:rPr>
                <w:rFonts w:ascii="Arial" w:hAnsi="Arial" w:cs="Arial"/>
                <w:sz w:val="24"/>
                <w:szCs w:val="24"/>
              </w:rPr>
            </w:pPr>
          </w:p>
        </w:tc>
        <w:tc>
          <w:tcPr>
            <w:tcW w:w="6228" w:type="dxa"/>
            <w:tcBorders>
              <w:top w:val="nil"/>
              <w:left w:val="nil"/>
              <w:bottom w:val="nil"/>
              <w:right w:val="nil"/>
            </w:tcBorders>
          </w:tcPr>
          <w:p w:rsidR="00725C3A" w:rsidRPr="00883687" w:rsidRDefault="009A78EC" w:rsidP="007D79F8">
            <w:pPr>
              <w:jc w:val="both"/>
              <w:rPr>
                <w:rFonts w:ascii="Arial" w:hAnsi="Arial" w:cs="Arial"/>
              </w:rPr>
            </w:pPr>
            <w:r w:rsidRPr="00883687">
              <w:rPr>
                <w:rFonts w:ascii="Arial" w:hAnsi="Arial" w:cs="Arial"/>
              </w:rPr>
              <w:t xml:space="preserve">Al agrupar las instituciones que prestan los principales servicios a la población, puede observarse que Gobernación, Educación, Salud y Comunicaciones absorben el </w:t>
            </w:r>
            <w:r w:rsidR="00E15736">
              <w:rPr>
                <w:rFonts w:ascii="Arial" w:hAnsi="Arial" w:cs="Arial"/>
              </w:rPr>
              <w:t>41.2</w:t>
            </w:r>
            <w:r w:rsidR="007D79F8" w:rsidRPr="00883687">
              <w:rPr>
                <w:rFonts w:ascii="Arial" w:hAnsi="Arial" w:cs="Arial"/>
              </w:rPr>
              <w:t>% del total del presupuesto, siendo los principales servicios que retribuyen a la población guatemalteca el pago de sus impuestos.</w:t>
            </w:r>
          </w:p>
          <w:p w:rsidR="009058E2" w:rsidRPr="00883687" w:rsidRDefault="009058E2" w:rsidP="007D79F8">
            <w:pPr>
              <w:jc w:val="both"/>
              <w:rPr>
                <w:rFonts w:ascii="Arial" w:hAnsi="Arial" w:cs="Arial"/>
              </w:rPr>
            </w:pPr>
          </w:p>
          <w:p w:rsidR="00FD74B9" w:rsidRPr="00883687" w:rsidRDefault="009A78EC" w:rsidP="007D79F8">
            <w:pPr>
              <w:jc w:val="both"/>
              <w:rPr>
                <w:rFonts w:ascii="Arial" w:hAnsi="Arial" w:cs="Arial"/>
              </w:rPr>
            </w:pPr>
            <w:r w:rsidRPr="00883687">
              <w:rPr>
                <w:rFonts w:ascii="Arial" w:hAnsi="Arial" w:cs="Arial"/>
              </w:rPr>
              <w:t>Obligaciones del Estado</w:t>
            </w:r>
            <w:r w:rsidR="00675098">
              <w:rPr>
                <w:rFonts w:ascii="Arial" w:hAnsi="Arial" w:cs="Arial"/>
              </w:rPr>
              <w:t xml:space="preserve"> a Cargo del Tesoro</w:t>
            </w:r>
            <w:r w:rsidRPr="00883687">
              <w:rPr>
                <w:rFonts w:ascii="Arial" w:hAnsi="Arial" w:cs="Arial"/>
              </w:rPr>
              <w:t xml:space="preserve"> que es en donde se programan </w:t>
            </w:r>
            <w:r w:rsidR="00FD74B9" w:rsidRPr="00883687">
              <w:rPr>
                <w:rFonts w:ascii="Arial" w:hAnsi="Arial" w:cs="Arial"/>
              </w:rPr>
              <w:t>distintas transferencias a las M</w:t>
            </w:r>
            <w:r w:rsidRPr="00883687">
              <w:rPr>
                <w:rFonts w:ascii="Arial" w:hAnsi="Arial" w:cs="Arial"/>
              </w:rPr>
              <w:t xml:space="preserve">unicipalidades, </w:t>
            </w:r>
            <w:r w:rsidR="00FD74B9" w:rsidRPr="00883687">
              <w:rPr>
                <w:rFonts w:ascii="Arial" w:hAnsi="Arial" w:cs="Arial"/>
              </w:rPr>
              <w:t>C</w:t>
            </w:r>
            <w:r w:rsidRPr="00883687">
              <w:rPr>
                <w:rFonts w:ascii="Arial" w:hAnsi="Arial" w:cs="Arial"/>
              </w:rPr>
              <w:t>onsejos</w:t>
            </w:r>
            <w:r w:rsidR="00FD74B9" w:rsidRPr="00883687">
              <w:rPr>
                <w:rFonts w:ascii="Arial" w:hAnsi="Arial" w:cs="Arial"/>
              </w:rPr>
              <w:t xml:space="preserve"> Departamentales de Desarrollo; Universidad de San Carlos de Guatemala; Instituto Guatemalteco de Seguridad Social; Superintendencia de Administración Tributaria; </w:t>
            </w:r>
            <w:r w:rsidR="007D26A4">
              <w:rPr>
                <w:rFonts w:ascii="Arial" w:hAnsi="Arial" w:cs="Arial"/>
              </w:rPr>
              <w:t xml:space="preserve">Régimen de </w:t>
            </w:r>
            <w:r w:rsidR="00FD74B9" w:rsidRPr="00883687">
              <w:rPr>
                <w:rFonts w:ascii="Arial" w:hAnsi="Arial" w:cs="Arial"/>
              </w:rPr>
              <w:t>Clases Pasivas</w:t>
            </w:r>
            <w:r w:rsidR="007D26A4">
              <w:rPr>
                <w:rFonts w:ascii="Arial" w:hAnsi="Arial" w:cs="Arial"/>
              </w:rPr>
              <w:t xml:space="preserve"> Civiles</w:t>
            </w:r>
            <w:r w:rsidR="00FD74B9" w:rsidRPr="00883687">
              <w:rPr>
                <w:rFonts w:ascii="Arial" w:hAnsi="Arial" w:cs="Arial"/>
              </w:rPr>
              <w:t xml:space="preserve"> del Estado</w:t>
            </w:r>
            <w:r w:rsidRPr="00883687">
              <w:rPr>
                <w:rFonts w:ascii="Arial" w:hAnsi="Arial" w:cs="Arial"/>
              </w:rPr>
              <w:t xml:space="preserve">, y </w:t>
            </w:r>
            <w:r w:rsidR="00F44D2A" w:rsidRPr="00883687">
              <w:rPr>
                <w:rFonts w:ascii="Arial" w:hAnsi="Arial" w:cs="Arial"/>
              </w:rPr>
              <w:t xml:space="preserve">otras entidades </w:t>
            </w:r>
            <w:r w:rsidR="007D26A4">
              <w:rPr>
                <w:rFonts w:ascii="Arial" w:hAnsi="Arial" w:cs="Arial"/>
              </w:rPr>
              <w:t>a</w:t>
            </w:r>
            <w:r w:rsidR="00F44D2A" w:rsidRPr="00883687">
              <w:rPr>
                <w:rFonts w:ascii="Arial" w:hAnsi="Arial" w:cs="Arial"/>
              </w:rPr>
              <w:t>bsorbe el 3</w:t>
            </w:r>
            <w:r w:rsidR="00E15736">
              <w:rPr>
                <w:rFonts w:ascii="Arial" w:hAnsi="Arial" w:cs="Arial"/>
              </w:rPr>
              <w:t>2.2</w:t>
            </w:r>
            <w:r w:rsidRPr="00883687">
              <w:rPr>
                <w:rFonts w:ascii="Arial" w:hAnsi="Arial" w:cs="Arial"/>
              </w:rPr>
              <w:t>%.</w:t>
            </w:r>
            <w:r w:rsidR="00FD74B9" w:rsidRPr="00883687">
              <w:rPr>
                <w:rFonts w:ascii="Arial" w:hAnsi="Arial" w:cs="Arial"/>
              </w:rPr>
              <w:t xml:space="preserve"> </w:t>
            </w:r>
          </w:p>
          <w:p w:rsidR="009A78EC" w:rsidRPr="00883687" w:rsidRDefault="009A78EC" w:rsidP="007D79F8">
            <w:pPr>
              <w:jc w:val="both"/>
              <w:rPr>
                <w:rFonts w:ascii="Arial" w:hAnsi="Arial" w:cs="Arial"/>
              </w:rPr>
            </w:pPr>
          </w:p>
          <w:p w:rsidR="009A78EC" w:rsidRPr="00883687" w:rsidRDefault="009A78EC" w:rsidP="00DF7ACA">
            <w:pPr>
              <w:jc w:val="both"/>
              <w:rPr>
                <w:rFonts w:ascii="Arial" w:hAnsi="Arial" w:cs="Arial"/>
              </w:rPr>
            </w:pPr>
            <w:r w:rsidRPr="00883687">
              <w:rPr>
                <w:rFonts w:ascii="Arial" w:hAnsi="Arial" w:cs="Arial"/>
              </w:rPr>
              <w:t xml:space="preserve">Para la deuda pública se asigna el </w:t>
            </w:r>
            <w:r w:rsidR="00FD74B9" w:rsidRPr="00883687">
              <w:rPr>
                <w:rFonts w:ascii="Arial" w:hAnsi="Arial" w:cs="Arial"/>
              </w:rPr>
              <w:t>15.</w:t>
            </w:r>
            <w:r w:rsidR="00DF7ACA">
              <w:rPr>
                <w:rFonts w:ascii="Arial" w:hAnsi="Arial" w:cs="Arial"/>
              </w:rPr>
              <w:t>3</w:t>
            </w:r>
            <w:r w:rsidRPr="00883687">
              <w:rPr>
                <w:rFonts w:ascii="Arial" w:hAnsi="Arial" w:cs="Arial"/>
              </w:rPr>
              <w:t>% del presupuesto, y para e</w:t>
            </w:r>
            <w:r w:rsidR="00F44D2A" w:rsidRPr="00883687">
              <w:rPr>
                <w:rFonts w:ascii="Arial" w:hAnsi="Arial" w:cs="Arial"/>
              </w:rPr>
              <w:t>l resto de instituciones el 11.</w:t>
            </w:r>
            <w:r w:rsidR="00F73265">
              <w:rPr>
                <w:rFonts w:ascii="Arial" w:hAnsi="Arial" w:cs="Arial"/>
              </w:rPr>
              <w:t>3</w:t>
            </w:r>
            <w:r w:rsidRPr="00883687">
              <w:rPr>
                <w:rFonts w:ascii="Arial" w:hAnsi="Arial" w:cs="Arial"/>
              </w:rPr>
              <w:t>%.</w:t>
            </w:r>
          </w:p>
        </w:tc>
      </w:tr>
    </w:tbl>
    <w:p w:rsidR="000F4978" w:rsidRDefault="000F4978" w:rsidP="001D37B4">
      <w:pPr>
        <w:spacing w:after="0" w:line="240" w:lineRule="auto"/>
        <w:jc w:val="both"/>
        <w:rPr>
          <w:rFonts w:ascii="Arial" w:hAnsi="Arial" w:cs="Arial"/>
        </w:rPr>
      </w:pPr>
    </w:p>
    <w:p w:rsidR="001D37B4" w:rsidRPr="00883687" w:rsidRDefault="001D37B4" w:rsidP="001D37B4">
      <w:pPr>
        <w:spacing w:after="0" w:line="240" w:lineRule="auto"/>
        <w:jc w:val="both"/>
        <w:rPr>
          <w:rFonts w:ascii="Arial" w:hAnsi="Arial" w:cs="Arial"/>
        </w:rPr>
      </w:pPr>
      <w:r w:rsidRPr="00883687">
        <w:rPr>
          <w:rFonts w:ascii="Arial" w:hAnsi="Arial" w:cs="Arial"/>
        </w:rPr>
        <w:t>A continuación s</w:t>
      </w:r>
      <w:r w:rsidR="006D01DE">
        <w:rPr>
          <w:rFonts w:ascii="Arial" w:hAnsi="Arial" w:cs="Arial"/>
        </w:rPr>
        <w:t>e muestra el presupuesto 201</w:t>
      </w:r>
      <w:r w:rsidR="001211B2">
        <w:rPr>
          <w:rFonts w:ascii="Arial" w:hAnsi="Arial" w:cs="Arial"/>
        </w:rPr>
        <w:t>9</w:t>
      </w:r>
      <w:r w:rsidRPr="00883687">
        <w:rPr>
          <w:rFonts w:ascii="Arial" w:hAnsi="Arial" w:cs="Arial"/>
        </w:rPr>
        <w:t xml:space="preserve"> agrupado institucionalmente, en comparación con el año anterior.</w:t>
      </w:r>
    </w:p>
    <w:p w:rsidR="008B0E89" w:rsidRDefault="008B0E89" w:rsidP="008B0E89">
      <w:pPr>
        <w:rPr>
          <w:rFonts w:ascii="Arial" w:hAnsi="Arial" w:cs="Arial"/>
          <w:b/>
          <w:sz w:val="24"/>
          <w:szCs w:val="24"/>
        </w:rPr>
      </w:pPr>
    </w:p>
    <w:p w:rsidR="00B067C6" w:rsidRDefault="00B067C6">
      <w:pPr>
        <w:rPr>
          <w:rFonts w:ascii="Arial" w:hAnsi="Arial" w:cs="Arial"/>
          <w:b/>
          <w:sz w:val="24"/>
          <w:szCs w:val="24"/>
        </w:rPr>
      </w:pPr>
      <w:r>
        <w:rPr>
          <w:rFonts w:ascii="Arial" w:hAnsi="Arial" w:cs="Arial"/>
          <w:b/>
          <w:sz w:val="24"/>
          <w:szCs w:val="24"/>
        </w:rPr>
        <w:br w:type="page"/>
      </w:r>
    </w:p>
    <w:p w:rsidR="00AA5561" w:rsidRDefault="008B0E89" w:rsidP="008B0E89">
      <w:pPr>
        <w:jc w:val="center"/>
        <w:rPr>
          <w:rFonts w:ascii="Arial" w:hAnsi="Arial" w:cs="Arial"/>
          <w:b/>
          <w:sz w:val="24"/>
          <w:szCs w:val="24"/>
        </w:rPr>
      </w:pPr>
      <w:r>
        <w:rPr>
          <w:rFonts w:ascii="Arial" w:hAnsi="Arial" w:cs="Arial"/>
          <w:b/>
          <w:sz w:val="24"/>
          <w:szCs w:val="24"/>
        </w:rPr>
        <w:lastRenderedPageBreak/>
        <w:t>G</w:t>
      </w:r>
      <w:r w:rsidR="00AA5561" w:rsidRPr="00883687">
        <w:rPr>
          <w:rFonts w:ascii="Arial" w:hAnsi="Arial" w:cs="Arial"/>
          <w:b/>
          <w:sz w:val="24"/>
          <w:szCs w:val="24"/>
        </w:rPr>
        <w:t xml:space="preserve">ráfica No. </w:t>
      </w:r>
      <w:r w:rsidR="005E1BB9">
        <w:rPr>
          <w:rFonts w:ascii="Arial" w:hAnsi="Arial" w:cs="Arial"/>
          <w:b/>
          <w:sz w:val="24"/>
          <w:szCs w:val="24"/>
        </w:rPr>
        <w:t>15</w:t>
      </w:r>
    </w:p>
    <w:p w:rsidR="00675098" w:rsidRPr="00883687" w:rsidRDefault="00B067C6" w:rsidP="00F06C18">
      <w:pPr>
        <w:jc w:val="both"/>
        <w:rPr>
          <w:rFonts w:ascii="Arial" w:hAnsi="Arial" w:cs="Arial"/>
        </w:rPr>
      </w:pPr>
      <w:r>
        <w:rPr>
          <w:noProof/>
        </w:rPr>
        <w:drawing>
          <wp:inline distT="0" distB="0" distL="0" distR="0" wp14:anchorId="3A595444" wp14:editId="3E66EE4E">
            <wp:extent cx="5715000" cy="4533900"/>
            <wp:effectExtent l="0" t="0" r="0" b="1905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8B0E89" w:rsidRDefault="008B0E89" w:rsidP="008B0E89">
      <w:pPr>
        <w:spacing w:after="0" w:line="240" w:lineRule="auto"/>
        <w:jc w:val="both"/>
        <w:rPr>
          <w:rFonts w:ascii="Arial" w:hAnsi="Arial" w:cs="Arial"/>
        </w:rPr>
      </w:pPr>
    </w:p>
    <w:p w:rsidR="008B0E89" w:rsidRDefault="008B0E89" w:rsidP="008B0E89">
      <w:pPr>
        <w:spacing w:after="0" w:line="240" w:lineRule="auto"/>
        <w:jc w:val="both"/>
        <w:rPr>
          <w:rFonts w:ascii="Arial" w:hAnsi="Arial" w:cs="Arial"/>
        </w:rPr>
      </w:pPr>
    </w:p>
    <w:p w:rsidR="005F096E" w:rsidRPr="005E7192" w:rsidRDefault="00857844" w:rsidP="008B0E89">
      <w:pPr>
        <w:spacing w:after="0" w:line="240" w:lineRule="auto"/>
        <w:jc w:val="both"/>
        <w:rPr>
          <w:rFonts w:ascii="Arial" w:hAnsi="Arial" w:cs="Arial"/>
          <w:b/>
        </w:rPr>
      </w:pPr>
      <w:r w:rsidRPr="005E7192">
        <w:rPr>
          <w:rFonts w:ascii="Arial" w:hAnsi="Arial" w:cs="Arial"/>
          <w:b/>
        </w:rPr>
        <w:t>Comparativamente el Presupuesto 201</w:t>
      </w:r>
      <w:r w:rsidR="009518C1" w:rsidRPr="005E7192">
        <w:rPr>
          <w:rFonts w:ascii="Arial" w:hAnsi="Arial" w:cs="Arial"/>
          <w:b/>
        </w:rPr>
        <w:t>8</w:t>
      </w:r>
      <w:r w:rsidRPr="005E7192">
        <w:rPr>
          <w:rFonts w:ascii="Arial" w:hAnsi="Arial" w:cs="Arial"/>
          <w:b/>
        </w:rPr>
        <w:t xml:space="preserve"> y 201</w:t>
      </w:r>
      <w:r w:rsidR="009518C1" w:rsidRPr="005E7192">
        <w:rPr>
          <w:rFonts w:ascii="Arial" w:hAnsi="Arial" w:cs="Arial"/>
          <w:b/>
        </w:rPr>
        <w:t>9</w:t>
      </w:r>
      <w:r w:rsidRPr="005E7192">
        <w:rPr>
          <w:rFonts w:ascii="Arial" w:hAnsi="Arial" w:cs="Arial"/>
          <w:b/>
        </w:rPr>
        <w:t xml:space="preserve"> por institución</w:t>
      </w:r>
    </w:p>
    <w:p w:rsidR="008B0E89" w:rsidRDefault="008B0E89" w:rsidP="008B0E89">
      <w:pPr>
        <w:spacing w:after="0" w:line="240" w:lineRule="auto"/>
        <w:jc w:val="both"/>
        <w:rPr>
          <w:rFonts w:ascii="Arial" w:hAnsi="Arial" w:cs="Arial"/>
        </w:rPr>
      </w:pPr>
    </w:p>
    <w:p w:rsidR="00857844" w:rsidRPr="00883687" w:rsidRDefault="00857844" w:rsidP="00857844">
      <w:pPr>
        <w:spacing w:after="0" w:line="240" w:lineRule="auto"/>
        <w:jc w:val="both"/>
        <w:rPr>
          <w:rFonts w:ascii="Arial" w:hAnsi="Arial" w:cs="Arial"/>
        </w:rPr>
      </w:pPr>
      <w:r w:rsidRPr="00883687">
        <w:rPr>
          <w:rFonts w:ascii="Arial" w:hAnsi="Arial" w:cs="Arial"/>
        </w:rPr>
        <w:t>Con tales cifras se visibiliza el comportamiento del presupuesto institucional del año anterior y el correspondiente a 201</w:t>
      </w:r>
      <w:r w:rsidR="00D3632D">
        <w:rPr>
          <w:rFonts w:ascii="Arial" w:hAnsi="Arial" w:cs="Arial"/>
        </w:rPr>
        <w:t>9</w:t>
      </w:r>
      <w:r w:rsidRPr="00883687">
        <w:rPr>
          <w:rFonts w:ascii="Arial" w:hAnsi="Arial" w:cs="Arial"/>
        </w:rPr>
        <w:t xml:space="preserve">, denotando el incremento o decremento </w:t>
      </w:r>
      <w:r w:rsidR="00752D36">
        <w:rPr>
          <w:rFonts w:ascii="Arial" w:hAnsi="Arial" w:cs="Arial"/>
        </w:rPr>
        <w:t>respectivo.</w:t>
      </w:r>
      <w:r w:rsidRPr="00883687">
        <w:rPr>
          <w:rFonts w:ascii="Arial" w:hAnsi="Arial" w:cs="Arial"/>
        </w:rPr>
        <w:t xml:space="preserve"> En ambos casos, existirán argumentos y explicaciones del porqué un presupuesto aumenta o disminuye, puede ser que existan más programas o mayor cobertura de servicios, o bien que se dejen de realizar ciertas actividades, siendo importante recordar que el presupuesto es dinámico y acorde a las situaciones que se susciten a lo largo del ejercicio fiscal debe adecuarse bajo el principio de flexibilidad.</w:t>
      </w:r>
    </w:p>
    <w:p w:rsidR="00540F42" w:rsidRPr="00883687" w:rsidRDefault="00540F42" w:rsidP="00857844">
      <w:pPr>
        <w:spacing w:after="0" w:line="240" w:lineRule="auto"/>
        <w:jc w:val="both"/>
        <w:rPr>
          <w:rFonts w:ascii="Arial" w:hAnsi="Arial" w:cs="Arial"/>
        </w:rPr>
      </w:pPr>
    </w:p>
    <w:p w:rsidR="00B067C6" w:rsidRDefault="00B067C6">
      <w:pPr>
        <w:rPr>
          <w:rFonts w:ascii="Arial" w:hAnsi="Arial" w:cs="Arial"/>
          <w:b/>
          <w:sz w:val="24"/>
          <w:szCs w:val="24"/>
        </w:rPr>
      </w:pPr>
      <w:r>
        <w:rPr>
          <w:rFonts w:ascii="Arial" w:hAnsi="Arial" w:cs="Arial"/>
          <w:b/>
          <w:sz w:val="24"/>
          <w:szCs w:val="24"/>
        </w:rPr>
        <w:br w:type="page"/>
      </w:r>
    </w:p>
    <w:p w:rsidR="00540F42" w:rsidRDefault="00540F42" w:rsidP="00540F42">
      <w:pPr>
        <w:jc w:val="center"/>
        <w:rPr>
          <w:rFonts w:ascii="Arial" w:hAnsi="Arial" w:cs="Arial"/>
          <w:b/>
          <w:sz w:val="24"/>
          <w:szCs w:val="24"/>
        </w:rPr>
      </w:pPr>
      <w:r w:rsidRPr="00883687">
        <w:rPr>
          <w:rFonts w:ascii="Arial" w:hAnsi="Arial" w:cs="Arial"/>
          <w:b/>
          <w:sz w:val="24"/>
          <w:szCs w:val="24"/>
        </w:rPr>
        <w:lastRenderedPageBreak/>
        <w:t xml:space="preserve">Cuadro No. </w:t>
      </w:r>
      <w:r w:rsidR="00D73133">
        <w:rPr>
          <w:rFonts w:ascii="Arial" w:hAnsi="Arial" w:cs="Arial"/>
          <w:b/>
          <w:sz w:val="24"/>
          <w:szCs w:val="24"/>
        </w:rPr>
        <w:t>2</w:t>
      </w:r>
    </w:p>
    <w:p w:rsidR="00FF439C" w:rsidRDefault="00D172DD" w:rsidP="00540F42">
      <w:pPr>
        <w:jc w:val="center"/>
        <w:rPr>
          <w:rFonts w:ascii="Arial" w:hAnsi="Arial" w:cs="Arial"/>
          <w:b/>
          <w:sz w:val="24"/>
          <w:szCs w:val="24"/>
        </w:rPr>
      </w:pPr>
      <w:r w:rsidRPr="00D172DD">
        <w:rPr>
          <w:noProof/>
          <w:szCs w:val="24"/>
        </w:rPr>
        <w:drawing>
          <wp:inline distT="0" distB="0" distL="0" distR="0" wp14:anchorId="6DC702C0" wp14:editId="06C179BD">
            <wp:extent cx="5612130" cy="4241425"/>
            <wp:effectExtent l="0" t="0" r="7620" b="0"/>
            <wp:docPr id="67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grayscl/>
                    </a:blip>
                    <a:srcRect/>
                    <a:stretch>
                      <a:fillRect/>
                    </a:stretch>
                  </pic:blipFill>
                  <pic:spPr bwMode="auto">
                    <a:xfrm>
                      <a:off x="0" y="0"/>
                      <a:ext cx="5612130" cy="4241425"/>
                    </a:xfrm>
                    <a:prstGeom prst="rect">
                      <a:avLst/>
                    </a:prstGeom>
                    <a:noFill/>
                    <a:ln w="9525">
                      <a:noFill/>
                      <a:miter lim="800000"/>
                      <a:headEnd/>
                      <a:tailEnd/>
                    </a:ln>
                  </pic:spPr>
                </pic:pic>
              </a:graphicData>
            </a:graphic>
          </wp:inline>
        </w:drawing>
      </w:r>
    </w:p>
    <w:p w:rsidR="00D172DD" w:rsidRDefault="00D172DD">
      <w:pPr>
        <w:rPr>
          <w:noProof/>
          <w:szCs w:val="24"/>
          <w:lang w:val="es-ES" w:eastAsia="es-ES"/>
        </w:rPr>
      </w:pPr>
      <w:r>
        <w:rPr>
          <w:noProof/>
          <w:szCs w:val="24"/>
          <w:lang w:val="es-ES" w:eastAsia="es-ES"/>
        </w:rPr>
        <w:br w:type="page"/>
      </w:r>
    </w:p>
    <w:p w:rsidR="00BF6349" w:rsidRDefault="009B7D90" w:rsidP="00BF6349">
      <w:pPr>
        <w:jc w:val="center"/>
        <w:rPr>
          <w:rFonts w:ascii="Arial" w:hAnsi="Arial" w:cs="Arial"/>
          <w:b/>
          <w:sz w:val="24"/>
          <w:szCs w:val="24"/>
        </w:rPr>
      </w:pPr>
      <w:r w:rsidRPr="00883687">
        <w:rPr>
          <w:rFonts w:ascii="Arial" w:hAnsi="Arial" w:cs="Arial"/>
          <w:b/>
          <w:noProof/>
          <w:sz w:val="24"/>
          <w:szCs w:val="24"/>
        </w:rPr>
        <w:lastRenderedPageBreak/>
        <w:drawing>
          <wp:inline distT="0" distB="0" distL="0" distR="0" wp14:anchorId="53C7DC86" wp14:editId="3563DDF7">
            <wp:extent cx="5715000" cy="1885950"/>
            <wp:effectExtent l="0" t="0" r="0" b="0"/>
            <wp:docPr id="687" name="Diagrama 6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rsidR="000460DF" w:rsidRDefault="00EB4952" w:rsidP="000460DF">
      <w:pPr>
        <w:jc w:val="center"/>
        <w:rPr>
          <w:rFonts w:ascii="Arial" w:hAnsi="Arial" w:cs="Arial"/>
          <w:b/>
          <w:sz w:val="24"/>
          <w:szCs w:val="24"/>
        </w:rPr>
      </w:pPr>
      <w:r w:rsidRPr="00883687">
        <w:rPr>
          <w:rFonts w:ascii="Arial" w:hAnsi="Arial" w:cs="Arial"/>
          <w:b/>
          <w:sz w:val="24"/>
          <w:szCs w:val="24"/>
        </w:rPr>
        <w:t xml:space="preserve">Gráfica No. </w:t>
      </w:r>
      <w:r w:rsidR="00D73133">
        <w:rPr>
          <w:rFonts w:ascii="Arial" w:hAnsi="Arial" w:cs="Arial"/>
          <w:b/>
          <w:sz w:val="24"/>
          <w:szCs w:val="24"/>
        </w:rPr>
        <w:t>16</w:t>
      </w:r>
    </w:p>
    <w:p w:rsidR="00943E60" w:rsidRDefault="00943E60" w:rsidP="000460DF">
      <w:pPr>
        <w:jc w:val="center"/>
        <w:rPr>
          <w:rFonts w:ascii="Arial" w:hAnsi="Arial" w:cs="Arial"/>
          <w:b/>
          <w:sz w:val="24"/>
          <w:szCs w:val="24"/>
        </w:rPr>
      </w:pPr>
      <w:r>
        <w:rPr>
          <w:rFonts w:ascii="Arial" w:hAnsi="Arial" w:cs="Arial"/>
          <w:b/>
          <w:sz w:val="24"/>
          <w:szCs w:val="24"/>
        </w:rPr>
        <w:t>Presupuesto de Egresos 2018 y 2019 por institución</w:t>
      </w:r>
    </w:p>
    <w:p w:rsidR="00943E60" w:rsidRDefault="00943E60" w:rsidP="000460DF">
      <w:pPr>
        <w:jc w:val="center"/>
        <w:rPr>
          <w:rFonts w:ascii="Arial" w:hAnsi="Arial" w:cs="Arial"/>
          <w:b/>
          <w:sz w:val="24"/>
          <w:szCs w:val="24"/>
        </w:rPr>
      </w:pPr>
      <w:r>
        <w:rPr>
          <w:rFonts w:ascii="Arial" w:hAnsi="Arial" w:cs="Arial"/>
          <w:b/>
          <w:sz w:val="24"/>
          <w:szCs w:val="24"/>
        </w:rPr>
        <w:t>(En porcentajes)</w:t>
      </w:r>
    </w:p>
    <w:p w:rsidR="00943E60" w:rsidRDefault="00943E60" w:rsidP="000460DF">
      <w:pPr>
        <w:jc w:val="center"/>
        <w:rPr>
          <w:rFonts w:ascii="Arial" w:hAnsi="Arial" w:cs="Arial"/>
          <w:b/>
          <w:sz w:val="24"/>
          <w:szCs w:val="24"/>
        </w:rPr>
      </w:pPr>
      <w:r>
        <w:rPr>
          <w:noProof/>
        </w:rPr>
        <w:drawing>
          <wp:inline distT="0" distB="0" distL="0" distR="0" wp14:anchorId="6EB28ADE" wp14:editId="48F15892">
            <wp:extent cx="5612130" cy="4488815"/>
            <wp:effectExtent l="0" t="0" r="7620" b="6985"/>
            <wp:docPr id="682" name="Gráfico 68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6016B3" w:rsidRDefault="006016B3" w:rsidP="000460DF">
      <w:pPr>
        <w:jc w:val="center"/>
        <w:rPr>
          <w:rFonts w:ascii="Arial" w:hAnsi="Arial" w:cs="Arial"/>
          <w:b/>
          <w:sz w:val="24"/>
          <w:szCs w:val="24"/>
        </w:rPr>
      </w:pPr>
    </w:p>
    <w:p w:rsidR="00184BC3" w:rsidRPr="00883687" w:rsidRDefault="00184BC3" w:rsidP="000460DF">
      <w:pPr>
        <w:jc w:val="center"/>
        <w:rPr>
          <w:rFonts w:ascii="Arial" w:hAnsi="Arial" w:cs="Arial"/>
          <w:b/>
          <w:sz w:val="24"/>
          <w:szCs w:val="24"/>
        </w:rPr>
      </w:pPr>
    </w:p>
    <w:p w:rsidR="00581961" w:rsidRPr="001E3BAB" w:rsidRDefault="00581961" w:rsidP="00EB3C80">
      <w:pPr>
        <w:pStyle w:val="Prrafodelista"/>
        <w:numPr>
          <w:ilvl w:val="0"/>
          <w:numId w:val="18"/>
        </w:numPr>
        <w:spacing w:after="0"/>
        <w:ind w:left="284" w:hanging="284"/>
        <w:jc w:val="both"/>
        <w:rPr>
          <w:rFonts w:ascii="Arial" w:hAnsi="Arial" w:cs="Arial"/>
        </w:rPr>
      </w:pPr>
      <w:r w:rsidRPr="001E3BAB">
        <w:rPr>
          <w:rFonts w:ascii="Arial" w:hAnsi="Arial" w:cs="Arial"/>
          <w:b/>
          <w:u w:val="single"/>
        </w:rPr>
        <w:lastRenderedPageBreak/>
        <w:t>Por el cumplimiento de obligaciones constitucionales y de los Acuerdos de Paz</w:t>
      </w:r>
      <w:r w:rsidRPr="001E3BAB">
        <w:rPr>
          <w:rFonts w:ascii="Arial" w:hAnsi="Arial" w:cs="Arial"/>
        </w:rPr>
        <w:t>:</w:t>
      </w:r>
    </w:p>
    <w:p w:rsidR="00581961" w:rsidRPr="00883687" w:rsidRDefault="00581961" w:rsidP="00581961">
      <w:pPr>
        <w:spacing w:after="0" w:line="240" w:lineRule="auto"/>
        <w:rPr>
          <w:rFonts w:ascii="Arial" w:hAnsi="Arial" w:cs="Arial"/>
          <w:sz w:val="24"/>
          <w:szCs w:val="24"/>
        </w:rPr>
      </w:pPr>
    </w:p>
    <w:tbl>
      <w:tblPr>
        <w:tblStyle w:val="Tablaconcuadrcula"/>
        <w:tblW w:w="0" w:type="auto"/>
        <w:tblLook w:val="04A0" w:firstRow="1" w:lastRow="0" w:firstColumn="1" w:lastColumn="0" w:noHBand="0" w:noVBand="1"/>
      </w:tblPr>
      <w:tblGrid>
        <w:gridCol w:w="2943"/>
        <w:gridCol w:w="5954"/>
      </w:tblGrid>
      <w:tr w:rsidR="006B6AF3" w:rsidRPr="00883687" w:rsidTr="00C237E6">
        <w:tc>
          <w:tcPr>
            <w:tcW w:w="2943" w:type="dxa"/>
            <w:tcBorders>
              <w:top w:val="nil"/>
              <w:left w:val="nil"/>
              <w:bottom w:val="nil"/>
              <w:right w:val="nil"/>
            </w:tcBorders>
          </w:tcPr>
          <w:p w:rsidR="006B6AF3" w:rsidRPr="00D26547" w:rsidRDefault="006B6AF3" w:rsidP="001E3BAB">
            <w:pPr>
              <w:jc w:val="center"/>
              <w:rPr>
                <w:rFonts w:ascii="Arial" w:hAnsi="Arial" w:cs="Arial"/>
              </w:rPr>
            </w:pPr>
            <w:r w:rsidRPr="00D26547">
              <w:rPr>
                <w:rFonts w:ascii="Arial" w:hAnsi="Arial" w:cs="Arial"/>
              </w:rPr>
              <w:t xml:space="preserve">¿Y los porcentajes que establece la Constitución Política de la República de Guatemala a cuánto </w:t>
            </w:r>
            <w:r w:rsidR="00ED1CE9">
              <w:rPr>
                <w:rFonts w:ascii="Arial" w:hAnsi="Arial" w:cs="Arial"/>
              </w:rPr>
              <w:t>ascienden en el presupuesto 2019</w:t>
            </w:r>
            <w:r w:rsidRPr="00D26547">
              <w:rPr>
                <w:rFonts w:ascii="Arial" w:hAnsi="Arial" w:cs="Arial"/>
              </w:rPr>
              <w:t>?</w:t>
            </w:r>
          </w:p>
          <w:p w:rsidR="006B6AF3" w:rsidRPr="005F188D" w:rsidRDefault="006B6AF3" w:rsidP="00B8551B">
            <w:pPr>
              <w:jc w:val="both"/>
              <w:rPr>
                <w:rFonts w:ascii="Arial" w:hAnsi="Arial" w:cs="Arial"/>
                <w:color w:val="548DD4" w:themeColor="text2" w:themeTint="99"/>
              </w:rPr>
            </w:pPr>
          </w:p>
          <w:p w:rsidR="006B6AF3" w:rsidRPr="001E3BAB" w:rsidRDefault="00D54272" w:rsidP="00B8551B">
            <w:pPr>
              <w:jc w:val="center"/>
              <w:rPr>
                <w:rFonts w:ascii="Arial" w:hAnsi="Arial" w:cs="Arial"/>
                <w:color w:val="548DD4" w:themeColor="text2" w:themeTint="99"/>
                <w:sz w:val="24"/>
                <w:szCs w:val="24"/>
              </w:rPr>
            </w:pPr>
            <w:r>
              <w:rPr>
                <w:rFonts w:ascii="Arial" w:hAnsi="Arial" w:cs="Arial"/>
                <w:noProof/>
                <w:color w:val="548DD4" w:themeColor="text2" w:themeTint="99"/>
                <w:sz w:val="24"/>
                <w:szCs w:val="24"/>
              </w:rPr>
              <w:drawing>
                <wp:inline distT="0" distB="0" distL="0" distR="0" wp14:anchorId="532DD186" wp14:editId="1FCBEB68">
                  <wp:extent cx="1495425" cy="1448694"/>
                  <wp:effectExtent l="1905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cstate="print"/>
                          <a:srcRect/>
                          <a:stretch>
                            <a:fillRect/>
                          </a:stretch>
                        </pic:blipFill>
                        <pic:spPr bwMode="auto">
                          <a:xfrm>
                            <a:off x="0" y="0"/>
                            <a:ext cx="1498937" cy="1452096"/>
                          </a:xfrm>
                          <a:prstGeom prst="rect">
                            <a:avLst/>
                          </a:prstGeom>
                          <a:noFill/>
                          <a:ln w="9525">
                            <a:noFill/>
                            <a:miter lim="800000"/>
                            <a:headEnd/>
                            <a:tailEnd/>
                          </a:ln>
                        </pic:spPr>
                      </pic:pic>
                    </a:graphicData>
                  </a:graphic>
                </wp:inline>
              </w:drawing>
            </w:r>
          </w:p>
        </w:tc>
        <w:tc>
          <w:tcPr>
            <w:tcW w:w="5954" w:type="dxa"/>
            <w:tcBorders>
              <w:top w:val="nil"/>
              <w:left w:val="nil"/>
              <w:bottom w:val="nil"/>
              <w:right w:val="nil"/>
            </w:tcBorders>
          </w:tcPr>
          <w:p w:rsidR="006B6AF3" w:rsidRPr="00883687" w:rsidRDefault="006B6AF3" w:rsidP="00B8551B">
            <w:pPr>
              <w:ind w:left="73"/>
              <w:jc w:val="both"/>
              <w:rPr>
                <w:rFonts w:ascii="Arial" w:hAnsi="Arial" w:cs="Arial"/>
              </w:rPr>
            </w:pPr>
            <w:r w:rsidRPr="00883687">
              <w:rPr>
                <w:rFonts w:ascii="Arial" w:hAnsi="Arial" w:cs="Arial"/>
              </w:rPr>
              <w:t>Para dar cumplimiento a los porcentajes que establece la Constitución Política de la República de Guatemala a favor de ciertas instituciones, en el presupuesto 201</w:t>
            </w:r>
            <w:r w:rsidR="00F357BE">
              <w:rPr>
                <w:rFonts w:ascii="Arial" w:hAnsi="Arial" w:cs="Arial"/>
              </w:rPr>
              <w:t>9</w:t>
            </w:r>
            <w:r w:rsidRPr="00883687">
              <w:rPr>
                <w:rFonts w:ascii="Arial" w:hAnsi="Arial" w:cs="Arial"/>
              </w:rPr>
              <w:t xml:space="preserve"> se </w:t>
            </w:r>
            <w:r w:rsidR="00F46900" w:rsidRPr="00883687">
              <w:rPr>
                <w:rFonts w:ascii="Arial" w:hAnsi="Arial" w:cs="Arial"/>
              </w:rPr>
              <w:t>asigna</w:t>
            </w:r>
            <w:r w:rsidR="00F46900">
              <w:rPr>
                <w:rFonts w:ascii="Arial" w:hAnsi="Arial" w:cs="Arial"/>
              </w:rPr>
              <w:t xml:space="preserve">n </w:t>
            </w:r>
            <w:r w:rsidRPr="00883687">
              <w:rPr>
                <w:rFonts w:ascii="Arial" w:hAnsi="Arial" w:cs="Arial"/>
              </w:rPr>
              <w:t>Q.6,</w:t>
            </w:r>
            <w:r w:rsidR="00F357BE">
              <w:rPr>
                <w:rFonts w:ascii="Arial" w:hAnsi="Arial" w:cs="Arial"/>
              </w:rPr>
              <w:t>936.4</w:t>
            </w:r>
            <w:r w:rsidRPr="00883687">
              <w:rPr>
                <w:rFonts w:ascii="Arial" w:hAnsi="Arial" w:cs="Arial"/>
              </w:rPr>
              <w:t xml:space="preserve"> millones, cuya distribución puede apreciarse en la gráfica siguiente:</w:t>
            </w:r>
          </w:p>
          <w:p w:rsidR="006B6AF3" w:rsidRPr="00883687" w:rsidRDefault="006B6AF3" w:rsidP="00B8551B">
            <w:pPr>
              <w:ind w:left="73"/>
              <w:jc w:val="both"/>
              <w:rPr>
                <w:rFonts w:ascii="Arial" w:hAnsi="Arial" w:cs="Arial"/>
              </w:rPr>
            </w:pPr>
          </w:p>
          <w:p w:rsidR="006B6AF3" w:rsidRPr="00883687" w:rsidRDefault="006B6AF3" w:rsidP="00B8551B">
            <w:pPr>
              <w:ind w:left="73"/>
              <w:jc w:val="both"/>
              <w:rPr>
                <w:rFonts w:ascii="Arial" w:hAnsi="Arial" w:cs="Arial"/>
              </w:rPr>
            </w:pPr>
            <w:r w:rsidRPr="00883687">
              <w:rPr>
                <w:rFonts w:ascii="Arial" w:hAnsi="Arial" w:cs="Arial"/>
              </w:rPr>
              <w:t>Con ello se  propicia:</w:t>
            </w:r>
          </w:p>
          <w:p w:rsidR="00C237E6" w:rsidRPr="00883687" w:rsidRDefault="00C237E6" w:rsidP="00B8551B">
            <w:pPr>
              <w:ind w:left="73"/>
              <w:jc w:val="both"/>
              <w:rPr>
                <w:rFonts w:ascii="Arial" w:hAnsi="Arial" w:cs="Arial"/>
              </w:rPr>
            </w:pPr>
          </w:p>
          <w:p w:rsidR="006B6AF3" w:rsidRPr="00883687" w:rsidRDefault="006B6AF3" w:rsidP="00B8551B">
            <w:pPr>
              <w:pStyle w:val="Prrafodelista"/>
              <w:numPr>
                <w:ilvl w:val="0"/>
                <w:numId w:val="1"/>
              </w:numPr>
              <w:jc w:val="both"/>
              <w:rPr>
                <w:rFonts w:ascii="Arial" w:hAnsi="Arial" w:cs="Arial"/>
              </w:rPr>
            </w:pPr>
            <w:r w:rsidRPr="00883687">
              <w:rPr>
                <w:rFonts w:ascii="Arial" w:hAnsi="Arial" w:cs="Arial"/>
              </w:rPr>
              <w:t xml:space="preserve">Que los gobiernos locales realicen sus funciones en los municipios del país, </w:t>
            </w:r>
          </w:p>
          <w:p w:rsidR="006B6AF3" w:rsidRPr="00883687" w:rsidRDefault="006B6AF3" w:rsidP="00B8551B">
            <w:pPr>
              <w:pStyle w:val="Prrafodelista"/>
              <w:numPr>
                <w:ilvl w:val="0"/>
                <w:numId w:val="1"/>
              </w:numPr>
              <w:jc w:val="both"/>
              <w:rPr>
                <w:rFonts w:ascii="Arial" w:eastAsiaTheme="minorHAnsi" w:hAnsi="Arial" w:cs="Arial"/>
              </w:rPr>
            </w:pPr>
            <w:r w:rsidRPr="00883687">
              <w:rPr>
                <w:rFonts w:ascii="Arial" w:eastAsiaTheme="minorHAnsi" w:hAnsi="Arial" w:cs="Arial"/>
              </w:rPr>
              <w:t xml:space="preserve">Que se brinde la educación superior financiada por el Estado, </w:t>
            </w:r>
          </w:p>
          <w:p w:rsidR="006B6AF3" w:rsidRPr="00883687" w:rsidRDefault="006B6AF3" w:rsidP="00B8551B">
            <w:pPr>
              <w:pStyle w:val="Prrafodelista"/>
              <w:numPr>
                <w:ilvl w:val="0"/>
                <w:numId w:val="1"/>
              </w:numPr>
              <w:jc w:val="both"/>
              <w:rPr>
                <w:rFonts w:ascii="Arial" w:eastAsiaTheme="minorHAnsi" w:hAnsi="Arial" w:cs="Arial"/>
              </w:rPr>
            </w:pPr>
            <w:r w:rsidRPr="00883687">
              <w:rPr>
                <w:rFonts w:ascii="Arial" w:eastAsiaTheme="minorHAnsi" w:hAnsi="Arial" w:cs="Arial"/>
              </w:rPr>
              <w:t>Que los entes encargados de la justicia en Guatemala y del respeto a la Constitución Política de la República de Guatemala realicen sus funciones principales, y</w:t>
            </w:r>
          </w:p>
          <w:p w:rsidR="006B6AF3" w:rsidRPr="00883687" w:rsidRDefault="006B6AF3" w:rsidP="00B8551B">
            <w:pPr>
              <w:pStyle w:val="Prrafodelista"/>
              <w:numPr>
                <w:ilvl w:val="0"/>
                <w:numId w:val="1"/>
              </w:numPr>
              <w:jc w:val="both"/>
              <w:rPr>
                <w:rFonts w:ascii="Arial" w:eastAsiaTheme="minorHAnsi" w:hAnsi="Arial" w:cs="Arial"/>
              </w:rPr>
            </w:pPr>
            <w:r w:rsidRPr="00883687">
              <w:rPr>
                <w:rFonts w:ascii="Arial" w:eastAsiaTheme="minorHAnsi" w:hAnsi="Arial" w:cs="Arial"/>
              </w:rPr>
              <w:t>Que se promueva la educación física y el deporte.</w:t>
            </w:r>
          </w:p>
        </w:tc>
      </w:tr>
    </w:tbl>
    <w:p w:rsidR="00B96406" w:rsidRDefault="00B96406" w:rsidP="000460DF">
      <w:pPr>
        <w:jc w:val="center"/>
        <w:rPr>
          <w:rFonts w:ascii="Arial" w:hAnsi="Arial" w:cs="Arial"/>
          <w:b/>
          <w:sz w:val="24"/>
          <w:szCs w:val="24"/>
        </w:rPr>
      </w:pPr>
    </w:p>
    <w:p w:rsidR="00FF2150" w:rsidRDefault="00FF2150" w:rsidP="00FF2150">
      <w:pPr>
        <w:jc w:val="center"/>
        <w:rPr>
          <w:rFonts w:ascii="Arial" w:hAnsi="Arial" w:cs="Arial"/>
          <w:b/>
          <w:sz w:val="24"/>
          <w:szCs w:val="24"/>
        </w:rPr>
      </w:pPr>
      <w:r w:rsidRPr="00883687">
        <w:rPr>
          <w:rFonts w:ascii="Arial" w:hAnsi="Arial" w:cs="Arial"/>
          <w:b/>
          <w:sz w:val="24"/>
          <w:szCs w:val="24"/>
        </w:rPr>
        <w:t xml:space="preserve">Gráfica No. </w:t>
      </w:r>
      <w:r>
        <w:rPr>
          <w:rFonts w:ascii="Arial" w:hAnsi="Arial" w:cs="Arial"/>
          <w:b/>
          <w:sz w:val="24"/>
          <w:szCs w:val="24"/>
        </w:rPr>
        <w:t>17</w:t>
      </w:r>
    </w:p>
    <w:p w:rsidR="00FF2150" w:rsidRDefault="00FF2150" w:rsidP="000460DF">
      <w:pPr>
        <w:jc w:val="center"/>
        <w:rPr>
          <w:rFonts w:ascii="Arial" w:hAnsi="Arial" w:cs="Arial"/>
          <w:b/>
          <w:sz w:val="24"/>
          <w:szCs w:val="24"/>
        </w:rPr>
      </w:pPr>
      <w:r>
        <w:rPr>
          <w:noProof/>
        </w:rPr>
        <w:drawing>
          <wp:inline distT="0" distB="0" distL="0" distR="0" wp14:anchorId="5CD511C1" wp14:editId="7516F75F">
            <wp:extent cx="5886450" cy="4305300"/>
            <wp:effectExtent l="0" t="0" r="0" b="0"/>
            <wp:docPr id="683" name="Gráfico 6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FF2150" w:rsidRDefault="00FF2150" w:rsidP="000460DF">
      <w:pPr>
        <w:jc w:val="center"/>
        <w:rPr>
          <w:rFonts w:ascii="Arial" w:hAnsi="Arial" w:cs="Arial"/>
          <w:b/>
          <w:sz w:val="24"/>
          <w:szCs w:val="24"/>
        </w:rPr>
      </w:pPr>
    </w:p>
    <w:p w:rsidR="00C61D93" w:rsidRPr="00883687" w:rsidRDefault="00C61D93" w:rsidP="00C61D93">
      <w:pPr>
        <w:rPr>
          <w:rFonts w:ascii="Arial" w:hAnsi="Arial" w:cs="Arial"/>
        </w:rPr>
      </w:pPr>
    </w:p>
    <w:tbl>
      <w:tblPr>
        <w:tblStyle w:val="Tablaconcuadrcula"/>
        <w:tblW w:w="0" w:type="auto"/>
        <w:tblLook w:val="04A0" w:firstRow="1" w:lastRow="0" w:firstColumn="1" w:lastColumn="0" w:noHBand="0" w:noVBand="1"/>
      </w:tblPr>
      <w:tblGrid>
        <w:gridCol w:w="4152"/>
        <w:gridCol w:w="4902"/>
      </w:tblGrid>
      <w:tr w:rsidR="00C61D93" w:rsidRPr="00883687" w:rsidTr="00C61D93">
        <w:tc>
          <w:tcPr>
            <w:tcW w:w="3227" w:type="dxa"/>
            <w:tcBorders>
              <w:top w:val="nil"/>
              <w:left w:val="nil"/>
              <w:bottom w:val="nil"/>
              <w:right w:val="nil"/>
            </w:tcBorders>
          </w:tcPr>
          <w:p w:rsidR="00C61D93" w:rsidRDefault="00C61D93" w:rsidP="00436CBA">
            <w:pPr>
              <w:jc w:val="center"/>
              <w:rPr>
                <w:rFonts w:ascii="Arial" w:hAnsi="Arial" w:cs="Arial"/>
              </w:rPr>
            </w:pPr>
            <w:r w:rsidRPr="00D26547">
              <w:rPr>
                <w:rFonts w:ascii="Arial" w:hAnsi="Arial" w:cs="Arial"/>
              </w:rPr>
              <w:t>¿Se apoyan las áreas que indican los Acuerdos de Paz?</w:t>
            </w:r>
          </w:p>
          <w:p w:rsidR="005C217B" w:rsidRPr="00D26547" w:rsidRDefault="005C217B" w:rsidP="00436CBA">
            <w:pPr>
              <w:jc w:val="center"/>
              <w:rPr>
                <w:rFonts w:ascii="Arial" w:hAnsi="Arial" w:cs="Arial"/>
              </w:rPr>
            </w:pPr>
          </w:p>
          <w:p w:rsidR="00C61D93" w:rsidRPr="00883687" w:rsidRDefault="005C217B" w:rsidP="00B8551B">
            <w:pPr>
              <w:jc w:val="center"/>
              <w:rPr>
                <w:rFonts w:ascii="Arial" w:hAnsi="Arial" w:cs="Arial"/>
                <w:sz w:val="24"/>
                <w:szCs w:val="24"/>
              </w:rPr>
            </w:pPr>
            <w:r>
              <w:rPr>
                <w:rFonts w:ascii="Arial" w:hAnsi="Arial" w:cs="Arial"/>
                <w:noProof/>
                <w:sz w:val="24"/>
                <w:szCs w:val="24"/>
              </w:rPr>
              <w:drawing>
                <wp:inline distT="0" distB="0" distL="0" distR="0" wp14:anchorId="7CE7EE3F" wp14:editId="68ABE849">
                  <wp:extent cx="2480712" cy="1238250"/>
                  <wp:effectExtent l="1905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srcRect/>
                          <a:stretch>
                            <a:fillRect/>
                          </a:stretch>
                        </pic:blipFill>
                        <pic:spPr bwMode="auto">
                          <a:xfrm>
                            <a:off x="0" y="0"/>
                            <a:ext cx="2480712" cy="1238250"/>
                          </a:xfrm>
                          <a:prstGeom prst="rect">
                            <a:avLst/>
                          </a:prstGeom>
                          <a:noFill/>
                          <a:ln w="9525">
                            <a:noFill/>
                            <a:miter lim="800000"/>
                            <a:headEnd/>
                            <a:tailEnd/>
                          </a:ln>
                        </pic:spPr>
                      </pic:pic>
                    </a:graphicData>
                  </a:graphic>
                </wp:inline>
              </w:drawing>
            </w:r>
          </w:p>
        </w:tc>
        <w:tc>
          <w:tcPr>
            <w:tcW w:w="5670" w:type="dxa"/>
            <w:tcBorders>
              <w:top w:val="nil"/>
              <w:left w:val="nil"/>
              <w:bottom w:val="nil"/>
              <w:right w:val="nil"/>
            </w:tcBorders>
          </w:tcPr>
          <w:p w:rsidR="00C61D93" w:rsidRPr="00436CBA" w:rsidRDefault="00C61D93" w:rsidP="00B8551B">
            <w:pPr>
              <w:jc w:val="both"/>
              <w:rPr>
                <w:rFonts w:ascii="Arial" w:hAnsi="Arial" w:cs="Arial"/>
              </w:rPr>
            </w:pPr>
            <w:r w:rsidRPr="00436CBA">
              <w:rPr>
                <w:rFonts w:ascii="Arial" w:hAnsi="Arial" w:cs="Arial"/>
              </w:rPr>
              <w:t>En el Presupuesto 201</w:t>
            </w:r>
            <w:r w:rsidR="00610BC5">
              <w:rPr>
                <w:rFonts w:ascii="Arial" w:hAnsi="Arial" w:cs="Arial"/>
              </w:rPr>
              <w:t>9</w:t>
            </w:r>
            <w:r w:rsidRPr="00436CBA">
              <w:rPr>
                <w:rFonts w:ascii="Arial" w:hAnsi="Arial" w:cs="Arial"/>
              </w:rPr>
              <w:t>, pese a la rigidez presupuestaria existente, se priorizan las asignaciones destinadas al cumplimiento de los Acuerdos de Paz, tal como se muestra en la gráfica siguiente.</w:t>
            </w:r>
          </w:p>
          <w:p w:rsidR="00C61D93" w:rsidRPr="00436CBA" w:rsidRDefault="00C61D93" w:rsidP="00B8551B">
            <w:pPr>
              <w:jc w:val="both"/>
              <w:rPr>
                <w:rFonts w:ascii="Arial" w:hAnsi="Arial" w:cs="Arial"/>
              </w:rPr>
            </w:pPr>
          </w:p>
          <w:p w:rsidR="00C61D93" w:rsidRPr="00436CBA" w:rsidRDefault="00C61D93" w:rsidP="00B8551B">
            <w:pPr>
              <w:jc w:val="both"/>
              <w:rPr>
                <w:rFonts w:ascii="Arial" w:hAnsi="Arial" w:cs="Arial"/>
              </w:rPr>
            </w:pPr>
            <w:r w:rsidRPr="00436CBA">
              <w:rPr>
                <w:rFonts w:ascii="Arial" w:hAnsi="Arial" w:cs="Arial"/>
              </w:rPr>
              <w:t>Sobresalen las asignaciones para educación, ciencia y cultura, así como para salud, agua y saneamiento.</w:t>
            </w:r>
          </w:p>
          <w:p w:rsidR="00C61D93" w:rsidRPr="00436CBA" w:rsidRDefault="00C61D93" w:rsidP="00B8551B">
            <w:pPr>
              <w:jc w:val="both"/>
              <w:rPr>
                <w:rFonts w:ascii="Arial" w:hAnsi="Arial" w:cs="Arial"/>
              </w:rPr>
            </w:pPr>
          </w:p>
          <w:p w:rsidR="00C61D93" w:rsidRPr="00436CBA" w:rsidRDefault="00C61D93" w:rsidP="00B8551B">
            <w:pPr>
              <w:jc w:val="both"/>
              <w:rPr>
                <w:rFonts w:ascii="Arial" w:hAnsi="Arial" w:cs="Arial"/>
              </w:rPr>
            </w:pPr>
            <w:r w:rsidRPr="00436CBA">
              <w:rPr>
                <w:rFonts w:ascii="Arial" w:hAnsi="Arial" w:cs="Arial"/>
              </w:rPr>
              <w:t>Le siguen las correspondientes a seguridad interna, Organismo Judicial y Corte de Constitucionalidad.</w:t>
            </w:r>
          </w:p>
        </w:tc>
      </w:tr>
    </w:tbl>
    <w:p w:rsidR="000460DF" w:rsidRPr="00883687" w:rsidRDefault="000460DF">
      <w:pPr>
        <w:rPr>
          <w:rFonts w:ascii="Arial" w:hAnsi="Arial" w:cs="Arial"/>
        </w:rPr>
      </w:pPr>
    </w:p>
    <w:p w:rsidR="000460DF" w:rsidRDefault="00EB4952" w:rsidP="000460DF">
      <w:pPr>
        <w:jc w:val="center"/>
        <w:rPr>
          <w:rFonts w:ascii="Arial" w:hAnsi="Arial" w:cs="Arial"/>
          <w:b/>
          <w:sz w:val="24"/>
          <w:szCs w:val="24"/>
        </w:rPr>
      </w:pPr>
      <w:r w:rsidRPr="00883687">
        <w:rPr>
          <w:rFonts w:ascii="Arial" w:hAnsi="Arial" w:cs="Arial"/>
          <w:b/>
          <w:sz w:val="24"/>
          <w:szCs w:val="24"/>
        </w:rPr>
        <w:t xml:space="preserve">Gráfica No. </w:t>
      </w:r>
      <w:r w:rsidR="00884735">
        <w:rPr>
          <w:rFonts w:ascii="Arial" w:hAnsi="Arial" w:cs="Arial"/>
          <w:b/>
          <w:sz w:val="24"/>
          <w:szCs w:val="24"/>
        </w:rPr>
        <w:t>18</w:t>
      </w:r>
    </w:p>
    <w:p w:rsidR="00610BC5" w:rsidRDefault="00CF277D" w:rsidP="000460DF">
      <w:pPr>
        <w:jc w:val="center"/>
        <w:rPr>
          <w:rFonts w:ascii="Arial" w:hAnsi="Arial" w:cs="Arial"/>
          <w:b/>
          <w:sz w:val="24"/>
          <w:szCs w:val="24"/>
        </w:rPr>
      </w:pPr>
      <w:r>
        <w:rPr>
          <w:noProof/>
        </w:rPr>
        <w:drawing>
          <wp:inline distT="0" distB="0" distL="0" distR="0" wp14:anchorId="0A811D57" wp14:editId="78159E42">
            <wp:extent cx="5612130" cy="4707255"/>
            <wp:effectExtent l="0" t="0" r="0" b="0"/>
            <wp:docPr id="686" name="Gráfico 68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354125" w:rsidRPr="00883687" w:rsidRDefault="00354125">
      <w:pPr>
        <w:rPr>
          <w:rFonts w:ascii="Arial" w:hAnsi="Arial" w:cs="Arial"/>
        </w:rPr>
      </w:pPr>
      <w:r w:rsidRPr="00883687">
        <w:rPr>
          <w:rFonts w:ascii="Arial" w:hAnsi="Arial" w:cs="Arial"/>
        </w:rPr>
        <w:br w:type="page"/>
      </w:r>
    </w:p>
    <w:p w:rsidR="00216795" w:rsidRPr="00883687" w:rsidRDefault="00216795" w:rsidP="000460DF">
      <w:pPr>
        <w:jc w:val="center"/>
        <w:rPr>
          <w:rFonts w:ascii="Arial" w:hAnsi="Arial" w:cs="Arial"/>
          <w:b/>
          <w:sz w:val="24"/>
          <w:szCs w:val="24"/>
        </w:rPr>
      </w:pPr>
    </w:p>
    <w:p w:rsidR="00216795" w:rsidRPr="008E3E7E" w:rsidRDefault="00F866C9" w:rsidP="00EB3C80">
      <w:pPr>
        <w:pStyle w:val="Prrafodelista"/>
        <w:numPr>
          <w:ilvl w:val="0"/>
          <w:numId w:val="18"/>
        </w:numPr>
        <w:ind w:left="284" w:hanging="284"/>
        <w:rPr>
          <w:rFonts w:ascii="Arial" w:hAnsi="Arial" w:cs="Arial"/>
        </w:rPr>
      </w:pPr>
      <w:r w:rsidRPr="008E3E7E">
        <w:rPr>
          <w:rFonts w:ascii="Arial" w:hAnsi="Arial" w:cs="Arial"/>
          <w:b/>
          <w:u w:val="single"/>
        </w:rPr>
        <w:t xml:space="preserve">Por la </w:t>
      </w:r>
      <w:r w:rsidR="00BA1FD3" w:rsidRPr="008E3E7E">
        <w:rPr>
          <w:rFonts w:ascii="Arial" w:hAnsi="Arial" w:cs="Arial"/>
          <w:b/>
          <w:u w:val="single"/>
        </w:rPr>
        <w:t>rigidez</w:t>
      </w:r>
      <w:r w:rsidRPr="008E3E7E">
        <w:rPr>
          <w:rFonts w:ascii="Arial" w:hAnsi="Arial" w:cs="Arial"/>
          <w:b/>
          <w:u w:val="single"/>
        </w:rPr>
        <w:t xml:space="preserve"> de los recursos</w:t>
      </w:r>
      <w:r w:rsidRPr="008E3E7E">
        <w:rPr>
          <w:rFonts w:ascii="Arial" w:hAnsi="Arial" w:cs="Arial"/>
        </w:rPr>
        <w:t>:</w:t>
      </w:r>
    </w:p>
    <w:tbl>
      <w:tblPr>
        <w:tblStyle w:val="Tablaconcuadrcula"/>
        <w:tblW w:w="0" w:type="auto"/>
        <w:tblLayout w:type="fixed"/>
        <w:tblLook w:val="04A0" w:firstRow="1" w:lastRow="0" w:firstColumn="1" w:lastColumn="0" w:noHBand="0" w:noVBand="1"/>
      </w:tblPr>
      <w:tblGrid>
        <w:gridCol w:w="1668"/>
        <w:gridCol w:w="6976"/>
      </w:tblGrid>
      <w:tr w:rsidR="00F866C9" w:rsidRPr="00883687" w:rsidTr="00B8551B">
        <w:trPr>
          <w:cantSplit/>
          <w:trHeight w:val="1134"/>
        </w:trPr>
        <w:tc>
          <w:tcPr>
            <w:tcW w:w="1668" w:type="dxa"/>
          </w:tcPr>
          <w:p w:rsidR="00F866C9" w:rsidRPr="006E350C" w:rsidRDefault="00FB3C9F" w:rsidP="00B8551B">
            <w:pPr>
              <w:jc w:val="both"/>
              <w:rPr>
                <w:rFonts w:ascii="Arial" w:hAnsi="Arial" w:cs="Arial"/>
                <w:b/>
                <w:color w:val="548DD4" w:themeColor="text2" w:themeTint="99"/>
                <w:sz w:val="24"/>
                <w:szCs w:val="24"/>
              </w:rPr>
            </w:pPr>
            <w:r>
              <w:rPr>
                <w:rFonts w:ascii="Arial" w:hAnsi="Arial" w:cs="Arial"/>
                <w:b/>
                <w:noProof/>
                <w:color w:val="548DD4" w:themeColor="text2" w:themeTint="99"/>
                <w:sz w:val="24"/>
                <w:szCs w:val="24"/>
              </w:rPr>
              <w:drawing>
                <wp:inline distT="0" distB="0" distL="0" distR="0" wp14:anchorId="5D13242F" wp14:editId="425FFF95">
                  <wp:extent cx="923925" cy="2362200"/>
                  <wp:effectExtent l="19050" t="0" r="9525" b="0"/>
                  <wp:docPr id="1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cstate="print"/>
                          <a:srcRect/>
                          <a:stretch>
                            <a:fillRect/>
                          </a:stretch>
                        </pic:blipFill>
                        <pic:spPr bwMode="auto">
                          <a:xfrm>
                            <a:off x="0" y="0"/>
                            <a:ext cx="923925" cy="2362200"/>
                          </a:xfrm>
                          <a:prstGeom prst="rect">
                            <a:avLst/>
                          </a:prstGeom>
                          <a:noFill/>
                          <a:ln w="9525">
                            <a:noFill/>
                            <a:miter lim="800000"/>
                            <a:headEnd/>
                            <a:tailEnd/>
                          </a:ln>
                        </pic:spPr>
                      </pic:pic>
                    </a:graphicData>
                  </a:graphic>
                </wp:inline>
              </w:drawing>
            </w:r>
          </w:p>
        </w:tc>
        <w:tc>
          <w:tcPr>
            <w:tcW w:w="6976" w:type="dxa"/>
            <w:vMerge w:val="restart"/>
          </w:tcPr>
          <w:p w:rsidR="00F866C9" w:rsidRPr="00883687" w:rsidRDefault="00F866C9" w:rsidP="00B8551B">
            <w:pPr>
              <w:jc w:val="both"/>
              <w:rPr>
                <w:rFonts w:ascii="Arial" w:hAnsi="Arial" w:cs="Arial"/>
              </w:rPr>
            </w:pPr>
            <w:r w:rsidRPr="00883687">
              <w:rPr>
                <w:rFonts w:ascii="Arial" w:hAnsi="Arial" w:cs="Arial"/>
              </w:rPr>
              <w:t xml:space="preserve">Comúnmente cuando se hace mención de la “rigidez del presupuesto”, se está haciendo referencia a que un alto porcentaje de los recursos presupuestarios ya tienen un destino específico, y que, por tal motivo, no se cuenta con recursos </w:t>
            </w:r>
            <w:r w:rsidR="00F46900">
              <w:rPr>
                <w:rFonts w:ascii="Arial" w:hAnsi="Arial" w:cs="Arial"/>
              </w:rPr>
              <w:t>suficientes</w:t>
            </w:r>
            <w:r w:rsidR="00F46900" w:rsidRPr="00883687">
              <w:rPr>
                <w:rFonts w:ascii="Arial" w:hAnsi="Arial" w:cs="Arial"/>
              </w:rPr>
              <w:t xml:space="preserve"> </w:t>
            </w:r>
            <w:r w:rsidRPr="00883687">
              <w:rPr>
                <w:rFonts w:ascii="Arial" w:hAnsi="Arial" w:cs="Arial"/>
              </w:rPr>
              <w:t>para emprender nuevas acciones. Esta rigidez deviene de preceptos constitucionales y de otras leyes específicas.</w:t>
            </w:r>
          </w:p>
          <w:p w:rsidR="00F866C9" w:rsidRPr="00883687" w:rsidRDefault="00F866C9" w:rsidP="00B8551B">
            <w:pPr>
              <w:jc w:val="both"/>
              <w:rPr>
                <w:rFonts w:ascii="Arial" w:hAnsi="Arial" w:cs="Arial"/>
              </w:rPr>
            </w:pPr>
          </w:p>
          <w:p w:rsidR="00F866C9" w:rsidRPr="00883687" w:rsidRDefault="00F866C9" w:rsidP="00B8551B">
            <w:pPr>
              <w:jc w:val="both"/>
              <w:rPr>
                <w:rFonts w:ascii="Arial" w:hAnsi="Arial" w:cs="Arial"/>
              </w:rPr>
            </w:pPr>
            <w:r w:rsidRPr="00883687">
              <w:rPr>
                <w:rFonts w:ascii="Arial" w:hAnsi="Arial" w:cs="Arial"/>
              </w:rPr>
              <w:t>Por ejemplo, la Constitución Política de la República de Guatemala expresa que de los ingresos ordinarios del Estado debe asignarse 10% en concepto de aporte constitucional a las municipalidades del país, 5% a  la Universidad de San Carlos de Guatemala, 4% al Organismo Judicial, 5% a la Corte de Constitucionalidad, 1.5% al deporte federado, 0.75% al deporte no federado, 0.75% al deporte escolar y educación física.</w:t>
            </w:r>
          </w:p>
          <w:p w:rsidR="00F866C9" w:rsidRPr="00883687" w:rsidRDefault="00F866C9" w:rsidP="00B8551B">
            <w:pPr>
              <w:jc w:val="both"/>
              <w:rPr>
                <w:rFonts w:ascii="Arial" w:hAnsi="Arial" w:cs="Arial"/>
              </w:rPr>
            </w:pPr>
          </w:p>
          <w:p w:rsidR="00F866C9" w:rsidRPr="00883687" w:rsidRDefault="00F866C9" w:rsidP="00B8551B">
            <w:pPr>
              <w:contextualSpacing/>
              <w:jc w:val="both"/>
              <w:rPr>
                <w:rFonts w:ascii="Arial" w:hAnsi="Arial" w:cs="Arial"/>
              </w:rPr>
            </w:pPr>
            <w:r w:rsidRPr="00883687">
              <w:rPr>
                <w:rFonts w:ascii="Arial" w:hAnsi="Arial" w:cs="Arial"/>
              </w:rPr>
              <w:t>Otras leyes específicas fijan distintos porcentajes a favor de diversas instituciones, por ejemplo, la Superintendencia de Administración Tributaria (SAT), Contraloría General de Cuentas (CGC), Ministerio Público (MP), Registro Nacional de las Personas (RENAP), Coordinadora  Nacional para  la  Reducción de Desastres (CONRED) e Instituto Nacional de Bosques (INAB), entre otras.</w:t>
            </w:r>
          </w:p>
          <w:p w:rsidR="00F866C9" w:rsidRPr="00883687" w:rsidRDefault="00F866C9" w:rsidP="00B8551B">
            <w:pPr>
              <w:jc w:val="both"/>
              <w:rPr>
                <w:rFonts w:ascii="Arial" w:hAnsi="Arial" w:cs="Arial"/>
              </w:rPr>
            </w:pPr>
          </w:p>
          <w:p w:rsidR="00F866C9" w:rsidRPr="00883687" w:rsidRDefault="00F866C9" w:rsidP="00B8551B">
            <w:pPr>
              <w:contextualSpacing/>
              <w:jc w:val="both"/>
              <w:rPr>
                <w:rFonts w:ascii="Arial" w:hAnsi="Arial" w:cs="Arial"/>
              </w:rPr>
            </w:pPr>
            <w:r w:rsidRPr="00883687">
              <w:rPr>
                <w:rFonts w:ascii="Arial" w:hAnsi="Arial" w:cs="Arial"/>
              </w:rPr>
              <w:t>Otros compromisos que propician rigidez presupuestaria derivan de insumos básicos en programas educativos, de salud, y de seguridad. Lo anterior se debe a que los maestros, médicos, personal de enfermería y agentes de seguridad, son personal esencial en la prestación de los servicios públicos, absorbiendo el mayor porcentaje de la nómina de salarios del gobierno. Adicionalmente el pago de las Clases Pasivas Civiles del Estado (jubilaciones) constituye un compromiso ineludible, así como el pago de la deuda pública, ya que en este último caso, debe cumplirse con los compromisos contractuales adquiridos con organismos financieros internacionales para fines específicos.</w:t>
            </w:r>
          </w:p>
          <w:p w:rsidR="00F866C9" w:rsidRPr="00883687" w:rsidRDefault="00F866C9" w:rsidP="00B8551B">
            <w:pPr>
              <w:contextualSpacing/>
              <w:jc w:val="both"/>
              <w:rPr>
                <w:rFonts w:ascii="Arial" w:hAnsi="Arial" w:cs="Arial"/>
              </w:rPr>
            </w:pPr>
          </w:p>
          <w:p w:rsidR="00F866C9" w:rsidRPr="00883687" w:rsidRDefault="00F866C9" w:rsidP="00F46900">
            <w:pPr>
              <w:contextualSpacing/>
              <w:jc w:val="both"/>
              <w:rPr>
                <w:rFonts w:ascii="Arial" w:hAnsi="Arial" w:cs="Arial"/>
              </w:rPr>
            </w:pPr>
            <w:r w:rsidRPr="00883687">
              <w:rPr>
                <w:rFonts w:ascii="Arial" w:hAnsi="Arial" w:cs="Arial"/>
              </w:rPr>
              <w:t xml:space="preserve">En consecuencia, es importante tener en cuenta que la población y sus demandas de servicios crecen a un ritmo mayor que el crecimiento de los ingresos, lo que hace inminente que la sociedad guatemalteca y las autoridades de gobierno analicen y acuerden alternativas en materia fiscal, para incrementar la recaudación tributaria. </w:t>
            </w:r>
          </w:p>
        </w:tc>
      </w:tr>
      <w:tr w:rsidR="00F866C9" w:rsidRPr="00883687" w:rsidTr="00F866C9">
        <w:trPr>
          <w:cantSplit/>
          <w:trHeight w:val="1134"/>
        </w:trPr>
        <w:tc>
          <w:tcPr>
            <w:tcW w:w="1668" w:type="dxa"/>
            <w:textDirection w:val="btLr"/>
            <w:vAlign w:val="center"/>
          </w:tcPr>
          <w:p w:rsidR="00F866C9" w:rsidRPr="00D26547" w:rsidRDefault="00F866C9" w:rsidP="0098441B">
            <w:pPr>
              <w:ind w:left="113" w:right="113"/>
              <w:jc w:val="center"/>
              <w:rPr>
                <w:rFonts w:ascii="Arial" w:hAnsi="Arial" w:cs="Arial"/>
                <w:b/>
                <w:sz w:val="24"/>
                <w:szCs w:val="24"/>
              </w:rPr>
            </w:pPr>
            <w:r w:rsidRPr="00D26547">
              <w:rPr>
                <w:rFonts w:ascii="Arial" w:hAnsi="Arial" w:cs="Arial"/>
                <w:b/>
                <w:sz w:val="32"/>
                <w:szCs w:val="32"/>
              </w:rPr>
              <w:t>¿</w:t>
            </w:r>
            <w:r w:rsidRPr="00D26547">
              <w:rPr>
                <w:rFonts w:ascii="Arial" w:hAnsi="Arial" w:cs="Arial"/>
                <w:b/>
                <w:sz w:val="24"/>
                <w:szCs w:val="24"/>
              </w:rPr>
              <w:t>Por qué se dice que el presupuesto es rígido</w:t>
            </w:r>
            <w:r w:rsidRPr="00D26547">
              <w:rPr>
                <w:rFonts w:ascii="Arial" w:hAnsi="Arial" w:cs="Arial"/>
                <w:b/>
                <w:sz w:val="32"/>
                <w:szCs w:val="32"/>
              </w:rPr>
              <w:t>?</w:t>
            </w:r>
          </w:p>
        </w:tc>
        <w:tc>
          <w:tcPr>
            <w:tcW w:w="6976" w:type="dxa"/>
            <w:vMerge/>
          </w:tcPr>
          <w:p w:rsidR="00F866C9" w:rsidRPr="00883687" w:rsidRDefault="00F866C9" w:rsidP="00B8551B">
            <w:pPr>
              <w:contextualSpacing/>
              <w:jc w:val="both"/>
              <w:rPr>
                <w:rFonts w:ascii="Arial" w:hAnsi="Arial" w:cs="Arial"/>
              </w:rPr>
            </w:pPr>
          </w:p>
        </w:tc>
      </w:tr>
    </w:tbl>
    <w:p w:rsidR="00F40C34" w:rsidRPr="00883687" w:rsidRDefault="00F40C34" w:rsidP="000460DF">
      <w:pPr>
        <w:jc w:val="center"/>
        <w:rPr>
          <w:rFonts w:ascii="Arial" w:hAnsi="Arial" w:cs="Arial"/>
          <w:b/>
          <w:sz w:val="24"/>
          <w:szCs w:val="24"/>
        </w:rPr>
      </w:pPr>
    </w:p>
    <w:p w:rsidR="00F40C34" w:rsidRPr="00883687" w:rsidRDefault="00F40C34">
      <w:pPr>
        <w:rPr>
          <w:rFonts w:ascii="Arial" w:hAnsi="Arial" w:cs="Arial"/>
          <w:b/>
          <w:sz w:val="24"/>
          <w:szCs w:val="24"/>
        </w:rPr>
      </w:pPr>
      <w:r w:rsidRPr="00883687">
        <w:rPr>
          <w:rFonts w:ascii="Arial" w:hAnsi="Arial" w:cs="Arial"/>
          <w:b/>
          <w:sz w:val="24"/>
          <w:szCs w:val="24"/>
        </w:rPr>
        <w:br w:type="page"/>
      </w:r>
    </w:p>
    <w:p w:rsidR="000460DF" w:rsidRDefault="00EB4952" w:rsidP="0075327B">
      <w:pPr>
        <w:spacing w:after="0" w:line="240" w:lineRule="auto"/>
        <w:jc w:val="center"/>
        <w:rPr>
          <w:rFonts w:ascii="Arial" w:hAnsi="Arial" w:cs="Arial"/>
          <w:b/>
          <w:sz w:val="24"/>
          <w:szCs w:val="24"/>
        </w:rPr>
      </w:pPr>
      <w:r w:rsidRPr="00883687">
        <w:rPr>
          <w:rFonts w:ascii="Arial" w:hAnsi="Arial" w:cs="Arial"/>
          <w:b/>
          <w:sz w:val="24"/>
          <w:szCs w:val="24"/>
        </w:rPr>
        <w:lastRenderedPageBreak/>
        <w:t xml:space="preserve">Gráfica No. </w:t>
      </w:r>
      <w:r w:rsidR="004B60B1">
        <w:rPr>
          <w:rFonts w:ascii="Arial" w:hAnsi="Arial" w:cs="Arial"/>
          <w:b/>
          <w:sz w:val="24"/>
          <w:szCs w:val="24"/>
        </w:rPr>
        <w:t>19</w:t>
      </w:r>
    </w:p>
    <w:p w:rsidR="00F22B48" w:rsidRDefault="005262E0" w:rsidP="0075327B">
      <w:pPr>
        <w:spacing w:after="0" w:line="240" w:lineRule="auto"/>
        <w:jc w:val="center"/>
        <w:rPr>
          <w:rFonts w:ascii="Arial" w:hAnsi="Arial" w:cs="Arial"/>
          <w:b/>
          <w:sz w:val="24"/>
          <w:szCs w:val="24"/>
        </w:rPr>
      </w:pPr>
      <w:r w:rsidRPr="005262E0">
        <w:rPr>
          <w:noProof/>
          <w:szCs w:val="24"/>
        </w:rPr>
        <w:drawing>
          <wp:inline distT="0" distB="0" distL="0" distR="0" wp14:anchorId="51180072" wp14:editId="20D606C8">
            <wp:extent cx="5612130" cy="3319911"/>
            <wp:effectExtent l="0" t="0" r="0" b="0"/>
            <wp:docPr id="69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srcRect/>
                    <a:stretch>
                      <a:fillRect/>
                    </a:stretch>
                  </pic:blipFill>
                  <pic:spPr bwMode="auto">
                    <a:xfrm>
                      <a:off x="0" y="0"/>
                      <a:ext cx="5612130" cy="3319911"/>
                    </a:xfrm>
                    <a:prstGeom prst="rect">
                      <a:avLst/>
                    </a:prstGeom>
                    <a:noFill/>
                    <a:ln w="9525">
                      <a:noFill/>
                      <a:miter lim="800000"/>
                      <a:headEnd/>
                      <a:tailEnd/>
                    </a:ln>
                  </pic:spPr>
                </pic:pic>
              </a:graphicData>
            </a:graphic>
          </wp:inline>
        </w:drawing>
      </w:r>
    </w:p>
    <w:p w:rsidR="005F1907" w:rsidRDefault="00EB4952" w:rsidP="0075327B">
      <w:pPr>
        <w:spacing w:after="0" w:line="240" w:lineRule="auto"/>
        <w:jc w:val="center"/>
        <w:rPr>
          <w:rFonts w:ascii="Arial" w:hAnsi="Arial" w:cs="Arial"/>
          <w:b/>
          <w:sz w:val="24"/>
          <w:szCs w:val="24"/>
        </w:rPr>
      </w:pPr>
      <w:r w:rsidRPr="00883687">
        <w:rPr>
          <w:rFonts w:ascii="Arial" w:hAnsi="Arial" w:cs="Arial"/>
          <w:b/>
          <w:sz w:val="24"/>
          <w:szCs w:val="24"/>
        </w:rPr>
        <w:t xml:space="preserve">Gráfica No. </w:t>
      </w:r>
      <w:r w:rsidR="007871FF">
        <w:rPr>
          <w:rFonts w:ascii="Arial" w:hAnsi="Arial" w:cs="Arial"/>
          <w:b/>
          <w:sz w:val="24"/>
          <w:szCs w:val="24"/>
        </w:rPr>
        <w:t>20</w:t>
      </w:r>
    </w:p>
    <w:p w:rsidR="00070DBB" w:rsidRDefault="00070DBB" w:rsidP="0075327B">
      <w:pPr>
        <w:spacing w:after="0" w:line="240" w:lineRule="auto"/>
        <w:jc w:val="center"/>
        <w:rPr>
          <w:rFonts w:ascii="Arial" w:hAnsi="Arial" w:cs="Arial"/>
          <w:b/>
          <w:sz w:val="24"/>
          <w:szCs w:val="24"/>
        </w:rPr>
      </w:pPr>
      <w:r w:rsidRPr="00070DBB">
        <w:rPr>
          <w:noProof/>
          <w:szCs w:val="24"/>
        </w:rPr>
        <w:drawing>
          <wp:inline distT="0" distB="0" distL="0" distR="0" wp14:anchorId="4427F3A1" wp14:editId="4BBA40CD">
            <wp:extent cx="4381500" cy="4522407"/>
            <wp:effectExtent l="0" t="0" r="0" b="0"/>
            <wp:docPr id="70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cstate="print"/>
                    <a:srcRect/>
                    <a:stretch>
                      <a:fillRect/>
                    </a:stretch>
                  </pic:blipFill>
                  <pic:spPr bwMode="auto">
                    <a:xfrm>
                      <a:off x="0" y="0"/>
                      <a:ext cx="4384860" cy="4525875"/>
                    </a:xfrm>
                    <a:prstGeom prst="rect">
                      <a:avLst/>
                    </a:prstGeom>
                    <a:noFill/>
                    <a:ln w="9525">
                      <a:noFill/>
                      <a:miter lim="800000"/>
                      <a:headEnd/>
                      <a:tailEnd/>
                    </a:ln>
                  </pic:spPr>
                </pic:pic>
              </a:graphicData>
            </a:graphic>
          </wp:inline>
        </w:drawing>
      </w:r>
    </w:p>
    <w:p w:rsidR="00926CF2" w:rsidRDefault="00926CF2" w:rsidP="0075327B">
      <w:pPr>
        <w:spacing w:after="0" w:line="240" w:lineRule="auto"/>
        <w:jc w:val="center"/>
        <w:rPr>
          <w:rFonts w:ascii="Arial" w:hAnsi="Arial" w:cs="Arial"/>
          <w:b/>
          <w:sz w:val="24"/>
          <w:szCs w:val="24"/>
        </w:rPr>
      </w:pPr>
    </w:p>
    <w:p w:rsidR="005E34B9" w:rsidRPr="00883687" w:rsidRDefault="005E34B9" w:rsidP="0075327B">
      <w:pPr>
        <w:spacing w:after="0" w:line="240" w:lineRule="auto"/>
        <w:jc w:val="center"/>
        <w:rPr>
          <w:rFonts w:ascii="Arial" w:hAnsi="Arial" w:cs="Arial"/>
          <w:b/>
          <w:sz w:val="24"/>
          <w:szCs w:val="24"/>
        </w:rPr>
      </w:pPr>
    </w:p>
    <w:p w:rsidR="00BB48D5" w:rsidRPr="007871FF" w:rsidRDefault="00BB48D5" w:rsidP="00EB3C80">
      <w:pPr>
        <w:pStyle w:val="Prrafodelista"/>
        <w:numPr>
          <w:ilvl w:val="0"/>
          <w:numId w:val="9"/>
        </w:numPr>
        <w:spacing w:after="0" w:line="240" w:lineRule="auto"/>
        <w:ind w:left="284" w:hanging="284"/>
        <w:jc w:val="both"/>
        <w:rPr>
          <w:rFonts w:ascii="Arial" w:hAnsi="Arial" w:cs="Arial"/>
          <w:b/>
          <w:u w:val="single"/>
        </w:rPr>
      </w:pPr>
      <w:r w:rsidRPr="007871FF">
        <w:rPr>
          <w:rFonts w:ascii="Arial" w:hAnsi="Arial" w:cs="Arial"/>
          <w:b/>
          <w:u w:val="single"/>
        </w:rPr>
        <w:t>Presupuesto 201</w:t>
      </w:r>
      <w:r w:rsidR="00041E41">
        <w:rPr>
          <w:rFonts w:ascii="Arial" w:hAnsi="Arial" w:cs="Arial"/>
          <w:b/>
          <w:u w:val="single"/>
        </w:rPr>
        <w:t>9</w:t>
      </w:r>
      <w:r w:rsidRPr="007871FF">
        <w:rPr>
          <w:rFonts w:ascii="Arial" w:hAnsi="Arial" w:cs="Arial"/>
          <w:b/>
          <w:u w:val="single"/>
        </w:rPr>
        <w:t xml:space="preserve"> y la Política General de Gobierno:</w:t>
      </w:r>
    </w:p>
    <w:p w:rsidR="00BB48D5" w:rsidRPr="007871FF" w:rsidRDefault="00BB48D5" w:rsidP="00126AC8">
      <w:pPr>
        <w:pStyle w:val="Prrafodelista"/>
        <w:spacing w:after="0" w:line="240" w:lineRule="auto"/>
        <w:ind w:left="0"/>
        <w:jc w:val="both"/>
        <w:rPr>
          <w:rFonts w:ascii="Arial" w:hAnsi="Arial" w:cs="Arial"/>
        </w:rPr>
      </w:pPr>
    </w:p>
    <w:p w:rsidR="00BB48D5" w:rsidRPr="00883687" w:rsidRDefault="00BB48D5" w:rsidP="00126AC8">
      <w:pPr>
        <w:shd w:val="clear" w:color="auto" w:fill="FFFFFF"/>
        <w:spacing w:after="0" w:line="240" w:lineRule="auto"/>
        <w:jc w:val="both"/>
        <w:rPr>
          <w:rFonts w:ascii="Arial" w:eastAsia="Times New Roman" w:hAnsi="Arial" w:cs="Arial"/>
          <w:sz w:val="27"/>
          <w:szCs w:val="27"/>
          <w:lang w:eastAsia="es-ES"/>
        </w:rPr>
      </w:pPr>
      <w:r w:rsidRPr="00883687">
        <w:rPr>
          <w:rFonts w:ascii="Arial" w:hAnsi="Arial" w:cs="Arial"/>
        </w:rPr>
        <w:t>El presupuesto</w:t>
      </w:r>
      <w:r w:rsidR="00041E41">
        <w:rPr>
          <w:rFonts w:ascii="Arial" w:hAnsi="Arial" w:cs="Arial"/>
        </w:rPr>
        <w:t xml:space="preserve"> 2019</w:t>
      </w:r>
      <w:r w:rsidRPr="00883687">
        <w:rPr>
          <w:rFonts w:ascii="Arial" w:hAnsi="Arial" w:cs="Arial"/>
        </w:rPr>
        <w:t xml:space="preserve"> si bien tom</w:t>
      </w:r>
      <w:r w:rsidR="00AC1E4C">
        <w:rPr>
          <w:rFonts w:ascii="Arial" w:hAnsi="Arial" w:cs="Arial"/>
        </w:rPr>
        <w:t>ó</w:t>
      </w:r>
      <w:r w:rsidRPr="00883687">
        <w:rPr>
          <w:rFonts w:ascii="Arial" w:hAnsi="Arial" w:cs="Arial"/>
        </w:rPr>
        <w:t xml:space="preserve"> como base el Plan Nacional de Desarrollo </w:t>
      </w:r>
      <w:proofErr w:type="spellStart"/>
      <w:r w:rsidRPr="00883687">
        <w:rPr>
          <w:rFonts w:ascii="Arial" w:hAnsi="Arial" w:cs="Arial"/>
        </w:rPr>
        <w:t>K’atun</w:t>
      </w:r>
      <w:proofErr w:type="spellEnd"/>
      <w:r w:rsidRPr="00883687">
        <w:rPr>
          <w:rFonts w:ascii="Arial" w:hAnsi="Arial" w:cs="Arial"/>
        </w:rPr>
        <w:t xml:space="preserve"> 2032, el mismo será enfocado en los principales ejes de la Política General de Gobierno, con el propósito de fijar prioridades y atender los problemas  urgentes y de mayor interés de la población guatemalteca, tales como </w:t>
      </w:r>
      <w:r w:rsidRPr="00883687">
        <w:rPr>
          <w:rFonts w:ascii="Arial" w:eastAsia="Times New Roman" w:hAnsi="Arial" w:cs="Arial"/>
          <w:sz w:val="21"/>
          <w:szCs w:val="21"/>
          <w:lang w:eastAsia="es-ES"/>
        </w:rPr>
        <w:t>la crisis hospitalaria, desnutrición, precariedad de empleo, inseguridad, cobertura educativa, calidad educativa, y degradación de los recursos naturales, entre otros.</w:t>
      </w:r>
    </w:p>
    <w:p w:rsidR="00BB48D5" w:rsidRPr="00883687" w:rsidRDefault="00BB48D5" w:rsidP="00126AC8">
      <w:pPr>
        <w:pStyle w:val="Prrafodelista"/>
        <w:spacing w:after="0" w:line="240" w:lineRule="auto"/>
        <w:ind w:left="0"/>
        <w:jc w:val="both"/>
        <w:rPr>
          <w:rFonts w:ascii="Arial" w:hAnsi="Arial" w:cs="Arial"/>
        </w:rPr>
      </w:pPr>
    </w:p>
    <w:p w:rsidR="00BB48D5" w:rsidRPr="00883687" w:rsidRDefault="00BB48D5" w:rsidP="00126AC8">
      <w:pPr>
        <w:pStyle w:val="Prrafodelista"/>
        <w:spacing w:after="0" w:line="240" w:lineRule="auto"/>
        <w:ind w:left="0"/>
        <w:jc w:val="both"/>
        <w:rPr>
          <w:rFonts w:ascii="Arial" w:hAnsi="Arial" w:cs="Arial"/>
        </w:rPr>
      </w:pPr>
      <w:r w:rsidRPr="00883687">
        <w:rPr>
          <w:rFonts w:ascii="Arial" w:hAnsi="Arial" w:cs="Arial"/>
        </w:rPr>
        <w:t>En tal sentido la Política General de Gobierno aborda como prioridades, las siguientes:</w:t>
      </w:r>
    </w:p>
    <w:p w:rsidR="00BB48D5" w:rsidRPr="00883687" w:rsidRDefault="00BB48D5" w:rsidP="00126AC8">
      <w:pPr>
        <w:pStyle w:val="Prrafodelista"/>
        <w:spacing w:after="0" w:line="240" w:lineRule="auto"/>
        <w:ind w:left="0"/>
        <w:jc w:val="both"/>
        <w:rPr>
          <w:rFonts w:ascii="Arial" w:hAnsi="Arial" w:cs="Arial"/>
        </w:rPr>
      </w:pPr>
    </w:p>
    <w:p w:rsidR="00BB48D5" w:rsidRPr="00883687" w:rsidRDefault="00BB48D5" w:rsidP="00126AC8">
      <w:pPr>
        <w:pStyle w:val="Prrafodelista"/>
        <w:spacing w:after="0" w:line="240" w:lineRule="auto"/>
        <w:ind w:left="0"/>
        <w:jc w:val="both"/>
        <w:rPr>
          <w:rFonts w:ascii="Arial" w:hAnsi="Arial" w:cs="Arial"/>
        </w:rPr>
      </w:pPr>
    </w:p>
    <w:p w:rsidR="00BB48D5" w:rsidRPr="00883687" w:rsidRDefault="00BB48D5" w:rsidP="00BB48D5">
      <w:pPr>
        <w:pStyle w:val="Prrafodelista"/>
        <w:spacing w:after="0" w:line="240" w:lineRule="auto"/>
        <w:ind w:left="567"/>
        <w:jc w:val="both"/>
        <w:rPr>
          <w:rFonts w:ascii="Arial" w:hAnsi="Arial" w:cs="Arial"/>
        </w:rPr>
      </w:pPr>
      <w:r w:rsidRPr="00883687">
        <w:rPr>
          <w:rFonts w:ascii="Arial" w:hAnsi="Arial" w:cs="Arial"/>
          <w:noProof/>
        </w:rPr>
        <w:drawing>
          <wp:inline distT="0" distB="0" distL="0" distR="0" wp14:anchorId="441D4D15" wp14:editId="3323049B">
            <wp:extent cx="5486400" cy="2694562"/>
            <wp:effectExtent l="0" t="0" r="19050" b="0"/>
            <wp:docPr id="39" name="Diagra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98441B" w:rsidRPr="00883687" w:rsidRDefault="0098441B" w:rsidP="00BB48D5">
      <w:pPr>
        <w:pStyle w:val="Prrafodelista"/>
        <w:spacing w:after="0" w:line="240" w:lineRule="auto"/>
        <w:ind w:left="567"/>
        <w:jc w:val="both"/>
        <w:rPr>
          <w:rFonts w:ascii="Arial" w:hAnsi="Arial" w:cs="Arial"/>
        </w:rPr>
      </w:pPr>
    </w:p>
    <w:p w:rsidR="00BB48D5" w:rsidRPr="00883687" w:rsidRDefault="00BB48D5" w:rsidP="00BB48D5">
      <w:pPr>
        <w:pStyle w:val="Prrafodelista"/>
        <w:spacing w:after="0" w:line="240" w:lineRule="auto"/>
        <w:ind w:left="567"/>
        <w:jc w:val="both"/>
        <w:rPr>
          <w:rFonts w:ascii="Arial" w:hAnsi="Arial" w:cs="Arial"/>
        </w:rPr>
      </w:pPr>
      <w:r w:rsidRPr="00883687">
        <w:rPr>
          <w:rFonts w:ascii="Arial" w:hAnsi="Arial" w:cs="Arial"/>
        </w:rPr>
        <w:t>Dentro de los resultados que se esperan alcanzar a nivel de nación, se tiene:</w:t>
      </w:r>
    </w:p>
    <w:p w:rsidR="00BB48D5" w:rsidRPr="00883687" w:rsidRDefault="00BB48D5" w:rsidP="00BB48D5">
      <w:pPr>
        <w:pStyle w:val="Prrafodelista"/>
        <w:spacing w:after="0" w:line="240" w:lineRule="auto"/>
        <w:ind w:left="567"/>
        <w:jc w:val="both"/>
        <w:rPr>
          <w:rFonts w:ascii="Arial" w:hAnsi="Arial" w:cs="Arial"/>
        </w:rPr>
      </w:pPr>
    </w:p>
    <w:p w:rsidR="00BB48D5" w:rsidRPr="00883687" w:rsidRDefault="00BB48D5" w:rsidP="00EB3C80">
      <w:pPr>
        <w:pStyle w:val="Prrafodelista"/>
        <w:numPr>
          <w:ilvl w:val="0"/>
          <w:numId w:val="12"/>
        </w:numPr>
        <w:spacing w:after="0" w:line="240" w:lineRule="auto"/>
        <w:jc w:val="both"/>
        <w:rPr>
          <w:rFonts w:ascii="Arial" w:hAnsi="Arial" w:cs="Arial"/>
        </w:rPr>
      </w:pPr>
      <w:r w:rsidRPr="00883687">
        <w:rPr>
          <w:rFonts w:ascii="Arial" w:hAnsi="Arial" w:cs="Arial"/>
        </w:rPr>
        <w:t>Gobierno abierto y transparente,</w:t>
      </w:r>
    </w:p>
    <w:p w:rsidR="00BB48D5" w:rsidRPr="00883687" w:rsidRDefault="00BB48D5" w:rsidP="00EB3C80">
      <w:pPr>
        <w:pStyle w:val="Prrafodelista"/>
        <w:numPr>
          <w:ilvl w:val="0"/>
          <w:numId w:val="12"/>
        </w:numPr>
        <w:spacing w:after="0" w:line="240" w:lineRule="auto"/>
        <w:jc w:val="both"/>
        <w:rPr>
          <w:rFonts w:ascii="Arial" w:hAnsi="Arial" w:cs="Arial"/>
        </w:rPr>
      </w:pPr>
      <w:r w:rsidRPr="00883687">
        <w:rPr>
          <w:rFonts w:ascii="Arial" w:hAnsi="Arial" w:cs="Arial"/>
        </w:rPr>
        <w:t>Disminución de la desnutrición crónica en los niños menores de 2 años,</w:t>
      </w:r>
    </w:p>
    <w:p w:rsidR="00BB48D5" w:rsidRPr="00883687" w:rsidRDefault="00BB48D5" w:rsidP="00EB3C80">
      <w:pPr>
        <w:pStyle w:val="Prrafodelista"/>
        <w:numPr>
          <w:ilvl w:val="0"/>
          <w:numId w:val="12"/>
        </w:numPr>
        <w:spacing w:after="0" w:line="240" w:lineRule="auto"/>
        <w:jc w:val="both"/>
        <w:rPr>
          <w:rFonts w:ascii="Arial" w:hAnsi="Arial" w:cs="Arial"/>
        </w:rPr>
      </w:pPr>
      <w:r w:rsidRPr="00883687">
        <w:rPr>
          <w:rFonts w:ascii="Arial" w:hAnsi="Arial" w:cs="Arial"/>
        </w:rPr>
        <w:t>Adecuado suministro de medicamentos a los hospitales y centros de salud,</w:t>
      </w:r>
    </w:p>
    <w:p w:rsidR="00BB48D5" w:rsidRPr="00883687" w:rsidRDefault="00BB48D5" w:rsidP="00EB3C80">
      <w:pPr>
        <w:pStyle w:val="Prrafodelista"/>
        <w:numPr>
          <w:ilvl w:val="0"/>
          <w:numId w:val="12"/>
        </w:numPr>
        <w:spacing w:after="0" w:line="240" w:lineRule="auto"/>
        <w:jc w:val="both"/>
        <w:rPr>
          <w:rFonts w:ascii="Arial" w:hAnsi="Arial" w:cs="Arial"/>
        </w:rPr>
      </w:pPr>
      <w:r w:rsidRPr="00883687">
        <w:rPr>
          <w:rFonts w:ascii="Arial" w:hAnsi="Arial" w:cs="Arial"/>
        </w:rPr>
        <w:t>Educación alternativa extraescolar,</w:t>
      </w:r>
    </w:p>
    <w:p w:rsidR="00BB48D5" w:rsidRPr="00883687" w:rsidRDefault="00BB48D5" w:rsidP="00EB3C80">
      <w:pPr>
        <w:pStyle w:val="Prrafodelista"/>
        <w:numPr>
          <w:ilvl w:val="0"/>
          <w:numId w:val="12"/>
        </w:numPr>
        <w:spacing w:after="0" w:line="240" w:lineRule="auto"/>
        <w:jc w:val="both"/>
        <w:rPr>
          <w:rFonts w:ascii="Arial" w:hAnsi="Arial" w:cs="Arial"/>
        </w:rPr>
      </w:pPr>
      <w:r w:rsidRPr="00883687">
        <w:rPr>
          <w:rFonts w:ascii="Arial" w:hAnsi="Arial" w:cs="Arial"/>
        </w:rPr>
        <w:t>Tecnología en el aula,</w:t>
      </w:r>
    </w:p>
    <w:p w:rsidR="00BB48D5" w:rsidRPr="00883687" w:rsidRDefault="00BB48D5" w:rsidP="00EB3C80">
      <w:pPr>
        <w:pStyle w:val="Prrafodelista"/>
        <w:numPr>
          <w:ilvl w:val="0"/>
          <w:numId w:val="12"/>
        </w:numPr>
        <w:spacing w:after="0" w:line="240" w:lineRule="auto"/>
        <w:jc w:val="both"/>
        <w:rPr>
          <w:rFonts w:ascii="Arial" w:hAnsi="Arial" w:cs="Arial"/>
        </w:rPr>
      </w:pPr>
      <w:r w:rsidRPr="00883687">
        <w:rPr>
          <w:rFonts w:ascii="Arial" w:hAnsi="Arial" w:cs="Arial"/>
        </w:rPr>
        <w:t>Crecimiento empresarial,</w:t>
      </w:r>
    </w:p>
    <w:p w:rsidR="00BB48D5" w:rsidRPr="00883687" w:rsidRDefault="00BB48D5" w:rsidP="00EB3C80">
      <w:pPr>
        <w:pStyle w:val="Prrafodelista"/>
        <w:numPr>
          <w:ilvl w:val="0"/>
          <w:numId w:val="12"/>
        </w:numPr>
        <w:spacing w:after="0" w:line="240" w:lineRule="auto"/>
        <w:jc w:val="both"/>
        <w:rPr>
          <w:rFonts w:ascii="Arial" w:hAnsi="Arial" w:cs="Arial"/>
        </w:rPr>
      </w:pPr>
      <w:r w:rsidRPr="00883687">
        <w:rPr>
          <w:rFonts w:ascii="Arial" w:hAnsi="Arial" w:cs="Arial"/>
        </w:rPr>
        <w:t>Fomento al turismo,</w:t>
      </w:r>
    </w:p>
    <w:p w:rsidR="00BB48D5" w:rsidRPr="00883687" w:rsidRDefault="00BB48D5" w:rsidP="00EB3C80">
      <w:pPr>
        <w:pStyle w:val="Prrafodelista"/>
        <w:numPr>
          <w:ilvl w:val="0"/>
          <w:numId w:val="12"/>
        </w:numPr>
        <w:spacing w:after="0" w:line="240" w:lineRule="auto"/>
        <w:jc w:val="both"/>
        <w:rPr>
          <w:rFonts w:ascii="Arial" w:hAnsi="Arial" w:cs="Arial"/>
        </w:rPr>
      </w:pPr>
      <w:r w:rsidRPr="00883687">
        <w:rPr>
          <w:rFonts w:ascii="Arial" w:hAnsi="Arial" w:cs="Arial"/>
        </w:rPr>
        <w:t>Desarrollo de infraestructura,</w:t>
      </w:r>
    </w:p>
    <w:p w:rsidR="00BB48D5" w:rsidRPr="00883687" w:rsidRDefault="00BB48D5" w:rsidP="00EB3C80">
      <w:pPr>
        <w:pStyle w:val="Prrafodelista"/>
        <w:numPr>
          <w:ilvl w:val="0"/>
          <w:numId w:val="12"/>
        </w:numPr>
        <w:spacing w:after="0" w:line="240" w:lineRule="auto"/>
        <w:jc w:val="both"/>
        <w:rPr>
          <w:rFonts w:ascii="Arial" w:hAnsi="Arial" w:cs="Arial"/>
        </w:rPr>
      </w:pPr>
      <w:r w:rsidRPr="00883687">
        <w:rPr>
          <w:rFonts w:ascii="Arial" w:hAnsi="Arial" w:cs="Arial"/>
        </w:rPr>
        <w:t>Sostenibilidad fiscal,</w:t>
      </w:r>
    </w:p>
    <w:p w:rsidR="00BB48D5" w:rsidRPr="00883687" w:rsidRDefault="00BB48D5" w:rsidP="00EB3C80">
      <w:pPr>
        <w:pStyle w:val="Prrafodelista"/>
        <w:numPr>
          <w:ilvl w:val="0"/>
          <w:numId w:val="12"/>
        </w:numPr>
        <w:spacing w:after="0" w:line="240" w:lineRule="auto"/>
        <w:jc w:val="both"/>
        <w:rPr>
          <w:rFonts w:ascii="Arial" w:hAnsi="Arial" w:cs="Arial"/>
        </w:rPr>
      </w:pPr>
      <w:r w:rsidRPr="00883687">
        <w:rPr>
          <w:rFonts w:ascii="Arial" w:hAnsi="Arial" w:cs="Arial"/>
        </w:rPr>
        <w:t>Control de fronteras,</w:t>
      </w:r>
    </w:p>
    <w:p w:rsidR="00BB48D5" w:rsidRPr="00883687" w:rsidRDefault="00BB48D5" w:rsidP="00EB3C80">
      <w:pPr>
        <w:pStyle w:val="Prrafodelista"/>
        <w:numPr>
          <w:ilvl w:val="0"/>
          <w:numId w:val="12"/>
        </w:numPr>
        <w:spacing w:after="0" w:line="240" w:lineRule="auto"/>
        <w:jc w:val="both"/>
        <w:rPr>
          <w:rFonts w:ascii="Arial" w:hAnsi="Arial" w:cs="Arial"/>
        </w:rPr>
      </w:pPr>
      <w:r w:rsidRPr="00883687">
        <w:rPr>
          <w:rFonts w:ascii="Arial" w:hAnsi="Arial" w:cs="Arial"/>
        </w:rPr>
        <w:t>Prevención de violencia,</w:t>
      </w:r>
    </w:p>
    <w:p w:rsidR="00BB48D5" w:rsidRPr="00883687" w:rsidRDefault="00BB48D5" w:rsidP="00EB3C80">
      <w:pPr>
        <w:pStyle w:val="Prrafodelista"/>
        <w:numPr>
          <w:ilvl w:val="0"/>
          <w:numId w:val="12"/>
        </w:numPr>
        <w:spacing w:after="0" w:line="240" w:lineRule="auto"/>
        <w:jc w:val="both"/>
        <w:rPr>
          <w:rFonts w:ascii="Arial" w:hAnsi="Arial" w:cs="Arial"/>
        </w:rPr>
      </w:pPr>
      <w:r w:rsidRPr="00883687">
        <w:rPr>
          <w:rFonts w:ascii="Arial" w:hAnsi="Arial" w:cs="Arial"/>
        </w:rPr>
        <w:t>Apoyo al sector justicia,</w:t>
      </w:r>
    </w:p>
    <w:p w:rsidR="00BB48D5" w:rsidRPr="00883687" w:rsidRDefault="00BB48D5" w:rsidP="00EB3C80">
      <w:pPr>
        <w:pStyle w:val="Prrafodelista"/>
        <w:numPr>
          <w:ilvl w:val="0"/>
          <w:numId w:val="12"/>
        </w:numPr>
        <w:spacing w:after="0" w:line="240" w:lineRule="auto"/>
        <w:jc w:val="both"/>
        <w:rPr>
          <w:rFonts w:ascii="Arial" w:hAnsi="Arial" w:cs="Arial"/>
        </w:rPr>
      </w:pPr>
      <w:r w:rsidRPr="00883687">
        <w:rPr>
          <w:rFonts w:ascii="Arial" w:hAnsi="Arial" w:cs="Arial"/>
        </w:rPr>
        <w:t>Apoyo al gobierno municipal.</w:t>
      </w:r>
    </w:p>
    <w:p w:rsidR="00BB48D5" w:rsidRPr="00883687" w:rsidRDefault="00BB48D5" w:rsidP="00BB48D5">
      <w:pPr>
        <w:pStyle w:val="Prrafodelista"/>
        <w:spacing w:after="0" w:line="240" w:lineRule="auto"/>
        <w:ind w:left="1287"/>
        <w:jc w:val="both"/>
        <w:rPr>
          <w:rFonts w:ascii="Arial" w:hAnsi="Arial" w:cs="Arial"/>
        </w:rPr>
      </w:pPr>
    </w:p>
    <w:p w:rsidR="00BB48D5" w:rsidRPr="00883687" w:rsidRDefault="00BB48D5" w:rsidP="00BB48D5">
      <w:pPr>
        <w:pStyle w:val="Prrafodelista"/>
        <w:spacing w:after="0" w:line="240" w:lineRule="auto"/>
        <w:ind w:left="0"/>
        <w:jc w:val="both"/>
        <w:rPr>
          <w:rFonts w:ascii="Arial" w:hAnsi="Arial" w:cs="Arial"/>
        </w:rPr>
      </w:pPr>
    </w:p>
    <w:p w:rsidR="00BB48D5" w:rsidRPr="00404908" w:rsidRDefault="00BB48D5" w:rsidP="00404908">
      <w:pPr>
        <w:shd w:val="clear" w:color="auto" w:fill="FFFFFF"/>
        <w:spacing w:after="0" w:line="240" w:lineRule="auto"/>
        <w:jc w:val="both"/>
        <w:rPr>
          <w:rFonts w:ascii="Arial" w:eastAsia="Times New Roman" w:hAnsi="Arial" w:cs="Arial"/>
          <w:lang w:eastAsia="es-ES"/>
        </w:rPr>
      </w:pPr>
      <w:r w:rsidRPr="00404908">
        <w:rPr>
          <w:rFonts w:ascii="Arial" w:eastAsia="Times New Roman" w:hAnsi="Arial" w:cs="Arial"/>
          <w:lang w:eastAsia="es-ES"/>
        </w:rPr>
        <w:t>Los lineamientos anteriores constituyen una dimensión político</w:t>
      </w:r>
      <w:r w:rsidR="008C2ED8">
        <w:rPr>
          <w:rFonts w:ascii="Arial" w:eastAsia="Times New Roman" w:hAnsi="Arial" w:cs="Arial"/>
          <w:lang w:eastAsia="es-ES"/>
        </w:rPr>
        <w:t>-</w:t>
      </w:r>
      <w:r w:rsidRPr="00404908">
        <w:rPr>
          <w:rFonts w:ascii="Arial" w:eastAsia="Times New Roman" w:hAnsi="Arial" w:cs="Arial"/>
          <w:lang w:eastAsia="es-ES"/>
        </w:rPr>
        <w:t xml:space="preserve">estratégica que establece la ruta para orientar al país al desarrollo, preponderando acciones de </w:t>
      </w:r>
      <w:r w:rsidR="00445E6F" w:rsidRPr="00404908">
        <w:rPr>
          <w:rFonts w:ascii="Arial" w:eastAsia="Times New Roman" w:hAnsi="Arial" w:cs="Arial"/>
          <w:lang w:eastAsia="es-ES"/>
        </w:rPr>
        <w:t xml:space="preserve">orden social, </w:t>
      </w:r>
      <w:r w:rsidR="00445E6F" w:rsidRPr="00404908">
        <w:rPr>
          <w:rFonts w:ascii="Arial" w:eastAsia="Times New Roman" w:hAnsi="Arial" w:cs="Arial"/>
          <w:lang w:eastAsia="es-ES"/>
        </w:rPr>
        <w:lastRenderedPageBreak/>
        <w:t>económico, ambiental, institucional y territorial</w:t>
      </w:r>
      <w:r w:rsidRPr="00404908">
        <w:rPr>
          <w:rFonts w:ascii="Arial" w:eastAsia="Times New Roman" w:hAnsi="Arial" w:cs="Arial"/>
          <w:lang w:eastAsia="es-ES"/>
        </w:rPr>
        <w:t>. Asimismo, se da especial importancia a la participación ciudadana, la transparencia y la rendición de cuentas en todas las áreas de gestión de gobierno.</w:t>
      </w:r>
    </w:p>
    <w:p w:rsidR="00BB48D5" w:rsidRPr="00404908" w:rsidRDefault="00BB48D5" w:rsidP="00404908">
      <w:pPr>
        <w:shd w:val="clear" w:color="auto" w:fill="FFFFFF"/>
        <w:spacing w:after="0" w:line="240" w:lineRule="auto"/>
        <w:jc w:val="both"/>
        <w:rPr>
          <w:rFonts w:ascii="Arial" w:eastAsia="Times New Roman" w:hAnsi="Arial" w:cs="Arial"/>
          <w:lang w:eastAsia="es-ES"/>
        </w:rPr>
      </w:pPr>
    </w:p>
    <w:p w:rsidR="00BB48D5" w:rsidRPr="00404908" w:rsidRDefault="00BB48D5" w:rsidP="00404908">
      <w:pPr>
        <w:pStyle w:val="Prrafodelista"/>
        <w:spacing w:after="0" w:line="240" w:lineRule="auto"/>
        <w:ind w:left="0"/>
        <w:jc w:val="both"/>
        <w:rPr>
          <w:rFonts w:ascii="Arial" w:hAnsi="Arial" w:cs="Arial"/>
        </w:rPr>
      </w:pPr>
      <w:r w:rsidRPr="00404908">
        <w:rPr>
          <w:rFonts w:ascii="Arial" w:hAnsi="Arial" w:cs="Arial"/>
        </w:rPr>
        <w:t>E</w:t>
      </w:r>
      <w:r w:rsidR="009C6428">
        <w:rPr>
          <w:rFonts w:ascii="Arial" w:hAnsi="Arial" w:cs="Arial"/>
        </w:rPr>
        <w:t>n 2019</w:t>
      </w:r>
      <w:r w:rsidR="00B85663">
        <w:rPr>
          <w:rFonts w:ascii="Arial" w:hAnsi="Arial" w:cs="Arial"/>
        </w:rPr>
        <w:t xml:space="preserve"> el </w:t>
      </w:r>
      <w:r w:rsidRPr="00404908">
        <w:rPr>
          <w:rFonts w:ascii="Arial" w:hAnsi="Arial" w:cs="Arial"/>
        </w:rPr>
        <w:t xml:space="preserve">Presupuesto </w:t>
      </w:r>
      <w:r w:rsidR="009C6428">
        <w:rPr>
          <w:rFonts w:ascii="Arial" w:hAnsi="Arial" w:cs="Arial"/>
        </w:rPr>
        <w:t>c</w:t>
      </w:r>
      <w:r w:rsidRPr="00404908">
        <w:rPr>
          <w:rFonts w:ascii="Arial" w:hAnsi="Arial" w:cs="Arial"/>
        </w:rPr>
        <w:t>ontiene las prioridades de</w:t>
      </w:r>
      <w:r w:rsidR="008C2ED8">
        <w:rPr>
          <w:rFonts w:ascii="Arial" w:hAnsi="Arial" w:cs="Arial"/>
        </w:rPr>
        <w:t xml:space="preserve"> </w:t>
      </w:r>
      <w:r w:rsidRPr="00404908">
        <w:rPr>
          <w:rFonts w:ascii="Arial" w:hAnsi="Arial" w:cs="Arial"/>
        </w:rPr>
        <w:t>l</w:t>
      </w:r>
      <w:r w:rsidR="008C2ED8">
        <w:rPr>
          <w:rFonts w:ascii="Arial" w:hAnsi="Arial" w:cs="Arial"/>
        </w:rPr>
        <w:t>a</w:t>
      </w:r>
      <w:r w:rsidRPr="00404908">
        <w:rPr>
          <w:rFonts w:ascii="Arial" w:hAnsi="Arial" w:cs="Arial"/>
        </w:rPr>
        <w:t xml:space="preserve"> P</w:t>
      </w:r>
      <w:r w:rsidR="008C2ED8">
        <w:rPr>
          <w:rFonts w:ascii="Arial" w:hAnsi="Arial" w:cs="Arial"/>
        </w:rPr>
        <w:t>olítica</w:t>
      </w:r>
      <w:r w:rsidRPr="00404908">
        <w:rPr>
          <w:rFonts w:ascii="Arial" w:hAnsi="Arial" w:cs="Arial"/>
        </w:rPr>
        <w:t xml:space="preserve"> General de Gobierno, y su proceso fue  realizado por el Ministerio de Finanzas Públicas en coordinación con la Secretaría de Planificación y Programación de la Presidencia,  con la plena participación de las distintas instituciones del sector público, teniendo en cuenta una perspectiva objetiva y realista de la situación del país y de las finanzas públicas, todo con el propósito de llevar los servicios públicos a la población guatemalteca de la mejor manera.</w:t>
      </w:r>
    </w:p>
    <w:p w:rsidR="00BB48D5" w:rsidRPr="00404908" w:rsidRDefault="00BB48D5" w:rsidP="00404908">
      <w:pPr>
        <w:spacing w:line="240" w:lineRule="auto"/>
        <w:rPr>
          <w:rFonts w:ascii="Arial" w:hAnsi="Arial" w:cs="Arial"/>
        </w:rPr>
      </w:pPr>
    </w:p>
    <w:p w:rsidR="007675D8" w:rsidRPr="00404908" w:rsidRDefault="007675D8" w:rsidP="00404908">
      <w:pPr>
        <w:spacing w:line="240" w:lineRule="auto"/>
        <w:jc w:val="both"/>
        <w:rPr>
          <w:rFonts w:ascii="Arial" w:hAnsi="Arial" w:cs="Arial"/>
          <w:b/>
        </w:rPr>
      </w:pPr>
      <w:r w:rsidRPr="00404908">
        <w:rPr>
          <w:rFonts w:ascii="Arial" w:hAnsi="Arial" w:cs="Arial"/>
          <w:b/>
        </w:rPr>
        <w:t>¿Qué otras cosas debemos saber sobre el presupuesto 201</w:t>
      </w:r>
      <w:r w:rsidR="00E322F4">
        <w:rPr>
          <w:rFonts w:ascii="Arial" w:hAnsi="Arial" w:cs="Arial"/>
          <w:b/>
        </w:rPr>
        <w:t>9</w:t>
      </w:r>
      <w:r w:rsidRPr="00404908">
        <w:rPr>
          <w:rFonts w:ascii="Arial" w:hAnsi="Arial" w:cs="Arial"/>
          <w:b/>
        </w:rPr>
        <w:t>?</w:t>
      </w:r>
    </w:p>
    <w:tbl>
      <w:tblPr>
        <w:tblStyle w:val="Tablaconcuadrcula"/>
        <w:tblW w:w="5000" w:type="pct"/>
        <w:tblLook w:val="04A0" w:firstRow="1" w:lastRow="0" w:firstColumn="1" w:lastColumn="0" w:noHBand="0" w:noVBand="1"/>
      </w:tblPr>
      <w:tblGrid>
        <w:gridCol w:w="9054"/>
      </w:tblGrid>
      <w:tr w:rsidR="008941F9" w:rsidRPr="00883687" w:rsidTr="008941F9">
        <w:tc>
          <w:tcPr>
            <w:tcW w:w="5000" w:type="pct"/>
            <w:tcBorders>
              <w:top w:val="nil"/>
              <w:left w:val="nil"/>
              <w:bottom w:val="nil"/>
              <w:right w:val="nil"/>
            </w:tcBorders>
          </w:tcPr>
          <w:p w:rsidR="008941F9" w:rsidRPr="003753A8" w:rsidRDefault="008941F9" w:rsidP="00306EFD">
            <w:pPr>
              <w:jc w:val="center"/>
              <w:rPr>
                <w:rFonts w:ascii="Arial" w:hAnsi="Arial" w:cs="Arial"/>
                <w:b/>
                <w:color w:val="548DD4" w:themeColor="text2" w:themeTint="99"/>
                <w:lang w:val="es-ES"/>
              </w:rPr>
            </w:pPr>
            <w:r w:rsidRPr="00E265DA">
              <w:rPr>
                <w:rFonts w:ascii="Arial" w:hAnsi="Arial" w:cs="Arial"/>
                <w:b/>
              </w:rPr>
              <w:t xml:space="preserve">¿Cómo se realizaron los </w:t>
            </w:r>
            <w:r w:rsidR="00306EFD">
              <w:rPr>
                <w:rFonts w:ascii="Arial" w:hAnsi="Arial" w:cs="Arial"/>
                <w:b/>
              </w:rPr>
              <w:t>Talleres de Presupuesto Abierto</w:t>
            </w:r>
            <w:r w:rsidRPr="00E265DA">
              <w:rPr>
                <w:rFonts w:ascii="Arial" w:hAnsi="Arial" w:cs="Arial"/>
                <w:b/>
              </w:rPr>
              <w:t>?</w:t>
            </w:r>
            <w:r w:rsidR="00306EFD">
              <w:rPr>
                <w:rFonts w:ascii="Arial" w:hAnsi="Arial" w:cs="Arial"/>
                <w:b/>
                <w:noProof/>
                <w:color w:val="548DD4" w:themeColor="text2" w:themeTint="99"/>
              </w:rPr>
              <w:drawing>
                <wp:inline distT="0" distB="0" distL="0" distR="0" wp14:anchorId="61749050" wp14:editId="4FD13D61">
                  <wp:extent cx="5610225" cy="4238625"/>
                  <wp:effectExtent l="0" t="0" r="0" b="0"/>
                  <wp:docPr id="3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cstate="print"/>
                          <a:srcRect/>
                          <a:stretch>
                            <a:fillRect/>
                          </a:stretch>
                        </pic:blipFill>
                        <pic:spPr bwMode="auto">
                          <a:xfrm>
                            <a:off x="0" y="0"/>
                            <a:ext cx="5610225" cy="4238625"/>
                          </a:xfrm>
                          <a:prstGeom prst="rect">
                            <a:avLst/>
                          </a:prstGeom>
                          <a:noFill/>
                          <a:ln w="9525">
                            <a:noFill/>
                            <a:miter lim="800000"/>
                            <a:headEnd/>
                            <a:tailEnd/>
                          </a:ln>
                        </pic:spPr>
                      </pic:pic>
                    </a:graphicData>
                  </a:graphic>
                </wp:inline>
              </w:drawing>
            </w:r>
          </w:p>
        </w:tc>
      </w:tr>
      <w:tr w:rsidR="008941F9" w:rsidRPr="00A97F90" w:rsidTr="008941F9">
        <w:tc>
          <w:tcPr>
            <w:tcW w:w="5000" w:type="pct"/>
            <w:tcBorders>
              <w:top w:val="nil"/>
              <w:left w:val="nil"/>
              <w:bottom w:val="nil"/>
              <w:right w:val="nil"/>
            </w:tcBorders>
          </w:tcPr>
          <w:p w:rsidR="008941F9" w:rsidRPr="00A97F90" w:rsidRDefault="008941F9" w:rsidP="00E423E7">
            <w:pPr>
              <w:jc w:val="both"/>
              <w:rPr>
                <w:rFonts w:ascii="Arial" w:hAnsi="Arial" w:cs="Arial"/>
              </w:rPr>
            </w:pPr>
            <w:r w:rsidRPr="00A97F90">
              <w:rPr>
                <w:rFonts w:ascii="Arial" w:hAnsi="Arial" w:cs="Arial"/>
              </w:rPr>
              <w:t>Se realizó un ejercicio de Presupuesto Abierto 201</w:t>
            </w:r>
            <w:r w:rsidR="00E423E7">
              <w:rPr>
                <w:rFonts w:ascii="Arial" w:hAnsi="Arial" w:cs="Arial"/>
              </w:rPr>
              <w:t>9</w:t>
            </w:r>
            <w:r w:rsidRPr="00A97F90">
              <w:rPr>
                <w:rFonts w:ascii="Arial" w:hAnsi="Arial" w:cs="Arial"/>
              </w:rPr>
              <w:t>, y con retroalimentación de la sociedad civil, se establecieron prioridades en materia de seguridad y justicia, salud  integral y seguridad alimentaria, y generación de empleo e ingresos. Asimismo se establecieron techos indicativos con base a las proyecciones de la Superintendencia de Administración Tributaria y Banco de Guatemala.</w:t>
            </w:r>
          </w:p>
        </w:tc>
      </w:tr>
    </w:tbl>
    <w:p w:rsidR="00474823" w:rsidRPr="00A97F90" w:rsidRDefault="00474823" w:rsidP="002B6B5F">
      <w:pPr>
        <w:jc w:val="both"/>
        <w:rPr>
          <w:rFonts w:ascii="Arial" w:hAnsi="Arial" w:cs="Arial"/>
        </w:rPr>
      </w:pPr>
    </w:p>
    <w:p w:rsidR="006112C2" w:rsidRDefault="000D47D7" w:rsidP="00F57E6B">
      <w:pPr>
        <w:spacing w:after="0"/>
        <w:jc w:val="both"/>
        <w:rPr>
          <w:rFonts w:ascii="Arial" w:hAnsi="Arial" w:cs="Arial"/>
        </w:rPr>
      </w:pPr>
      <w:r>
        <w:rPr>
          <w:rFonts w:ascii="Arial" w:hAnsi="Arial" w:cs="Arial"/>
        </w:rPr>
        <w:t>P</w:t>
      </w:r>
      <w:r w:rsidR="002B4857">
        <w:rPr>
          <w:rFonts w:ascii="Arial" w:hAnsi="Arial" w:cs="Arial"/>
        </w:rPr>
        <w:t>ara propiciar la participación ciudadana, se puso a disposición de las personas:</w:t>
      </w:r>
    </w:p>
    <w:p w:rsidR="00184FED" w:rsidRDefault="00184FED" w:rsidP="00F57E6B">
      <w:pPr>
        <w:spacing w:after="0"/>
        <w:jc w:val="both"/>
        <w:rPr>
          <w:rFonts w:ascii="Arial" w:hAnsi="Arial" w:cs="Arial"/>
        </w:rPr>
      </w:pPr>
    </w:p>
    <w:p w:rsidR="00A0692E" w:rsidRPr="00417826" w:rsidRDefault="00F75F4E" w:rsidP="00EB3C80">
      <w:pPr>
        <w:numPr>
          <w:ilvl w:val="0"/>
          <w:numId w:val="20"/>
        </w:numPr>
        <w:spacing w:after="0"/>
        <w:jc w:val="both"/>
        <w:rPr>
          <w:rFonts w:ascii="Arial" w:hAnsi="Arial" w:cs="Arial"/>
          <w:lang w:val="es-ES"/>
        </w:rPr>
      </w:pPr>
      <w:r w:rsidRPr="002B4857">
        <w:rPr>
          <w:rFonts w:ascii="Arial" w:hAnsi="Arial" w:cs="Arial"/>
        </w:rPr>
        <w:lastRenderedPageBreak/>
        <w:t xml:space="preserve">Lineamientos de formulación </w:t>
      </w:r>
      <w:hyperlink r:id="rId74" w:history="1">
        <w:r w:rsidR="00417826" w:rsidRPr="00426F99">
          <w:rPr>
            <w:rStyle w:val="Hipervnculo"/>
            <w:rFonts w:ascii="Arial" w:hAnsi="Arial" w:cs="Arial"/>
          </w:rPr>
          <w:t>http://www.minfin.gob.gt/index.php/formulacion-presupuestaria</w:t>
        </w:r>
      </w:hyperlink>
      <w:r w:rsidR="00417826">
        <w:rPr>
          <w:rFonts w:ascii="Arial" w:hAnsi="Arial" w:cs="Arial"/>
        </w:rPr>
        <w:t xml:space="preserve"> </w:t>
      </w:r>
    </w:p>
    <w:p w:rsidR="00A0692E" w:rsidRPr="002B4857" w:rsidRDefault="00F75F4E" w:rsidP="00EB3C80">
      <w:pPr>
        <w:numPr>
          <w:ilvl w:val="0"/>
          <w:numId w:val="20"/>
        </w:numPr>
        <w:spacing w:after="0"/>
        <w:jc w:val="both"/>
        <w:rPr>
          <w:rFonts w:ascii="Arial" w:hAnsi="Arial" w:cs="Arial"/>
          <w:lang w:val="es-ES"/>
        </w:rPr>
      </w:pPr>
      <w:r w:rsidRPr="002B4857">
        <w:rPr>
          <w:rFonts w:ascii="Arial" w:hAnsi="Arial" w:cs="Arial"/>
        </w:rPr>
        <w:t xml:space="preserve">Presentaciones, videos </w:t>
      </w:r>
      <w:hyperlink r:id="rId75" w:history="1">
        <w:r w:rsidRPr="002B4857">
          <w:rPr>
            <w:rStyle w:val="Hipervnculo"/>
            <w:rFonts w:ascii="Arial" w:hAnsi="Arial" w:cs="Arial"/>
          </w:rPr>
          <w:t>http://presupuestoabierto.gt/</w:t>
        </w:r>
      </w:hyperlink>
      <w:r w:rsidRPr="002B4857">
        <w:rPr>
          <w:rFonts w:ascii="Arial" w:hAnsi="Arial" w:cs="Arial"/>
        </w:rPr>
        <w:t xml:space="preserve"> </w:t>
      </w:r>
    </w:p>
    <w:p w:rsidR="002B4857" w:rsidRPr="002B4857" w:rsidRDefault="00467848" w:rsidP="00522600">
      <w:pPr>
        <w:spacing w:after="0"/>
        <w:ind w:left="708"/>
        <w:jc w:val="both"/>
        <w:rPr>
          <w:rFonts w:ascii="Arial" w:hAnsi="Arial" w:cs="Arial"/>
          <w:lang w:val="es-ES"/>
        </w:rPr>
      </w:pPr>
      <w:hyperlink r:id="rId76" w:history="1">
        <w:r w:rsidR="002B4857" w:rsidRPr="002B4857">
          <w:rPr>
            <w:rStyle w:val="Hipervnculo"/>
            <w:rFonts w:ascii="Arial" w:hAnsi="Arial" w:cs="Arial"/>
          </w:rPr>
          <w:t>http://www.minfin.gob.gt/index.php/?option=com_content&amp;view=article&amp;id=3509&amp;Itemid=430</w:t>
        </w:r>
      </w:hyperlink>
      <w:r w:rsidR="002B4857" w:rsidRPr="002B4857">
        <w:rPr>
          <w:rFonts w:ascii="Arial" w:hAnsi="Arial" w:cs="Arial"/>
        </w:rPr>
        <w:t xml:space="preserve"> </w:t>
      </w:r>
    </w:p>
    <w:p w:rsidR="00184FED" w:rsidRDefault="00184FED" w:rsidP="00EB3C80">
      <w:pPr>
        <w:pStyle w:val="Prrafodelista"/>
        <w:numPr>
          <w:ilvl w:val="0"/>
          <w:numId w:val="20"/>
        </w:numPr>
        <w:spacing w:after="0"/>
        <w:jc w:val="both"/>
        <w:rPr>
          <w:rFonts w:ascii="Arial" w:hAnsi="Arial" w:cs="Arial"/>
          <w:lang w:val="es-ES"/>
        </w:rPr>
      </w:pPr>
      <w:r w:rsidRPr="00184FED">
        <w:rPr>
          <w:rFonts w:ascii="Arial" w:hAnsi="Arial" w:cs="Arial"/>
          <w:lang w:val="es-ES"/>
        </w:rPr>
        <w:t xml:space="preserve">Sitio para realizar propuestas y sugerencias </w:t>
      </w:r>
      <w:r w:rsidRPr="00184FED">
        <w:rPr>
          <w:rStyle w:val="Hipervnculo"/>
          <w:rFonts w:ascii="Arial" w:hAnsi="Arial" w:cs="Arial"/>
        </w:rPr>
        <w:t>#PAbierto201</w:t>
      </w:r>
      <w:r w:rsidR="00071380">
        <w:rPr>
          <w:rStyle w:val="Hipervnculo"/>
          <w:rFonts w:ascii="Arial" w:hAnsi="Arial" w:cs="Arial"/>
        </w:rPr>
        <w:t>9</w:t>
      </w:r>
      <w:r w:rsidRPr="00184FED">
        <w:rPr>
          <w:rFonts w:ascii="Arial" w:hAnsi="Arial" w:cs="Arial"/>
          <w:lang w:val="es-ES"/>
        </w:rPr>
        <w:t xml:space="preserve"> </w:t>
      </w:r>
    </w:p>
    <w:p w:rsidR="00184FED" w:rsidRDefault="00184FED" w:rsidP="00EB3C80">
      <w:pPr>
        <w:pStyle w:val="Prrafodelista"/>
        <w:numPr>
          <w:ilvl w:val="0"/>
          <w:numId w:val="20"/>
        </w:numPr>
        <w:spacing w:after="0"/>
        <w:jc w:val="both"/>
        <w:rPr>
          <w:rFonts w:ascii="Arial" w:hAnsi="Arial" w:cs="Arial"/>
          <w:lang w:val="es-ES"/>
        </w:rPr>
      </w:pPr>
      <w:r>
        <w:rPr>
          <w:rFonts w:ascii="Arial" w:hAnsi="Arial" w:cs="Arial"/>
          <w:lang w:val="es-ES"/>
        </w:rPr>
        <w:t>Asistencia a los talleres realizados en el Palacio Nacional de la Cultura.</w:t>
      </w:r>
    </w:p>
    <w:p w:rsidR="00061472" w:rsidRDefault="00061472" w:rsidP="00061472">
      <w:pPr>
        <w:spacing w:after="0"/>
        <w:jc w:val="center"/>
        <w:rPr>
          <w:rFonts w:ascii="Arial" w:hAnsi="Arial" w:cs="Arial"/>
        </w:rPr>
      </w:pPr>
    </w:p>
    <w:p w:rsidR="00474823" w:rsidRDefault="00474823" w:rsidP="00DA41C8">
      <w:pPr>
        <w:ind w:left="708"/>
        <w:rPr>
          <w:rFonts w:ascii="Arial" w:hAnsi="Arial" w:cs="Arial"/>
        </w:rPr>
      </w:pPr>
      <w:r w:rsidRPr="00883687">
        <w:rPr>
          <w:rFonts w:ascii="Arial" w:hAnsi="Arial" w:cs="Arial"/>
          <w:noProof/>
        </w:rPr>
        <w:drawing>
          <wp:inline distT="0" distB="0" distL="0" distR="0" wp14:anchorId="292C96CB" wp14:editId="2EA1BA72">
            <wp:extent cx="4438650" cy="3400425"/>
            <wp:effectExtent l="0" t="38100" r="0" b="0"/>
            <wp:docPr id="45" name="Diagrama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rsidR="00474823" w:rsidRDefault="00474823" w:rsidP="00474823">
      <w:pPr>
        <w:jc w:val="both"/>
        <w:rPr>
          <w:rFonts w:ascii="Arial" w:hAnsi="Arial" w:cs="Arial"/>
        </w:rPr>
      </w:pPr>
      <w:r w:rsidRPr="00523E66">
        <w:rPr>
          <w:rFonts w:ascii="Arial" w:hAnsi="Arial" w:cs="Arial"/>
        </w:rPr>
        <w:t>Esperamos que con los aspectos presentados en Presupuesto 201</w:t>
      </w:r>
      <w:r w:rsidR="005E2E19">
        <w:rPr>
          <w:rFonts w:ascii="Arial" w:hAnsi="Arial" w:cs="Arial"/>
        </w:rPr>
        <w:t>9</w:t>
      </w:r>
      <w:r w:rsidRPr="00523E66">
        <w:rPr>
          <w:rFonts w:ascii="Arial" w:hAnsi="Arial" w:cs="Arial"/>
        </w:rPr>
        <w:t xml:space="preserve"> para el Ciudadano, hayas conocido  un poco más de su contenido.</w:t>
      </w:r>
      <w:r w:rsidR="00090FD5">
        <w:rPr>
          <w:rFonts w:ascii="Arial" w:hAnsi="Arial" w:cs="Arial"/>
        </w:rPr>
        <w:t xml:space="preserve">  </w:t>
      </w:r>
      <w:r w:rsidR="00492C09">
        <w:rPr>
          <w:rFonts w:ascii="Arial" w:hAnsi="Arial" w:cs="Arial"/>
        </w:rPr>
        <w:t xml:space="preserve">En el siguiente capítulo </w:t>
      </w:r>
      <w:r w:rsidR="00090FD5">
        <w:rPr>
          <w:rFonts w:ascii="Arial" w:hAnsi="Arial" w:cs="Arial"/>
        </w:rPr>
        <w:t xml:space="preserve">puedes conocer otros aspectos teóricos básicos para que aprendas sobre el presupuesto. </w:t>
      </w:r>
    </w:p>
    <w:p w:rsidR="00323164" w:rsidRPr="00523E66" w:rsidRDefault="00403AB9" w:rsidP="00403AB9">
      <w:pPr>
        <w:jc w:val="center"/>
        <w:rPr>
          <w:rFonts w:ascii="Arial" w:hAnsi="Arial" w:cs="Arial"/>
        </w:rPr>
      </w:pPr>
      <w:r w:rsidRPr="00403AB9">
        <w:rPr>
          <w:rFonts w:ascii="Arial" w:hAnsi="Arial" w:cs="Arial"/>
          <w:noProof/>
        </w:rPr>
        <w:drawing>
          <wp:inline distT="0" distB="0" distL="0" distR="0" wp14:anchorId="0D7A72F2" wp14:editId="2D9864FD">
            <wp:extent cx="5400675" cy="112395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2" cstate="print"/>
                    <a:srcRect/>
                    <a:stretch>
                      <a:fillRect/>
                    </a:stretch>
                  </pic:blipFill>
                  <pic:spPr bwMode="auto">
                    <a:xfrm>
                      <a:off x="0" y="0"/>
                      <a:ext cx="5400040" cy="1123818"/>
                    </a:xfrm>
                    <a:prstGeom prst="rect">
                      <a:avLst/>
                    </a:prstGeom>
                    <a:noFill/>
                    <a:ln w="9525">
                      <a:noFill/>
                      <a:miter lim="800000"/>
                      <a:headEnd/>
                      <a:tailEnd/>
                    </a:ln>
                  </pic:spPr>
                </pic:pic>
              </a:graphicData>
            </a:graphic>
          </wp:inline>
        </w:drawing>
      </w:r>
    </w:p>
    <w:p w:rsidR="00D27139" w:rsidRDefault="00D27139" w:rsidP="00D27139">
      <w:pPr>
        <w:pStyle w:val="Prrafodelista"/>
        <w:spacing w:after="0" w:line="240" w:lineRule="auto"/>
        <w:ind w:left="0"/>
        <w:jc w:val="right"/>
        <w:rPr>
          <w:rFonts w:ascii="Arial" w:hAnsi="Arial" w:cs="Arial"/>
        </w:rPr>
      </w:pPr>
    </w:p>
    <w:p w:rsidR="005E2E19" w:rsidRDefault="005E2E19">
      <w:pPr>
        <w:rPr>
          <w:rFonts w:ascii="Arial" w:eastAsia="Calibri" w:hAnsi="Arial" w:cs="Arial"/>
        </w:rPr>
      </w:pPr>
      <w:r>
        <w:rPr>
          <w:rFonts w:ascii="Arial" w:hAnsi="Arial" w:cs="Arial"/>
        </w:rPr>
        <w:br w:type="page"/>
      </w:r>
    </w:p>
    <w:p w:rsidR="006C636D" w:rsidRPr="00014F53" w:rsidRDefault="006C636D" w:rsidP="006C636D">
      <w:pPr>
        <w:jc w:val="center"/>
        <w:rPr>
          <w:rFonts w:ascii="Arial" w:hAnsi="Arial" w:cs="Arial"/>
          <w:b/>
          <w:sz w:val="40"/>
          <w:szCs w:val="40"/>
          <w:lang w:val="es-MX"/>
        </w:rPr>
      </w:pPr>
      <w:r w:rsidRPr="00014F53">
        <w:rPr>
          <w:rFonts w:ascii="Arial" w:hAnsi="Arial" w:cs="Arial"/>
          <w:b/>
          <w:sz w:val="40"/>
          <w:szCs w:val="40"/>
          <w:lang w:val="es-MX"/>
        </w:rPr>
        <w:lastRenderedPageBreak/>
        <w:t>CAPÍTULO I</w:t>
      </w:r>
      <w:r w:rsidR="009C3600" w:rsidRPr="00014F53">
        <w:rPr>
          <w:rFonts w:ascii="Arial" w:hAnsi="Arial" w:cs="Arial"/>
          <w:b/>
          <w:sz w:val="40"/>
          <w:szCs w:val="40"/>
          <w:lang w:val="es-MX"/>
        </w:rPr>
        <w:t>II</w:t>
      </w:r>
    </w:p>
    <w:p w:rsidR="006C636D" w:rsidRPr="00014F53" w:rsidRDefault="00913903" w:rsidP="00913903">
      <w:pPr>
        <w:pStyle w:val="Prrafodelista"/>
        <w:ind w:left="0"/>
        <w:jc w:val="both"/>
        <w:rPr>
          <w:rFonts w:ascii="Arial" w:hAnsi="Arial" w:cs="Arial"/>
          <w:b/>
          <w:sz w:val="24"/>
          <w:szCs w:val="24"/>
          <w:lang w:val="es-MX"/>
        </w:rPr>
      </w:pPr>
      <w:r>
        <w:rPr>
          <w:rFonts w:ascii="Arial" w:hAnsi="Arial" w:cs="Arial"/>
          <w:b/>
          <w:sz w:val="24"/>
          <w:szCs w:val="24"/>
          <w:lang w:val="es-MX"/>
        </w:rPr>
        <w:t xml:space="preserve">III.   </w:t>
      </w:r>
      <w:r w:rsidR="006C636D" w:rsidRPr="00014F53">
        <w:rPr>
          <w:rFonts w:ascii="Arial" w:hAnsi="Arial" w:cs="Arial"/>
          <w:b/>
          <w:sz w:val="24"/>
          <w:szCs w:val="24"/>
          <w:lang w:val="es-MX"/>
        </w:rPr>
        <w:t>ALGUNOS ASPECTOS TEÓRICOS</w:t>
      </w:r>
    </w:p>
    <w:p w:rsidR="006C636D" w:rsidRPr="00883687" w:rsidRDefault="006C636D" w:rsidP="006C636D">
      <w:pPr>
        <w:pStyle w:val="Prrafodelista"/>
        <w:spacing w:line="240" w:lineRule="auto"/>
        <w:ind w:left="0"/>
        <w:jc w:val="both"/>
        <w:rPr>
          <w:rFonts w:ascii="Arial" w:hAnsi="Arial" w:cs="Arial"/>
          <w:lang w:val="es-MX"/>
        </w:rPr>
      </w:pPr>
    </w:p>
    <w:p w:rsidR="006C636D" w:rsidRPr="00883687" w:rsidRDefault="006C636D" w:rsidP="006C636D">
      <w:pPr>
        <w:pStyle w:val="Prrafodelista"/>
        <w:spacing w:line="240" w:lineRule="auto"/>
        <w:ind w:left="0"/>
        <w:jc w:val="both"/>
        <w:rPr>
          <w:rFonts w:ascii="Arial" w:hAnsi="Arial" w:cs="Arial"/>
          <w:lang w:val="es-MX"/>
        </w:rPr>
      </w:pPr>
      <w:r w:rsidRPr="00883687">
        <w:rPr>
          <w:rFonts w:ascii="Arial" w:hAnsi="Arial" w:cs="Arial"/>
          <w:lang w:val="es-MX"/>
        </w:rPr>
        <w:t>El presupuesto de la nación es un instrumento de suma importancia para el país y sus ciudadanos, ya que es el medio por el cual se registran los ingresos del Estado, y se programan las asignaciones o recursos que facilitarán la tarea del gobierno en cuanto a cumplir sus funciones principales.  No obstante, para que las personas conozcan un poco más a fondo sobre el presupuesto y las fases que el mismo conlleva, es necesario mostrar algunos aspectos teóricos que contribuirán a enriquecer el análisis que se realice del mismo.  En tal sentido, el presente capítulo persigue contribuir al conocimiento de las personas en ciertas definiciones y tecnicismos propios del área presupuestaria.</w:t>
      </w:r>
    </w:p>
    <w:p w:rsidR="006C636D" w:rsidRPr="003B47C8" w:rsidRDefault="006C636D" w:rsidP="006C636D">
      <w:pPr>
        <w:pStyle w:val="Prrafodelista"/>
        <w:spacing w:line="240" w:lineRule="auto"/>
        <w:ind w:left="0"/>
        <w:jc w:val="both"/>
        <w:rPr>
          <w:rFonts w:ascii="Arial" w:hAnsi="Arial" w:cs="Arial"/>
          <w:lang w:val="es-MX"/>
        </w:rPr>
      </w:pPr>
    </w:p>
    <w:p w:rsidR="006C636D" w:rsidRPr="003B47C8" w:rsidRDefault="006C636D" w:rsidP="00EB3C80">
      <w:pPr>
        <w:pStyle w:val="Prrafodelista"/>
        <w:numPr>
          <w:ilvl w:val="0"/>
          <w:numId w:val="16"/>
        </w:numPr>
        <w:spacing w:after="0"/>
        <w:ind w:left="284" w:hanging="284"/>
        <w:jc w:val="both"/>
        <w:rPr>
          <w:rFonts w:ascii="Arial" w:hAnsi="Arial" w:cs="Arial"/>
          <w:b/>
          <w:u w:val="single"/>
          <w:lang w:val="es-MX"/>
        </w:rPr>
      </w:pPr>
      <w:r w:rsidRPr="003B47C8">
        <w:rPr>
          <w:rFonts w:ascii="Arial" w:hAnsi="Arial" w:cs="Arial"/>
          <w:b/>
          <w:u w:val="single"/>
          <w:lang w:val="es-MX"/>
        </w:rPr>
        <w:t>Presupuesto Ciudadano:</w:t>
      </w:r>
    </w:p>
    <w:p w:rsidR="006C636D" w:rsidRPr="003B47C8" w:rsidRDefault="006C636D" w:rsidP="006C636D">
      <w:pPr>
        <w:pStyle w:val="Default"/>
        <w:jc w:val="both"/>
        <w:rPr>
          <w:rFonts w:ascii="Arial" w:hAnsi="Arial" w:cs="Arial"/>
          <w:color w:val="auto"/>
          <w:sz w:val="22"/>
          <w:szCs w:val="22"/>
        </w:rPr>
      </w:pPr>
    </w:p>
    <w:p w:rsidR="006C636D" w:rsidRPr="00883687" w:rsidRDefault="006C636D" w:rsidP="006C636D">
      <w:pPr>
        <w:pStyle w:val="Default"/>
        <w:jc w:val="both"/>
        <w:rPr>
          <w:rFonts w:ascii="Arial" w:hAnsi="Arial" w:cs="Arial"/>
          <w:color w:val="auto"/>
          <w:sz w:val="22"/>
          <w:szCs w:val="22"/>
        </w:rPr>
      </w:pPr>
      <w:r w:rsidRPr="00883687">
        <w:rPr>
          <w:rFonts w:ascii="Arial" w:hAnsi="Arial" w:cs="Arial"/>
          <w:color w:val="auto"/>
          <w:sz w:val="22"/>
          <w:szCs w:val="22"/>
        </w:rPr>
        <w:t xml:space="preserve">De acuerdo con la definición elaborada por </w:t>
      </w:r>
      <w:r w:rsidR="00AC1E4C">
        <w:rPr>
          <w:rFonts w:ascii="Arial" w:hAnsi="Arial" w:cs="Arial"/>
          <w:color w:val="auto"/>
          <w:sz w:val="22"/>
          <w:szCs w:val="22"/>
        </w:rPr>
        <w:t>la</w:t>
      </w:r>
      <w:r w:rsidRPr="00883687">
        <w:rPr>
          <w:rFonts w:ascii="Arial" w:hAnsi="Arial" w:cs="Arial"/>
          <w:color w:val="auto"/>
          <w:sz w:val="22"/>
          <w:szCs w:val="22"/>
        </w:rPr>
        <w:t xml:space="preserve"> International Budget </w:t>
      </w:r>
      <w:proofErr w:type="spellStart"/>
      <w:r w:rsidRPr="00883687">
        <w:rPr>
          <w:rFonts w:ascii="Arial" w:hAnsi="Arial" w:cs="Arial"/>
          <w:color w:val="auto"/>
          <w:sz w:val="22"/>
          <w:szCs w:val="22"/>
        </w:rPr>
        <w:t>Partnership</w:t>
      </w:r>
      <w:proofErr w:type="spellEnd"/>
      <w:r w:rsidRPr="00883687">
        <w:rPr>
          <w:rFonts w:ascii="Arial" w:hAnsi="Arial" w:cs="Arial"/>
          <w:color w:val="auto"/>
          <w:sz w:val="22"/>
          <w:szCs w:val="22"/>
        </w:rPr>
        <w:t xml:space="preserve"> (IBP)</w:t>
      </w:r>
      <w:r w:rsidRPr="00883687">
        <w:rPr>
          <w:rStyle w:val="Refdenotaalpie"/>
          <w:rFonts w:ascii="Arial" w:hAnsi="Arial" w:cs="Arial"/>
          <w:color w:val="auto"/>
          <w:sz w:val="22"/>
          <w:szCs w:val="22"/>
        </w:rPr>
        <w:footnoteReference w:id="4"/>
      </w:r>
      <w:r w:rsidRPr="00883687">
        <w:rPr>
          <w:rFonts w:ascii="Arial" w:hAnsi="Arial" w:cs="Arial"/>
          <w:color w:val="auto"/>
          <w:sz w:val="22"/>
          <w:szCs w:val="22"/>
        </w:rPr>
        <w:t xml:space="preserve"> en la Encuesta de Presupuesto Abierto de 2010</w:t>
      </w:r>
      <w:r w:rsidRPr="00883687">
        <w:rPr>
          <w:rStyle w:val="Refdenotaalpie"/>
          <w:rFonts w:ascii="Arial" w:hAnsi="Arial" w:cs="Arial"/>
          <w:color w:val="auto"/>
          <w:sz w:val="22"/>
          <w:szCs w:val="22"/>
        </w:rPr>
        <w:footnoteReference w:id="5"/>
      </w:r>
      <w:r w:rsidRPr="00883687">
        <w:rPr>
          <w:rFonts w:ascii="Arial" w:hAnsi="Arial" w:cs="Arial"/>
          <w:color w:val="auto"/>
          <w:sz w:val="22"/>
          <w:szCs w:val="22"/>
        </w:rPr>
        <w:t>, “El Presupuesto Ciudadano es una presentación no técnica del presupuesto del gobierno cuya intención es posibilitar que el público -incluyendo a quienes no están familiarizados con las finanzas públicas- entienda los planes del gobierno”.</w:t>
      </w:r>
    </w:p>
    <w:p w:rsidR="006C636D" w:rsidRPr="00883687" w:rsidRDefault="006C636D" w:rsidP="006C636D">
      <w:pPr>
        <w:pStyle w:val="Default"/>
        <w:ind w:hanging="1"/>
        <w:jc w:val="both"/>
        <w:rPr>
          <w:rFonts w:ascii="Arial" w:hAnsi="Arial" w:cs="Arial"/>
          <w:color w:val="auto"/>
          <w:sz w:val="22"/>
          <w:szCs w:val="22"/>
        </w:rPr>
      </w:pPr>
    </w:p>
    <w:p w:rsidR="006C636D" w:rsidRPr="00883687" w:rsidRDefault="006C636D" w:rsidP="006C636D">
      <w:pPr>
        <w:pStyle w:val="Default"/>
        <w:ind w:hanging="1"/>
        <w:jc w:val="both"/>
        <w:rPr>
          <w:rFonts w:ascii="Arial" w:hAnsi="Arial" w:cs="Arial"/>
          <w:color w:val="auto"/>
          <w:sz w:val="22"/>
          <w:szCs w:val="22"/>
        </w:rPr>
      </w:pPr>
      <w:r w:rsidRPr="00883687">
        <w:rPr>
          <w:rFonts w:ascii="Arial" w:hAnsi="Arial" w:cs="Arial"/>
          <w:color w:val="auto"/>
          <w:sz w:val="22"/>
          <w:szCs w:val="22"/>
        </w:rPr>
        <w:t>En tal sentido, para fines de transparencia fiscal, el Presupuesto Ciudadano es una versión simplificada del Presupuesto General de Ingresos y Egresos del Estado.  En esta versión se incluye información global del presupuesto a nivel de ingresos, egresos, fuentes de financiamiento, y otras que se estima</w:t>
      </w:r>
      <w:r>
        <w:rPr>
          <w:rFonts w:ascii="Arial" w:hAnsi="Arial" w:cs="Arial"/>
          <w:color w:val="auto"/>
          <w:sz w:val="22"/>
          <w:szCs w:val="22"/>
        </w:rPr>
        <w:t>n</w:t>
      </w:r>
      <w:r w:rsidRPr="00883687">
        <w:rPr>
          <w:rFonts w:ascii="Arial" w:hAnsi="Arial" w:cs="Arial"/>
          <w:color w:val="auto"/>
          <w:sz w:val="22"/>
          <w:szCs w:val="22"/>
        </w:rPr>
        <w:t xml:space="preserve"> relevante</w:t>
      </w:r>
      <w:r>
        <w:rPr>
          <w:rFonts w:ascii="Arial" w:hAnsi="Arial" w:cs="Arial"/>
          <w:color w:val="auto"/>
          <w:sz w:val="22"/>
          <w:szCs w:val="22"/>
        </w:rPr>
        <w:t>s</w:t>
      </w:r>
      <w:r w:rsidRPr="00883687">
        <w:rPr>
          <w:rFonts w:ascii="Arial" w:hAnsi="Arial" w:cs="Arial"/>
          <w:color w:val="auto"/>
          <w:sz w:val="22"/>
          <w:szCs w:val="22"/>
        </w:rPr>
        <w:t>, para mostrar al lector en forma práctica y sencilla, cómo y en qué se utilizan los recursos públicos para satisfacer las necesidades públicas y colectivas de la población.</w:t>
      </w:r>
    </w:p>
    <w:p w:rsidR="006C636D" w:rsidRPr="00883687" w:rsidRDefault="006C636D" w:rsidP="006C636D">
      <w:pPr>
        <w:pStyle w:val="Default"/>
        <w:jc w:val="both"/>
        <w:rPr>
          <w:rFonts w:ascii="Arial" w:hAnsi="Arial" w:cs="Arial"/>
          <w:color w:val="auto"/>
          <w:sz w:val="22"/>
          <w:szCs w:val="22"/>
        </w:rPr>
      </w:pPr>
    </w:p>
    <w:p w:rsidR="006C636D" w:rsidRPr="003B47C8" w:rsidRDefault="006C636D" w:rsidP="006C636D">
      <w:pPr>
        <w:spacing w:after="0"/>
        <w:rPr>
          <w:rFonts w:ascii="Arial" w:hAnsi="Arial" w:cs="Arial"/>
          <w:lang w:val="es-MX"/>
        </w:rPr>
      </w:pPr>
    </w:p>
    <w:p w:rsidR="006C636D" w:rsidRPr="003B47C8" w:rsidRDefault="006C636D" w:rsidP="006C636D">
      <w:pPr>
        <w:spacing w:after="0"/>
        <w:jc w:val="both"/>
        <w:rPr>
          <w:rFonts w:ascii="Arial" w:hAnsi="Arial" w:cs="Arial"/>
          <w:b/>
          <w:u w:val="single"/>
          <w:lang w:val="es-MX"/>
        </w:rPr>
      </w:pPr>
      <w:r w:rsidRPr="003B47C8">
        <w:rPr>
          <w:rFonts w:ascii="Arial" w:hAnsi="Arial" w:cs="Arial"/>
          <w:b/>
        </w:rPr>
        <w:t>2.</w:t>
      </w:r>
      <w:r w:rsidRPr="003B47C8">
        <w:rPr>
          <w:rFonts w:ascii="Arial" w:hAnsi="Arial" w:cs="Arial"/>
          <w:b/>
          <w:lang w:val="es-MX"/>
        </w:rPr>
        <w:t xml:space="preserve"> </w:t>
      </w:r>
      <w:r w:rsidRPr="003B47C8">
        <w:rPr>
          <w:rFonts w:ascii="Arial" w:hAnsi="Arial" w:cs="Arial"/>
          <w:b/>
          <w:u w:val="single"/>
          <w:lang w:val="es-MX"/>
        </w:rPr>
        <w:t>Presupuesto General de Ingresos y Egresos del Estado</w:t>
      </w:r>
    </w:p>
    <w:p w:rsidR="006C636D" w:rsidRPr="003B47C8" w:rsidRDefault="006C636D" w:rsidP="006C636D">
      <w:pPr>
        <w:spacing w:after="0"/>
        <w:ind w:hanging="283"/>
        <w:jc w:val="both"/>
        <w:rPr>
          <w:rFonts w:ascii="Arial" w:hAnsi="Arial" w:cs="Arial"/>
        </w:rPr>
      </w:pPr>
    </w:p>
    <w:p w:rsidR="006C636D" w:rsidRPr="00883687" w:rsidRDefault="006C636D" w:rsidP="006C636D">
      <w:pPr>
        <w:spacing w:line="240" w:lineRule="auto"/>
        <w:ind w:hanging="1"/>
        <w:jc w:val="both"/>
        <w:rPr>
          <w:rFonts w:ascii="Arial" w:hAnsi="Arial" w:cs="Arial"/>
        </w:rPr>
      </w:pPr>
      <w:r w:rsidRPr="00883687">
        <w:rPr>
          <w:rFonts w:ascii="Arial" w:hAnsi="Arial" w:cs="Arial"/>
        </w:rPr>
        <w:t xml:space="preserve">Es el documento </w:t>
      </w:r>
      <w:r>
        <w:rPr>
          <w:rFonts w:ascii="Arial" w:hAnsi="Arial" w:cs="Arial"/>
        </w:rPr>
        <w:t xml:space="preserve">o instrumento técnico </w:t>
      </w:r>
      <w:r w:rsidRPr="00883687">
        <w:rPr>
          <w:rFonts w:ascii="Arial" w:hAnsi="Arial" w:cs="Arial"/>
        </w:rPr>
        <w:t>en el que figuran las estimaciones de ingresos que obtendrá el gobierno, para satisfacer las necesidades públicas o colectivas de la población. Para ello asigna a las instituciones del Estado, límites de gasto con los cuales ejecutarán los programas y proyectos prioritarios que puedan realizarse de acuerdo a la cantidad de ingresos que se obtengan en el período de un año.</w:t>
      </w:r>
    </w:p>
    <w:p w:rsidR="006C636D" w:rsidRPr="00883687" w:rsidRDefault="006C636D" w:rsidP="006C636D">
      <w:pPr>
        <w:spacing w:after="0" w:line="240" w:lineRule="auto"/>
        <w:ind w:hanging="283"/>
        <w:jc w:val="both"/>
        <w:rPr>
          <w:rFonts w:ascii="Arial" w:hAnsi="Arial" w:cs="Arial"/>
        </w:rPr>
      </w:pPr>
    </w:p>
    <w:p w:rsidR="006C636D" w:rsidRPr="00883687" w:rsidRDefault="006C636D" w:rsidP="006C636D">
      <w:pPr>
        <w:spacing w:after="0" w:line="240" w:lineRule="auto"/>
        <w:ind w:hanging="1"/>
        <w:jc w:val="both"/>
        <w:rPr>
          <w:rFonts w:ascii="Arial" w:hAnsi="Arial" w:cs="Arial"/>
        </w:rPr>
      </w:pPr>
      <w:r w:rsidRPr="00883687">
        <w:rPr>
          <w:rFonts w:ascii="Arial" w:hAnsi="Arial" w:cs="Arial"/>
        </w:rPr>
        <w:lastRenderedPageBreak/>
        <w:t>La Constitución Política de la República de Guatemala establece lo que debe contener el Presupuesto, y para ello en su artículo 237, indica que:</w:t>
      </w:r>
    </w:p>
    <w:p w:rsidR="006C636D" w:rsidRDefault="006C636D" w:rsidP="006C636D">
      <w:pPr>
        <w:spacing w:after="0" w:line="240" w:lineRule="auto"/>
        <w:ind w:hanging="283"/>
        <w:jc w:val="both"/>
        <w:rPr>
          <w:rFonts w:ascii="Arial" w:hAnsi="Arial" w:cs="Arial"/>
        </w:rPr>
      </w:pPr>
    </w:p>
    <w:tbl>
      <w:tblPr>
        <w:tblStyle w:val="Tablaconcuadrcula"/>
        <w:tblW w:w="0" w:type="auto"/>
        <w:tblLook w:val="04A0" w:firstRow="1" w:lastRow="0" w:firstColumn="1" w:lastColumn="0" w:noHBand="0" w:noVBand="1"/>
      </w:tblPr>
      <w:tblGrid>
        <w:gridCol w:w="5353"/>
        <w:gridCol w:w="3625"/>
      </w:tblGrid>
      <w:tr w:rsidR="006C636D" w:rsidTr="00FC23DC">
        <w:tc>
          <w:tcPr>
            <w:tcW w:w="5353" w:type="dxa"/>
            <w:tcBorders>
              <w:top w:val="nil"/>
              <w:left w:val="nil"/>
              <w:bottom w:val="nil"/>
              <w:right w:val="nil"/>
            </w:tcBorders>
          </w:tcPr>
          <w:p w:rsidR="006C636D" w:rsidRDefault="006C636D" w:rsidP="00FC23DC">
            <w:pPr>
              <w:ind w:hanging="1"/>
              <w:jc w:val="both"/>
              <w:rPr>
                <w:rFonts w:ascii="Arial" w:hAnsi="Arial" w:cs="Arial"/>
                <w:lang w:val="es-MX"/>
              </w:rPr>
            </w:pPr>
          </w:p>
          <w:p w:rsidR="006C636D" w:rsidRPr="0080653C" w:rsidRDefault="006C636D" w:rsidP="00FC23DC">
            <w:pPr>
              <w:ind w:hanging="1"/>
              <w:jc w:val="both"/>
              <w:rPr>
                <w:rFonts w:ascii="Arial" w:hAnsi="Arial" w:cs="Arial"/>
              </w:rPr>
            </w:pPr>
            <w:r w:rsidRPr="0080653C">
              <w:rPr>
                <w:rFonts w:ascii="Arial" w:hAnsi="Arial" w:cs="Arial"/>
                <w:lang w:val="es-MX"/>
              </w:rPr>
              <w:t>“</w:t>
            </w:r>
            <w:r w:rsidRPr="0080653C">
              <w:rPr>
                <w:rFonts w:ascii="Arial" w:hAnsi="Arial" w:cs="Arial"/>
                <w:bCs/>
                <w:iCs/>
                <w:lang w:val="es-MX"/>
              </w:rPr>
              <w:t xml:space="preserve">El Presupuesto General de Ingresos y Egresos del Estado, aprobado para cada ejercicio fiscal, de conformidad con lo establecido en esta Constitución,  incluirá la estimación de todos los </w:t>
            </w:r>
            <w:r w:rsidRPr="0080653C">
              <w:rPr>
                <w:rFonts w:ascii="Arial" w:hAnsi="Arial" w:cs="Arial"/>
                <w:bCs/>
                <w:iCs/>
                <w:u w:val="single"/>
                <w:lang w:val="es-MX"/>
              </w:rPr>
              <w:t>ingresos</w:t>
            </w:r>
            <w:r w:rsidRPr="0080653C">
              <w:rPr>
                <w:rFonts w:ascii="Arial" w:hAnsi="Arial" w:cs="Arial"/>
                <w:bCs/>
                <w:iCs/>
                <w:lang w:val="es-MX"/>
              </w:rPr>
              <w:t xml:space="preserve"> a obtener y el detalle de los </w:t>
            </w:r>
            <w:r w:rsidRPr="0080653C">
              <w:rPr>
                <w:rFonts w:ascii="Arial" w:hAnsi="Arial" w:cs="Arial"/>
                <w:bCs/>
                <w:iCs/>
                <w:u w:val="single"/>
                <w:lang w:val="es-MX"/>
              </w:rPr>
              <w:t>gastos e</w:t>
            </w:r>
            <w:r w:rsidRPr="0080653C">
              <w:rPr>
                <w:rFonts w:ascii="Arial" w:hAnsi="Arial" w:cs="Arial"/>
                <w:bCs/>
                <w:iCs/>
                <w:lang w:val="es-MX"/>
              </w:rPr>
              <w:t xml:space="preserve"> </w:t>
            </w:r>
            <w:r w:rsidRPr="0080653C">
              <w:rPr>
                <w:rFonts w:ascii="Arial" w:hAnsi="Arial" w:cs="Arial"/>
                <w:bCs/>
                <w:iCs/>
                <w:u w:val="single"/>
                <w:lang w:val="es-MX"/>
              </w:rPr>
              <w:t>inversiones</w:t>
            </w:r>
            <w:r w:rsidRPr="0080653C">
              <w:rPr>
                <w:rFonts w:ascii="Arial" w:hAnsi="Arial" w:cs="Arial"/>
                <w:bCs/>
                <w:iCs/>
                <w:lang w:val="es-MX"/>
              </w:rPr>
              <w:t xml:space="preserve"> por realizar”.</w:t>
            </w:r>
          </w:p>
          <w:p w:rsidR="006C636D" w:rsidRDefault="006C636D" w:rsidP="00FC23DC">
            <w:pPr>
              <w:jc w:val="both"/>
              <w:rPr>
                <w:rFonts w:ascii="Arial" w:hAnsi="Arial" w:cs="Arial"/>
              </w:rPr>
            </w:pPr>
            <w:r w:rsidRPr="0080653C">
              <w:rPr>
                <w:rFonts w:ascii="Arial" w:hAnsi="Arial" w:cs="Arial"/>
                <w:bCs/>
                <w:iCs/>
                <w:lang w:val="es-MX"/>
              </w:rPr>
              <w:t>“La unidad del presupuesto es obligatoria y su estructura programática”… (Énfasis propio).</w:t>
            </w:r>
          </w:p>
        </w:tc>
        <w:tc>
          <w:tcPr>
            <w:tcW w:w="3625" w:type="dxa"/>
            <w:tcBorders>
              <w:top w:val="nil"/>
              <w:left w:val="nil"/>
              <w:bottom w:val="nil"/>
              <w:right w:val="nil"/>
            </w:tcBorders>
          </w:tcPr>
          <w:p w:rsidR="006C636D" w:rsidRPr="0080653C" w:rsidRDefault="006C636D" w:rsidP="00FC23DC">
            <w:pPr>
              <w:ind w:hanging="1"/>
              <w:jc w:val="center"/>
              <w:rPr>
                <w:rFonts w:ascii="Arial" w:hAnsi="Arial" w:cs="Arial"/>
              </w:rPr>
            </w:pPr>
            <w:r w:rsidRPr="00A5792A">
              <w:rPr>
                <w:rFonts w:ascii="Arial" w:hAnsi="Arial" w:cs="Arial"/>
                <w:noProof/>
              </w:rPr>
              <w:drawing>
                <wp:inline distT="0" distB="0" distL="0" distR="0" wp14:anchorId="3D5459CD" wp14:editId="6805E583">
                  <wp:extent cx="1724025" cy="1285875"/>
                  <wp:effectExtent l="152400" t="133350" r="142875" b="104775"/>
                  <wp:docPr id="33" name="Imagen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 cstate="print"/>
                          <a:srcRect/>
                          <a:stretch>
                            <a:fillRect/>
                          </a:stretch>
                        </pic:blipFill>
                        <pic:spPr bwMode="auto">
                          <a:xfrm>
                            <a:off x="0" y="0"/>
                            <a:ext cx="1723824" cy="12857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6C636D" w:rsidRPr="00883687" w:rsidRDefault="006C636D" w:rsidP="006C636D">
      <w:pPr>
        <w:spacing w:after="0" w:line="240" w:lineRule="auto"/>
        <w:ind w:hanging="283"/>
        <w:jc w:val="both"/>
        <w:rPr>
          <w:rFonts w:ascii="Arial" w:hAnsi="Arial" w:cs="Arial"/>
        </w:rPr>
      </w:pPr>
    </w:p>
    <w:p w:rsidR="006C636D" w:rsidRPr="00883687" w:rsidRDefault="006C636D" w:rsidP="006C636D">
      <w:pPr>
        <w:spacing w:after="0" w:line="240" w:lineRule="auto"/>
        <w:jc w:val="both"/>
        <w:rPr>
          <w:rFonts w:ascii="Arial" w:hAnsi="Arial" w:cs="Arial"/>
          <w:lang w:val="es-MX"/>
        </w:rPr>
      </w:pPr>
      <w:r w:rsidRPr="00883687">
        <w:rPr>
          <w:rFonts w:ascii="Arial" w:hAnsi="Arial" w:cs="Arial"/>
          <w:lang w:val="es-MX"/>
        </w:rPr>
        <w:t>El Presupuesto General de Ingresos y Egresos del Estado, además de traducir en términos financieros, los objetivos y metas planificadas para un ejercicio fiscal (1 de enero al 31 de diciembre),  bajo el enfoque de resultados, indica:</w:t>
      </w:r>
    </w:p>
    <w:p w:rsidR="006C636D" w:rsidRPr="00883687" w:rsidRDefault="006C636D" w:rsidP="006C636D">
      <w:pPr>
        <w:spacing w:after="0" w:line="240" w:lineRule="auto"/>
        <w:jc w:val="both"/>
        <w:rPr>
          <w:rFonts w:ascii="Arial" w:hAnsi="Arial" w:cs="Arial"/>
          <w:lang w:val="es-MX"/>
        </w:rPr>
      </w:pPr>
    </w:p>
    <w:p w:rsidR="006C636D" w:rsidRPr="00883687" w:rsidRDefault="006C636D" w:rsidP="006C636D">
      <w:pPr>
        <w:spacing w:after="0" w:line="240" w:lineRule="auto"/>
        <w:jc w:val="center"/>
        <w:rPr>
          <w:rFonts w:ascii="Arial" w:hAnsi="Arial" w:cs="Arial"/>
          <w:lang w:val="es-MX"/>
        </w:rPr>
      </w:pPr>
      <w:r w:rsidRPr="00883687">
        <w:rPr>
          <w:rFonts w:ascii="Arial" w:hAnsi="Arial" w:cs="Arial"/>
          <w:noProof/>
        </w:rPr>
        <w:drawing>
          <wp:inline distT="0" distB="0" distL="0" distR="0" wp14:anchorId="4542BCD7" wp14:editId="2C534D50">
            <wp:extent cx="5448300" cy="5286375"/>
            <wp:effectExtent l="0" t="57150" r="0" b="47625"/>
            <wp:docPr id="34" name="Diagrama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rsidR="006C636D" w:rsidRDefault="006C636D" w:rsidP="006C636D">
      <w:pPr>
        <w:spacing w:after="0" w:line="240" w:lineRule="auto"/>
        <w:jc w:val="both"/>
        <w:rPr>
          <w:rFonts w:ascii="Arial" w:hAnsi="Arial" w:cs="Arial"/>
          <w:lang w:val="es-MX"/>
        </w:rPr>
      </w:pPr>
      <w:r w:rsidRPr="00883687">
        <w:rPr>
          <w:rFonts w:ascii="Arial" w:hAnsi="Arial" w:cs="Arial"/>
          <w:lang w:val="es-MX"/>
        </w:rPr>
        <w:br w:type="page"/>
      </w:r>
      <w:r w:rsidRPr="00883687">
        <w:rPr>
          <w:rFonts w:ascii="Arial" w:hAnsi="Arial" w:cs="Arial"/>
          <w:lang w:val="es-MX"/>
        </w:rPr>
        <w:lastRenderedPageBreak/>
        <w:t>A la metodología del presupuesto por programas que deriva del precepto constitucional mencionado, se ha añadido como un avance en la transparencia fiscal y en la rendición de cuentas, el establecimiento de los resultados que se alcanzarán con el presupuesto en beneficio de los ciudadanos, por lo que actualmente el presupuesto también busca dar respuesta a:</w:t>
      </w:r>
    </w:p>
    <w:p w:rsidR="006C636D" w:rsidRPr="00883687" w:rsidRDefault="006C636D" w:rsidP="006C636D">
      <w:pPr>
        <w:spacing w:after="0" w:line="240" w:lineRule="auto"/>
        <w:jc w:val="both"/>
        <w:rPr>
          <w:rFonts w:ascii="Arial" w:hAnsi="Arial" w:cs="Arial"/>
          <w:lang w:val="es-MX"/>
        </w:rPr>
      </w:pPr>
    </w:p>
    <w:p w:rsidR="006C636D" w:rsidRDefault="006C636D" w:rsidP="006C636D">
      <w:pPr>
        <w:spacing w:after="0" w:line="240" w:lineRule="auto"/>
        <w:jc w:val="right"/>
        <w:rPr>
          <w:rFonts w:ascii="Arial" w:hAnsi="Arial" w:cs="Arial"/>
          <w:lang w:val="es-MX"/>
        </w:rPr>
      </w:pPr>
      <w:r w:rsidRPr="00883687">
        <w:rPr>
          <w:rFonts w:ascii="Arial" w:hAnsi="Arial" w:cs="Arial"/>
          <w:noProof/>
        </w:rPr>
        <w:drawing>
          <wp:inline distT="0" distB="0" distL="0" distR="0" wp14:anchorId="12C9BB4D" wp14:editId="60232627">
            <wp:extent cx="5438775" cy="1133475"/>
            <wp:effectExtent l="76200" t="57150" r="47625" b="123825"/>
            <wp:docPr id="35" name="Diagrama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rsidR="006C636D" w:rsidRDefault="006C636D" w:rsidP="006C636D">
      <w:pPr>
        <w:spacing w:after="0" w:line="240" w:lineRule="auto"/>
        <w:jc w:val="right"/>
        <w:rPr>
          <w:rFonts w:ascii="Arial" w:hAnsi="Arial" w:cs="Arial"/>
          <w:lang w:val="es-MX"/>
        </w:rPr>
      </w:pPr>
    </w:p>
    <w:p w:rsidR="006C636D" w:rsidRPr="00883687" w:rsidRDefault="006C636D" w:rsidP="006C636D">
      <w:pPr>
        <w:spacing w:after="0" w:line="240" w:lineRule="auto"/>
        <w:jc w:val="right"/>
        <w:rPr>
          <w:rFonts w:ascii="Arial" w:hAnsi="Arial" w:cs="Arial"/>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53"/>
        <w:gridCol w:w="3701"/>
      </w:tblGrid>
      <w:tr w:rsidR="006C636D" w:rsidTr="00FC23DC">
        <w:tc>
          <w:tcPr>
            <w:tcW w:w="5353" w:type="dxa"/>
          </w:tcPr>
          <w:p w:rsidR="006C636D" w:rsidRDefault="006C636D" w:rsidP="00FC23DC">
            <w:pPr>
              <w:jc w:val="both"/>
              <w:rPr>
                <w:rFonts w:ascii="Arial" w:hAnsi="Arial" w:cs="Arial"/>
                <w:lang w:val="es-MX"/>
              </w:rPr>
            </w:pPr>
          </w:p>
          <w:p w:rsidR="006C636D" w:rsidRPr="00FD3DAE" w:rsidRDefault="006C636D" w:rsidP="00FC23DC">
            <w:pPr>
              <w:jc w:val="both"/>
              <w:rPr>
                <w:rFonts w:ascii="Arial" w:hAnsi="Arial" w:cs="Arial"/>
              </w:rPr>
            </w:pPr>
            <w:r w:rsidRPr="00FD3DAE">
              <w:rPr>
                <w:rFonts w:ascii="Arial" w:hAnsi="Arial" w:cs="Arial"/>
                <w:lang w:val="es-MX"/>
              </w:rPr>
              <w:t xml:space="preserve">El conocimiento que tengan las personas sobre el presupuesto de la nación, permite comprender y analizar el cumplimiento de las acciones, prioridades y compromisos del gobierno, así como conocer la cantidad de  recursos que se utilizan para ello. Las personas pueden consultar la información relacionada al presupuesto ejerciendo su derecho a la información pública, basado en lo que para el efecto establece la Constitución Política de la República de Guatemala y el Decreto No. 57-2008 del Congreso de la República, </w:t>
            </w:r>
            <w:r w:rsidRPr="00FD3DAE">
              <w:rPr>
                <w:rFonts w:ascii="Arial" w:hAnsi="Arial" w:cs="Arial"/>
              </w:rPr>
              <w:t>Ley de Acceso a la Información Pública.</w:t>
            </w:r>
          </w:p>
          <w:p w:rsidR="006C636D" w:rsidRPr="006E2077" w:rsidRDefault="006C636D" w:rsidP="00FC23DC">
            <w:pPr>
              <w:jc w:val="both"/>
            </w:pPr>
          </w:p>
        </w:tc>
        <w:tc>
          <w:tcPr>
            <w:tcW w:w="3701" w:type="dxa"/>
            <w:vAlign w:val="center"/>
          </w:tcPr>
          <w:p w:rsidR="006C636D" w:rsidRDefault="00025F11" w:rsidP="00025F11">
            <w:pPr>
              <w:jc w:val="both"/>
              <w:rPr>
                <w:lang w:val="es-MX"/>
              </w:rPr>
            </w:pPr>
            <w:r w:rsidRPr="00025F11">
              <w:rPr>
                <w:noProof/>
              </w:rPr>
              <w:drawing>
                <wp:inline distT="0" distB="0" distL="0" distR="0" wp14:anchorId="3F7B9450" wp14:editId="02F59B5B">
                  <wp:extent cx="2192655" cy="1843842"/>
                  <wp:effectExtent l="19050" t="0" r="0" b="0"/>
                  <wp:docPr id="1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cstate="print"/>
                          <a:srcRect/>
                          <a:stretch>
                            <a:fillRect/>
                          </a:stretch>
                        </pic:blipFill>
                        <pic:spPr bwMode="auto">
                          <a:xfrm>
                            <a:off x="0" y="0"/>
                            <a:ext cx="2194894" cy="1845725"/>
                          </a:xfrm>
                          <a:prstGeom prst="rect">
                            <a:avLst/>
                          </a:prstGeom>
                          <a:noFill/>
                          <a:ln w="9525">
                            <a:noFill/>
                            <a:miter lim="800000"/>
                            <a:headEnd/>
                            <a:tailEnd/>
                          </a:ln>
                        </pic:spPr>
                      </pic:pic>
                    </a:graphicData>
                  </a:graphic>
                </wp:inline>
              </w:drawing>
            </w:r>
          </w:p>
        </w:tc>
      </w:tr>
    </w:tbl>
    <w:p w:rsidR="006C636D" w:rsidRDefault="006C636D" w:rsidP="006C636D">
      <w:pPr>
        <w:spacing w:after="0" w:line="240" w:lineRule="auto"/>
        <w:jc w:val="both"/>
        <w:rPr>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4"/>
      </w:tblGrid>
      <w:tr w:rsidR="006C636D" w:rsidTr="00FC23DC">
        <w:tc>
          <w:tcPr>
            <w:tcW w:w="8978" w:type="dxa"/>
          </w:tcPr>
          <w:p w:rsidR="006C636D" w:rsidRDefault="006C636D" w:rsidP="00FC23DC">
            <w:pPr>
              <w:jc w:val="both"/>
              <w:rPr>
                <w:lang w:val="es-MX"/>
              </w:rPr>
            </w:pPr>
            <w:r w:rsidRPr="00445D60">
              <w:rPr>
                <w:noProof/>
              </w:rPr>
              <w:drawing>
                <wp:inline distT="0" distB="0" distL="0" distR="0" wp14:anchorId="2355A0D1" wp14:editId="27073298">
                  <wp:extent cx="5612130" cy="2136078"/>
                  <wp:effectExtent l="0" t="0" r="7620" b="0"/>
                  <wp:docPr id="3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cstate="print"/>
                          <a:srcRect/>
                          <a:stretch>
                            <a:fillRect/>
                          </a:stretch>
                        </pic:blipFill>
                        <pic:spPr bwMode="auto">
                          <a:xfrm>
                            <a:off x="0" y="0"/>
                            <a:ext cx="5612130" cy="2136078"/>
                          </a:xfrm>
                          <a:prstGeom prst="rect">
                            <a:avLst/>
                          </a:prstGeom>
                          <a:noFill/>
                          <a:ln w="9525">
                            <a:noFill/>
                            <a:miter lim="800000"/>
                            <a:headEnd/>
                            <a:tailEnd/>
                          </a:ln>
                        </pic:spPr>
                      </pic:pic>
                    </a:graphicData>
                  </a:graphic>
                </wp:inline>
              </w:drawing>
            </w:r>
          </w:p>
        </w:tc>
      </w:tr>
      <w:tr w:rsidR="006C636D" w:rsidTr="00FC23DC">
        <w:tc>
          <w:tcPr>
            <w:tcW w:w="8978" w:type="dxa"/>
          </w:tcPr>
          <w:p w:rsidR="006C636D" w:rsidRPr="00445D60" w:rsidRDefault="006C636D" w:rsidP="00FC23DC">
            <w:pPr>
              <w:jc w:val="center"/>
              <w:rPr>
                <w:b/>
                <w:lang w:val="es-MX"/>
              </w:rPr>
            </w:pPr>
            <w:r w:rsidRPr="00445D60">
              <w:rPr>
                <w:b/>
                <w:lang w:val="es-MX"/>
              </w:rPr>
              <w:t xml:space="preserve">Desarrollo: Aumentar capital social </w:t>
            </w:r>
            <w:r w:rsidRPr="00445D60">
              <w:rPr>
                <w:b/>
                <w:color w:val="FF0000"/>
                <w:sz w:val="32"/>
                <w:lang w:val="es-MX"/>
              </w:rPr>
              <w:t>+</w:t>
            </w:r>
            <w:r w:rsidRPr="00445D60">
              <w:rPr>
                <w:b/>
                <w:lang w:val="es-MX"/>
              </w:rPr>
              <w:t xml:space="preserve"> Mejorar recursos</w:t>
            </w:r>
            <w:r w:rsidRPr="00445D60">
              <w:rPr>
                <w:b/>
                <w:color w:val="FF0000"/>
                <w:sz w:val="32"/>
                <w:lang w:val="es-MX"/>
              </w:rPr>
              <w:t xml:space="preserve"> +</w:t>
            </w:r>
            <w:r w:rsidRPr="00445D60">
              <w:rPr>
                <w:b/>
                <w:lang w:val="es-MX"/>
              </w:rPr>
              <w:t xml:space="preserve"> aumentar capital productivo</w:t>
            </w:r>
          </w:p>
        </w:tc>
      </w:tr>
    </w:tbl>
    <w:p w:rsidR="006C636D" w:rsidRDefault="006C636D" w:rsidP="006C636D">
      <w:pPr>
        <w:spacing w:after="0" w:line="240" w:lineRule="auto"/>
        <w:jc w:val="both"/>
        <w:rPr>
          <w:lang w:val="es-MX"/>
        </w:rPr>
      </w:pPr>
    </w:p>
    <w:p w:rsidR="006C636D" w:rsidRPr="00883687" w:rsidRDefault="006C636D" w:rsidP="006C636D">
      <w:pPr>
        <w:spacing w:after="0" w:line="240" w:lineRule="auto"/>
        <w:ind w:left="709"/>
        <w:jc w:val="right"/>
        <w:rPr>
          <w:rFonts w:ascii="Arial" w:hAnsi="Arial" w:cs="Arial"/>
          <w:lang w:val="es-MX"/>
        </w:rPr>
      </w:pPr>
    </w:p>
    <w:p w:rsidR="006C636D" w:rsidRPr="00883687" w:rsidRDefault="006C636D" w:rsidP="006C636D">
      <w:pPr>
        <w:spacing w:after="0" w:line="240" w:lineRule="auto"/>
        <w:rPr>
          <w:rFonts w:ascii="Arial" w:hAnsi="Arial" w:cs="Arial"/>
        </w:rPr>
      </w:pPr>
      <w:r w:rsidRPr="00883687">
        <w:rPr>
          <w:rFonts w:ascii="Arial" w:hAnsi="Arial" w:cs="Arial"/>
        </w:rPr>
        <w:br w:type="page"/>
      </w:r>
    </w:p>
    <w:p w:rsidR="006C636D" w:rsidRPr="00A31961" w:rsidRDefault="006C636D" w:rsidP="006C636D">
      <w:pPr>
        <w:spacing w:after="0" w:line="240" w:lineRule="auto"/>
        <w:jc w:val="both"/>
        <w:rPr>
          <w:rFonts w:ascii="Arial" w:hAnsi="Arial" w:cs="Arial"/>
          <w:u w:val="single"/>
        </w:rPr>
      </w:pPr>
    </w:p>
    <w:p w:rsidR="006C636D" w:rsidRPr="00A31961" w:rsidRDefault="006C636D" w:rsidP="00EB3C80">
      <w:pPr>
        <w:pStyle w:val="Prrafodelista"/>
        <w:numPr>
          <w:ilvl w:val="0"/>
          <w:numId w:val="17"/>
        </w:numPr>
        <w:spacing w:after="0" w:line="240" w:lineRule="auto"/>
        <w:ind w:left="284" w:hanging="284"/>
        <w:jc w:val="both"/>
        <w:rPr>
          <w:rFonts w:ascii="Arial" w:hAnsi="Arial" w:cs="Arial"/>
          <w:b/>
          <w:u w:val="single"/>
        </w:rPr>
      </w:pPr>
      <w:r w:rsidRPr="00A31961">
        <w:rPr>
          <w:rFonts w:ascii="Arial" w:eastAsiaTheme="minorHAnsi" w:hAnsi="Arial" w:cs="Arial"/>
          <w:b/>
          <w:u w:val="single"/>
        </w:rPr>
        <w:t>Pr</w:t>
      </w:r>
      <w:r w:rsidRPr="00A31961">
        <w:rPr>
          <w:rFonts w:ascii="Arial" w:hAnsi="Arial" w:cs="Arial"/>
          <w:b/>
          <w:u w:val="single"/>
        </w:rPr>
        <w:t>esupuesto por Resultados</w:t>
      </w:r>
    </w:p>
    <w:p w:rsidR="006C636D" w:rsidRPr="00A31961" w:rsidRDefault="006C636D" w:rsidP="006C636D">
      <w:pPr>
        <w:spacing w:after="0" w:line="240" w:lineRule="auto"/>
        <w:ind w:hanging="283"/>
        <w:jc w:val="both"/>
        <w:rPr>
          <w:rFonts w:ascii="Arial" w:hAnsi="Arial" w:cs="Arial"/>
          <w:u w:val="single"/>
        </w:rPr>
      </w:pPr>
    </w:p>
    <w:p w:rsidR="006C636D" w:rsidRPr="00883687" w:rsidRDefault="006C636D" w:rsidP="006C636D">
      <w:pPr>
        <w:spacing w:after="0" w:line="240" w:lineRule="auto"/>
        <w:ind w:hanging="1"/>
        <w:jc w:val="both"/>
        <w:rPr>
          <w:rFonts w:ascii="Arial" w:hAnsi="Arial" w:cs="Arial"/>
        </w:rPr>
      </w:pPr>
      <w:r w:rsidRPr="00883687">
        <w:rPr>
          <w:rFonts w:ascii="Arial" w:hAnsi="Arial" w:cs="Arial"/>
        </w:rPr>
        <w:t>Es importante resaltar que el Presupuesto General de Ingresos y Egresos del Estado para el Ejercicio Fiscal 201</w:t>
      </w:r>
      <w:r>
        <w:rPr>
          <w:rFonts w:ascii="Arial" w:hAnsi="Arial" w:cs="Arial"/>
        </w:rPr>
        <w:t>9</w:t>
      </w:r>
      <w:r w:rsidRPr="00883687">
        <w:rPr>
          <w:rFonts w:ascii="Arial" w:hAnsi="Arial" w:cs="Arial"/>
        </w:rPr>
        <w:t>,</w:t>
      </w:r>
      <w:r w:rsidRPr="0050587C">
        <w:rPr>
          <w:rFonts w:ascii="Arial" w:hAnsi="Arial" w:cs="Arial"/>
        </w:rPr>
        <w:t xml:space="preserve"> </w:t>
      </w:r>
      <w:r w:rsidRPr="00883687">
        <w:rPr>
          <w:rFonts w:ascii="Arial" w:hAnsi="Arial" w:cs="Arial"/>
        </w:rPr>
        <w:t xml:space="preserve">da énfasis a la formulación basada en el presupuesto por resultados, es decir que </w:t>
      </w:r>
      <w:r>
        <w:rPr>
          <w:rFonts w:ascii="Arial" w:hAnsi="Arial" w:cs="Arial"/>
        </w:rPr>
        <w:t xml:space="preserve">con esta metodología, </w:t>
      </w:r>
      <w:r w:rsidRPr="00883687">
        <w:rPr>
          <w:rFonts w:ascii="Arial" w:hAnsi="Arial" w:cs="Arial"/>
        </w:rPr>
        <w:t>el presupuesto toma en consideración las condiciones de vida que se desea cambiar en el ciudadano. Técnicamente, la gestión por resultados considera:</w:t>
      </w:r>
    </w:p>
    <w:p w:rsidR="006C636D" w:rsidRPr="00883687" w:rsidRDefault="006C636D" w:rsidP="006C636D">
      <w:pPr>
        <w:spacing w:after="0" w:line="240" w:lineRule="auto"/>
        <w:ind w:hanging="1"/>
        <w:jc w:val="both"/>
        <w:rPr>
          <w:rFonts w:ascii="Arial" w:hAnsi="Arial" w:cs="Arial"/>
        </w:rPr>
      </w:pPr>
    </w:p>
    <w:p w:rsidR="006C636D" w:rsidRPr="00883687" w:rsidRDefault="006C636D" w:rsidP="00EB3C80">
      <w:pPr>
        <w:pStyle w:val="Prrafodelista"/>
        <w:numPr>
          <w:ilvl w:val="0"/>
          <w:numId w:val="14"/>
        </w:numPr>
        <w:spacing w:after="0" w:line="240" w:lineRule="auto"/>
        <w:jc w:val="both"/>
        <w:rPr>
          <w:rFonts w:ascii="Arial" w:hAnsi="Arial" w:cs="Arial"/>
        </w:rPr>
      </w:pPr>
      <w:r w:rsidRPr="00883687">
        <w:rPr>
          <w:rFonts w:ascii="Arial" w:hAnsi="Arial" w:cs="Arial"/>
        </w:rPr>
        <w:t xml:space="preserve">Análisis </w:t>
      </w:r>
      <w:r>
        <w:rPr>
          <w:rFonts w:ascii="Arial" w:hAnsi="Arial" w:cs="Arial"/>
        </w:rPr>
        <w:t xml:space="preserve">e </w:t>
      </w:r>
      <w:r w:rsidRPr="00883687">
        <w:rPr>
          <w:rFonts w:ascii="Arial" w:hAnsi="Arial" w:cs="Arial"/>
        </w:rPr>
        <w:t xml:space="preserve">identificación de los principales resultados que derivan de la política de gobierno, </w:t>
      </w:r>
      <w:r>
        <w:rPr>
          <w:rFonts w:ascii="Arial" w:hAnsi="Arial" w:cs="Arial"/>
        </w:rPr>
        <w:t xml:space="preserve">en virtud que éstas también persiguen atenuar y solucionar la problemática que afecta a las </w:t>
      </w:r>
      <w:r w:rsidRPr="00883687">
        <w:rPr>
          <w:rFonts w:ascii="Arial" w:hAnsi="Arial" w:cs="Arial"/>
        </w:rPr>
        <w:t>personas,</w:t>
      </w:r>
    </w:p>
    <w:p w:rsidR="006C636D" w:rsidRPr="00883687" w:rsidRDefault="006C636D" w:rsidP="00EB3C80">
      <w:pPr>
        <w:pStyle w:val="Prrafodelista"/>
        <w:numPr>
          <w:ilvl w:val="0"/>
          <w:numId w:val="14"/>
        </w:numPr>
        <w:spacing w:after="0" w:line="240" w:lineRule="auto"/>
        <w:jc w:val="both"/>
        <w:rPr>
          <w:rFonts w:ascii="Arial" w:hAnsi="Arial" w:cs="Arial"/>
        </w:rPr>
      </w:pPr>
      <w:r w:rsidRPr="00883687">
        <w:rPr>
          <w:rFonts w:ascii="Arial" w:hAnsi="Arial" w:cs="Arial"/>
        </w:rPr>
        <w:t>Una visión amplia en que más de una institución contribuye a</w:t>
      </w:r>
      <w:r>
        <w:rPr>
          <w:rFonts w:ascii="Arial" w:hAnsi="Arial" w:cs="Arial"/>
        </w:rPr>
        <w:t>l alcance de</w:t>
      </w:r>
      <w:r w:rsidRPr="00883687">
        <w:rPr>
          <w:rFonts w:ascii="Arial" w:hAnsi="Arial" w:cs="Arial"/>
        </w:rPr>
        <w:t xml:space="preserve"> los resultados estratégicos de gobierno</w:t>
      </w:r>
      <w:r>
        <w:rPr>
          <w:rFonts w:ascii="Arial" w:hAnsi="Arial" w:cs="Arial"/>
        </w:rPr>
        <w:t xml:space="preserve"> para contribuir al bien común</w:t>
      </w:r>
      <w:r w:rsidRPr="00883687">
        <w:rPr>
          <w:rFonts w:ascii="Arial" w:hAnsi="Arial" w:cs="Arial"/>
        </w:rPr>
        <w:t>,</w:t>
      </w:r>
    </w:p>
    <w:p w:rsidR="006C636D" w:rsidRPr="00883687" w:rsidRDefault="006C636D" w:rsidP="00EB3C80">
      <w:pPr>
        <w:pStyle w:val="Prrafodelista"/>
        <w:numPr>
          <w:ilvl w:val="0"/>
          <w:numId w:val="14"/>
        </w:numPr>
        <w:spacing w:after="0" w:line="240" w:lineRule="auto"/>
        <w:jc w:val="both"/>
        <w:rPr>
          <w:rFonts w:ascii="Arial" w:hAnsi="Arial" w:cs="Arial"/>
        </w:rPr>
      </w:pPr>
      <w:r w:rsidRPr="00883687">
        <w:rPr>
          <w:rFonts w:ascii="Arial" w:hAnsi="Arial" w:cs="Arial"/>
        </w:rPr>
        <w:t>Priorización de los productos que generan las instituciones para contribuir a alcanzar los resultados planteados, con los cuales se pretende efectuar cambios en las condiciones de vida de los ciudadanos</w:t>
      </w:r>
      <w:r>
        <w:rPr>
          <w:rFonts w:ascii="Arial" w:hAnsi="Arial" w:cs="Arial"/>
        </w:rPr>
        <w:t xml:space="preserve"> y personas en general</w:t>
      </w:r>
      <w:r w:rsidRPr="00883687">
        <w:rPr>
          <w:rFonts w:ascii="Arial" w:hAnsi="Arial" w:cs="Arial"/>
        </w:rPr>
        <w:t>,</w:t>
      </w:r>
    </w:p>
    <w:p w:rsidR="006C636D" w:rsidRPr="00883687" w:rsidRDefault="006C636D" w:rsidP="00EB3C80">
      <w:pPr>
        <w:pStyle w:val="Prrafodelista"/>
        <w:numPr>
          <w:ilvl w:val="0"/>
          <w:numId w:val="14"/>
        </w:numPr>
        <w:spacing w:after="0" w:line="240" w:lineRule="auto"/>
        <w:jc w:val="both"/>
        <w:rPr>
          <w:rFonts w:ascii="Arial" w:hAnsi="Arial" w:cs="Arial"/>
        </w:rPr>
      </w:pPr>
      <w:r w:rsidRPr="00883687">
        <w:rPr>
          <w:rFonts w:ascii="Arial" w:hAnsi="Arial" w:cs="Arial"/>
        </w:rPr>
        <w:t>En el programa presupuestario se identifica el resultado final y específico de la política de gobierno,</w:t>
      </w:r>
    </w:p>
    <w:p w:rsidR="006C636D" w:rsidRPr="00883687" w:rsidRDefault="006C636D" w:rsidP="00EB3C80">
      <w:pPr>
        <w:pStyle w:val="Prrafodelista"/>
        <w:numPr>
          <w:ilvl w:val="0"/>
          <w:numId w:val="14"/>
        </w:numPr>
        <w:spacing w:after="0" w:line="240" w:lineRule="auto"/>
        <w:jc w:val="both"/>
        <w:rPr>
          <w:rFonts w:ascii="Arial" w:hAnsi="Arial" w:cs="Arial"/>
        </w:rPr>
      </w:pPr>
      <w:r w:rsidRPr="00883687">
        <w:rPr>
          <w:rFonts w:ascii="Arial" w:hAnsi="Arial" w:cs="Arial"/>
        </w:rPr>
        <w:t>La actividad presupuestaria define el producto a ser entregado a la población</w:t>
      </w:r>
      <w:r>
        <w:rPr>
          <w:rFonts w:ascii="Arial" w:hAnsi="Arial" w:cs="Arial"/>
        </w:rPr>
        <w:t xml:space="preserve"> a través de la prestación de los servicios</w:t>
      </w:r>
      <w:r w:rsidRPr="00883687">
        <w:rPr>
          <w:rFonts w:ascii="Arial" w:hAnsi="Arial" w:cs="Arial"/>
        </w:rPr>
        <w:t>,</w:t>
      </w:r>
    </w:p>
    <w:p w:rsidR="006C636D" w:rsidRPr="00883687" w:rsidRDefault="006C636D" w:rsidP="00EB3C80">
      <w:pPr>
        <w:pStyle w:val="Prrafodelista"/>
        <w:numPr>
          <w:ilvl w:val="0"/>
          <w:numId w:val="14"/>
        </w:numPr>
        <w:spacing w:after="0" w:line="240" w:lineRule="auto"/>
        <w:jc w:val="both"/>
        <w:rPr>
          <w:rFonts w:ascii="Arial" w:hAnsi="Arial" w:cs="Arial"/>
        </w:rPr>
      </w:pPr>
      <w:r w:rsidRPr="00883687">
        <w:rPr>
          <w:rFonts w:ascii="Arial" w:hAnsi="Arial" w:cs="Arial"/>
        </w:rPr>
        <w:t xml:space="preserve">Se </w:t>
      </w:r>
      <w:r>
        <w:rPr>
          <w:rFonts w:ascii="Arial" w:hAnsi="Arial" w:cs="Arial"/>
        </w:rPr>
        <w:t xml:space="preserve">identifican </w:t>
      </w:r>
      <w:r w:rsidRPr="00883687">
        <w:rPr>
          <w:rFonts w:ascii="Arial" w:hAnsi="Arial" w:cs="Arial"/>
        </w:rPr>
        <w:t>los insumos o bienes y servicios necesarios</w:t>
      </w:r>
      <w:r>
        <w:rPr>
          <w:rFonts w:ascii="Arial" w:hAnsi="Arial" w:cs="Arial"/>
        </w:rPr>
        <w:t xml:space="preserve"> de cada programa</w:t>
      </w:r>
      <w:r w:rsidRPr="00883687">
        <w:rPr>
          <w:rFonts w:ascii="Arial" w:hAnsi="Arial" w:cs="Arial"/>
        </w:rPr>
        <w:t xml:space="preserve">, </w:t>
      </w:r>
      <w:r>
        <w:rPr>
          <w:rFonts w:ascii="Arial" w:hAnsi="Arial" w:cs="Arial"/>
        </w:rPr>
        <w:t xml:space="preserve">para que se generen </w:t>
      </w:r>
      <w:r w:rsidRPr="00883687">
        <w:rPr>
          <w:rFonts w:ascii="Arial" w:hAnsi="Arial" w:cs="Arial"/>
        </w:rPr>
        <w:t>los productos que se han de entregar a la población.</w:t>
      </w:r>
    </w:p>
    <w:p w:rsidR="006C636D" w:rsidRPr="00883687" w:rsidRDefault="006C636D" w:rsidP="006C636D">
      <w:pPr>
        <w:spacing w:after="0" w:line="240" w:lineRule="auto"/>
        <w:ind w:hanging="1"/>
        <w:jc w:val="both"/>
        <w:rPr>
          <w:rFonts w:ascii="Arial" w:hAnsi="Arial" w:cs="Arial"/>
        </w:rPr>
      </w:pPr>
    </w:p>
    <w:p w:rsidR="006C636D" w:rsidRPr="00883687" w:rsidRDefault="006C636D" w:rsidP="006C636D">
      <w:pPr>
        <w:spacing w:after="0" w:line="240" w:lineRule="auto"/>
        <w:ind w:hanging="1"/>
        <w:jc w:val="both"/>
        <w:rPr>
          <w:rFonts w:ascii="Arial" w:hAnsi="Arial" w:cs="Arial"/>
        </w:rPr>
      </w:pPr>
      <w:r w:rsidRPr="00883687">
        <w:rPr>
          <w:rFonts w:ascii="Arial" w:hAnsi="Arial" w:cs="Arial"/>
        </w:rPr>
        <w:t xml:space="preserve">En este énfasis del Presupuesto por Resultados, el Ministerio de Finanzas Públicas en coordinación con la Secretaría de Planificación y Programación de la Presidencia, </w:t>
      </w:r>
      <w:r>
        <w:rPr>
          <w:rFonts w:ascii="Arial" w:hAnsi="Arial" w:cs="Arial"/>
        </w:rPr>
        <w:t xml:space="preserve">continúan </w:t>
      </w:r>
      <w:r w:rsidRPr="00883687">
        <w:rPr>
          <w:rFonts w:ascii="Arial" w:hAnsi="Arial" w:cs="Arial"/>
        </w:rPr>
        <w:t>impulsan</w:t>
      </w:r>
      <w:r>
        <w:rPr>
          <w:rFonts w:ascii="Arial" w:hAnsi="Arial" w:cs="Arial"/>
        </w:rPr>
        <w:t>do</w:t>
      </w:r>
      <w:r w:rsidRPr="00883687">
        <w:rPr>
          <w:rFonts w:ascii="Arial" w:hAnsi="Arial" w:cs="Arial"/>
        </w:rPr>
        <w:t xml:space="preserve"> el proceso de planificación y programación de resultados, para que progresivamente, las entidades de la Administración Central, adopten la metodología correspondiente.</w:t>
      </w:r>
    </w:p>
    <w:p w:rsidR="006C636D" w:rsidRPr="00883687" w:rsidRDefault="006C636D" w:rsidP="006C636D">
      <w:pPr>
        <w:spacing w:after="0" w:line="240" w:lineRule="auto"/>
        <w:ind w:hanging="1"/>
        <w:jc w:val="both"/>
        <w:rPr>
          <w:rFonts w:ascii="Arial" w:hAnsi="Arial" w:cs="Arial"/>
        </w:rPr>
      </w:pPr>
    </w:p>
    <w:p w:rsidR="006C636D" w:rsidRPr="00883687" w:rsidRDefault="006C636D" w:rsidP="006C636D">
      <w:pPr>
        <w:spacing w:after="0" w:line="240" w:lineRule="auto"/>
        <w:ind w:hanging="1"/>
        <w:jc w:val="both"/>
        <w:rPr>
          <w:rFonts w:ascii="Arial" w:hAnsi="Arial" w:cs="Arial"/>
        </w:rPr>
      </w:pPr>
      <w:r w:rsidRPr="00883687">
        <w:rPr>
          <w:rFonts w:ascii="Arial" w:hAnsi="Arial" w:cs="Arial"/>
        </w:rPr>
        <w:t xml:space="preserve">Con tal propósito, el proceso de formulación presupuestaria </w:t>
      </w:r>
      <w:r>
        <w:rPr>
          <w:rFonts w:ascii="Arial" w:hAnsi="Arial" w:cs="Arial"/>
        </w:rPr>
        <w:t>toma como base</w:t>
      </w:r>
      <w:r w:rsidRPr="00883687">
        <w:rPr>
          <w:rFonts w:ascii="Arial" w:hAnsi="Arial" w:cs="Arial"/>
        </w:rPr>
        <w:t xml:space="preserve"> los resultados que la población requiere para su desarrollo, así como sobre los productos que contribuyen a que los mismos se alcancen. El propósito es mejorar el impacto de las intervenciones o acciones del Estado según las necesidades de la población.</w:t>
      </w:r>
    </w:p>
    <w:p w:rsidR="006C636D" w:rsidRPr="00883687" w:rsidRDefault="006C636D" w:rsidP="006C636D">
      <w:pPr>
        <w:spacing w:after="0" w:line="240" w:lineRule="auto"/>
        <w:ind w:hanging="1"/>
        <w:jc w:val="both"/>
        <w:rPr>
          <w:rFonts w:ascii="Arial" w:hAnsi="Arial" w:cs="Arial"/>
        </w:rPr>
      </w:pPr>
    </w:p>
    <w:p w:rsidR="006C636D" w:rsidRDefault="006C636D" w:rsidP="006C636D">
      <w:pPr>
        <w:spacing w:after="0" w:line="240" w:lineRule="auto"/>
        <w:ind w:hanging="1"/>
        <w:jc w:val="both"/>
        <w:rPr>
          <w:rFonts w:ascii="Arial" w:hAnsi="Arial" w:cs="Arial"/>
        </w:rPr>
      </w:pPr>
      <w:r>
        <w:rPr>
          <w:rFonts w:ascii="Arial" w:hAnsi="Arial" w:cs="Arial"/>
        </w:rPr>
        <w:t xml:space="preserve">La metodología del presupuesto por resultados considera </w:t>
      </w:r>
      <w:r w:rsidRPr="00883687">
        <w:rPr>
          <w:rFonts w:ascii="Arial" w:hAnsi="Arial" w:cs="Arial"/>
        </w:rPr>
        <w:t>4 etapas básicas:</w:t>
      </w:r>
    </w:p>
    <w:p w:rsidR="006C636D" w:rsidRDefault="006C636D" w:rsidP="006C636D">
      <w:pPr>
        <w:spacing w:after="0" w:line="240" w:lineRule="auto"/>
        <w:ind w:hanging="1"/>
        <w:jc w:val="both"/>
        <w:rPr>
          <w:rFonts w:ascii="Arial" w:hAnsi="Arial" w:cs="Arial"/>
        </w:rPr>
      </w:pPr>
    </w:p>
    <w:p w:rsidR="006C636D" w:rsidRPr="00883687" w:rsidRDefault="006C636D" w:rsidP="006C636D">
      <w:pPr>
        <w:spacing w:after="0" w:line="240" w:lineRule="auto"/>
        <w:ind w:hanging="1"/>
        <w:jc w:val="both"/>
        <w:rPr>
          <w:rFonts w:ascii="Arial" w:hAnsi="Arial" w:cs="Arial"/>
        </w:rPr>
      </w:pPr>
      <w:r w:rsidRPr="007F26C9">
        <w:rPr>
          <w:rFonts w:ascii="Arial" w:hAnsi="Arial" w:cs="Arial"/>
          <w:noProof/>
        </w:rPr>
        <w:drawing>
          <wp:inline distT="0" distB="0" distL="0" distR="0" wp14:anchorId="5A2CB255" wp14:editId="7FC23ACC">
            <wp:extent cx="5486400" cy="2000250"/>
            <wp:effectExtent l="76200" t="57150" r="57150" b="19050"/>
            <wp:docPr id="40" name="Diagrama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rsidR="006C636D" w:rsidRPr="00883687" w:rsidRDefault="006C636D" w:rsidP="006C636D">
      <w:pPr>
        <w:spacing w:after="0" w:line="240" w:lineRule="auto"/>
        <w:ind w:hanging="1"/>
        <w:jc w:val="both"/>
        <w:rPr>
          <w:rFonts w:ascii="Arial" w:hAnsi="Arial" w:cs="Arial"/>
        </w:rPr>
      </w:pPr>
    </w:p>
    <w:p w:rsidR="006C636D" w:rsidRPr="00883687" w:rsidRDefault="006C636D" w:rsidP="006C636D">
      <w:pPr>
        <w:spacing w:after="0" w:line="240" w:lineRule="auto"/>
        <w:ind w:hanging="1"/>
        <w:jc w:val="both"/>
        <w:rPr>
          <w:rFonts w:ascii="Arial" w:hAnsi="Arial" w:cs="Arial"/>
        </w:rPr>
      </w:pPr>
    </w:p>
    <w:p w:rsidR="006C636D" w:rsidRPr="00883687" w:rsidRDefault="006C636D" w:rsidP="006C636D">
      <w:pPr>
        <w:spacing w:after="0" w:line="240" w:lineRule="auto"/>
        <w:ind w:hanging="1"/>
        <w:jc w:val="both"/>
        <w:rPr>
          <w:rFonts w:ascii="Arial" w:hAnsi="Arial" w:cs="Arial"/>
        </w:rPr>
      </w:pPr>
      <w:r>
        <w:rPr>
          <w:rFonts w:ascii="Arial" w:hAnsi="Arial" w:cs="Arial"/>
        </w:rPr>
        <w:t>Para identificar l</w:t>
      </w:r>
      <w:r w:rsidRPr="00883687">
        <w:rPr>
          <w:rFonts w:ascii="Arial" w:hAnsi="Arial" w:cs="Arial"/>
        </w:rPr>
        <w:t xml:space="preserve">os elementos básicos con los que se da inicio al presupuesto por resultados, </w:t>
      </w:r>
      <w:r>
        <w:rPr>
          <w:rFonts w:ascii="Arial" w:hAnsi="Arial" w:cs="Arial"/>
        </w:rPr>
        <w:t>es necesario realizar las siguientes preguntas:</w:t>
      </w:r>
    </w:p>
    <w:p w:rsidR="006C636D" w:rsidRPr="00883687" w:rsidRDefault="006C636D" w:rsidP="006C636D">
      <w:pPr>
        <w:spacing w:after="0" w:line="240" w:lineRule="auto"/>
        <w:jc w:val="both"/>
        <w:rPr>
          <w:rFonts w:ascii="Arial" w:hAnsi="Arial" w:cs="Arial"/>
        </w:rPr>
      </w:pPr>
    </w:p>
    <w:p w:rsidR="006C636D" w:rsidRPr="00883687" w:rsidRDefault="006C636D" w:rsidP="006C636D">
      <w:pPr>
        <w:spacing w:after="0" w:line="240" w:lineRule="auto"/>
        <w:ind w:hanging="1"/>
        <w:jc w:val="both"/>
        <w:rPr>
          <w:rFonts w:ascii="Arial" w:hAnsi="Arial" w:cs="Arial"/>
        </w:rPr>
      </w:pPr>
    </w:p>
    <w:p w:rsidR="006C636D" w:rsidRPr="00883687" w:rsidRDefault="006C636D" w:rsidP="006C636D">
      <w:pPr>
        <w:spacing w:after="0" w:line="240" w:lineRule="auto"/>
        <w:ind w:hanging="1"/>
        <w:jc w:val="both"/>
        <w:rPr>
          <w:rFonts w:ascii="Arial" w:hAnsi="Arial" w:cs="Arial"/>
        </w:rPr>
      </w:pPr>
      <w:r w:rsidRPr="00883687">
        <w:rPr>
          <w:rFonts w:ascii="Arial" w:hAnsi="Arial" w:cs="Arial"/>
          <w:noProof/>
        </w:rPr>
        <w:drawing>
          <wp:inline distT="0" distB="0" distL="0" distR="0" wp14:anchorId="59568EBB" wp14:editId="68AE880E">
            <wp:extent cx="5486400" cy="3495675"/>
            <wp:effectExtent l="57150" t="38100" r="38100" b="47625"/>
            <wp:docPr id="41" name="Diagrama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rsidR="006C636D" w:rsidRPr="00883687" w:rsidRDefault="006C636D" w:rsidP="006C636D">
      <w:pPr>
        <w:spacing w:after="0" w:line="240" w:lineRule="auto"/>
        <w:ind w:hanging="1"/>
        <w:jc w:val="both"/>
        <w:rPr>
          <w:rFonts w:ascii="Arial" w:hAnsi="Arial" w:cs="Arial"/>
        </w:rPr>
      </w:pPr>
    </w:p>
    <w:p w:rsidR="006C636D" w:rsidRPr="00883687" w:rsidRDefault="006C636D" w:rsidP="006C636D">
      <w:pPr>
        <w:spacing w:after="0" w:line="240" w:lineRule="auto"/>
        <w:ind w:hanging="1"/>
        <w:jc w:val="both"/>
        <w:rPr>
          <w:rFonts w:ascii="Arial" w:hAnsi="Arial" w:cs="Arial"/>
        </w:rPr>
      </w:pPr>
    </w:p>
    <w:p w:rsidR="006C636D" w:rsidRPr="00883687" w:rsidRDefault="006C636D" w:rsidP="006C636D">
      <w:pPr>
        <w:spacing w:after="0" w:line="240" w:lineRule="auto"/>
        <w:jc w:val="both"/>
        <w:rPr>
          <w:rFonts w:ascii="Arial" w:hAnsi="Arial" w:cs="Arial"/>
        </w:rPr>
      </w:pPr>
      <w:r w:rsidRPr="00883687">
        <w:rPr>
          <w:rFonts w:ascii="Arial" w:hAnsi="Arial" w:cs="Arial"/>
        </w:rPr>
        <w:t xml:space="preserve">En síntesis, la gestión por resultados se fortalecerá progresivamente, ya que promueve que se desarrolle una perspectiva gerencial en la administración pública que sea eficiente y eficaz, </w:t>
      </w:r>
      <w:r>
        <w:rPr>
          <w:rFonts w:ascii="Arial" w:hAnsi="Arial" w:cs="Arial"/>
        </w:rPr>
        <w:t xml:space="preserve">y que se </w:t>
      </w:r>
      <w:r w:rsidRPr="00883687">
        <w:rPr>
          <w:rFonts w:ascii="Arial" w:hAnsi="Arial" w:cs="Arial"/>
        </w:rPr>
        <w:t>orient</w:t>
      </w:r>
      <w:r>
        <w:rPr>
          <w:rFonts w:ascii="Arial" w:hAnsi="Arial" w:cs="Arial"/>
        </w:rPr>
        <w:t>e</w:t>
      </w:r>
      <w:r w:rsidRPr="00883687">
        <w:rPr>
          <w:rFonts w:ascii="Arial" w:hAnsi="Arial" w:cs="Arial"/>
        </w:rPr>
        <w:t xml:space="preserve"> a medir la gestión pública a través de la satisfacción de las necesidades de los ciudadanos.</w:t>
      </w:r>
    </w:p>
    <w:p w:rsidR="006C636D" w:rsidRPr="00883687" w:rsidRDefault="006C636D" w:rsidP="006C636D">
      <w:pPr>
        <w:spacing w:after="0" w:line="240" w:lineRule="auto"/>
        <w:jc w:val="both"/>
        <w:rPr>
          <w:rFonts w:ascii="Arial" w:hAnsi="Arial" w:cs="Arial"/>
        </w:rPr>
      </w:pPr>
    </w:p>
    <w:p w:rsidR="006C636D" w:rsidRPr="00883687" w:rsidRDefault="006C636D" w:rsidP="006C636D">
      <w:pPr>
        <w:pStyle w:val="Prrafodelista"/>
        <w:spacing w:after="0" w:line="240" w:lineRule="auto"/>
        <w:ind w:left="0"/>
        <w:jc w:val="both"/>
        <w:rPr>
          <w:rFonts w:ascii="Arial" w:hAnsi="Arial" w:cs="Arial"/>
        </w:rPr>
      </w:pPr>
      <w:r w:rsidRPr="00883687">
        <w:rPr>
          <w:rFonts w:ascii="Arial" w:hAnsi="Arial" w:cs="Arial"/>
        </w:rPr>
        <w:t>A manera de ejemplo, las acciones que realizarán las instituciones en cuanto a alcanzar el resultado de reducir la desnutrición crónica en las niñas y niños menores de cinco años, se pueden observar de acuerdo a las funciones y competencias de cada institución. Al Ministerio de Salud Pública y Asistencia Social le corresponderá, entre otras acciones, efectuar la vacunación de las niñas y niños de acuerdo a su edad, realizar prácticas de cuidado infantil, brindar suplementación de micronutrientes, desparasitación de menores de dos años, atención por enfermedades</w:t>
      </w:r>
      <w:r>
        <w:rPr>
          <w:rFonts w:ascii="Arial" w:hAnsi="Arial" w:cs="Arial"/>
        </w:rPr>
        <w:t>;</w:t>
      </w:r>
      <w:r w:rsidRPr="00883687">
        <w:rPr>
          <w:rFonts w:ascii="Arial" w:hAnsi="Arial" w:cs="Arial"/>
        </w:rPr>
        <w:t xml:space="preserve"> en tanto que al Ministerio de Desarrollo Social le corresponderá otorgar recursos a familias con menores de cinco años, y así, sucesivamente cada entidad participará en la ejecución de otras acciones complementarias para alcanzar el resultado estratégico de desarrollo.</w:t>
      </w:r>
    </w:p>
    <w:p w:rsidR="006C636D" w:rsidRPr="00883687" w:rsidRDefault="006C636D" w:rsidP="006C636D">
      <w:pPr>
        <w:pStyle w:val="Prrafodelista"/>
        <w:spacing w:after="0" w:line="240" w:lineRule="auto"/>
        <w:ind w:left="0"/>
        <w:jc w:val="both"/>
        <w:rPr>
          <w:rFonts w:ascii="Arial" w:hAnsi="Arial" w:cs="Arial"/>
        </w:rPr>
      </w:pPr>
    </w:p>
    <w:p w:rsidR="006C636D" w:rsidRDefault="006C636D" w:rsidP="006C636D">
      <w:pPr>
        <w:pStyle w:val="Prrafodelista"/>
        <w:spacing w:after="0" w:line="240" w:lineRule="auto"/>
        <w:ind w:left="0"/>
        <w:jc w:val="both"/>
        <w:rPr>
          <w:rFonts w:ascii="Arial" w:hAnsi="Arial" w:cs="Arial"/>
        </w:rPr>
      </w:pPr>
      <w:r w:rsidRPr="00883687">
        <w:rPr>
          <w:rFonts w:ascii="Arial" w:hAnsi="Arial" w:cs="Arial"/>
        </w:rPr>
        <w:t xml:space="preserve">En ese orden de ideas, para alcanzar los resultados esperados, corresponde a las instituciones responsables de los programas, alcanzar las metas propuestas, así como dar seguimiento a los indicadores respectivos. </w:t>
      </w:r>
      <w:r>
        <w:rPr>
          <w:rFonts w:ascii="Arial" w:hAnsi="Arial" w:cs="Arial"/>
        </w:rPr>
        <w:t xml:space="preserve">Para ello se utiliza la </w:t>
      </w:r>
      <w:r w:rsidRPr="00883687">
        <w:rPr>
          <w:rFonts w:ascii="Arial" w:hAnsi="Arial" w:cs="Arial"/>
        </w:rPr>
        <w:t>Guía Conceptual de Planificación y Presupuesto por Resultados para el Sector Público de Guatemala, la cual orienta acerca de la metodología que progresivamente se implementa con el propósito de enfatizar los resultados que se pretenden alcanzar en pro del bienestar de los ciudadanos.</w:t>
      </w:r>
    </w:p>
    <w:p w:rsidR="006C636D" w:rsidRDefault="006C636D" w:rsidP="006C636D">
      <w:pPr>
        <w:pStyle w:val="Prrafodelista"/>
        <w:spacing w:after="0" w:line="240" w:lineRule="auto"/>
        <w:ind w:left="0"/>
        <w:jc w:val="both"/>
        <w:rPr>
          <w:rFonts w:ascii="Arial" w:hAnsi="Arial" w:cs="Arial"/>
        </w:rPr>
      </w:pPr>
    </w:p>
    <w:p w:rsidR="006C636D" w:rsidRPr="00883687" w:rsidRDefault="006C636D" w:rsidP="006C636D">
      <w:pPr>
        <w:pStyle w:val="Prrafodelista"/>
        <w:spacing w:after="0" w:line="240" w:lineRule="auto"/>
        <w:ind w:left="0"/>
        <w:jc w:val="both"/>
        <w:rPr>
          <w:rFonts w:ascii="Arial" w:hAnsi="Arial" w:cs="Arial"/>
        </w:rPr>
      </w:pPr>
    </w:p>
    <w:p w:rsidR="006C636D" w:rsidRPr="00301D46" w:rsidRDefault="006C636D" w:rsidP="00EB3C80">
      <w:pPr>
        <w:pStyle w:val="Prrafodelista"/>
        <w:numPr>
          <w:ilvl w:val="0"/>
          <w:numId w:val="17"/>
        </w:numPr>
        <w:spacing w:after="0" w:line="240" w:lineRule="auto"/>
        <w:ind w:left="284" w:hanging="284"/>
        <w:jc w:val="both"/>
        <w:rPr>
          <w:rFonts w:ascii="Arial" w:hAnsi="Arial" w:cs="Arial"/>
          <w:b/>
          <w:u w:val="single"/>
          <w:lang w:val="es-MX"/>
        </w:rPr>
      </w:pPr>
      <w:r w:rsidRPr="00301D46">
        <w:rPr>
          <w:rFonts w:ascii="Arial" w:hAnsi="Arial" w:cs="Arial"/>
          <w:b/>
          <w:u w:val="single"/>
          <w:lang w:val="es-MX"/>
        </w:rPr>
        <w:t xml:space="preserve">Proceso Presupuestario </w:t>
      </w:r>
    </w:p>
    <w:p w:rsidR="006C636D" w:rsidRPr="00301D46" w:rsidRDefault="006C636D" w:rsidP="006C636D">
      <w:pPr>
        <w:spacing w:after="0" w:line="240" w:lineRule="auto"/>
        <w:jc w:val="both"/>
        <w:rPr>
          <w:rFonts w:ascii="Arial" w:hAnsi="Arial" w:cs="Arial"/>
          <w:lang w:val="es-MX"/>
        </w:rPr>
      </w:pPr>
    </w:p>
    <w:p w:rsidR="006C636D" w:rsidRDefault="006C636D" w:rsidP="006C636D">
      <w:pPr>
        <w:spacing w:after="0" w:line="240" w:lineRule="auto"/>
        <w:jc w:val="both"/>
        <w:rPr>
          <w:rFonts w:ascii="Arial" w:hAnsi="Arial" w:cs="Arial"/>
          <w:lang w:val="es-MX"/>
        </w:rPr>
      </w:pPr>
      <w:r w:rsidRPr="00883687">
        <w:rPr>
          <w:rFonts w:ascii="Arial" w:hAnsi="Arial" w:cs="Arial"/>
          <w:lang w:val="es-MX"/>
        </w:rPr>
        <w:t xml:space="preserve">Para que las instituciones del Estado puedan prestar los servicios a favor de la población, es necesario que el presupuesto, previo a ser ejecutado, atraviese distintas etapas a las que en forma integral se les denomina </w:t>
      </w:r>
      <w:r w:rsidRPr="00883687">
        <w:rPr>
          <w:rFonts w:ascii="Arial" w:hAnsi="Arial" w:cs="Arial"/>
          <w:b/>
          <w:lang w:val="es-MX"/>
        </w:rPr>
        <w:t>“Proceso Presupuestario”</w:t>
      </w:r>
      <w:r w:rsidRPr="00883687">
        <w:rPr>
          <w:rFonts w:ascii="Arial" w:hAnsi="Arial" w:cs="Arial"/>
          <w:lang w:val="es-MX"/>
        </w:rPr>
        <w:t xml:space="preserve">. </w:t>
      </w:r>
    </w:p>
    <w:p w:rsidR="006C636D" w:rsidRDefault="006C636D" w:rsidP="006C636D">
      <w:pPr>
        <w:spacing w:after="0" w:line="240" w:lineRule="auto"/>
        <w:jc w:val="both"/>
        <w:rPr>
          <w:rFonts w:ascii="Arial" w:hAnsi="Arial" w:cs="Arial"/>
          <w:lang w:val="es-MX"/>
        </w:rPr>
      </w:pPr>
    </w:p>
    <w:p w:rsidR="006C636D" w:rsidRDefault="006C636D" w:rsidP="006C636D">
      <w:pPr>
        <w:spacing w:after="0" w:line="240" w:lineRule="auto"/>
        <w:jc w:val="both"/>
        <w:rPr>
          <w:rFonts w:ascii="Arial" w:hAnsi="Arial" w:cs="Arial"/>
          <w:lang w:val="es-MX"/>
        </w:rPr>
      </w:pPr>
      <w:r w:rsidRPr="00883687">
        <w:rPr>
          <w:rFonts w:ascii="Arial" w:hAnsi="Arial" w:cs="Arial"/>
          <w:lang w:val="es-MX"/>
        </w:rPr>
        <w:t>Anteriormente, dicho proceso se integraba por cuatro etapas (formulación, discusión y aprobación, ejecución y evaluación), sin embargo, con las reformas realizadas a la Ley Orgánica del Presupuesto, se han delimitado en forma expresa, ciertas acciones lógicamente concatenadas que enmarcan con mayor detalle el proceso presupuestario, por lo que con la referida modificación</w:t>
      </w:r>
      <w:r w:rsidRPr="00883687">
        <w:rPr>
          <w:rStyle w:val="Refdenotaalpie"/>
          <w:rFonts w:ascii="Arial" w:hAnsi="Arial" w:cs="Arial"/>
          <w:lang w:val="es-MX"/>
        </w:rPr>
        <w:footnoteReference w:id="6"/>
      </w:r>
      <w:r w:rsidRPr="00883687">
        <w:rPr>
          <w:rFonts w:ascii="Arial" w:hAnsi="Arial" w:cs="Arial"/>
          <w:lang w:val="es-MX"/>
        </w:rPr>
        <w:t xml:space="preserve"> a la Ley Orgánica del Presupuesto, se han establecido ocho etapas, siendo ellas:</w:t>
      </w:r>
    </w:p>
    <w:p w:rsidR="006C636D" w:rsidRDefault="006C636D" w:rsidP="006C636D">
      <w:pPr>
        <w:spacing w:after="0" w:line="240" w:lineRule="auto"/>
        <w:jc w:val="both"/>
        <w:rPr>
          <w:rFonts w:ascii="Arial" w:hAnsi="Arial" w:cs="Arial"/>
          <w:lang w:val="es-MX"/>
        </w:rPr>
      </w:pPr>
    </w:p>
    <w:p w:rsidR="006C636D" w:rsidRDefault="006C636D" w:rsidP="006C636D">
      <w:pPr>
        <w:spacing w:after="0" w:line="240" w:lineRule="auto"/>
        <w:jc w:val="both"/>
        <w:rPr>
          <w:rFonts w:ascii="Arial" w:hAnsi="Arial" w:cs="Arial"/>
          <w:lang w:val="es-MX"/>
        </w:rPr>
      </w:pPr>
    </w:p>
    <w:p w:rsidR="006C636D" w:rsidRDefault="006C636D" w:rsidP="006C636D">
      <w:pPr>
        <w:spacing w:after="0" w:line="240" w:lineRule="auto"/>
        <w:jc w:val="both"/>
        <w:rPr>
          <w:rFonts w:ascii="Arial" w:hAnsi="Arial" w:cs="Arial"/>
          <w:lang w:val="es-MX"/>
        </w:rPr>
      </w:pPr>
    </w:p>
    <w:p w:rsidR="006C636D" w:rsidRDefault="006C636D" w:rsidP="006C636D">
      <w:pPr>
        <w:spacing w:after="0" w:line="240" w:lineRule="auto"/>
        <w:jc w:val="both"/>
        <w:rPr>
          <w:rFonts w:ascii="Arial" w:hAnsi="Arial" w:cs="Arial"/>
          <w:lang w:val="es-MX"/>
        </w:rPr>
      </w:pPr>
      <w:r>
        <w:rPr>
          <w:rFonts w:ascii="Arial" w:hAnsi="Arial" w:cs="Arial"/>
          <w:noProof/>
        </w:rPr>
        <w:drawing>
          <wp:inline distT="0" distB="0" distL="0" distR="0" wp14:anchorId="0AA65F0D" wp14:editId="2B9920A8">
            <wp:extent cx="5553075" cy="3619500"/>
            <wp:effectExtent l="0" t="57150" r="0" b="114300"/>
            <wp:docPr id="42" name="Diagrama 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p>
    <w:p w:rsidR="006C636D" w:rsidRPr="00883687" w:rsidRDefault="006C636D" w:rsidP="006C636D">
      <w:pPr>
        <w:spacing w:after="0" w:line="240" w:lineRule="auto"/>
        <w:jc w:val="both"/>
        <w:rPr>
          <w:rFonts w:ascii="Arial" w:hAnsi="Arial" w:cs="Arial"/>
          <w:lang w:val="es-MX"/>
        </w:rPr>
      </w:pPr>
    </w:p>
    <w:p w:rsidR="006C636D" w:rsidRDefault="006C636D" w:rsidP="006C636D">
      <w:pPr>
        <w:rPr>
          <w:rFonts w:ascii="Arial" w:hAnsi="Arial" w:cs="Arial"/>
          <w:lang w:val="es-MX"/>
        </w:rPr>
      </w:pPr>
      <w:r>
        <w:rPr>
          <w:rFonts w:ascii="Arial" w:hAnsi="Arial" w:cs="Arial"/>
          <w:lang w:val="es-MX"/>
        </w:rPr>
        <w:br w:type="page"/>
      </w:r>
    </w:p>
    <w:p w:rsidR="006C636D" w:rsidRDefault="006C636D" w:rsidP="006C636D">
      <w:pPr>
        <w:spacing w:after="0" w:line="240" w:lineRule="auto"/>
        <w:jc w:val="both"/>
        <w:rPr>
          <w:rFonts w:ascii="Arial" w:hAnsi="Arial" w:cs="Arial"/>
          <w:lang w:val="es-MX"/>
        </w:rPr>
      </w:pPr>
      <w:r>
        <w:rPr>
          <w:rFonts w:ascii="Arial" w:hAnsi="Arial" w:cs="Arial"/>
          <w:noProof/>
        </w:rPr>
        <w:lastRenderedPageBreak/>
        <w:drawing>
          <wp:inline distT="0" distB="0" distL="0" distR="0" wp14:anchorId="2C86A9F2" wp14:editId="45326562">
            <wp:extent cx="5314950" cy="7153275"/>
            <wp:effectExtent l="114300" t="57150" r="171450" b="104775"/>
            <wp:docPr id="43" name="Diagrama 7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11" r:qs="rId112" r:cs="rId113"/>
              </a:graphicData>
            </a:graphic>
          </wp:inline>
        </w:drawing>
      </w:r>
    </w:p>
    <w:p w:rsidR="006C636D" w:rsidRPr="00883687" w:rsidRDefault="006C636D" w:rsidP="006C636D">
      <w:pPr>
        <w:spacing w:after="0" w:line="240" w:lineRule="auto"/>
        <w:jc w:val="both"/>
        <w:rPr>
          <w:rFonts w:ascii="Arial" w:hAnsi="Arial" w:cs="Arial"/>
          <w:lang w:val="es-MX"/>
        </w:rPr>
      </w:pPr>
    </w:p>
    <w:p w:rsidR="006C636D" w:rsidRPr="00883687" w:rsidRDefault="006C636D" w:rsidP="006C636D">
      <w:pPr>
        <w:pStyle w:val="Prrafodelista"/>
        <w:spacing w:after="0" w:line="240" w:lineRule="auto"/>
        <w:ind w:left="0"/>
        <w:rPr>
          <w:rFonts w:ascii="Arial" w:hAnsi="Arial" w:cs="Arial"/>
        </w:rPr>
      </w:pPr>
      <w:r>
        <w:rPr>
          <w:rFonts w:ascii="Arial" w:hAnsi="Arial" w:cs="Arial"/>
          <w:noProof/>
        </w:rPr>
        <w:lastRenderedPageBreak/>
        <w:drawing>
          <wp:inline distT="0" distB="0" distL="0" distR="0" wp14:anchorId="39682A7B" wp14:editId="6C328E44">
            <wp:extent cx="5486400" cy="2105025"/>
            <wp:effectExtent l="0" t="19050" r="19050" b="9525"/>
            <wp:docPr id="44" name="Diagrama 7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5" r:lo="rId116" r:qs="rId117" r:cs="rId118"/>
              </a:graphicData>
            </a:graphic>
          </wp:inline>
        </w:drawing>
      </w:r>
    </w:p>
    <w:p w:rsidR="006C636D" w:rsidRDefault="006C636D" w:rsidP="006C636D">
      <w:pPr>
        <w:spacing w:after="0" w:line="240" w:lineRule="auto"/>
        <w:jc w:val="both"/>
        <w:rPr>
          <w:rFonts w:ascii="Arial" w:hAnsi="Arial" w:cs="Arial"/>
          <w:lang w:val="es-MX"/>
        </w:rPr>
      </w:pPr>
    </w:p>
    <w:p w:rsidR="006C636D" w:rsidRPr="00883687" w:rsidRDefault="006C636D" w:rsidP="006C636D">
      <w:pPr>
        <w:spacing w:after="0" w:line="240" w:lineRule="auto"/>
        <w:jc w:val="both"/>
        <w:rPr>
          <w:rFonts w:ascii="Arial" w:hAnsi="Arial" w:cs="Arial"/>
          <w:lang w:val="es-MX"/>
        </w:rPr>
      </w:pPr>
      <w:r>
        <w:rPr>
          <w:rFonts w:ascii="Arial" w:hAnsi="Arial" w:cs="Arial"/>
          <w:noProof/>
        </w:rPr>
        <w:drawing>
          <wp:inline distT="0" distB="0" distL="0" distR="0" wp14:anchorId="6A88C1E2" wp14:editId="1B82EC9F">
            <wp:extent cx="5486400" cy="5867400"/>
            <wp:effectExtent l="0" t="0" r="38100" b="19050"/>
            <wp:docPr id="48" name="Diagrama 7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p>
    <w:p w:rsidR="006C636D" w:rsidRDefault="008A44FE" w:rsidP="006C636D">
      <w:pPr>
        <w:rPr>
          <w:rFonts w:ascii="Arial" w:eastAsia="Calibri" w:hAnsi="Arial" w:cs="Arial"/>
          <w:u w:val="single"/>
          <w:lang w:val="es-MX"/>
        </w:rPr>
      </w:pPr>
      <w:r>
        <w:rPr>
          <w:noProof/>
        </w:rPr>
        <w:lastRenderedPageBreak/>
        <w:drawing>
          <wp:inline distT="0" distB="0" distL="0" distR="0" wp14:anchorId="08BC4A5C" wp14:editId="3A7D608C">
            <wp:extent cx="5591175" cy="4295775"/>
            <wp:effectExtent l="0" t="19050" r="0" b="9525"/>
            <wp:docPr id="21" name="Diagrama 7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inline>
        </w:drawing>
      </w:r>
    </w:p>
    <w:p w:rsidR="006C636D" w:rsidRDefault="006C636D" w:rsidP="006C636D">
      <w:pPr>
        <w:rPr>
          <w:rFonts w:ascii="Arial" w:eastAsia="Calibri" w:hAnsi="Arial" w:cs="Arial"/>
          <w:u w:val="single"/>
          <w:lang w:val="es-MX"/>
        </w:rPr>
      </w:pPr>
    </w:p>
    <w:p w:rsidR="006C636D" w:rsidRPr="00C545A7" w:rsidRDefault="006C636D" w:rsidP="006C636D">
      <w:r>
        <w:rPr>
          <w:noProof/>
        </w:rPr>
        <w:drawing>
          <wp:inline distT="0" distB="0" distL="0" distR="0" wp14:anchorId="76EDAC61" wp14:editId="16FAF70F">
            <wp:extent cx="5591175" cy="2962275"/>
            <wp:effectExtent l="0" t="19050" r="0" b="9525"/>
            <wp:docPr id="51" name="Diagrama 7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0" r:lo="rId131" r:qs="rId132" r:cs="rId133"/>
              </a:graphicData>
            </a:graphic>
          </wp:inline>
        </w:drawing>
      </w:r>
    </w:p>
    <w:p w:rsidR="006C636D" w:rsidRDefault="006C636D" w:rsidP="006C636D">
      <w:pPr>
        <w:rPr>
          <w:rFonts w:ascii="Arial" w:eastAsia="Calibri" w:hAnsi="Arial" w:cs="Arial"/>
          <w:u w:val="single"/>
          <w:lang w:val="es-MX"/>
        </w:rPr>
      </w:pPr>
      <w:r>
        <w:rPr>
          <w:rFonts w:ascii="Arial" w:hAnsi="Arial" w:cs="Arial"/>
          <w:u w:val="single"/>
          <w:lang w:val="es-MX"/>
        </w:rPr>
        <w:br w:type="page"/>
      </w:r>
    </w:p>
    <w:p w:rsidR="006C636D" w:rsidRDefault="006C636D" w:rsidP="006C636D">
      <w:pPr>
        <w:pStyle w:val="Prrafodelista"/>
        <w:spacing w:after="0" w:line="240" w:lineRule="auto"/>
        <w:ind w:left="0"/>
        <w:jc w:val="both"/>
        <w:rPr>
          <w:rFonts w:ascii="Arial" w:hAnsi="Arial" w:cs="Arial"/>
          <w:u w:val="single"/>
          <w:lang w:val="es-MX"/>
        </w:rPr>
      </w:pPr>
    </w:p>
    <w:p w:rsidR="006C636D" w:rsidRDefault="00062DCE" w:rsidP="006C636D">
      <w:pPr>
        <w:spacing w:after="0" w:line="240" w:lineRule="auto"/>
        <w:jc w:val="both"/>
        <w:rPr>
          <w:rFonts w:ascii="Arial" w:hAnsi="Arial" w:cs="Arial"/>
          <w:lang w:val="es-MX"/>
        </w:rPr>
      </w:pPr>
      <w:r>
        <w:rPr>
          <w:rFonts w:ascii="Arial" w:hAnsi="Arial" w:cs="Arial"/>
          <w:noProof/>
        </w:rPr>
        <w:drawing>
          <wp:inline distT="0" distB="0" distL="0" distR="0" wp14:anchorId="34E4AAA1" wp14:editId="4372B476">
            <wp:extent cx="5612130" cy="3276600"/>
            <wp:effectExtent l="0" t="0" r="26670" b="0"/>
            <wp:docPr id="25" name="Diagrama 7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5" r:lo="rId136" r:qs="rId137" r:cs="rId138"/>
              </a:graphicData>
            </a:graphic>
          </wp:inline>
        </w:drawing>
      </w:r>
    </w:p>
    <w:p w:rsidR="006C636D" w:rsidRDefault="006C636D" w:rsidP="006C636D">
      <w:pPr>
        <w:pStyle w:val="Prrafodelista"/>
        <w:spacing w:after="0" w:line="240" w:lineRule="auto"/>
        <w:ind w:left="0"/>
        <w:jc w:val="both"/>
        <w:rPr>
          <w:rFonts w:ascii="Arial" w:hAnsi="Arial" w:cs="Arial"/>
          <w:lang w:val="es-MX"/>
        </w:rPr>
      </w:pPr>
    </w:p>
    <w:p w:rsidR="006C636D" w:rsidRDefault="006C636D" w:rsidP="006C636D">
      <w:pPr>
        <w:pStyle w:val="Prrafodelista"/>
        <w:spacing w:after="0" w:line="240" w:lineRule="auto"/>
        <w:ind w:left="0"/>
        <w:jc w:val="both"/>
        <w:rPr>
          <w:rFonts w:ascii="Arial" w:hAnsi="Arial" w:cs="Arial"/>
          <w:lang w:val="es-MX"/>
        </w:rPr>
      </w:pPr>
    </w:p>
    <w:p w:rsidR="006C636D" w:rsidRDefault="006C636D" w:rsidP="006C636D">
      <w:pPr>
        <w:pStyle w:val="Prrafodelista"/>
        <w:spacing w:after="0" w:line="240" w:lineRule="auto"/>
        <w:ind w:left="0"/>
        <w:jc w:val="both"/>
        <w:rPr>
          <w:rFonts w:ascii="Arial" w:hAnsi="Arial" w:cs="Arial"/>
          <w:lang w:val="es-MX"/>
        </w:rPr>
      </w:pPr>
    </w:p>
    <w:p w:rsidR="006C636D" w:rsidRDefault="006C636D" w:rsidP="006C636D">
      <w:pPr>
        <w:pStyle w:val="Prrafodelista"/>
        <w:spacing w:after="0" w:line="240" w:lineRule="auto"/>
        <w:ind w:left="0"/>
        <w:jc w:val="both"/>
        <w:rPr>
          <w:rFonts w:ascii="Arial" w:hAnsi="Arial" w:cs="Arial"/>
          <w:lang w:val="es-MX"/>
        </w:rPr>
      </w:pPr>
      <w:r>
        <w:rPr>
          <w:rFonts w:ascii="Arial" w:hAnsi="Arial" w:cs="Arial"/>
          <w:noProof/>
        </w:rPr>
        <w:drawing>
          <wp:inline distT="0" distB="0" distL="0" distR="0" wp14:anchorId="2281E1C5" wp14:editId="6BBF004E">
            <wp:extent cx="5829300" cy="3200400"/>
            <wp:effectExtent l="0" t="0" r="19050" b="0"/>
            <wp:docPr id="55" name="Diagrama 7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p>
    <w:p w:rsidR="006C636D" w:rsidRDefault="006C636D" w:rsidP="006C636D">
      <w:pPr>
        <w:pStyle w:val="Prrafodelista"/>
        <w:spacing w:after="0" w:line="240" w:lineRule="auto"/>
        <w:ind w:left="0"/>
        <w:jc w:val="both"/>
        <w:rPr>
          <w:rFonts w:ascii="Arial" w:hAnsi="Arial" w:cs="Arial"/>
          <w:lang w:val="es-MX"/>
        </w:rPr>
      </w:pPr>
    </w:p>
    <w:p w:rsidR="006C636D" w:rsidRDefault="006C636D" w:rsidP="006C636D">
      <w:pPr>
        <w:rPr>
          <w:rFonts w:ascii="Arial" w:eastAsia="Calibri" w:hAnsi="Arial" w:cs="Arial"/>
          <w:lang w:val="es-MX"/>
        </w:rPr>
      </w:pPr>
      <w:r>
        <w:rPr>
          <w:rFonts w:ascii="Arial" w:hAnsi="Arial" w:cs="Arial"/>
          <w:lang w:val="es-MX"/>
        </w:rPr>
        <w:br w:type="page"/>
      </w:r>
    </w:p>
    <w:p w:rsidR="006C636D" w:rsidRDefault="006C636D" w:rsidP="006C636D">
      <w:pPr>
        <w:pStyle w:val="Prrafodelista"/>
        <w:spacing w:after="0" w:line="240" w:lineRule="auto"/>
        <w:ind w:left="0"/>
        <w:jc w:val="both"/>
        <w:rPr>
          <w:rFonts w:ascii="Arial" w:hAnsi="Arial" w:cs="Arial"/>
          <w:lang w:val="es-MX"/>
        </w:rPr>
      </w:pPr>
      <w:r>
        <w:rPr>
          <w:rFonts w:ascii="Arial" w:hAnsi="Arial" w:cs="Arial"/>
          <w:noProof/>
        </w:rPr>
        <w:lastRenderedPageBreak/>
        <w:drawing>
          <wp:inline distT="0" distB="0" distL="0" distR="0" wp14:anchorId="197BA3F4" wp14:editId="374D859B">
            <wp:extent cx="5838825" cy="3200400"/>
            <wp:effectExtent l="0" t="0" r="0" b="190500"/>
            <wp:docPr id="56" name="Diagrama 7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5" r:lo="rId146" r:qs="rId147" r:cs="rId148"/>
              </a:graphicData>
            </a:graphic>
          </wp:inline>
        </w:drawing>
      </w:r>
    </w:p>
    <w:p w:rsidR="006C636D" w:rsidRDefault="006C636D" w:rsidP="006C636D">
      <w:pPr>
        <w:spacing w:after="0" w:line="240" w:lineRule="auto"/>
        <w:rPr>
          <w:rFonts w:ascii="Arial" w:hAnsi="Arial" w:cs="Arial"/>
          <w:noProof/>
          <w:lang w:eastAsia="es-ES"/>
        </w:rPr>
      </w:pPr>
      <w:r w:rsidRPr="00883687">
        <w:rPr>
          <w:rFonts w:ascii="Arial" w:hAnsi="Arial" w:cs="Arial"/>
          <w:noProof/>
          <w:lang w:eastAsia="es-ES"/>
        </w:rPr>
        <w:t>A continuación, vemos de forma gráfica el proceso presupuestario</w:t>
      </w:r>
      <w:r>
        <w:rPr>
          <w:rFonts w:ascii="Arial" w:hAnsi="Arial" w:cs="Arial"/>
          <w:noProof/>
          <w:lang w:eastAsia="es-ES"/>
        </w:rPr>
        <w:t>:</w:t>
      </w:r>
    </w:p>
    <w:p w:rsidR="00166A88" w:rsidRPr="00883687" w:rsidRDefault="00166A88" w:rsidP="006C636D">
      <w:pPr>
        <w:spacing w:after="0" w:line="240" w:lineRule="auto"/>
        <w:rPr>
          <w:rFonts w:ascii="Arial" w:hAnsi="Arial" w:cs="Arial"/>
          <w:noProof/>
          <w:lang w:eastAsia="es-ES"/>
        </w:rPr>
      </w:pPr>
    </w:p>
    <w:p w:rsidR="006C636D" w:rsidRPr="00883687" w:rsidRDefault="00166A88" w:rsidP="006C636D">
      <w:pPr>
        <w:spacing w:after="0" w:line="240" w:lineRule="auto"/>
        <w:rPr>
          <w:rFonts w:ascii="Arial" w:hAnsi="Arial" w:cs="Arial"/>
          <w:noProof/>
          <w:lang w:eastAsia="es-ES"/>
        </w:rPr>
      </w:pPr>
      <w:r>
        <w:rPr>
          <w:noProof/>
        </w:rPr>
        <w:drawing>
          <wp:inline distT="0" distB="0" distL="0" distR="0" wp14:anchorId="0C15DA90" wp14:editId="3D6E778A">
            <wp:extent cx="5888736" cy="4506163"/>
            <wp:effectExtent l="0" t="0" r="0" b="8890"/>
            <wp:docPr id="3" name="Imagen 3" descr="C:\Users\jmenendez\AppData\Local\Microsoft\Windows\Temporary Internet Files\Content.Outlook\8PE9VIZI\ciclop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menendez\AppData\Local\Microsoft\Windows\Temporary Internet Files\Content.Outlook\8PE9VIZI\ciclopres (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890642" cy="4507622"/>
                    </a:xfrm>
                    <a:prstGeom prst="rect">
                      <a:avLst/>
                    </a:prstGeom>
                    <a:noFill/>
                    <a:ln>
                      <a:noFill/>
                    </a:ln>
                  </pic:spPr>
                </pic:pic>
              </a:graphicData>
            </a:graphic>
          </wp:inline>
        </w:drawing>
      </w:r>
    </w:p>
    <w:p w:rsidR="00166A88" w:rsidRDefault="00166A88" w:rsidP="00166A88">
      <w:pPr>
        <w:spacing w:after="0" w:line="240" w:lineRule="auto"/>
        <w:ind w:hanging="1"/>
        <w:jc w:val="both"/>
        <w:rPr>
          <w:rFonts w:ascii="Arial" w:hAnsi="Arial" w:cs="Arial"/>
          <w:b/>
          <w:u w:val="single"/>
          <w:lang w:val="es-MX"/>
        </w:rPr>
      </w:pPr>
      <w:bookmarkStart w:id="0" w:name="_GoBack"/>
      <w:bookmarkEnd w:id="0"/>
    </w:p>
    <w:p w:rsidR="006C636D" w:rsidRPr="00B860B4" w:rsidRDefault="006C636D" w:rsidP="00166A88">
      <w:pPr>
        <w:spacing w:after="0" w:line="240" w:lineRule="auto"/>
        <w:ind w:hanging="1"/>
        <w:jc w:val="both"/>
        <w:rPr>
          <w:rFonts w:ascii="Arial" w:hAnsi="Arial" w:cs="Arial"/>
          <w:b/>
          <w:u w:val="single"/>
          <w:lang w:val="es-MX"/>
        </w:rPr>
      </w:pPr>
      <w:r w:rsidRPr="00B860B4">
        <w:rPr>
          <w:rFonts w:ascii="Arial" w:hAnsi="Arial" w:cs="Arial"/>
          <w:b/>
          <w:u w:val="single"/>
          <w:lang w:val="es-MX"/>
        </w:rPr>
        <w:t>Marco legal que rige al presupuesto</w:t>
      </w:r>
    </w:p>
    <w:p w:rsidR="006C636D" w:rsidRPr="00B860B4" w:rsidRDefault="006C636D" w:rsidP="006C636D">
      <w:pPr>
        <w:spacing w:after="0" w:line="240" w:lineRule="auto"/>
        <w:ind w:hanging="1"/>
        <w:jc w:val="both"/>
        <w:rPr>
          <w:rFonts w:ascii="Arial" w:hAnsi="Arial" w:cs="Arial"/>
        </w:rPr>
      </w:pPr>
    </w:p>
    <w:p w:rsidR="006C636D" w:rsidRPr="00572E12" w:rsidRDefault="006C636D" w:rsidP="006C636D">
      <w:pPr>
        <w:spacing w:after="0" w:line="240" w:lineRule="auto"/>
        <w:ind w:hanging="1"/>
        <w:jc w:val="both"/>
        <w:rPr>
          <w:rFonts w:ascii="Arial" w:hAnsi="Arial" w:cs="Arial"/>
        </w:rPr>
      </w:pPr>
      <w:r w:rsidRPr="00572E12">
        <w:rPr>
          <w:rFonts w:ascii="Arial" w:hAnsi="Arial" w:cs="Arial"/>
        </w:rPr>
        <w:t>El marco legal que rige al presupuesto de la nación, en sus diversas etapas, es principalmente:</w:t>
      </w:r>
    </w:p>
    <w:p w:rsidR="006C636D" w:rsidRPr="00572E12" w:rsidRDefault="006C636D" w:rsidP="006C636D">
      <w:pPr>
        <w:spacing w:after="0" w:line="240" w:lineRule="auto"/>
        <w:ind w:hanging="1"/>
        <w:jc w:val="both"/>
        <w:rPr>
          <w:rFonts w:ascii="Arial" w:hAnsi="Arial" w:cs="Arial"/>
        </w:rPr>
      </w:pPr>
    </w:p>
    <w:p w:rsidR="006C636D" w:rsidRPr="00572E12" w:rsidRDefault="006C636D" w:rsidP="00EB3C80">
      <w:pPr>
        <w:pStyle w:val="Prrafodelista"/>
        <w:numPr>
          <w:ilvl w:val="0"/>
          <w:numId w:val="15"/>
        </w:numPr>
        <w:spacing w:line="240" w:lineRule="auto"/>
        <w:jc w:val="both"/>
        <w:rPr>
          <w:rFonts w:ascii="Arial" w:hAnsi="Arial" w:cs="Arial"/>
        </w:rPr>
      </w:pPr>
      <w:r w:rsidRPr="00572E12">
        <w:rPr>
          <w:rFonts w:ascii="Arial" w:hAnsi="Arial" w:cs="Arial"/>
        </w:rPr>
        <w:t>Constitución Política de la República de Guatemala.</w:t>
      </w:r>
      <w:r w:rsidRPr="00572E12">
        <w:rPr>
          <w:rStyle w:val="Refdenotaalpie"/>
          <w:rFonts w:ascii="Arial" w:hAnsi="Arial" w:cs="Arial"/>
        </w:rPr>
        <w:footnoteReference w:id="7"/>
      </w:r>
    </w:p>
    <w:p w:rsidR="006C636D" w:rsidRPr="00572E12" w:rsidRDefault="006C636D" w:rsidP="00EB3C80">
      <w:pPr>
        <w:pStyle w:val="Prrafodelista"/>
        <w:numPr>
          <w:ilvl w:val="0"/>
          <w:numId w:val="15"/>
        </w:numPr>
        <w:spacing w:line="240" w:lineRule="auto"/>
        <w:jc w:val="both"/>
        <w:rPr>
          <w:rFonts w:ascii="Arial" w:hAnsi="Arial" w:cs="Arial"/>
        </w:rPr>
      </w:pPr>
      <w:r w:rsidRPr="00572E12">
        <w:rPr>
          <w:rFonts w:ascii="Arial" w:hAnsi="Arial" w:cs="Arial"/>
        </w:rPr>
        <w:t>Decreto No.101-97 del Congreso de la República de Guatemala, Ley Orgánica del Presupuesto</w:t>
      </w:r>
      <w:r w:rsidRPr="00572E12">
        <w:rPr>
          <w:rStyle w:val="Refdenotaalpie"/>
          <w:rFonts w:ascii="Arial" w:hAnsi="Arial" w:cs="Arial"/>
        </w:rPr>
        <w:footnoteReference w:id="8"/>
      </w:r>
      <w:r w:rsidRPr="00572E12">
        <w:rPr>
          <w:rFonts w:ascii="Arial" w:hAnsi="Arial" w:cs="Arial"/>
        </w:rPr>
        <w:t xml:space="preserve"> y sus reformas.</w:t>
      </w:r>
    </w:p>
    <w:p w:rsidR="006C636D" w:rsidRPr="00572E12" w:rsidRDefault="002973C6" w:rsidP="00EB3C80">
      <w:pPr>
        <w:pStyle w:val="Prrafodelista"/>
        <w:numPr>
          <w:ilvl w:val="0"/>
          <w:numId w:val="15"/>
        </w:numPr>
        <w:spacing w:after="0" w:line="240" w:lineRule="auto"/>
        <w:jc w:val="both"/>
        <w:rPr>
          <w:rFonts w:ascii="Arial" w:hAnsi="Arial" w:cs="Arial"/>
        </w:rPr>
      </w:pPr>
      <w:r>
        <w:rPr>
          <w:rFonts w:ascii="Arial" w:hAnsi="Arial" w:cs="Arial"/>
        </w:rPr>
        <w:t xml:space="preserve">Para el presente año, el </w:t>
      </w:r>
      <w:r w:rsidR="006C636D" w:rsidRPr="00572E12">
        <w:rPr>
          <w:rFonts w:ascii="Arial" w:hAnsi="Arial" w:cs="Arial"/>
        </w:rPr>
        <w:t xml:space="preserve">Decreto No. </w:t>
      </w:r>
      <w:r w:rsidR="006C636D">
        <w:rPr>
          <w:rFonts w:ascii="Arial" w:hAnsi="Arial" w:cs="Arial"/>
        </w:rPr>
        <w:t>25-2018</w:t>
      </w:r>
      <w:r w:rsidR="006C636D" w:rsidRPr="00572E12">
        <w:rPr>
          <w:rFonts w:ascii="Arial" w:hAnsi="Arial" w:cs="Arial"/>
        </w:rPr>
        <w:t>, Ley del Presupuesto General de Ingresos y Egresos del Estado para el Ejercicio Fiscal 201</w:t>
      </w:r>
      <w:r w:rsidR="006C636D">
        <w:rPr>
          <w:rFonts w:ascii="Arial" w:hAnsi="Arial" w:cs="Arial"/>
        </w:rPr>
        <w:t>9</w:t>
      </w:r>
      <w:r w:rsidR="006C636D" w:rsidRPr="00572E12">
        <w:rPr>
          <w:rFonts w:ascii="Arial" w:hAnsi="Arial" w:cs="Arial"/>
        </w:rPr>
        <w:t>.</w:t>
      </w:r>
    </w:p>
    <w:p w:rsidR="006C636D" w:rsidRPr="00572E12" w:rsidRDefault="006C636D" w:rsidP="006C636D">
      <w:pPr>
        <w:pStyle w:val="Prrafodelista"/>
        <w:spacing w:after="0" w:line="240" w:lineRule="auto"/>
        <w:jc w:val="both"/>
        <w:rPr>
          <w:rFonts w:ascii="Arial" w:hAnsi="Arial" w:cs="Arial"/>
        </w:rPr>
      </w:pPr>
    </w:p>
    <w:p w:rsidR="006C636D" w:rsidRPr="00A85E1C" w:rsidRDefault="006C636D" w:rsidP="006C636D">
      <w:pPr>
        <w:pStyle w:val="Prrafodelista"/>
        <w:spacing w:after="0" w:line="240" w:lineRule="auto"/>
        <w:ind w:left="0"/>
        <w:jc w:val="both"/>
        <w:rPr>
          <w:rFonts w:ascii="Arial" w:hAnsi="Arial" w:cs="Arial"/>
        </w:rPr>
      </w:pPr>
    </w:p>
    <w:p w:rsidR="006C636D" w:rsidRPr="00A85E1C" w:rsidRDefault="006C636D" w:rsidP="00EB3C80">
      <w:pPr>
        <w:pStyle w:val="Prrafodelista"/>
        <w:numPr>
          <w:ilvl w:val="0"/>
          <w:numId w:val="17"/>
        </w:numPr>
        <w:spacing w:after="0" w:line="240" w:lineRule="auto"/>
        <w:ind w:left="284" w:hanging="284"/>
        <w:jc w:val="both"/>
        <w:rPr>
          <w:rFonts w:ascii="Arial" w:hAnsi="Arial" w:cs="Arial"/>
          <w:b/>
          <w:u w:val="single"/>
          <w:lang w:val="es-MX"/>
        </w:rPr>
      </w:pPr>
      <w:r w:rsidRPr="00A85E1C">
        <w:rPr>
          <w:rFonts w:ascii="Arial" w:hAnsi="Arial" w:cs="Arial"/>
          <w:b/>
          <w:u w:val="single"/>
          <w:lang w:val="es-MX"/>
        </w:rPr>
        <w:t>Procedencia de los recursos públicos</w:t>
      </w:r>
    </w:p>
    <w:p w:rsidR="006C636D" w:rsidRPr="00A85E1C" w:rsidRDefault="006C636D" w:rsidP="006C636D">
      <w:pPr>
        <w:spacing w:after="0" w:line="240" w:lineRule="auto"/>
        <w:jc w:val="both"/>
        <w:rPr>
          <w:rFonts w:ascii="Arial" w:hAnsi="Arial" w:cs="Arial"/>
        </w:rPr>
      </w:pPr>
    </w:p>
    <w:p w:rsidR="006C636D" w:rsidRPr="00883687" w:rsidRDefault="006C636D" w:rsidP="006C636D">
      <w:pPr>
        <w:spacing w:after="0" w:line="240" w:lineRule="auto"/>
        <w:ind w:hanging="1"/>
        <w:jc w:val="both"/>
        <w:rPr>
          <w:rFonts w:ascii="Arial" w:hAnsi="Arial" w:cs="Arial"/>
        </w:rPr>
      </w:pPr>
      <w:r w:rsidRPr="00883687">
        <w:rPr>
          <w:rFonts w:ascii="Arial" w:hAnsi="Arial" w:cs="Arial"/>
        </w:rPr>
        <w:t xml:space="preserve">Con el propósito de atender las necesidades colectivas de la población, el gobierno obtiene </w:t>
      </w:r>
      <w:r>
        <w:rPr>
          <w:rFonts w:ascii="Arial" w:hAnsi="Arial" w:cs="Arial"/>
        </w:rPr>
        <w:t>recursos a través de impuestos, actividades económicas que generan</w:t>
      </w:r>
      <w:r w:rsidRPr="00883687">
        <w:rPr>
          <w:rFonts w:ascii="Arial" w:hAnsi="Arial" w:cs="Arial"/>
        </w:rPr>
        <w:t xml:space="preserve"> ingresos propios, obtención de préstamos a nivel interno y externo, donaciones recibidas de países amigos, colocación de bonos, entre otros.   La entidad encargada de recaudar los impuestos es la Superintendencia de  Administración  Tributaria</w:t>
      </w:r>
      <w:r w:rsidRPr="00883687">
        <w:rPr>
          <w:rStyle w:val="Refdenotaalpie"/>
          <w:rFonts w:ascii="Arial" w:hAnsi="Arial" w:cs="Arial"/>
        </w:rPr>
        <w:footnoteReference w:id="9"/>
      </w:r>
      <w:r w:rsidRPr="00883687">
        <w:rPr>
          <w:rFonts w:ascii="Arial" w:hAnsi="Arial" w:cs="Arial"/>
        </w:rPr>
        <w:t xml:space="preserve"> -SAT-, con excepción de los recursos que por ley administran y recaudan las Municipalidades.  Los préstamos, las donaciones y colocación de bonos son administrados por el Ministerio de Finanzas Públicas.</w:t>
      </w:r>
    </w:p>
    <w:p w:rsidR="006C636D" w:rsidRPr="00A85E1C" w:rsidRDefault="006C636D" w:rsidP="006C636D">
      <w:pPr>
        <w:pStyle w:val="Prrafodelista"/>
        <w:spacing w:line="240" w:lineRule="auto"/>
        <w:ind w:left="0"/>
        <w:jc w:val="both"/>
        <w:rPr>
          <w:rFonts w:ascii="Arial" w:hAnsi="Arial" w:cs="Arial"/>
        </w:rPr>
      </w:pPr>
    </w:p>
    <w:p w:rsidR="006C636D" w:rsidRPr="00A85E1C" w:rsidRDefault="006C636D" w:rsidP="00EB3C80">
      <w:pPr>
        <w:pStyle w:val="Prrafodelista"/>
        <w:numPr>
          <w:ilvl w:val="0"/>
          <w:numId w:val="17"/>
        </w:numPr>
        <w:spacing w:after="0" w:line="240" w:lineRule="auto"/>
        <w:ind w:left="284" w:hanging="284"/>
        <w:jc w:val="both"/>
        <w:rPr>
          <w:rFonts w:ascii="Arial" w:hAnsi="Arial" w:cs="Arial"/>
          <w:b/>
          <w:u w:val="single"/>
          <w:lang w:val="es-MX"/>
        </w:rPr>
      </w:pPr>
      <w:r w:rsidRPr="00A85E1C">
        <w:rPr>
          <w:rFonts w:ascii="Arial" w:hAnsi="Arial" w:cs="Arial"/>
          <w:b/>
          <w:u w:val="single"/>
          <w:lang w:val="es-MX"/>
        </w:rPr>
        <w:t>Impuesto</w:t>
      </w:r>
      <w:r>
        <w:rPr>
          <w:rFonts w:ascii="Arial" w:hAnsi="Arial" w:cs="Arial"/>
          <w:b/>
          <w:u w:val="single"/>
          <w:lang w:val="es-MX"/>
        </w:rPr>
        <w:t>s</w:t>
      </w:r>
    </w:p>
    <w:p w:rsidR="006C636D" w:rsidRPr="00A85E1C" w:rsidRDefault="006C636D" w:rsidP="006C636D">
      <w:pPr>
        <w:spacing w:after="0" w:line="240" w:lineRule="auto"/>
        <w:jc w:val="both"/>
        <w:rPr>
          <w:rFonts w:ascii="Arial" w:hAnsi="Arial" w:cs="Arial"/>
          <w:lang w:val="es-MX"/>
        </w:rPr>
      </w:pPr>
    </w:p>
    <w:p w:rsidR="006C636D" w:rsidRPr="00883687" w:rsidRDefault="006C636D" w:rsidP="006C636D">
      <w:pPr>
        <w:spacing w:after="0" w:line="240" w:lineRule="auto"/>
        <w:ind w:hanging="1"/>
        <w:jc w:val="both"/>
        <w:rPr>
          <w:rFonts w:ascii="Arial" w:hAnsi="Arial" w:cs="Arial"/>
        </w:rPr>
      </w:pPr>
      <w:r>
        <w:rPr>
          <w:rFonts w:ascii="Arial" w:hAnsi="Arial" w:cs="Arial"/>
        </w:rPr>
        <w:t>Son</w:t>
      </w:r>
      <w:r w:rsidRPr="00883687">
        <w:rPr>
          <w:rFonts w:ascii="Arial" w:hAnsi="Arial" w:cs="Arial"/>
        </w:rPr>
        <w:t xml:space="preserve"> </w:t>
      </w:r>
      <w:r>
        <w:rPr>
          <w:rFonts w:ascii="Arial" w:hAnsi="Arial" w:cs="Arial"/>
        </w:rPr>
        <w:t>los</w:t>
      </w:r>
      <w:r w:rsidRPr="00883687">
        <w:rPr>
          <w:rFonts w:ascii="Arial" w:hAnsi="Arial" w:cs="Arial"/>
        </w:rPr>
        <w:t xml:space="preserve"> tributo</w:t>
      </w:r>
      <w:r>
        <w:rPr>
          <w:rFonts w:ascii="Arial" w:hAnsi="Arial" w:cs="Arial"/>
        </w:rPr>
        <w:t>s</w:t>
      </w:r>
      <w:r w:rsidRPr="00883687">
        <w:rPr>
          <w:rFonts w:ascii="Arial" w:hAnsi="Arial" w:cs="Arial"/>
        </w:rPr>
        <w:t xml:space="preserve"> que se exige</w:t>
      </w:r>
      <w:r>
        <w:rPr>
          <w:rFonts w:ascii="Arial" w:hAnsi="Arial" w:cs="Arial"/>
        </w:rPr>
        <w:t>n</w:t>
      </w:r>
      <w:r w:rsidRPr="00883687">
        <w:rPr>
          <w:rFonts w:ascii="Arial" w:hAnsi="Arial" w:cs="Arial"/>
        </w:rPr>
        <w:t xml:space="preserve"> a los ciudadanos de acuerdo a su capacidad económica. En Guatemala tenemos impuestos directos como el Impuesto Sobre la Renta (ISR) e impuestos indirectos, cuando se grava el consumo o gasto, como el Impuesto al Valor Agregado (IVA). Los impuestos recaudados son distribuidos en los programas y proyectos incluidos en el Presupuesto del Estado.</w:t>
      </w:r>
    </w:p>
    <w:p w:rsidR="006C636D" w:rsidRPr="00883687" w:rsidRDefault="006C636D" w:rsidP="006C636D">
      <w:pPr>
        <w:spacing w:after="0" w:line="240" w:lineRule="auto"/>
        <w:ind w:hanging="1"/>
        <w:jc w:val="both"/>
        <w:rPr>
          <w:rFonts w:ascii="Arial" w:hAnsi="Arial" w:cs="Arial"/>
        </w:rPr>
      </w:pPr>
    </w:p>
    <w:p w:rsidR="006C636D" w:rsidRDefault="006C636D" w:rsidP="006C636D">
      <w:pPr>
        <w:spacing w:after="0" w:line="240" w:lineRule="auto"/>
        <w:ind w:hanging="1"/>
        <w:jc w:val="both"/>
        <w:rPr>
          <w:rFonts w:ascii="Arial" w:hAnsi="Arial" w:cs="Arial"/>
        </w:rPr>
      </w:pPr>
      <w:r w:rsidRPr="00883687">
        <w:rPr>
          <w:rFonts w:ascii="Arial" w:hAnsi="Arial" w:cs="Arial"/>
          <w:lang w:val="es-MX"/>
        </w:rPr>
        <w:t>Sin embargo, cuando los ingresos previstos por concepto de impuestos, no son suficientes para cubrir los programas y proyectos, el Gobierno debe obtener otras fuentes de financiamiento, entre ellas, préstamos contratados con Organismos Internacionales [Banco Interamericano de Desarrollo (BID), Banco Mundial (BM), Banco Centroamericano de Integración Económica (BCIE)], y a través de la emisión de Bonos del Tesoro. También coadyuvan a complementar el presupuesto algunas donaciones que países amigos brindan para programas y proyectos específicos.</w:t>
      </w:r>
      <w:r>
        <w:rPr>
          <w:rFonts w:ascii="Arial" w:hAnsi="Arial" w:cs="Arial"/>
          <w:lang w:val="es-MX"/>
        </w:rPr>
        <w:t xml:space="preserve"> </w:t>
      </w:r>
      <w:r w:rsidRPr="00883687">
        <w:rPr>
          <w:rFonts w:ascii="Arial" w:hAnsi="Arial" w:cs="Arial"/>
        </w:rPr>
        <w:t xml:space="preserve">  Lo anterior induce a preguntar:</w:t>
      </w:r>
    </w:p>
    <w:p w:rsidR="006C636D" w:rsidRDefault="006C636D" w:rsidP="006C636D">
      <w:pPr>
        <w:spacing w:after="0" w:line="240" w:lineRule="auto"/>
        <w:ind w:hanging="1"/>
        <w:jc w:val="both"/>
        <w:rPr>
          <w:rFonts w:ascii="Arial" w:hAnsi="Arial" w:cs="Arial"/>
        </w:rPr>
      </w:pPr>
    </w:p>
    <w:p w:rsidR="006C636D" w:rsidRDefault="006C636D" w:rsidP="006C636D">
      <w:pPr>
        <w:rPr>
          <w:rFonts w:ascii="Arial" w:hAnsi="Arial" w:cs="Arial"/>
        </w:rPr>
      </w:pPr>
      <w:r>
        <w:rPr>
          <w:rFonts w:ascii="Arial" w:hAnsi="Arial" w:cs="Arial"/>
        </w:rPr>
        <w:br w:type="page"/>
      </w:r>
    </w:p>
    <w:p w:rsidR="006C636D" w:rsidRDefault="006C636D" w:rsidP="006C636D">
      <w:pPr>
        <w:spacing w:after="0" w:line="240" w:lineRule="auto"/>
        <w:ind w:hanging="1"/>
        <w:jc w:val="both"/>
        <w:rPr>
          <w:rFonts w:ascii="Arial" w:hAnsi="Arial" w:cs="Arial"/>
        </w:rPr>
      </w:pPr>
      <w:r w:rsidRPr="000562EF">
        <w:rPr>
          <w:noProof/>
        </w:rPr>
        <w:lastRenderedPageBreak/>
        <w:drawing>
          <wp:inline distT="0" distB="0" distL="0" distR="0" wp14:anchorId="5AD18EAE" wp14:editId="345B83CD">
            <wp:extent cx="5610225" cy="3549828"/>
            <wp:effectExtent l="0" t="0" r="0" b="0"/>
            <wp:docPr id="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srcRect/>
                    <a:stretch>
                      <a:fillRect/>
                    </a:stretch>
                  </pic:blipFill>
                  <pic:spPr bwMode="auto">
                    <a:xfrm>
                      <a:off x="0" y="0"/>
                      <a:ext cx="5609565" cy="3549411"/>
                    </a:xfrm>
                    <a:prstGeom prst="rect">
                      <a:avLst/>
                    </a:prstGeom>
                    <a:noFill/>
                    <a:ln w="9525">
                      <a:noFill/>
                      <a:miter lim="800000"/>
                      <a:headEnd/>
                      <a:tailEnd/>
                    </a:ln>
                  </pic:spPr>
                </pic:pic>
              </a:graphicData>
            </a:graphic>
          </wp:inline>
        </w:drawing>
      </w:r>
    </w:p>
    <w:p w:rsidR="006C636D" w:rsidRDefault="006C636D" w:rsidP="006C636D">
      <w:pPr>
        <w:spacing w:after="0" w:line="240" w:lineRule="auto"/>
        <w:ind w:hanging="1"/>
        <w:jc w:val="both"/>
        <w:rPr>
          <w:rFonts w:ascii="Arial" w:hAnsi="Arial" w:cs="Arial"/>
        </w:rPr>
      </w:pPr>
    </w:p>
    <w:p w:rsidR="006C636D" w:rsidRPr="00883687" w:rsidRDefault="006C636D" w:rsidP="00EB3C80">
      <w:pPr>
        <w:pStyle w:val="Prrafodelista"/>
        <w:numPr>
          <w:ilvl w:val="0"/>
          <w:numId w:val="17"/>
        </w:numPr>
        <w:spacing w:after="0" w:line="240" w:lineRule="auto"/>
        <w:ind w:left="284" w:hanging="284"/>
        <w:jc w:val="both"/>
        <w:rPr>
          <w:rFonts w:ascii="Arial" w:hAnsi="Arial" w:cs="Arial"/>
          <w:b/>
          <w:lang w:val="es-MX"/>
        </w:rPr>
      </w:pPr>
      <w:r w:rsidRPr="00883687">
        <w:rPr>
          <w:rFonts w:ascii="Arial" w:hAnsi="Arial" w:cs="Arial"/>
          <w:b/>
          <w:u w:val="single"/>
          <w:lang w:val="es-MX"/>
        </w:rPr>
        <w:t>Equilibrio Presupuestario</w:t>
      </w:r>
    </w:p>
    <w:p w:rsidR="006C636D" w:rsidRPr="00883687" w:rsidRDefault="006C636D" w:rsidP="006C636D">
      <w:pPr>
        <w:spacing w:after="0" w:line="240" w:lineRule="auto"/>
        <w:ind w:hanging="1"/>
        <w:jc w:val="both"/>
        <w:rPr>
          <w:rFonts w:ascii="Arial" w:hAnsi="Arial" w:cs="Arial"/>
          <w:lang w:val="es-MX"/>
        </w:rPr>
      </w:pPr>
    </w:p>
    <w:p w:rsidR="006C636D" w:rsidRPr="00883687" w:rsidRDefault="006C636D" w:rsidP="006C636D">
      <w:pPr>
        <w:spacing w:after="0" w:line="240" w:lineRule="auto"/>
        <w:ind w:hanging="1"/>
        <w:jc w:val="both"/>
        <w:rPr>
          <w:rFonts w:ascii="Arial" w:hAnsi="Arial" w:cs="Arial"/>
          <w:lang w:val="es-MX"/>
        </w:rPr>
      </w:pPr>
      <w:r w:rsidRPr="00883687">
        <w:rPr>
          <w:rFonts w:ascii="Arial" w:hAnsi="Arial" w:cs="Arial"/>
          <w:lang w:val="es-MX"/>
        </w:rPr>
        <w:t>Es el principio que estipula que el nivel de ingresos debe ser coincidente con el nivel de egresos, a fin de que las finanzas públicas cuenten con la provisión de recursos que permitirán realizar las actividades planificadas.</w:t>
      </w:r>
    </w:p>
    <w:p w:rsidR="006C636D" w:rsidRPr="00883687" w:rsidRDefault="006C636D" w:rsidP="006C636D">
      <w:pPr>
        <w:spacing w:after="0" w:line="240" w:lineRule="auto"/>
        <w:ind w:hanging="1"/>
        <w:jc w:val="both"/>
        <w:rPr>
          <w:rFonts w:ascii="Arial" w:hAnsi="Arial" w:cs="Arial"/>
          <w:lang w:val="es-MX"/>
        </w:rPr>
      </w:pPr>
    </w:p>
    <w:p w:rsidR="006C636D" w:rsidRPr="00883687" w:rsidRDefault="006C636D" w:rsidP="006C636D">
      <w:pPr>
        <w:spacing w:after="0" w:line="240" w:lineRule="auto"/>
        <w:ind w:hanging="1"/>
        <w:jc w:val="both"/>
        <w:rPr>
          <w:rFonts w:ascii="Arial" w:hAnsi="Arial" w:cs="Arial"/>
        </w:rPr>
      </w:pPr>
      <w:r w:rsidRPr="00883687">
        <w:rPr>
          <w:rFonts w:ascii="Arial" w:hAnsi="Arial" w:cs="Arial"/>
        </w:rPr>
        <w:t xml:space="preserve">Atendiendo a dicho principio, el presupuesto contiene la estimación de las distintas fuentes de recursos (ingresos), con las cuales se financiarán las autorizaciones máximas de gastos (egresos) para el período de un año. </w:t>
      </w:r>
    </w:p>
    <w:p w:rsidR="006C636D" w:rsidRPr="00883687" w:rsidRDefault="006C636D" w:rsidP="006C636D">
      <w:pPr>
        <w:spacing w:after="0" w:line="240" w:lineRule="auto"/>
        <w:ind w:hanging="1"/>
        <w:jc w:val="both"/>
        <w:rPr>
          <w:rFonts w:ascii="Arial" w:hAnsi="Arial" w:cs="Arial"/>
        </w:rPr>
      </w:pPr>
    </w:p>
    <w:p w:rsidR="006C636D" w:rsidRPr="00883687" w:rsidRDefault="006C636D" w:rsidP="006C636D">
      <w:pPr>
        <w:spacing w:after="0" w:line="240" w:lineRule="auto"/>
        <w:ind w:hanging="1"/>
        <w:jc w:val="both"/>
        <w:rPr>
          <w:rFonts w:ascii="Arial" w:hAnsi="Arial" w:cs="Arial"/>
        </w:rPr>
      </w:pPr>
      <w:r w:rsidRPr="00883687">
        <w:rPr>
          <w:rFonts w:ascii="Arial" w:hAnsi="Arial" w:cs="Arial"/>
        </w:rPr>
        <w:t xml:space="preserve">El “presupuesto”, como su nombre lo indica, es un supuesto previo sobre los ingresos que se espera obtener y los egresos (gastos) que se programa realizar para alcanzar los objetivos de gobierno. </w:t>
      </w:r>
    </w:p>
    <w:p w:rsidR="006C636D" w:rsidRPr="00883687" w:rsidRDefault="006C636D" w:rsidP="006C636D">
      <w:pPr>
        <w:spacing w:after="0" w:line="240" w:lineRule="auto"/>
        <w:ind w:hanging="1"/>
        <w:jc w:val="both"/>
        <w:rPr>
          <w:rFonts w:ascii="Arial" w:hAnsi="Arial" w:cs="Arial"/>
        </w:rPr>
      </w:pPr>
    </w:p>
    <w:p w:rsidR="006C636D" w:rsidRPr="00883687" w:rsidRDefault="006C636D" w:rsidP="006C636D">
      <w:pPr>
        <w:spacing w:after="0" w:line="240" w:lineRule="auto"/>
        <w:ind w:hanging="1"/>
        <w:jc w:val="both"/>
        <w:rPr>
          <w:rFonts w:ascii="Arial" w:hAnsi="Arial" w:cs="Arial"/>
        </w:rPr>
      </w:pPr>
      <w:r w:rsidRPr="00883687">
        <w:rPr>
          <w:rFonts w:ascii="Arial" w:hAnsi="Arial" w:cs="Arial"/>
        </w:rPr>
        <w:t>El equilibrio presupuestario implica que los ingresos y los egresos deben tener el mismo monto</w:t>
      </w:r>
      <w:r>
        <w:rPr>
          <w:rFonts w:ascii="Arial" w:hAnsi="Arial" w:cs="Arial"/>
        </w:rPr>
        <w:t>.  E</w:t>
      </w:r>
      <w:r w:rsidRPr="00883687">
        <w:rPr>
          <w:rFonts w:ascii="Arial" w:hAnsi="Arial" w:cs="Arial"/>
        </w:rPr>
        <w:t>n otras palabras, deben existir las fuentes de ingresos para financiar los egresos considerados en el presupuesto. En 201</w:t>
      </w:r>
      <w:r w:rsidR="002433C9">
        <w:rPr>
          <w:rFonts w:ascii="Arial" w:hAnsi="Arial" w:cs="Arial"/>
        </w:rPr>
        <w:t>9</w:t>
      </w:r>
      <w:r w:rsidRPr="00883687">
        <w:rPr>
          <w:rFonts w:ascii="Arial" w:hAnsi="Arial" w:cs="Arial"/>
        </w:rPr>
        <w:t>, el presupuesto aprobado alcanza el monto siguiente:</w:t>
      </w:r>
    </w:p>
    <w:p w:rsidR="006C636D" w:rsidRDefault="006C636D" w:rsidP="006C636D">
      <w:pPr>
        <w:spacing w:after="0" w:line="240" w:lineRule="auto"/>
        <w:ind w:hanging="1"/>
        <w:jc w:val="both"/>
        <w:rPr>
          <w:rFonts w:ascii="Arial" w:hAnsi="Arial" w:cs="Arial"/>
        </w:rPr>
      </w:pPr>
    </w:p>
    <w:p w:rsidR="006C636D" w:rsidRDefault="006C636D" w:rsidP="006C636D">
      <w:pPr>
        <w:spacing w:after="0" w:line="240" w:lineRule="auto"/>
        <w:ind w:hanging="1"/>
        <w:jc w:val="both"/>
        <w:rPr>
          <w:rFonts w:ascii="Arial" w:hAnsi="Arial" w:cs="Arial"/>
        </w:rPr>
      </w:pPr>
      <w:r>
        <w:rPr>
          <w:rFonts w:ascii="Arial" w:hAnsi="Arial" w:cs="Arial"/>
          <w:noProof/>
        </w:rPr>
        <w:lastRenderedPageBreak/>
        <w:drawing>
          <wp:inline distT="0" distB="0" distL="0" distR="0" wp14:anchorId="35DC1A1A" wp14:editId="57E22DFD">
            <wp:extent cx="5591175" cy="1409700"/>
            <wp:effectExtent l="19050" t="57150" r="85725" b="76200"/>
            <wp:docPr id="60" name="Diagrama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2" r:lo="rId153" r:qs="rId154" r:cs="rId155"/>
              </a:graphicData>
            </a:graphic>
          </wp:inline>
        </w:drawing>
      </w:r>
    </w:p>
    <w:p w:rsidR="006C636D" w:rsidRPr="00794353" w:rsidRDefault="006C636D" w:rsidP="006C636D">
      <w:pPr>
        <w:spacing w:after="0" w:line="240" w:lineRule="auto"/>
        <w:ind w:hanging="1"/>
        <w:jc w:val="both"/>
        <w:rPr>
          <w:rFonts w:ascii="Arial" w:hAnsi="Arial" w:cs="Arial"/>
        </w:rPr>
      </w:pPr>
    </w:p>
    <w:p w:rsidR="006C636D" w:rsidRPr="00794353" w:rsidRDefault="006C636D" w:rsidP="00EB3C80">
      <w:pPr>
        <w:pStyle w:val="Prrafodelista"/>
        <w:numPr>
          <w:ilvl w:val="0"/>
          <w:numId w:val="17"/>
        </w:numPr>
        <w:spacing w:after="0" w:line="240" w:lineRule="auto"/>
        <w:ind w:left="284" w:hanging="284"/>
        <w:jc w:val="both"/>
        <w:rPr>
          <w:rFonts w:ascii="Arial" w:hAnsi="Arial" w:cs="Arial"/>
          <w:b/>
          <w:u w:val="single"/>
          <w:lang w:val="es-MX"/>
        </w:rPr>
      </w:pPr>
      <w:r w:rsidRPr="00794353">
        <w:rPr>
          <w:rFonts w:ascii="Arial" w:hAnsi="Arial" w:cs="Arial"/>
          <w:b/>
          <w:u w:val="single"/>
          <w:lang w:val="es-MX"/>
        </w:rPr>
        <w:t>Gasto Público</w:t>
      </w:r>
    </w:p>
    <w:p w:rsidR="006C636D" w:rsidRPr="00794353" w:rsidRDefault="006C636D" w:rsidP="006C636D">
      <w:pPr>
        <w:spacing w:after="0" w:line="240" w:lineRule="auto"/>
        <w:jc w:val="both"/>
        <w:rPr>
          <w:rFonts w:ascii="Arial" w:hAnsi="Arial" w:cs="Arial"/>
          <w:lang w:val="es-MX"/>
        </w:rPr>
      </w:pPr>
    </w:p>
    <w:p w:rsidR="006C636D" w:rsidRPr="00883687" w:rsidRDefault="006C636D" w:rsidP="006C636D">
      <w:pPr>
        <w:spacing w:after="0" w:line="240" w:lineRule="auto"/>
        <w:ind w:hanging="1"/>
        <w:jc w:val="both"/>
        <w:rPr>
          <w:rFonts w:ascii="Arial" w:hAnsi="Arial" w:cs="Arial"/>
          <w:lang w:val="es-MX"/>
        </w:rPr>
      </w:pPr>
      <w:r w:rsidRPr="00883687">
        <w:rPr>
          <w:rFonts w:ascii="Arial" w:hAnsi="Arial" w:cs="Arial"/>
          <w:lang w:val="es-MX"/>
        </w:rPr>
        <w:t xml:space="preserve">Es la asignación de recursos que el Organismo Ejecutivo propone, y que luego el Congreso de la República aprueba a las distintas instituciones del Estado, para que ejecuten los programas y proyectos </w:t>
      </w:r>
      <w:r>
        <w:rPr>
          <w:rFonts w:ascii="Arial" w:hAnsi="Arial" w:cs="Arial"/>
          <w:lang w:val="es-MX"/>
        </w:rPr>
        <w:t>a través de</w:t>
      </w:r>
      <w:r w:rsidRPr="00883687">
        <w:rPr>
          <w:rFonts w:ascii="Arial" w:hAnsi="Arial" w:cs="Arial"/>
          <w:lang w:val="es-MX"/>
        </w:rPr>
        <w:t xml:space="preserve"> los cuales se atienden las necesidades de la población.</w:t>
      </w:r>
    </w:p>
    <w:p w:rsidR="006C636D" w:rsidRPr="00883687" w:rsidRDefault="006C636D" w:rsidP="006C636D">
      <w:pPr>
        <w:spacing w:after="0" w:line="240" w:lineRule="auto"/>
        <w:jc w:val="both"/>
        <w:rPr>
          <w:rFonts w:ascii="Arial" w:hAnsi="Arial" w:cs="Arial"/>
          <w:lang w:val="es-MX"/>
        </w:rPr>
      </w:pPr>
    </w:p>
    <w:p w:rsidR="006C636D" w:rsidRPr="00883687" w:rsidRDefault="006C636D" w:rsidP="006C636D">
      <w:pPr>
        <w:spacing w:after="0" w:line="240" w:lineRule="auto"/>
        <w:ind w:hanging="1"/>
        <w:jc w:val="both"/>
        <w:rPr>
          <w:rFonts w:ascii="Arial" w:hAnsi="Arial" w:cs="Arial"/>
          <w:lang w:val="es-MX"/>
        </w:rPr>
      </w:pPr>
      <w:r w:rsidRPr="00883687">
        <w:rPr>
          <w:rFonts w:ascii="Arial" w:hAnsi="Arial" w:cs="Arial"/>
          <w:lang w:val="es-MX"/>
        </w:rPr>
        <w:t>Para ello cada institución realiza previamente una planificación estratégica de mediano plazo, así como una planificación operativa anual, cuyo proceso orientador se encuentra a cargo de la Secretaría de Planificación y Programación de  la  Presidencia (SEGEPLAN), en coordinación con el Ministerio de Finanzas Públicas.</w:t>
      </w:r>
    </w:p>
    <w:p w:rsidR="006C636D" w:rsidRPr="00883687" w:rsidRDefault="006C636D" w:rsidP="006C636D">
      <w:pPr>
        <w:spacing w:after="0" w:line="240" w:lineRule="auto"/>
        <w:jc w:val="both"/>
        <w:rPr>
          <w:rFonts w:ascii="Arial" w:hAnsi="Arial" w:cs="Arial"/>
          <w:lang w:val="es-MX"/>
        </w:rPr>
      </w:pPr>
    </w:p>
    <w:p w:rsidR="006C636D" w:rsidRPr="00883687" w:rsidRDefault="006C636D" w:rsidP="006C636D">
      <w:pPr>
        <w:spacing w:after="0" w:line="240" w:lineRule="auto"/>
        <w:ind w:hanging="1"/>
        <w:jc w:val="both"/>
        <w:rPr>
          <w:rFonts w:ascii="Arial" w:hAnsi="Arial" w:cs="Arial"/>
          <w:lang w:val="es-MX"/>
        </w:rPr>
      </w:pPr>
      <w:r w:rsidRPr="00883687">
        <w:rPr>
          <w:rFonts w:ascii="Arial" w:hAnsi="Arial" w:cs="Arial"/>
          <w:lang w:val="es-MX"/>
        </w:rPr>
        <w:t xml:space="preserve">En el proceso de planificación cada institución bajo el enfoque de la gestión por resultados, determina los resultados estratégicos, </w:t>
      </w:r>
      <w:r>
        <w:rPr>
          <w:rFonts w:ascii="Arial" w:hAnsi="Arial" w:cs="Arial"/>
          <w:lang w:val="es-MX"/>
        </w:rPr>
        <w:t xml:space="preserve">y </w:t>
      </w:r>
      <w:r w:rsidRPr="00883687">
        <w:rPr>
          <w:rFonts w:ascii="Arial" w:hAnsi="Arial" w:cs="Arial"/>
          <w:lang w:val="es-MX"/>
        </w:rPr>
        <w:t xml:space="preserve">metas e indicadores para el ejercicio fiscal. Adicionalmente los programas y subprogramas presupuestarios institucionales se asocian a los resultados que prevé alcanzar a favor de los ciudadanos. Por tanto, la vinculación de la planificación y </w:t>
      </w:r>
      <w:proofErr w:type="spellStart"/>
      <w:r w:rsidRPr="00883687">
        <w:rPr>
          <w:rFonts w:ascii="Arial" w:hAnsi="Arial" w:cs="Arial"/>
          <w:lang w:val="es-MX"/>
        </w:rPr>
        <w:t>presupuestación</w:t>
      </w:r>
      <w:proofErr w:type="spellEnd"/>
      <w:r w:rsidRPr="00883687">
        <w:rPr>
          <w:rFonts w:ascii="Arial" w:hAnsi="Arial" w:cs="Arial"/>
          <w:lang w:val="es-MX"/>
        </w:rPr>
        <w:t>, se asocia de la manera siguiente:</w:t>
      </w:r>
    </w:p>
    <w:p w:rsidR="006C636D" w:rsidRPr="00883687" w:rsidRDefault="006C636D" w:rsidP="006C636D">
      <w:pPr>
        <w:spacing w:after="0" w:line="240" w:lineRule="auto"/>
        <w:jc w:val="center"/>
        <w:rPr>
          <w:rFonts w:ascii="Arial" w:hAnsi="Arial" w:cs="Arial"/>
          <w:lang w:val="es-MX"/>
        </w:rPr>
      </w:pPr>
    </w:p>
    <w:tbl>
      <w:tblPr>
        <w:tblStyle w:val="Listaclara-nfasis6"/>
        <w:tblW w:w="2740" w:type="pct"/>
        <w:tblInd w:w="2093" w:type="dxa"/>
        <w:tblLook w:val="04A0" w:firstRow="1" w:lastRow="0" w:firstColumn="1" w:lastColumn="0" w:noHBand="0" w:noVBand="1"/>
      </w:tblPr>
      <w:tblGrid>
        <w:gridCol w:w="3118"/>
        <w:gridCol w:w="1844"/>
      </w:tblGrid>
      <w:tr w:rsidR="006C636D" w:rsidRPr="00883687" w:rsidTr="00FC23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2" w:type="pct"/>
          </w:tcPr>
          <w:p w:rsidR="006C636D" w:rsidRPr="00883687" w:rsidRDefault="006C636D" w:rsidP="00FC23DC">
            <w:pPr>
              <w:jc w:val="center"/>
              <w:rPr>
                <w:rFonts w:ascii="Arial" w:hAnsi="Arial" w:cs="Arial"/>
                <w:color w:val="auto"/>
                <w:lang w:val="es-MX"/>
              </w:rPr>
            </w:pPr>
            <w:r w:rsidRPr="00883687">
              <w:rPr>
                <w:rFonts w:ascii="Arial" w:hAnsi="Arial" w:cs="Arial"/>
                <w:color w:val="auto"/>
                <w:lang w:val="es-MX"/>
              </w:rPr>
              <w:t>Categoría programática</w:t>
            </w:r>
          </w:p>
        </w:tc>
        <w:tc>
          <w:tcPr>
            <w:tcW w:w="1858" w:type="pct"/>
          </w:tcPr>
          <w:p w:rsidR="006C636D" w:rsidRPr="00883687" w:rsidRDefault="006C636D" w:rsidP="00FC23DC">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lang w:val="es-MX"/>
              </w:rPr>
            </w:pPr>
            <w:r w:rsidRPr="00883687">
              <w:rPr>
                <w:rFonts w:ascii="Arial" w:hAnsi="Arial" w:cs="Arial"/>
                <w:color w:val="auto"/>
                <w:lang w:val="es-MX"/>
              </w:rPr>
              <w:t>Se asocia a:</w:t>
            </w:r>
          </w:p>
        </w:tc>
      </w:tr>
      <w:tr w:rsidR="006C636D" w:rsidRPr="00883687" w:rsidTr="00FC2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2" w:type="pct"/>
          </w:tcPr>
          <w:p w:rsidR="006C636D" w:rsidRPr="00883687" w:rsidRDefault="006C636D" w:rsidP="00FC23DC">
            <w:pPr>
              <w:jc w:val="center"/>
              <w:rPr>
                <w:rFonts w:ascii="Arial" w:hAnsi="Arial" w:cs="Arial"/>
                <w:b w:val="0"/>
                <w:lang w:val="es-MX"/>
              </w:rPr>
            </w:pPr>
            <w:r w:rsidRPr="00883687">
              <w:rPr>
                <w:rFonts w:ascii="Arial" w:hAnsi="Arial" w:cs="Arial"/>
                <w:b w:val="0"/>
                <w:lang w:val="es-MX"/>
              </w:rPr>
              <w:t>Programa y/o Subprograma</w:t>
            </w:r>
          </w:p>
        </w:tc>
        <w:tc>
          <w:tcPr>
            <w:tcW w:w="1858" w:type="pct"/>
          </w:tcPr>
          <w:p w:rsidR="006C636D" w:rsidRPr="00883687" w:rsidRDefault="006C636D" w:rsidP="00FC23DC">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es-MX"/>
              </w:rPr>
            </w:pPr>
            <w:r w:rsidRPr="00883687">
              <w:rPr>
                <w:rFonts w:ascii="Arial" w:hAnsi="Arial" w:cs="Arial"/>
                <w:lang w:val="es-MX"/>
              </w:rPr>
              <w:t>Resultado</w:t>
            </w:r>
          </w:p>
        </w:tc>
      </w:tr>
      <w:tr w:rsidR="006C636D" w:rsidRPr="00883687" w:rsidTr="00FC23DC">
        <w:tc>
          <w:tcPr>
            <w:cnfStyle w:val="001000000000" w:firstRow="0" w:lastRow="0" w:firstColumn="1" w:lastColumn="0" w:oddVBand="0" w:evenVBand="0" w:oddHBand="0" w:evenHBand="0" w:firstRowFirstColumn="0" w:firstRowLastColumn="0" w:lastRowFirstColumn="0" w:lastRowLastColumn="0"/>
            <w:tcW w:w="3142" w:type="pct"/>
          </w:tcPr>
          <w:p w:rsidR="006C636D" w:rsidRPr="00883687" w:rsidRDefault="006C636D" w:rsidP="00FC23DC">
            <w:pPr>
              <w:jc w:val="center"/>
              <w:rPr>
                <w:rFonts w:ascii="Arial" w:hAnsi="Arial" w:cs="Arial"/>
                <w:b w:val="0"/>
                <w:lang w:val="es-MX"/>
              </w:rPr>
            </w:pPr>
            <w:r w:rsidRPr="00883687">
              <w:rPr>
                <w:rFonts w:ascii="Arial" w:hAnsi="Arial" w:cs="Arial"/>
                <w:b w:val="0"/>
                <w:lang w:val="es-MX"/>
              </w:rPr>
              <w:t>Actividad</w:t>
            </w:r>
          </w:p>
        </w:tc>
        <w:tc>
          <w:tcPr>
            <w:tcW w:w="1858" w:type="pct"/>
          </w:tcPr>
          <w:p w:rsidR="006C636D" w:rsidRPr="00883687" w:rsidRDefault="006C636D" w:rsidP="00FC23DC">
            <w:pPr>
              <w:jc w:val="center"/>
              <w:cnfStyle w:val="000000000000" w:firstRow="0" w:lastRow="0" w:firstColumn="0" w:lastColumn="0" w:oddVBand="0" w:evenVBand="0" w:oddHBand="0" w:evenHBand="0" w:firstRowFirstColumn="0" w:firstRowLastColumn="0" w:lastRowFirstColumn="0" w:lastRowLastColumn="0"/>
              <w:rPr>
                <w:rFonts w:ascii="Arial" w:hAnsi="Arial" w:cs="Arial"/>
                <w:lang w:val="es-MX"/>
              </w:rPr>
            </w:pPr>
            <w:r w:rsidRPr="00883687">
              <w:rPr>
                <w:rFonts w:ascii="Arial" w:hAnsi="Arial" w:cs="Arial"/>
                <w:lang w:val="es-MX"/>
              </w:rPr>
              <w:t>Producto</w:t>
            </w:r>
          </w:p>
        </w:tc>
      </w:tr>
    </w:tbl>
    <w:p w:rsidR="006C636D" w:rsidRDefault="006C636D" w:rsidP="006C636D">
      <w:pPr>
        <w:spacing w:after="0" w:line="240" w:lineRule="auto"/>
        <w:ind w:hanging="1"/>
        <w:jc w:val="center"/>
        <w:rPr>
          <w:rFonts w:ascii="Arial" w:hAnsi="Arial" w:cs="Arial"/>
          <w:lang w:val="es-MX"/>
        </w:rPr>
      </w:pPr>
    </w:p>
    <w:p w:rsidR="006C636D" w:rsidRDefault="006C636D" w:rsidP="006C636D">
      <w:pPr>
        <w:spacing w:after="0" w:line="240" w:lineRule="auto"/>
        <w:ind w:hanging="1"/>
        <w:jc w:val="both"/>
        <w:rPr>
          <w:rFonts w:ascii="Arial" w:hAnsi="Arial" w:cs="Arial"/>
          <w:lang w:val="es-MX"/>
        </w:rPr>
      </w:pPr>
      <w:r w:rsidRPr="00883687">
        <w:rPr>
          <w:rFonts w:ascii="Arial" w:hAnsi="Arial" w:cs="Arial"/>
          <w:lang w:val="es-MX"/>
        </w:rPr>
        <w:t>Un ejemplo de la asociación de la planificación y el presupuesto, en el caso del Ministerio de Educación, puede ser:</w:t>
      </w:r>
    </w:p>
    <w:p w:rsidR="006C636D" w:rsidRDefault="006C636D" w:rsidP="006C636D">
      <w:pPr>
        <w:spacing w:after="0" w:line="240" w:lineRule="auto"/>
        <w:ind w:hanging="1"/>
        <w:jc w:val="both"/>
        <w:rPr>
          <w:rFonts w:ascii="Arial" w:hAnsi="Arial" w:cs="Arial"/>
          <w:noProof/>
          <w:lang w:val="es-ES" w:eastAsia="es-ES"/>
        </w:rPr>
      </w:pPr>
    </w:p>
    <w:tbl>
      <w:tblPr>
        <w:tblStyle w:val="Tablaconcuadrcula"/>
        <w:tblW w:w="5000" w:type="pct"/>
        <w:tblLook w:val="04A0" w:firstRow="1" w:lastRow="0" w:firstColumn="1" w:lastColumn="0" w:noHBand="0" w:noVBand="1"/>
      </w:tblPr>
      <w:tblGrid>
        <w:gridCol w:w="1512"/>
        <w:gridCol w:w="2735"/>
        <w:gridCol w:w="1926"/>
        <w:gridCol w:w="2881"/>
      </w:tblGrid>
      <w:tr w:rsidR="006C636D" w:rsidRPr="00883687" w:rsidTr="00FC23DC">
        <w:trPr>
          <w:tblHeader/>
        </w:trPr>
        <w:tc>
          <w:tcPr>
            <w:tcW w:w="835" w:type="pct"/>
            <w:shd w:val="clear" w:color="auto" w:fill="FFCC00"/>
            <w:vAlign w:val="center"/>
          </w:tcPr>
          <w:p w:rsidR="006C636D" w:rsidRPr="00883687" w:rsidRDefault="006C636D" w:rsidP="00FC23DC">
            <w:pPr>
              <w:jc w:val="center"/>
              <w:rPr>
                <w:rFonts w:ascii="Arial" w:hAnsi="Arial" w:cs="Arial"/>
                <w:b/>
                <w:lang w:val="es-MX"/>
              </w:rPr>
            </w:pPr>
            <w:r w:rsidRPr="00883687">
              <w:rPr>
                <w:rFonts w:ascii="Arial" w:hAnsi="Arial" w:cs="Arial"/>
                <w:b/>
                <w:lang w:val="es-MX"/>
              </w:rPr>
              <w:t>Resultado Institucional</w:t>
            </w:r>
          </w:p>
        </w:tc>
        <w:tc>
          <w:tcPr>
            <w:tcW w:w="1510" w:type="pct"/>
            <w:shd w:val="clear" w:color="auto" w:fill="FFCC00"/>
            <w:vAlign w:val="center"/>
          </w:tcPr>
          <w:p w:rsidR="006C636D" w:rsidRPr="00883687" w:rsidRDefault="006C636D" w:rsidP="00FC23DC">
            <w:pPr>
              <w:jc w:val="center"/>
              <w:rPr>
                <w:rFonts w:ascii="Arial" w:hAnsi="Arial" w:cs="Arial"/>
                <w:b/>
                <w:lang w:val="es-MX"/>
              </w:rPr>
            </w:pPr>
            <w:r w:rsidRPr="00883687">
              <w:rPr>
                <w:rFonts w:ascii="Arial" w:hAnsi="Arial" w:cs="Arial"/>
                <w:b/>
                <w:lang w:val="es-MX"/>
              </w:rPr>
              <w:t>Programa/Subprograma Presupuestario</w:t>
            </w:r>
          </w:p>
        </w:tc>
        <w:tc>
          <w:tcPr>
            <w:tcW w:w="1064" w:type="pct"/>
            <w:shd w:val="clear" w:color="auto" w:fill="FFCC00"/>
            <w:vAlign w:val="center"/>
          </w:tcPr>
          <w:p w:rsidR="006C636D" w:rsidRPr="00883687" w:rsidRDefault="006C636D" w:rsidP="00FC23DC">
            <w:pPr>
              <w:jc w:val="center"/>
              <w:rPr>
                <w:rFonts w:ascii="Arial" w:hAnsi="Arial" w:cs="Arial"/>
                <w:b/>
                <w:lang w:val="es-MX"/>
              </w:rPr>
            </w:pPr>
            <w:r w:rsidRPr="00883687">
              <w:rPr>
                <w:rFonts w:ascii="Arial" w:hAnsi="Arial" w:cs="Arial"/>
                <w:b/>
                <w:lang w:val="es-MX"/>
              </w:rPr>
              <w:t>Actividad</w:t>
            </w:r>
          </w:p>
        </w:tc>
        <w:tc>
          <w:tcPr>
            <w:tcW w:w="1591" w:type="pct"/>
            <w:shd w:val="clear" w:color="auto" w:fill="FFCC00"/>
            <w:vAlign w:val="center"/>
          </w:tcPr>
          <w:p w:rsidR="006C636D" w:rsidRPr="00883687" w:rsidRDefault="006C636D" w:rsidP="00FC23DC">
            <w:pPr>
              <w:jc w:val="center"/>
              <w:rPr>
                <w:rFonts w:ascii="Arial" w:hAnsi="Arial" w:cs="Arial"/>
                <w:b/>
                <w:lang w:val="es-MX"/>
              </w:rPr>
            </w:pPr>
            <w:r w:rsidRPr="00883687">
              <w:rPr>
                <w:rFonts w:ascii="Arial" w:hAnsi="Arial" w:cs="Arial"/>
                <w:b/>
                <w:lang w:val="es-MX"/>
              </w:rPr>
              <w:t>Producto</w:t>
            </w:r>
          </w:p>
        </w:tc>
      </w:tr>
      <w:tr w:rsidR="006C636D" w:rsidRPr="00883687" w:rsidTr="00FC23DC">
        <w:trPr>
          <w:trHeight w:val="918"/>
        </w:trPr>
        <w:tc>
          <w:tcPr>
            <w:tcW w:w="835" w:type="pct"/>
            <w:vMerge w:val="restart"/>
            <w:shd w:val="clear" w:color="auto" w:fill="CCFF99"/>
            <w:textDirection w:val="btLr"/>
            <w:vAlign w:val="center"/>
          </w:tcPr>
          <w:p w:rsidR="006C636D" w:rsidRPr="00883687" w:rsidRDefault="006C636D" w:rsidP="00FC23DC">
            <w:pPr>
              <w:pStyle w:val="Default"/>
              <w:ind w:left="113" w:right="113"/>
              <w:jc w:val="center"/>
              <w:rPr>
                <w:rFonts w:ascii="Arial" w:hAnsi="Arial" w:cs="Arial"/>
                <w:color w:val="auto"/>
                <w:sz w:val="22"/>
                <w:szCs w:val="22"/>
                <w:lang w:val="es-MX"/>
              </w:rPr>
            </w:pPr>
            <w:r>
              <w:rPr>
                <w:rFonts w:ascii="Arial" w:hAnsi="Arial" w:cs="Arial"/>
                <w:color w:val="auto"/>
                <w:sz w:val="22"/>
                <w:szCs w:val="22"/>
                <w:lang w:val="es-MX"/>
              </w:rPr>
              <w:t>Para el 2019</w:t>
            </w:r>
            <w:r w:rsidRPr="00883687">
              <w:rPr>
                <w:rFonts w:ascii="Arial" w:hAnsi="Arial" w:cs="Arial"/>
                <w:color w:val="auto"/>
                <w:sz w:val="22"/>
                <w:szCs w:val="22"/>
                <w:lang w:val="es-MX"/>
              </w:rPr>
              <w:t xml:space="preserve">, </w:t>
            </w:r>
          </w:p>
          <w:p w:rsidR="006C636D" w:rsidRPr="00883687" w:rsidRDefault="006C636D" w:rsidP="00FC23DC">
            <w:pPr>
              <w:pStyle w:val="Default"/>
              <w:ind w:left="113" w:right="113"/>
              <w:jc w:val="center"/>
              <w:rPr>
                <w:rFonts w:ascii="Arial" w:hAnsi="Arial" w:cs="Arial"/>
                <w:color w:val="auto"/>
                <w:sz w:val="22"/>
                <w:szCs w:val="22"/>
                <w:lang w:val="es-MX"/>
              </w:rPr>
            </w:pPr>
            <w:r w:rsidRPr="00883687">
              <w:rPr>
                <w:rFonts w:ascii="Arial" w:hAnsi="Arial" w:cs="Arial"/>
                <w:color w:val="auto"/>
                <w:sz w:val="22"/>
                <w:szCs w:val="22"/>
                <w:lang w:val="es-MX"/>
              </w:rPr>
              <w:t xml:space="preserve">se ha incrementado la </w:t>
            </w:r>
            <w:r>
              <w:rPr>
                <w:rFonts w:ascii="Arial" w:hAnsi="Arial" w:cs="Arial"/>
                <w:color w:val="auto"/>
                <w:sz w:val="22"/>
                <w:szCs w:val="22"/>
                <w:lang w:val="es-MX"/>
              </w:rPr>
              <w:t xml:space="preserve"> cobertura de educación primaria en 6 puntos porcentuales</w:t>
            </w:r>
            <w:r w:rsidRPr="00883687">
              <w:rPr>
                <w:rFonts w:ascii="Arial" w:hAnsi="Arial" w:cs="Arial"/>
                <w:color w:val="auto"/>
                <w:sz w:val="22"/>
                <w:szCs w:val="22"/>
                <w:lang w:val="es-MX"/>
              </w:rPr>
              <w:t xml:space="preserve"> (de 8</w:t>
            </w:r>
            <w:r>
              <w:rPr>
                <w:rFonts w:ascii="Arial" w:hAnsi="Arial" w:cs="Arial"/>
                <w:color w:val="auto"/>
                <w:sz w:val="22"/>
                <w:szCs w:val="22"/>
                <w:lang w:val="es-MX"/>
              </w:rPr>
              <w:t>2.0</w:t>
            </w:r>
            <w:r w:rsidRPr="00883687">
              <w:rPr>
                <w:rFonts w:ascii="Arial" w:hAnsi="Arial" w:cs="Arial"/>
                <w:color w:val="auto"/>
                <w:sz w:val="22"/>
                <w:szCs w:val="22"/>
                <w:lang w:val="es-MX"/>
              </w:rPr>
              <w:t>% en 201</w:t>
            </w:r>
            <w:r>
              <w:rPr>
                <w:rFonts w:ascii="Arial" w:hAnsi="Arial" w:cs="Arial"/>
                <w:color w:val="auto"/>
                <w:sz w:val="22"/>
                <w:szCs w:val="22"/>
                <w:lang w:val="es-MX"/>
              </w:rPr>
              <w:t>4</w:t>
            </w:r>
            <w:r w:rsidRPr="00883687">
              <w:rPr>
                <w:rFonts w:ascii="Arial" w:hAnsi="Arial" w:cs="Arial"/>
                <w:color w:val="auto"/>
                <w:sz w:val="22"/>
                <w:szCs w:val="22"/>
                <w:lang w:val="es-MX"/>
              </w:rPr>
              <w:t xml:space="preserve"> a </w:t>
            </w:r>
            <w:r>
              <w:rPr>
                <w:rFonts w:ascii="Arial" w:hAnsi="Arial" w:cs="Arial"/>
                <w:color w:val="auto"/>
                <w:sz w:val="22"/>
                <w:szCs w:val="22"/>
                <w:lang w:val="es-MX"/>
              </w:rPr>
              <w:t xml:space="preserve">88.0% </w:t>
            </w:r>
            <w:r w:rsidRPr="00883687">
              <w:rPr>
                <w:rFonts w:ascii="Arial" w:hAnsi="Arial" w:cs="Arial"/>
                <w:color w:val="auto"/>
                <w:sz w:val="22"/>
                <w:szCs w:val="22"/>
                <w:lang w:val="es-MX"/>
              </w:rPr>
              <w:t>en 201</w:t>
            </w:r>
            <w:r>
              <w:rPr>
                <w:rFonts w:ascii="Arial" w:hAnsi="Arial" w:cs="Arial"/>
                <w:color w:val="auto"/>
                <w:sz w:val="22"/>
                <w:szCs w:val="22"/>
                <w:lang w:val="es-MX"/>
              </w:rPr>
              <w:t>9</w:t>
            </w:r>
            <w:r w:rsidRPr="00883687">
              <w:rPr>
                <w:rFonts w:ascii="Arial" w:hAnsi="Arial" w:cs="Arial"/>
                <w:color w:val="auto"/>
                <w:sz w:val="22"/>
                <w:szCs w:val="22"/>
                <w:lang w:val="es-MX"/>
              </w:rPr>
              <w:t>)</w:t>
            </w:r>
          </w:p>
        </w:tc>
        <w:tc>
          <w:tcPr>
            <w:tcW w:w="1510" w:type="pct"/>
            <w:vMerge w:val="restart"/>
            <w:vAlign w:val="center"/>
          </w:tcPr>
          <w:p w:rsidR="006C636D" w:rsidRPr="00883687" w:rsidRDefault="006C636D" w:rsidP="00FC23DC">
            <w:pPr>
              <w:jc w:val="center"/>
              <w:rPr>
                <w:rFonts w:ascii="Arial" w:hAnsi="Arial" w:cs="Arial"/>
                <w:lang w:val="es-MX"/>
              </w:rPr>
            </w:pPr>
          </w:p>
          <w:p w:rsidR="006C636D" w:rsidRPr="00883687" w:rsidRDefault="006C636D" w:rsidP="00FC23DC">
            <w:pPr>
              <w:jc w:val="center"/>
              <w:rPr>
                <w:rFonts w:ascii="Arial" w:hAnsi="Arial" w:cs="Arial"/>
                <w:lang w:val="es-MX"/>
              </w:rPr>
            </w:pPr>
            <w:r w:rsidRPr="00883687">
              <w:rPr>
                <w:rFonts w:ascii="Arial" w:hAnsi="Arial" w:cs="Arial"/>
                <w:lang w:val="es-MX"/>
              </w:rPr>
              <w:t>Programa</w:t>
            </w:r>
          </w:p>
          <w:p w:rsidR="006C636D" w:rsidRPr="00883687" w:rsidRDefault="006C636D" w:rsidP="00FC23DC">
            <w:pPr>
              <w:jc w:val="center"/>
              <w:rPr>
                <w:rFonts w:ascii="Arial" w:hAnsi="Arial" w:cs="Arial"/>
                <w:lang w:val="es-MX"/>
              </w:rPr>
            </w:pPr>
            <w:r w:rsidRPr="00883687">
              <w:rPr>
                <w:rFonts w:ascii="Arial" w:hAnsi="Arial" w:cs="Arial"/>
                <w:lang w:val="es-MX"/>
              </w:rPr>
              <w:t>Educación Escolar de Primaria</w:t>
            </w:r>
          </w:p>
        </w:tc>
        <w:tc>
          <w:tcPr>
            <w:tcW w:w="1064" w:type="pct"/>
            <w:vAlign w:val="center"/>
          </w:tcPr>
          <w:p w:rsidR="006C636D" w:rsidRPr="00883687" w:rsidRDefault="006C636D" w:rsidP="00FC23DC">
            <w:pPr>
              <w:jc w:val="center"/>
              <w:rPr>
                <w:rFonts w:ascii="Arial" w:hAnsi="Arial" w:cs="Arial"/>
                <w:lang w:val="es-MX"/>
              </w:rPr>
            </w:pPr>
            <w:r w:rsidRPr="00883687">
              <w:rPr>
                <w:rFonts w:ascii="Arial" w:hAnsi="Arial" w:cs="Arial"/>
                <w:lang w:val="es-MX"/>
              </w:rPr>
              <w:t>Servicios de gratuidad educativa</w:t>
            </w:r>
          </w:p>
        </w:tc>
        <w:tc>
          <w:tcPr>
            <w:tcW w:w="1591" w:type="pct"/>
            <w:vAlign w:val="center"/>
          </w:tcPr>
          <w:p w:rsidR="006C636D" w:rsidRPr="00883687" w:rsidRDefault="006C636D" w:rsidP="00FC23DC">
            <w:pPr>
              <w:pStyle w:val="Default"/>
              <w:jc w:val="center"/>
              <w:rPr>
                <w:rFonts w:ascii="Arial" w:hAnsi="Arial" w:cs="Arial"/>
                <w:color w:val="auto"/>
                <w:lang w:val="es-MX"/>
              </w:rPr>
            </w:pPr>
            <w:r w:rsidRPr="00883687">
              <w:rPr>
                <w:rFonts w:ascii="Arial" w:hAnsi="Arial" w:cs="Arial"/>
                <w:color w:val="auto"/>
                <w:sz w:val="22"/>
                <w:szCs w:val="22"/>
                <w:lang w:val="es-MX"/>
              </w:rPr>
              <w:t xml:space="preserve">Número de </w:t>
            </w:r>
            <w:r>
              <w:rPr>
                <w:rFonts w:ascii="Arial" w:hAnsi="Arial" w:cs="Arial"/>
                <w:color w:val="auto"/>
                <w:sz w:val="22"/>
                <w:szCs w:val="22"/>
                <w:lang w:val="es-MX"/>
              </w:rPr>
              <w:t>alumnos</w:t>
            </w:r>
            <w:r w:rsidRPr="00883687">
              <w:rPr>
                <w:rFonts w:ascii="Arial" w:hAnsi="Arial" w:cs="Arial"/>
                <w:color w:val="auto"/>
                <w:sz w:val="22"/>
                <w:szCs w:val="22"/>
                <w:lang w:val="es-MX"/>
              </w:rPr>
              <w:t xml:space="preserve"> del nivel primario atendidos con gratuidad</w:t>
            </w:r>
          </w:p>
        </w:tc>
      </w:tr>
      <w:tr w:rsidR="006C636D" w:rsidRPr="00883687" w:rsidTr="00FC23DC">
        <w:tc>
          <w:tcPr>
            <w:tcW w:w="835" w:type="pct"/>
            <w:vMerge/>
            <w:shd w:val="clear" w:color="auto" w:fill="CCFF99"/>
            <w:vAlign w:val="center"/>
          </w:tcPr>
          <w:p w:rsidR="006C636D" w:rsidRPr="00883687" w:rsidRDefault="006C636D" w:rsidP="00FC23DC">
            <w:pPr>
              <w:jc w:val="center"/>
              <w:rPr>
                <w:rFonts w:ascii="Arial" w:hAnsi="Arial" w:cs="Arial"/>
                <w:lang w:val="es-MX"/>
              </w:rPr>
            </w:pPr>
          </w:p>
        </w:tc>
        <w:tc>
          <w:tcPr>
            <w:tcW w:w="1510" w:type="pct"/>
            <w:vMerge/>
            <w:vAlign w:val="center"/>
          </w:tcPr>
          <w:p w:rsidR="006C636D" w:rsidRPr="00883687" w:rsidRDefault="006C636D" w:rsidP="00FC23DC">
            <w:pPr>
              <w:jc w:val="center"/>
              <w:rPr>
                <w:rFonts w:ascii="Arial" w:hAnsi="Arial" w:cs="Arial"/>
                <w:lang w:val="es-MX"/>
              </w:rPr>
            </w:pPr>
          </w:p>
        </w:tc>
        <w:tc>
          <w:tcPr>
            <w:tcW w:w="1064" w:type="pct"/>
            <w:vAlign w:val="center"/>
          </w:tcPr>
          <w:p w:rsidR="006C636D" w:rsidRPr="00883687" w:rsidRDefault="006C636D" w:rsidP="00FC23DC">
            <w:pPr>
              <w:jc w:val="center"/>
              <w:rPr>
                <w:rFonts w:ascii="Arial" w:hAnsi="Arial" w:cs="Arial"/>
                <w:lang w:val="es-MX"/>
              </w:rPr>
            </w:pPr>
            <w:r w:rsidRPr="00883687">
              <w:rPr>
                <w:rFonts w:ascii="Arial" w:hAnsi="Arial" w:cs="Arial"/>
                <w:lang w:val="es-MX"/>
              </w:rPr>
              <w:t>Dotación de útiles escolares</w:t>
            </w:r>
          </w:p>
        </w:tc>
        <w:tc>
          <w:tcPr>
            <w:tcW w:w="1591" w:type="pct"/>
            <w:vAlign w:val="center"/>
          </w:tcPr>
          <w:p w:rsidR="006C636D" w:rsidRPr="00883687" w:rsidRDefault="006C636D" w:rsidP="00FC23DC">
            <w:pPr>
              <w:jc w:val="center"/>
              <w:rPr>
                <w:rFonts w:ascii="Arial" w:hAnsi="Arial" w:cs="Arial"/>
                <w:lang w:val="es-MX"/>
              </w:rPr>
            </w:pPr>
            <w:r w:rsidRPr="00883687">
              <w:rPr>
                <w:rFonts w:ascii="Arial" w:hAnsi="Arial" w:cs="Arial"/>
                <w:lang w:val="es-MX"/>
              </w:rPr>
              <w:t>Número de estudiantes de nivel primario beneficiados con útiles escolares</w:t>
            </w:r>
          </w:p>
        </w:tc>
      </w:tr>
      <w:tr w:rsidR="006C636D" w:rsidRPr="00883687" w:rsidTr="00FC23DC">
        <w:tc>
          <w:tcPr>
            <w:tcW w:w="835" w:type="pct"/>
            <w:vMerge/>
            <w:shd w:val="clear" w:color="auto" w:fill="CCFF99"/>
            <w:vAlign w:val="center"/>
          </w:tcPr>
          <w:p w:rsidR="006C636D" w:rsidRPr="00883687" w:rsidRDefault="006C636D" w:rsidP="00FC23DC">
            <w:pPr>
              <w:jc w:val="center"/>
              <w:rPr>
                <w:rFonts w:ascii="Arial" w:hAnsi="Arial" w:cs="Arial"/>
                <w:lang w:val="es-MX"/>
              </w:rPr>
            </w:pPr>
          </w:p>
        </w:tc>
        <w:tc>
          <w:tcPr>
            <w:tcW w:w="1510" w:type="pct"/>
            <w:vMerge/>
            <w:vAlign w:val="center"/>
          </w:tcPr>
          <w:p w:rsidR="006C636D" w:rsidRPr="00883687" w:rsidRDefault="006C636D" w:rsidP="00FC23DC">
            <w:pPr>
              <w:jc w:val="center"/>
              <w:rPr>
                <w:rFonts w:ascii="Arial" w:hAnsi="Arial" w:cs="Arial"/>
                <w:lang w:val="es-MX"/>
              </w:rPr>
            </w:pPr>
          </w:p>
        </w:tc>
        <w:tc>
          <w:tcPr>
            <w:tcW w:w="1064" w:type="pct"/>
            <w:vAlign w:val="center"/>
          </w:tcPr>
          <w:p w:rsidR="006C636D" w:rsidRPr="00883687" w:rsidRDefault="006C636D" w:rsidP="00FC23DC">
            <w:pPr>
              <w:jc w:val="center"/>
              <w:rPr>
                <w:rFonts w:ascii="Arial" w:hAnsi="Arial" w:cs="Arial"/>
                <w:lang w:val="es-MX"/>
              </w:rPr>
            </w:pPr>
            <w:r w:rsidRPr="00883687">
              <w:rPr>
                <w:rFonts w:ascii="Arial" w:hAnsi="Arial" w:cs="Arial"/>
                <w:lang w:val="es-MX"/>
              </w:rPr>
              <w:t>Dotación de valija didáctica</w:t>
            </w:r>
          </w:p>
        </w:tc>
        <w:tc>
          <w:tcPr>
            <w:tcW w:w="1591" w:type="pct"/>
            <w:vAlign w:val="center"/>
          </w:tcPr>
          <w:p w:rsidR="006C636D" w:rsidRPr="00883687" w:rsidRDefault="006C636D" w:rsidP="00FC23DC">
            <w:pPr>
              <w:jc w:val="center"/>
              <w:rPr>
                <w:rFonts w:ascii="Arial" w:hAnsi="Arial" w:cs="Arial"/>
                <w:lang w:val="es-MX"/>
              </w:rPr>
            </w:pPr>
            <w:r w:rsidRPr="00883687">
              <w:rPr>
                <w:rFonts w:ascii="Arial" w:hAnsi="Arial" w:cs="Arial"/>
                <w:lang w:val="es-MX"/>
              </w:rPr>
              <w:t>Número de docentes de nivel primario beneficiados con valijas didácticas</w:t>
            </w:r>
          </w:p>
        </w:tc>
      </w:tr>
      <w:tr w:rsidR="006C636D" w:rsidRPr="00883687" w:rsidTr="00FC23DC">
        <w:tc>
          <w:tcPr>
            <w:tcW w:w="835" w:type="pct"/>
            <w:vMerge/>
            <w:shd w:val="clear" w:color="auto" w:fill="CCFF99"/>
            <w:vAlign w:val="center"/>
          </w:tcPr>
          <w:p w:rsidR="006C636D" w:rsidRPr="00883687" w:rsidRDefault="006C636D" w:rsidP="00FC23DC">
            <w:pPr>
              <w:jc w:val="center"/>
              <w:rPr>
                <w:rFonts w:ascii="Arial" w:hAnsi="Arial" w:cs="Arial"/>
                <w:lang w:val="es-MX"/>
              </w:rPr>
            </w:pPr>
          </w:p>
        </w:tc>
        <w:tc>
          <w:tcPr>
            <w:tcW w:w="1510" w:type="pct"/>
            <w:vAlign w:val="center"/>
          </w:tcPr>
          <w:p w:rsidR="006C636D" w:rsidRPr="00883687" w:rsidRDefault="006C636D" w:rsidP="00FC23DC">
            <w:pPr>
              <w:jc w:val="center"/>
              <w:rPr>
                <w:rFonts w:ascii="Arial" w:hAnsi="Arial" w:cs="Arial"/>
                <w:lang w:val="es-MX"/>
              </w:rPr>
            </w:pPr>
            <w:r w:rsidRPr="00883687">
              <w:rPr>
                <w:rFonts w:ascii="Arial" w:hAnsi="Arial" w:cs="Arial"/>
                <w:lang w:val="es-MX"/>
              </w:rPr>
              <w:t>Subprograma</w:t>
            </w:r>
          </w:p>
          <w:p w:rsidR="006C636D" w:rsidRPr="00883687" w:rsidRDefault="006C636D" w:rsidP="00FC23DC">
            <w:pPr>
              <w:jc w:val="center"/>
              <w:rPr>
                <w:rFonts w:ascii="Arial" w:hAnsi="Arial" w:cs="Arial"/>
                <w:lang w:val="es-MX"/>
              </w:rPr>
            </w:pPr>
            <w:r w:rsidRPr="00883687">
              <w:rPr>
                <w:rFonts w:ascii="Arial" w:hAnsi="Arial" w:cs="Arial"/>
                <w:lang w:val="es-MX"/>
              </w:rPr>
              <w:t>Primaria monolingüe</w:t>
            </w:r>
          </w:p>
        </w:tc>
        <w:tc>
          <w:tcPr>
            <w:tcW w:w="1064" w:type="pct"/>
            <w:vAlign w:val="center"/>
          </w:tcPr>
          <w:p w:rsidR="006C636D" w:rsidRPr="00883687" w:rsidRDefault="006C636D" w:rsidP="00FC23DC">
            <w:pPr>
              <w:jc w:val="center"/>
              <w:rPr>
                <w:rFonts w:ascii="Arial" w:hAnsi="Arial" w:cs="Arial"/>
                <w:lang w:val="es-MX"/>
              </w:rPr>
            </w:pPr>
            <w:r w:rsidRPr="00883687">
              <w:rPr>
                <w:rFonts w:ascii="Arial" w:hAnsi="Arial" w:cs="Arial"/>
                <w:lang w:val="es-MX"/>
              </w:rPr>
              <w:t xml:space="preserve">(En este ejemplo no se desagregan las </w:t>
            </w:r>
            <w:r w:rsidRPr="00883687">
              <w:rPr>
                <w:rFonts w:ascii="Arial" w:hAnsi="Arial" w:cs="Arial"/>
                <w:lang w:val="es-MX"/>
              </w:rPr>
              <w:lastRenderedPageBreak/>
              <w:t>actividades)</w:t>
            </w:r>
          </w:p>
        </w:tc>
        <w:tc>
          <w:tcPr>
            <w:tcW w:w="1591" w:type="pct"/>
            <w:vAlign w:val="center"/>
          </w:tcPr>
          <w:p w:rsidR="006C636D" w:rsidRPr="00883687" w:rsidRDefault="006C636D" w:rsidP="00FC23DC">
            <w:pPr>
              <w:jc w:val="center"/>
            </w:pPr>
            <w:r w:rsidRPr="00883687">
              <w:rPr>
                <w:rFonts w:ascii="Arial" w:hAnsi="Arial" w:cs="Arial"/>
                <w:lang w:val="es-MX"/>
              </w:rPr>
              <w:lastRenderedPageBreak/>
              <w:t>(En este ejemplo no se desagregan los productos)</w:t>
            </w:r>
          </w:p>
        </w:tc>
      </w:tr>
      <w:tr w:rsidR="006C636D" w:rsidRPr="00883687" w:rsidTr="00FC23DC">
        <w:tc>
          <w:tcPr>
            <w:tcW w:w="835" w:type="pct"/>
            <w:vMerge/>
            <w:shd w:val="clear" w:color="auto" w:fill="CCFF99"/>
            <w:vAlign w:val="center"/>
          </w:tcPr>
          <w:p w:rsidR="006C636D" w:rsidRPr="00883687" w:rsidRDefault="006C636D" w:rsidP="00FC23DC">
            <w:pPr>
              <w:jc w:val="center"/>
              <w:rPr>
                <w:rFonts w:ascii="Arial" w:hAnsi="Arial" w:cs="Arial"/>
                <w:lang w:val="es-MX"/>
              </w:rPr>
            </w:pPr>
          </w:p>
        </w:tc>
        <w:tc>
          <w:tcPr>
            <w:tcW w:w="1510" w:type="pct"/>
            <w:vAlign w:val="center"/>
          </w:tcPr>
          <w:p w:rsidR="006C636D" w:rsidRPr="00883687" w:rsidRDefault="006C636D" w:rsidP="00FC23DC">
            <w:pPr>
              <w:jc w:val="center"/>
              <w:rPr>
                <w:rFonts w:ascii="Arial" w:hAnsi="Arial" w:cs="Arial"/>
                <w:lang w:val="es-MX"/>
              </w:rPr>
            </w:pPr>
            <w:r w:rsidRPr="00883687">
              <w:rPr>
                <w:rFonts w:ascii="Arial" w:hAnsi="Arial" w:cs="Arial"/>
                <w:lang w:val="es-MX"/>
              </w:rPr>
              <w:t>Subprograma</w:t>
            </w:r>
          </w:p>
          <w:p w:rsidR="006C636D" w:rsidRPr="00883687" w:rsidRDefault="006C636D" w:rsidP="00FC23DC">
            <w:pPr>
              <w:jc w:val="center"/>
              <w:rPr>
                <w:rFonts w:ascii="Arial" w:hAnsi="Arial" w:cs="Arial"/>
                <w:lang w:val="es-MX"/>
              </w:rPr>
            </w:pPr>
            <w:r w:rsidRPr="00883687">
              <w:rPr>
                <w:rFonts w:ascii="Arial" w:hAnsi="Arial" w:cs="Arial"/>
                <w:lang w:val="es-MX"/>
              </w:rPr>
              <w:t>Primaria bilingüe</w:t>
            </w:r>
          </w:p>
        </w:tc>
        <w:tc>
          <w:tcPr>
            <w:tcW w:w="1064" w:type="pct"/>
          </w:tcPr>
          <w:p w:rsidR="006C636D" w:rsidRPr="00883687" w:rsidRDefault="006C636D" w:rsidP="00FC23DC">
            <w:pPr>
              <w:jc w:val="center"/>
            </w:pPr>
            <w:r w:rsidRPr="00883687">
              <w:rPr>
                <w:rFonts w:ascii="Arial" w:hAnsi="Arial" w:cs="Arial"/>
                <w:lang w:val="es-MX"/>
              </w:rPr>
              <w:t>(En este ejemplo no se desagregan las actividades)</w:t>
            </w:r>
          </w:p>
        </w:tc>
        <w:tc>
          <w:tcPr>
            <w:tcW w:w="1591" w:type="pct"/>
            <w:vAlign w:val="center"/>
          </w:tcPr>
          <w:p w:rsidR="006C636D" w:rsidRPr="00883687" w:rsidRDefault="006C636D" w:rsidP="00FC23DC">
            <w:pPr>
              <w:jc w:val="center"/>
            </w:pPr>
            <w:r w:rsidRPr="00883687">
              <w:rPr>
                <w:rFonts w:ascii="Arial" w:hAnsi="Arial" w:cs="Arial"/>
                <w:lang w:val="es-MX"/>
              </w:rPr>
              <w:t>(Por ser ejemplo no se desagregan los productos)</w:t>
            </w:r>
          </w:p>
        </w:tc>
      </w:tr>
      <w:tr w:rsidR="006C636D" w:rsidRPr="00883687" w:rsidTr="00FC23DC">
        <w:tc>
          <w:tcPr>
            <w:tcW w:w="835" w:type="pct"/>
            <w:vMerge/>
            <w:shd w:val="clear" w:color="auto" w:fill="CCFF99"/>
            <w:vAlign w:val="center"/>
          </w:tcPr>
          <w:p w:rsidR="006C636D" w:rsidRPr="00883687" w:rsidRDefault="006C636D" w:rsidP="00FC23DC">
            <w:pPr>
              <w:jc w:val="center"/>
              <w:rPr>
                <w:rFonts w:ascii="Arial" w:hAnsi="Arial" w:cs="Arial"/>
                <w:lang w:val="es-MX"/>
              </w:rPr>
            </w:pPr>
          </w:p>
        </w:tc>
        <w:tc>
          <w:tcPr>
            <w:tcW w:w="1510" w:type="pct"/>
            <w:vAlign w:val="center"/>
          </w:tcPr>
          <w:p w:rsidR="006C636D" w:rsidRPr="00883687" w:rsidRDefault="006C636D" w:rsidP="00FC23DC">
            <w:pPr>
              <w:jc w:val="center"/>
              <w:rPr>
                <w:rFonts w:ascii="Arial" w:hAnsi="Arial" w:cs="Arial"/>
                <w:lang w:val="es-MX"/>
              </w:rPr>
            </w:pPr>
            <w:r w:rsidRPr="00883687">
              <w:rPr>
                <w:rFonts w:ascii="Arial" w:hAnsi="Arial" w:cs="Arial"/>
                <w:lang w:val="es-MX"/>
              </w:rPr>
              <w:t>Subprograma</w:t>
            </w:r>
          </w:p>
          <w:p w:rsidR="006C636D" w:rsidRPr="00883687" w:rsidRDefault="006C636D" w:rsidP="00FC23DC">
            <w:pPr>
              <w:jc w:val="center"/>
              <w:rPr>
                <w:rFonts w:ascii="Arial" w:hAnsi="Arial" w:cs="Arial"/>
                <w:lang w:val="es-MX"/>
              </w:rPr>
            </w:pPr>
            <w:r w:rsidRPr="00883687">
              <w:rPr>
                <w:rFonts w:ascii="Arial" w:hAnsi="Arial" w:cs="Arial"/>
                <w:lang w:val="es-MX"/>
              </w:rPr>
              <w:t>Primaria de adultos</w:t>
            </w:r>
          </w:p>
        </w:tc>
        <w:tc>
          <w:tcPr>
            <w:tcW w:w="1064" w:type="pct"/>
          </w:tcPr>
          <w:p w:rsidR="006C636D" w:rsidRPr="00883687" w:rsidRDefault="006C636D" w:rsidP="00FC23DC">
            <w:pPr>
              <w:jc w:val="center"/>
            </w:pPr>
            <w:r w:rsidRPr="00883687">
              <w:rPr>
                <w:rFonts w:ascii="Arial" w:hAnsi="Arial" w:cs="Arial"/>
                <w:lang w:val="es-MX"/>
              </w:rPr>
              <w:t>(En este ejemplo no se desagregan las actividades)</w:t>
            </w:r>
          </w:p>
        </w:tc>
        <w:tc>
          <w:tcPr>
            <w:tcW w:w="1591" w:type="pct"/>
            <w:vAlign w:val="center"/>
          </w:tcPr>
          <w:p w:rsidR="006C636D" w:rsidRPr="00883687" w:rsidRDefault="006C636D" w:rsidP="00FC23DC">
            <w:pPr>
              <w:jc w:val="center"/>
            </w:pPr>
            <w:r w:rsidRPr="00883687">
              <w:rPr>
                <w:rFonts w:ascii="Arial" w:hAnsi="Arial" w:cs="Arial"/>
                <w:lang w:val="es-MX"/>
              </w:rPr>
              <w:t>(Por ser ejemplo no se desagregan los productos)</w:t>
            </w:r>
          </w:p>
        </w:tc>
      </w:tr>
    </w:tbl>
    <w:p w:rsidR="006C636D" w:rsidRPr="00883687" w:rsidRDefault="006C636D" w:rsidP="006C636D">
      <w:pPr>
        <w:spacing w:after="0" w:line="240" w:lineRule="auto"/>
        <w:ind w:hanging="1"/>
        <w:jc w:val="both"/>
        <w:rPr>
          <w:rFonts w:ascii="Arial" w:hAnsi="Arial" w:cs="Arial"/>
          <w:lang w:val="es-MX"/>
        </w:rPr>
      </w:pPr>
    </w:p>
    <w:p w:rsidR="006C636D" w:rsidRPr="00883687" w:rsidRDefault="006C636D" w:rsidP="006C636D">
      <w:pPr>
        <w:tabs>
          <w:tab w:val="left" w:pos="0"/>
        </w:tabs>
        <w:spacing w:after="0" w:line="240" w:lineRule="auto"/>
        <w:jc w:val="both"/>
        <w:rPr>
          <w:rFonts w:ascii="Arial" w:hAnsi="Arial" w:cs="Arial"/>
          <w:lang w:val="es-MX"/>
        </w:rPr>
      </w:pPr>
      <w:r w:rsidRPr="00883687">
        <w:rPr>
          <w:rFonts w:ascii="Arial" w:hAnsi="Arial" w:cs="Arial"/>
          <w:lang w:val="es-MX"/>
        </w:rPr>
        <w:t xml:space="preserve">Con lo anterior, el Ministerio de Educación estaría ampliando la cobertura en la educación primaria, y priorizando  aquellos programas y proyectos a través de los cuales proporcionará a la población los servicios educativos. De igual manera el resto de instituciones determinan bajo la gestión por resultados, los servicios y resultados importantes para las personas, sean </w:t>
      </w:r>
      <w:proofErr w:type="gramStart"/>
      <w:r w:rsidRPr="00883687">
        <w:rPr>
          <w:rFonts w:ascii="Arial" w:hAnsi="Arial" w:cs="Arial"/>
          <w:lang w:val="es-MX"/>
        </w:rPr>
        <w:t>educativos</w:t>
      </w:r>
      <w:proofErr w:type="gramEnd"/>
      <w:r w:rsidRPr="00883687">
        <w:rPr>
          <w:rFonts w:ascii="Arial" w:hAnsi="Arial" w:cs="Arial"/>
          <w:lang w:val="es-MX"/>
        </w:rPr>
        <w:t xml:space="preserve">, de salud, seguridad u otros, y que buscan entre otros propósitos de política pública, </w:t>
      </w:r>
      <w:r>
        <w:rPr>
          <w:rFonts w:ascii="Arial" w:hAnsi="Arial" w:cs="Arial"/>
          <w:lang w:val="es-MX"/>
        </w:rPr>
        <w:t xml:space="preserve">contribuir a </w:t>
      </w:r>
      <w:r w:rsidRPr="00883687">
        <w:rPr>
          <w:rFonts w:ascii="Arial" w:hAnsi="Arial" w:cs="Arial"/>
          <w:lang w:val="es-MX"/>
        </w:rPr>
        <w:t>reducir la pobreza, reactivar la economía, y el alcance del bien común en general.</w:t>
      </w:r>
    </w:p>
    <w:p w:rsidR="006C636D" w:rsidRPr="00883687" w:rsidRDefault="006C636D" w:rsidP="006C636D">
      <w:pPr>
        <w:tabs>
          <w:tab w:val="left" w:pos="0"/>
        </w:tabs>
        <w:spacing w:after="0" w:line="240" w:lineRule="auto"/>
        <w:ind w:hanging="1"/>
        <w:jc w:val="both"/>
        <w:rPr>
          <w:rFonts w:ascii="Arial" w:hAnsi="Arial" w:cs="Arial"/>
          <w:lang w:val="es-MX"/>
        </w:rPr>
      </w:pPr>
    </w:p>
    <w:p w:rsidR="006C636D" w:rsidRPr="00883687" w:rsidRDefault="006C636D" w:rsidP="006C636D">
      <w:pPr>
        <w:tabs>
          <w:tab w:val="left" w:pos="0"/>
        </w:tabs>
        <w:spacing w:after="0" w:line="240" w:lineRule="auto"/>
        <w:jc w:val="both"/>
        <w:rPr>
          <w:rFonts w:ascii="Arial" w:hAnsi="Arial" w:cs="Arial"/>
          <w:lang w:val="es-MX"/>
        </w:rPr>
      </w:pPr>
      <w:r w:rsidRPr="00883687">
        <w:rPr>
          <w:rFonts w:ascii="Arial" w:hAnsi="Arial" w:cs="Arial"/>
          <w:lang w:val="es-MX"/>
        </w:rPr>
        <w:t xml:space="preserve">Vale aclarar que los resultados no se presupuestan, sino </w:t>
      </w:r>
      <w:r>
        <w:rPr>
          <w:rFonts w:ascii="Arial" w:hAnsi="Arial" w:cs="Arial"/>
          <w:lang w:val="es-MX"/>
        </w:rPr>
        <w:t xml:space="preserve">son los programas y proyectos los que se financian para que los productos que se generen, </w:t>
      </w:r>
      <w:r w:rsidRPr="00883687">
        <w:rPr>
          <w:rFonts w:ascii="Arial" w:hAnsi="Arial" w:cs="Arial"/>
          <w:lang w:val="es-MX"/>
        </w:rPr>
        <w:t>contribu</w:t>
      </w:r>
      <w:r>
        <w:rPr>
          <w:rFonts w:ascii="Arial" w:hAnsi="Arial" w:cs="Arial"/>
          <w:lang w:val="es-MX"/>
        </w:rPr>
        <w:t>yan</w:t>
      </w:r>
      <w:r w:rsidRPr="00883687">
        <w:rPr>
          <w:rFonts w:ascii="Arial" w:hAnsi="Arial" w:cs="Arial"/>
          <w:lang w:val="es-MX"/>
        </w:rPr>
        <w:t xml:space="preserve"> al alcance de los resultados institucionales </w:t>
      </w:r>
      <w:r>
        <w:rPr>
          <w:rFonts w:ascii="Arial" w:hAnsi="Arial" w:cs="Arial"/>
          <w:lang w:val="es-MX"/>
        </w:rPr>
        <w:t xml:space="preserve">y los </w:t>
      </w:r>
      <w:r w:rsidRPr="00883687">
        <w:rPr>
          <w:rFonts w:ascii="Arial" w:hAnsi="Arial" w:cs="Arial"/>
          <w:lang w:val="es-MX"/>
        </w:rPr>
        <w:t>resultados del desarrollo</w:t>
      </w:r>
      <w:r>
        <w:rPr>
          <w:rFonts w:ascii="Arial" w:hAnsi="Arial" w:cs="Arial"/>
          <w:lang w:val="es-MX"/>
        </w:rPr>
        <w:t xml:space="preserve">. En éstos últimos </w:t>
      </w:r>
      <w:r w:rsidRPr="00883687">
        <w:rPr>
          <w:rFonts w:ascii="Arial" w:hAnsi="Arial" w:cs="Arial"/>
          <w:lang w:val="es-MX"/>
        </w:rPr>
        <w:t>participan una o varias instituciones de gobierno, de acuerdo a su especialidad.</w:t>
      </w:r>
    </w:p>
    <w:p w:rsidR="006C636D" w:rsidRPr="00883687" w:rsidRDefault="006C636D" w:rsidP="006C636D">
      <w:pPr>
        <w:tabs>
          <w:tab w:val="left" w:pos="0"/>
        </w:tabs>
        <w:spacing w:after="0" w:line="240" w:lineRule="auto"/>
        <w:jc w:val="both"/>
        <w:rPr>
          <w:rFonts w:ascii="Arial" w:hAnsi="Arial" w:cs="Arial"/>
          <w:lang w:val="es-MX"/>
        </w:rPr>
      </w:pPr>
    </w:p>
    <w:p w:rsidR="006C636D" w:rsidRPr="00883687" w:rsidRDefault="006C636D" w:rsidP="006C636D">
      <w:pPr>
        <w:tabs>
          <w:tab w:val="left" w:pos="0"/>
        </w:tabs>
        <w:spacing w:after="0" w:line="240" w:lineRule="auto"/>
        <w:jc w:val="both"/>
        <w:rPr>
          <w:rFonts w:ascii="Arial" w:hAnsi="Arial" w:cs="Arial"/>
          <w:lang w:val="es-MX"/>
        </w:rPr>
      </w:pPr>
      <w:r w:rsidRPr="00883687">
        <w:rPr>
          <w:rFonts w:ascii="Arial" w:hAnsi="Arial" w:cs="Arial"/>
          <w:lang w:val="es-MX"/>
        </w:rPr>
        <w:t>Los recursos asignados a los programas y proyectos son utilizados para adquirir los insumos necesarios para la prestación de los servicios. Estos insumos pueden ser en el ejemplo del Ministerio de Educación, el pago de salarios de los maestros de cada nivel educativo, la compra de los útiles y textos escolares, la alimentación escolar, valija didáctica, pagos por la formación en servicio y profesionalización de maestros, entre otros.  En el caso del Ministerio de Salud Pública y Asistencia Social, los insumos serían el pago de los médicos; enfermeros; la compra de medicamentos y equipos médico-quirúrgicos.  Si se trata del Ministerio de Gobernación sería: el pago de los agentes de seguridad, la compra de armas y municiones, gasolina utilizada en patrullajes, entre otros.</w:t>
      </w:r>
    </w:p>
    <w:p w:rsidR="006C636D" w:rsidRPr="00883687" w:rsidRDefault="006C636D" w:rsidP="006C636D">
      <w:pPr>
        <w:tabs>
          <w:tab w:val="left" w:pos="0"/>
        </w:tabs>
        <w:spacing w:after="0" w:line="240" w:lineRule="auto"/>
        <w:jc w:val="both"/>
        <w:rPr>
          <w:rFonts w:ascii="Arial" w:hAnsi="Arial" w:cs="Arial"/>
          <w:lang w:val="es-MX"/>
        </w:rPr>
      </w:pPr>
    </w:p>
    <w:p w:rsidR="006C636D" w:rsidRDefault="006C636D" w:rsidP="006C636D">
      <w:pPr>
        <w:tabs>
          <w:tab w:val="left" w:pos="0"/>
        </w:tabs>
        <w:spacing w:after="0" w:line="240" w:lineRule="auto"/>
        <w:ind w:hanging="1"/>
        <w:jc w:val="both"/>
        <w:rPr>
          <w:rFonts w:ascii="Arial" w:hAnsi="Arial" w:cs="Arial"/>
          <w:lang w:val="es-MX"/>
        </w:rPr>
      </w:pPr>
      <w:r w:rsidRPr="00883687">
        <w:rPr>
          <w:rFonts w:ascii="Arial" w:hAnsi="Arial" w:cs="Arial"/>
          <w:lang w:val="es-MX"/>
        </w:rPr>
        <w:t xml:space="preserve">En conclusión, el </w:t>
      </w:r>
      <w:r>
        <w:rPr>
          <w:rFonts w:ascii="Arial" w:hAnsi="Arial" w:cs="Arial"/>
          <w:lang w:val="es-MX"/>
        </w:rPr>
        <w:t>denominado “</w:t>
      </w:r>
      <w:r w:rsidRPr="00883687">
        <w:rPr>
          <w:rFonts w:ascii="Arial" w:hAnsi="Arial" w:cs="Arial"/>
          <w:lang w:val="es-MX"/>
        </w:rPr>
        <w:t>gasto público</w:t>
      </w:r>
      <w:r>
        <w:rPr>
          <w:rFonts w:ascii="Arial" w:hAnsi="Arial" w:cs="Arial"/>
          <w:lang w:val="es-MX"/>
        </w:rPr>
        <w:t>”</w:t>
      </w:r>
      <w:r w:rsidRPr="00883687">
        <w:rPr>
          <w:rFonts w:ascii="Arial" w:hAnsi="Arial" w:cs="Arial"/>
          <w:lang w:val="es-MX"/>
        </w:rPr>
        <w:t xml:space="preserve"> no es más que los recursos invertidos en programas y proyectos con los cuales se atienden las necesidades colectivas de las personas. Es la devolución de los impuestos que la población paga, y que se le retribuyen en servicios públicos tales como: seguridad, educación, salud, principalmente, y en bienes públicos como: carreteras, hospitales, centros y puestos de salud, escuelas, puentes, entre otros.</w:t>
      </w:r>
    </w:p>
    <w:p w:rsidR="006C636D" w:rsidRDefault="006C636D" w:rsidP="006C636D">
      <w:pPr>
        <w:rPr>
          <w:rFonts w:ascii="Arial" w:hAnsi="Arial" w:cs="Arial"/>
          <w:lang w:val="es-MX"/>
        </w:rPr>
      </w:pPr>
      <w:r>
        <w:rPr>
          <w:rFonts w:ascii="Arial" w:hAnsi="Arial" w:cs="Arial"/>
          <w:lang w:val="es-MX"/>
        </w:rPr>
        <w:br w:type="page"/>
      </w:r>
    </w:p>
    <w:p w:rsidR="00442438" w:rsidRPr="00014F53" w:rsidRDefault="006B06E9" w:rsidP="006B06E9">
      <w:pPr>
        <w:spacing w:after="0" w:line="240" w:lineRule="auto"/>
        <w:jc w:val="center"/>
        <w:rPr>
          <w:rFonts w:ascii="Arial" w:hAnsi="Arial" w:cs="Arial"/>
          <w:b/>
          <w:sz w:val="40"/>
          <w:szCs w:val="40"/>
          <w:lang w:val="es-MX"/>
        </w:rPr>
      </w:pPr>
      <w:r w:rsidRPr="00014F53">
        <w:rPr>
          <w:rFonts w:ascii="Arial" w:hAnsi="Arial" w:cs="Arial"/>
          <w:b/>
          <w:sz w:val="40"/>
          <w:szCs w:val="40"/>
          <w:lang w:val="es-MX"/>
        </w:rPr>
        <w:lastRenderedPageBreak/>
        <w:t>CAPÍTULO IV</w:t>
      </w:r>
    </w:p>
    <w:p w:rsidR="00D55C66" w:rsidRPr="00596D8F" w:rsidRDefault="00D55C66" w:rsidP="006B06E9">
      <w:pPr>
        <w:spacing w:after="0" w:line="240" w:lineRule="auto"/>
        <w:jc w:val="center"/>
        <w:rPr>
          <w:rFonts w:ascii="Arial" w:hAnsi="Arial" w:cs="Arial"/>
          <w:b/>
          <w:color w:val="548DD4" w:themeColor="text2" w:themeTint="99"/>
          <w:sz w:val="40"/>
          <w:szCs w:val="40"/>
          <w:lang w:val="es-MX"/>
        </w:rPr>
      </w:pPr>
    </w:p>
    <w:p w:rsidR="006B06E9" w:rsidRPr="00014F53" w:rsidRDefault="00596D8F" w:rsidP="00596D8F">
      <w:pPr>
        <w:spacing w:after="0" w:line="240" w:lineRule="auto"/>
        <w:jc w:val="both"/>
        <w:rPr>
          <w:rFonts w:ascii="Arial" w:hAnsi="Arial" w:cs="Arial"/>
          <w:sz w:val="24"/>
          <w:szCs w:val="24"/>
        </w:rPr>
      </w:pPr>
      <w:r w:rsidRPr="00014F53">
        <w:rPr>
          <w:rFonts w:ascii="Arial" w:hAnsi="Arial" w:cs="Arial"/>
          <w:b/>
          <w:sz w:val="24"/>
          <w:szCs w:val="24"/>
        </w:rPr>
        <w:t xml:space="preserve">IV </w:t>
      </w:r>
      <w:r w:rsidR="006B06E9" w:rsidRPr="00014F53">
        <w:rPr>
          <w:rFonts w:ascii="Arial" w:hAnsi="Arial" w:cs="Arial"/>
          <w:b/>
          <w:sz w:val="24"/>
          <w:szCs w:val="24"/>
        </w:rPr>
        <w:t>CONSIDERACIONES FINALES</w:t>
      </w:r>
      <w:r w:rsidR="006B06E9" w:rsidRPr="00014F53">
        <w:rPr>
          <w:rFonts w:ascii="Arial" w:hAnsi="Arial" w:cs="Arial"/>
          <w:sz w:val="24"/>
          <w:szCs w:val="24"/>
        </w:rPr>
        <w:t>:</w:t>
      </w:r>
    </w:p>
    <w:p w:rsidR="00D55C66" w:rsidRPr="00596D8F" w:rsidRDefault="00D55C66" w:rsidP="00596D8F">
      <w:pPr>
        <w:spacing w:after="0" w:line="240" w:lineRule="auto"/>
        <w:jc w:val="both"/>
        <w:rPr>
          <w:rFonts w:ascii="Arial" w:hAnsi="Arial" w:cs="Arial"/>
          <w:color w:val="C00000"/>
          <w:sz w:val="24"/>
          <w:szCs w:val="24"/>
        </w:rPr>
      </w:pPr>
    </w:p>
    <w:p w:rsidR="006B06E9" w:rsidRPr="00F1509B" w:rsidRDefault="006B06E9" w:rsidP="00EB3C80">
      <w:pPr>
        <w:pStyle w:val="Prrafodelista"/>
        <w:numPr>
          <w:ilvl w:val="0"/>
          <w:numId w:val="13"/>
        </w:numPr>
        <w:spacing w:after="0" w:line="240" w:lineRule="auto"/>
        <w:ind w:left="284" w:hanging="284"/>
        <w:jc w:val="both"/>
        <w:rPr>
          <w:rFonts w:ascii="Arial" w:hAnsi="Arial" w:cs="Arial"/>
        </w:rPr>
      </w:pPr>
      <w:r w:rsidRPr="00F1509B">
        <w:rPr>
          <w:rFonts w:ascii="Arial" w:hAnsi="Arial" w:cs="Arial"/>
        </w:rPr>
        <w:t>El Presupuesto General de Ingresos y Egresos del Esta</w:t>
      </w:r>
      <w:r w:rsidR="00A37585" w:rsidRPr="00F1509B">
        <w:rPr>
          <w:rFonts w:ascii="Arial" w:hAnsi="Arial" w:cs="Arial"/>
        </w:rPr>
        <w:t>do para el Ejercicio Fiscal 201</w:t>
      </w:r>
      <w:r w:rsidR="002E4861">
        <w:rPr>
          <w:rFonts w:ascii="Arial" w:hAnsi="Arial" w:cs="Arial"/>
        </w:rPr>
        <w:t>9</w:t>
      </w:r>
      <w:r w:rsidR="006F4706">
        <w:rPr>
          <w:rFonts w:ascii="Arial" w:hAnsi="Arial" w:cs="Arial"/>
        </w:rPr>
        <w:t xml:space="preserve"> fue aprobado</w:t>
      </w:r>
      <w:r w:rsidR="002E4861">
        <w:rPr>
          <w:rFonts w:ascii="Arial" w:hAnsi="Arial" w:cs="Arial"/>
        </w:rPr>
        <w:t xml:space="preserve"> mediante </w:t>
      </w:r>
      <w:r w:rsidR="00603475">
        <w:rPr>
          <w:rFonts w:ascii="Arial" w:hAnsi="Arial" w:cs="Arial"/>
        </w:rPr>
        <w:t xml:space="preserve">el </w:t>
      </w:r>
      <w:r w:rsidR="002E4861">
        <w:rPr>
          <w:rFonts w:ascii="Arial" w:hAnsi="Arial" w:cs="Arial"/>
        </w:rPr>
        <w:t xml:space="preserve">Decreto No. 25-2018 </w:t>
      </w:r>
      <w:r w:rsidR="00480992">
        <w:rPr>
          <w:rFonts w:ascii="Arial" w:hAnsi="Arial" w:cs="Arial"/>
        </w:rPr>
        <w:t xml:space="preserve">del Congreso de la República, </w:t>
      </w:r>
      <w:r w:rsidR="002E4861">
        <w:rPr>
          <w:rFonts w:ascii="Arial" w:hAnsi="Arial" w:cs="Arial"/>
        </w:rPr>
        <w:t xml:space="preserve">por la </w:t>
      </w:r>
      <w:r w:rsidR="002E4861">
        <w:rPr>
          <w:rFonts w:ascii="Arial" w:hAnsi="Arial" w:cs="Arial"/>
          <w:lang w:val="es-MX"/>
        </w:rPr>
        <w:t>suma de Q.87</w:t>
      </w:r>
      <w:proofErr w:type="gramStart"/>
      <w:r w:rsidR="004877A0">
        <w:rPr>
          <w:rFonts w:ascii="Arial" w:hAnsi="Arial" w:cs="Arial"/>
          <w:lang w:val="es-MX"/>
        </w:rPr>
        <w:t>,715.</w:t>
      </w:r>
      <w:r w:rsidR="00D55C66">
        <w:rPr>
          <w:rFonts w:ascii="Arial" w:hAnsi="Arial" w:cs="Arial"/>
          <w:lang w:val="es-MX"/>
        </w:rPr>
        <w:t>1</w:t>
      </w:r>
      <w:proofErr w:type="gramEnd"/>
      <w:r w:rsidRPr="00F1509B">
        <w:rPr>
          <w:rFonts w:ascii="Arial" w:hAnsi="Arial" w:cs="Arial"/>
          <w:lang w:val="es-MX"/>
        </w:rPr>
        <w:t xml:space="preserve"> millones.</w:t>
      </w:r>
    </w:p>
    <w:p w:rsidR="006B06E9" w:rsidRPr="00F1509B" w:rsidRDefault="006B06E9" w:rsidP="00F1509B">
      <w:pPr>
        <w:pStyle w:val="Prrafodelista"/>
        <w:spacing w:after="0" w:line="240" w:lineRule="auto"/>
        <w:ind w:left="284" w:hanging="284"/>
        <w:jc w:val="both"/>
        <w:rPr>
          <w:rFonts w:ascii="Arial" w:hAnsi="Arial" w:cs="Arial"/>
        </w:rPr>
      </w:pPr>
    </w:p>
    <w:p w:rsidR="00710E75" w:rsidRPr="00710E75" w:rsidRDefault="006B06E9" w:rsidP="00EB3C80">
      <w:pPr>
        <w:pStyle w:val="Prrafodelista"/>
        <w:numPr>
          <w:ilvl w:val="0"/>
          <w:numId w:val="13"/>
        </w:numPr>
        <w:spacing w:after="0" w:line="240" w:lineRule="auto"/>
        <w:ind w:left="284" w:hanging="284"/>
        <w:jc w:val="both"/>
        <w:rPr>
          <w:rFonts w:ascii="Arial" w:hAnsi="Arial" w:cs="Arial"/>
        </w:rPr>
      </w:pPr>
      <w:r w:rsidRPr="00710E75">
        <w:rPr>
          <w:rFonts w:ascii="Arial" w:hAnsi="Arial" w:cs="Arial"/>
          <w:lang w:val="es-MX"/>
        </w:rPr>
        <w:t xml:space="preserve">El referido Decreto No. </w:t>
      </w:r>
      <w:r w:rsidR="007A7232" w:rsidRPr="00710E75">
        <w:rPr>
          <w:rFonts w:ascii="Arial" w:hAnsi="Arial" w:cs="Arial"/>
          <w:lang w:val="es-MX"/>
        </w:rPr>
        <w:t>25-2018</w:t>
      </w:r>
      <w:r w:rsidRPr="00710E75">
        <w:rPr>
          <w:rFonts w:ascii="Arial" w:hAnsi="Arial" w:cs="Arial"/>
          <w:lang w:val="es-MX"/>
        </w:rPr>
        <w:t xml:space="preserve">, </w:t>
      </w:r>
      <w:r w:rsidR="004877A0" w:rsidRPr="00710E75">
        <w:rPr>
          <w:rFonts w:ascii="Arial" w:hAnsi="Arial" w:cs="Arial"/>
          <w:lang w:val="es-MX"/>
        </w:rPr>
        <w:t xml:space="preserve">contiene en el Título III de Disposiciones Generales, </w:t>
      </w:r>
      <w:r w:rsidR="00DA61E0">
        <w:rPr>
          <w:rFonts w:ascii="Arial" w:hAnsi="Arial" w:cs="Arial"/>
          <w:lang w:val="es-MX"/>
        </w:rPr>
        <w:t xml:space="preserve">normas específicas de ejecución presupuestaria, </w:t>
      </w:r>
      <w:r w:rsidR="004877A0" w:rsidRPr="00710E75">
        <w:rPr>
          <w:rFonts w:ascii="Arial" w:hAnsi="Arial" w:cs="Arial"/>
          <w:lang w:val="es-MX"/>
        </w:rPr>
        <w:t xml:space="preserve">dentro de las que destaca </w:t>
      </w:r>
      <w:r w:rsidR="00DA61E0">
        <w:rPr>
          <w:rFonts w:ascii="Arial" w:hAnsi="Arial" w:cs="Arial"/>
          <w:lang w:val="es-MX"/>
        </w:rPr>
        <w:t xml:space="preserve">la autorización para ampliar el </w:t>
      </w:r>
      <w:r w:rsidR="004877A0" w:rsidRPr="00710E75">
        <w:rPr>
          <w:rFonts w:ascii="Arial" w:hAnsi="Arial" w:cs="Arial"/>
          <w:lang w:val="es-MX"/>
        </w:rPr>
        <w:t>presupuest</w:t>
      </w:r>
      <w:r w:rsidR="00DA61E0">
        <w:rPr>
          <w:rFonts w:ascii="Arial" w:hAnsi="Arial" w:cs="Arial"/>
          <w:lang w:val="es-MX"/>
        </w:rPr>
        <w:t>o</w:t>
      </w:r>
      <w:r w:rsidR="004877A0" w:rsidRPr="00710E75">
        <w:rPr>
          <w:rFonts w:ascii="Arial" w:hAnsi="Arial" w:cs="Arial"/>
          <w:lang w:val="es-MX"/>
        </w:rPr>
        <w:t xml:space="preserve"> </w:t>
      </w:r>
      <w:r w:rsidR="00E66A14">
        <w:rPr>
          <w:rFonts w:ascii="Arial" w:hAnsi="Arial" w:cs="Arial"/>
          <w:lang w:val="es-MX"/>
        </w:rPr>
        <w:t>con</w:t>
      </w:r>
      <w:r w:rsidR="004877A0" w:rsidRPr="00710E75">
        <w:rPr>
          <w:rFonts w:ascii="Arial" w:hAnsi="Arial" w:cs="Arial"/>
          <w:lang w:val="es-MX"/>
        </w:rPr>
        <w:t xml:space="preserve"> recursos provenientes de donaciones, préstamos externos en ejecución, </w:t>
      </w:r>
      <w:r w:rsidR="00710E75" w:rsidRPr="00710E75">
        <w:rPr>
          <w:rFonts w:ascii="Arial" w:hAnsi="Arial" w:cs="Arial"/>
          <w:lang w:val="es-MX"/>
        </w:rPr>
        <w:t xml:space="preserve">aplicación de la </w:t>
      </w:r>
      <w:r w:rsidR="00710E75">
        <w:rPr>
          <w:rFonts w:ascii="Arial" w:hAnsi="Arial" w:cs="Arial"/>
          <w:lang w:val="es-MX"/>
        </w:rPr>
        <w:t>Ley de E</w:t>
      </w:r>
      <w:r w:rsidR="00710E75" w:rsidRPr="00710E75">
        <w:rPr>
          <w:rFonts w:ascii="Arial" w:hAnsi="Arial" w:cs="Arial"/>
          <w:lang w:val="es-MX"/>
        </w:rPr>
        <w:t>xtinci</w:t>
      </w:r>
      <w:r w:rsidR="00710E75">
        <w:rPr>
          <w:rFonts w:ascii="Arial" w:hAnsi="Arial" w:cs="Arial"/>
          <w:lang w:val="es-MX"/>
        </w:rPr>
        <w:t>ón de D</w:t>
      </w:r>
      <w:r w:rsidR="00710E75" w:rsidRPr="00710E75">
        <w:rPr>
          <w:rFonts w:ascii="Arial" w:hAnsi="Arial" w:cs="Arial"/>
          <w:lang w:val="es-MX"/>
        </w:rPr>
        <w:t>ominio</w:t>
      </w:r>
      <w:r w:rsidR="00E66A14">
        <w:rPr>
          <w:rFonts w:ascii="Arial" w:hAnsi="Arial" w:cs="Arial"/>
          <w:lang w:val="es-MX"/>
        </w:rPr>
        <w:t>.</w:t>
      </w:r>
      <w:r w:rsidR="00710E75" w:rsidRPr="00710E75">
        <w:rPr>
          <w:rFonts w:ascii="Arial" w:hAnsi="Arial" w:cs="Arial"/>
          <w:lang w:val="es-MX"/>
        </w:rPr>
        <w:t xml:space="preserve"> </w:t>
      </w:r>
      <w:r w:rsidR="00E66A14">
        <w:rPr>
          <w:rFonts w:ascii="Arial" w:hAnsi="Arial" w:cs="Arial"/>
          <w:lang w:val="es-MX"/>
        </w:rPr>
        <w:t>O</w:t>
      </w:r>
      <w:r w:rsidR="005E117F">
        <w:rPr>
          <w:rFonts w:ascii="Arial" w:hAnsi="Arial" w:cs="Arial"/>
          <w:lang w:val="es-MX"/>
        </w:rPr>
        <w:t xml:space="preserve">tras normas se refieren a las </w:t>
      </w:r>
      <w:r w:rsidR="00710E75" w:rsidRPr="00710E75">
        <w:rPr>
          <w:rFonts w:ascii="Arial" w:hAnsi="Arial" w:cs="Arial"/>
          <w:lang w:val="es-MX"/>
        </w:rPr>
        <w:t xml:space="preserve">asignaciones especiales autorizadas por el Congreso de la </w:t>
      </w:r>
      <w:r w:rsidR="00710E75">
        <w:rPr>
          <w:rFonts w:ascii="Arial" w:hAnsi="Arial" w:cs="Arial"/>
          <w:lang w:val="es-MX"/>
        </w:rPr>
        <w:t>R</w:t>
      </w:r>
      <w:r w:rsidR="00710E75" w:rsidRPr="00710E75">
        <w:rPr>
          <w:rFonts w:ascii="Arial" w:hAnsi="Arial" w:cs="Arial"/>
          <w:lang w:val="es-MX"/>
        </w:rPr>
        <w:t xml:space="preserve">epública, </w:t>
      </w:r>
      <w:r w:rsidR="00710E75">
        <w:rPr>
          <w:rFonts w:ascii="Arial" w:hAnsi="Arial" w:cs="Arial"/>
          <w:lang w:val="es-MX"/>
        </w:rPr>
        <w:t xml:space="preserve">y </w:t>
      </w:r>
      <w:r w:rsidR="005E117F">
        <w:rPr>
          <w:rFonts w:ascii="Arial" w:hAnsi="Arial" w:cs="Arial"/>
          <w:lang w:val="es-MX"/>
        </w:rPr>
        <w:t xml:space="preserve">la </w:t>
      </w:r>
      <w:r w:rsidR="00710E75" w:rsidRPr="00710E75">
        <w:rPr>
          <w:rFonts w:ascii="Arial" w:hAnsi="Arial" w:cs="Arial"/>
          <w:lang w:val="es-MX"/>
        </w:rPr>
        <w:t>reprogramación de fuentes de financiamiento, principalmente.</w:t>
      </w:r>
    </w:p>
    <w:p w:rsidR="006B06E9" w:rsidRPr="00720CA5" w:rsidRDefault="00710E75" w:rsidP="00EA4041">
      <w:pPr>
        <w:pStyle w:val="Prrafodelista"/>
        <w:spacing w:after="0" w:line="240" w:lineRule="auto"/>
        <w:ind w:left="0"/>
        <w:jc w:val="both"/>
        <w:rPr>
          <w:rFonts w:ascii="Arial" w:hAnsi="Arial" w:cs="Arial"/>
        </w:rPr>
      </w:pPr>
      <w:r w:rsidRPr="00710E75">
        <w:rPr>
          <w:rFonts w:ascii="Arial" w:hAnsi="Arial" w:cs="Arial"/>
        </w:rPr>
        <w:t xml:space="preserve"> </w:t>
      </w:r>
    </w:p>
    <w:p w:rsidR="006B06E9" w:rsidRPr="00F1509B" w:rsidRDefault="006C3209" w:rsidP="00EB3C80">
      <w:pPr>
        <w:pStyle w:val="Prrafodelista"/>
        <w:numPr>
          <w:ilvl w:val="0"/>
          <w:numId w:val="13"/>
        </w:numPr>
        <w:spacing w:after="0" w:line="240" w:lineRule="auto"/>
        <w:ind w:left="284" w:hanging="284"/>
        <w:jc w:val="both"/>
        <w:rPr>
          <w:rFonts w:ascii="Arial" w:hAnsi="Arial" w:cs="Arial"/>
        </w:rPr>
      </w:pPr>
      <w:r w:rsidRPr="00F1509B">
        <w:rPr>
          <w:rFonts w:ascii="Arial" w:hAnsi="Arial" w:cs="Arial"/>
        </w:rPr>
        <w:t xml:space="preserve">El Presupuesto </w:t>
      </w:r>
      <w:r w:rsidR="00603475" w:rsidRPr="00F1509B">
        <w:rPr>
          <w:rFonts w:ascii="Arial" w:hAnsi="Arial" w:cs="Arial"/>
        </w:rPr>
        <w:t>aprobado</w:t>
      </w:r>
      <w:r w:rsidR="00603475">
        <w:rPr>
          <w:rFonts w:ascii="Arial" w:hAnsi="Arial" w:cs="Arial"/>
        </w:rPr>
        <w:t xml:space="preserve"> para el ejercicio fiscal </w:t>
      </w:r>
      <w:r w:rsidRPr="00F1509B">
        <w:rPr>
          <w:rFonts w:ascii="Arial" w:hAnsi="Arial" w:cs="Arial"/>
        </w:rPr>
        <w:t>201</w:t>
      </w:r>
      <w:r w:rsidR="0067252B">
        <w:rPr>
          <w:rFonts w:ascii="Arial" w:hAnsi="Arial" w:cs="Arial"/>
        </w:rPr>
        <w:t>9</w:t>
      </w:r>
      <w:r w:rsidR="006B06E9" w:rsidRPr="00F1509B">
        <w:rPr>
          <w:rFonts w:ascii="Arial" w:hAnsi="Arial" w:cs="Arial"/>
        </w:rPr>
        <w:t xml:space="preserve">, se encuentra financiado </w:t>
      </w:r>
      <w:r w:rsidR="00603475">
        <w:rPr>
          <w:rFonts w:ascii="Arial" w:hAnsi="Arial" w:cs="Arial"/>
        </w:rPr>
        <w:t>en</w:t>
      </w:r>
      <w:r w:rsidR="00603475" w:rsidRPr="00F1509B">
        <w:rPr>
          <w:rFonts w:ascii="Arial" w:hAnsi="Arial" w:cs="Arial"/>
        </w:rPr>
        <w:t xml:space="preserve"> </w:t>
      </w:r>
      <w:r w:rsidR="006B06E9" w:rsidRPr="00F1509B">
        <w:rPr>
          <w:rFonts w:ascii="Arial" w:hAnsi="Arial" w:cs="Arial"/>
        </w:rPr>
        <w:t xml:space="preserve">un </w:t>
      </w:r>
      <w:r w:rsidRPr="00F1509B">
        <w:rPr>
          <w:rFonts w:ascii="Arial" w:hAnsi="Arial" w:cs="Arial"/>
        </w:rPr>
        <w:t>7</w:t>
      </w:r>
      <w:r w:rsidR="0067252B">
        <w:rPr>
          <w:rFonts w:ascii="Arial" w:hAnsi="Arial" w:cs="Arial"/>
        </w:rPr>
        <w:t>3.0</w:t>
      </w:r>
      <w:r w:rsidR="006B06E9" w:rsidRPr="00F1509B">
        <w:rPr>
          <w:rFonts w:ascii="Arial" w:hAnsi="Arial" w:cs="Arial"/>
        </w:rPr>
        <w:t xml:space="preserve">% </w:t>
      </w:r>
      <w:r w:rsidR="00603475">
        <w:rPr>
          <w:rFonts w:ascii="Arial" w:hAnsi="Arial" w:cs="Arial"/>
        </w:rPr>
        <w:t>por</w:t>
      </w:r>
      <w:r w:rsidR="00603475" w:rsidRPr="00F1509B">
        <w:rPr>
          <w:rFonts w:ascii="Arial" w:hAnsi="Arial" w:cs="Arial"/>
        </w:rPr>
        <w:t xml:space="preserve"> </w:t>
      </w:r>
      <w:r w:rsidR="006B06E9" w:rsidRPr="00F1509B">
        <w:rPr>
          <w:rFonts w:ascii="Arial" w:hAnsi="Arial" w:cs="Arial"/>
        </w:rPr>
        <w:t xml:space="preserve">ingresos tributarios y </w:t>
      </w:r>
      <w:r w:rsidRPr="00F1509B">
        <w:rPr>
          <w:rFonts w:ascii="Arial" w:hAnsi="Arial" w:cs="Arial"/>
        </w:rPr>
        <w:t>0.</w:t>
      </w:r>
      <w:r w:rsidR="006B6089">
        <w:rPr>
          <w:rFonts w:ascii="Arial" w:hAnsi="Arial" w:cs="Arial"/>
        </w:rPr>
        <w:t>9</w:t>
      </w:r>
      <w:r w:rsidR="006B06E9" w:rsidRPr="00F1509B">
        <w:rPr>
          <w:rFonts w:ascii="Arial" w:hAnsi="Arial" w:cs="Arial"/>
        </w:rPr>
        <w:t xml:space="preserve">% de ingresos no tributarios. Sin embargo, dado que los mismos no son suficientes para </w:t>
      </w:r>
      <w:r w:rsidR="00603475">
        <w:rPr>
          <w:rFonts w:ascii="Arial" w:hAnsi="Arial" w:cs="Arial"/>
        </w:rPr>
        <w:t>la cobertura del gasto</w:t>
      </w:r>
      <w:r w:rsidR="006B06E9" w:rsidRPr="00F1509B">
        <w:rPr>
          <w:rFonts w:ascii="Arial" w:hAnsi="Arial" w:cs="Arial"/>
        </w:rPr>
        <w:t>, es necesario recurrir al endeudamiento mediante la emisión de Bonos del Tesoro equivalente a un 1</w:t>
      </w:r>
      <w:r w:rsidR="006B6089">
        <w:rPr>
          <w:rFonts w:ascii="Arial" w:hAnsi="Arial" w:cs="Arial"/>
        </w:rPr>
        <w:t>6.2</w:t>
      </w:r>
      <w:r w:rsidR="006B06E9" w:rsidRPr="00F1509B">
        <w:rPr>
          <w:rFonts w:ascii="Arial" w:hAnsi="Arial" w:cs="Arial"/>
        </w:rPr>
        <w:t xml:space="preserve">%, y un </w:t>
      </w:r>
      <w:r w:rsidR="006B6089">
        <w:rPr>
          <w:rFonts w:ascii="Arial" w:hAnsi="Arial" w:cs="Arial"/>
        </w:rPr>
        <w:t>1.8</w:t>
      </w:r>
      <w:r w:rsidR="006B06E9" w:rsidRPr="00F1509B">
        <w:rPr>
          <w:rFonts w:ascii="Arial" w:hAnsi="Arial" w:cs="Arial"/>
        </w:rPr>
        <w:t>% con préstamos contratados con el sector externo. El 0.</w:t>
      </w:r>
      <w:r w:rsidR="00E65413">
        <w:rPr>
          <w:rFonts w:ascii="Arial" w:hAnsi="Arial" w:cs="Arial"/>
        </w:rPr>
        <w:t>3</w:t>
      </w:r>
      <w:r w:rsidR="006B06E9" w:rsidRPr="00F1509B">
        <w:rPr>
          <w:rFonts w:ascii="Arial" w:hAnsi="Arial" w:cs="Arial"/>
        </w:rPr>
        <w:t>% corresponde a donaciones de países amigos</w:t>
      </w:r>
      <w:r w:rsidR="006D47FD" w:rsidRPr="00F1509B">
        <w:rPr>
          <w:rFonts w:ascii="Arial" w:hAnsi="Arial" w:cs="Arial"/>
        </w:rPr>
        <w:t>,</w:t>
      </w:r>
      <w:r w:rsidRPr="00F1509B">
        <w:rPr>
          <w:rFonts w:ascii="Arial" w:hAnsi="Arial" w:cs="Arial"/>
        </w:rPr>
        <w:t xml:space="preserve"> </w:t>
      </w:r>
      <w:r w:rsidR="00E65413">
        <w:rPr>
          <w:rFonts w:ascii="Arial" w:hAnsi="Arial" w:cs="Arial"/>
        </w:rPr>
        <w:t>3.8</w:t>
      </w:r>
      <w:r w:rsidR="006B06E9" w:rsidRPr="00F1509B">
        <w:rPr>
          <w:rFonts w:ascii="Arial" w:hAnsi="Arial" w:cs="Arial"/>
        </w:rPr>
        <w:t>% de los rec</w:t>
      </w:r>
      <w:r w:rsidR="006D47FD" w:rsidRPr="00F1509B">
        <w:rPr>
          <w:rFonts w:ascii="Arial" w:hAnsi="Arial" w:cs="Arial"/>
        </w:rPr>
        <w:t xml:space="preserve">ursos pertenece a saldo de caja, </w:t>
      </w:r>
      <w:r w:rsidR="00E65413">
        <w:rPr>
          <w:rFonts w:ascii="Arial" w:hAnsi="Arial" w:cs="Arial"/>
        </w:rPr>
        <w:t>2.9</w:t>
      </w:r>
      <w:r w:rsidR="006D47FD" w:rsidRPr="00F1509B">
        <w:rPr>
          <w:rFonts w:ascii="Arial" w:hAnsi="Arial" w:cs="Arial"/>
        </w:rPr>
        <w:t xml:space="preserve">% contribuciones a la seguridad y previsión social, </w:t>
      </w:r>
      <w:r w:rsidR="00E65413">
        <w:rPr>
          <w:rFonts w:ascii="Arial" w:hAnsi="Arial" w:cs="Arial"/>
        </w:rPr>
        <w:t>0.5</w:t>
      </w:r>
      <w:r w:rsidR="006D47FD" w:rsidRPr="00F1509B">
        <w:rPr>
          <w:rFonts w:ascii="Arial" w:hAnsi="Arial" w:cs="Arial"/>
        </w:rPr>
        <w:t>% por venta de bienes y servicios de la administración pública</w:t>
      </w:r>
      <w:r w:rsidR="008F0ED2">
        <w:rPr>
          <w:rFonts w:ascii="Arial" w:hAnsi="Arial" w:cs="Arial"/>
        </w:rPr>
        <w:t>,</w:t>
      </w:r>
      <w:r w:rsidR="006D47FD" w:rsidRPr="00F1509B">
        <w:rPr>
          <w:rFonts w:ascii="Arial" w:hAnsi="Arial" w:cs="Arial"/>
        </w:rPr>
        <w:t xml:space="preserve"> </w:t>
      </w:r>
      <w:r w:rsidR="008F0ED2">
        <w:rPr>
          <w:rFonts w:ascii="Arial" w:hAnsi="Arial" w:cs="Arial"/>
        </w:rPr>
        <w:t>0.5% por</w:t>
      </w:r>
      <w:r w:rsidR="00DE46CB">
        <w:rPr>
          <w:rFonts w:ascii="Arial" w:hAnsi="Arial" w:cs="Arial"/>
        </w:rPr>
        <w:t xml:space="preserve"> </w:t>
      </w:r>
      <w:r w:rsidR="006D47FD" w:rsidRPr="00F1509B">
        <w:rPr>
          <w:rFonts w:ascii="Arial" w:hAnsi="Arial" w:cs="Arial"/>
        </w:rPr>
        <w:t>rentas de la propiedad</w:t>
      </w:r>
      <w:r w:rsidR="00DE46CB">
        <w:rPr>
          <w:rFonts w:ascii="Arial" w:hAnsi="Arial" w:cs="Arial"/>
        </w:rPr>
        <w:t>, y el restante 0.1%</w:t>
      </w:r>
      <w:r w:rsidR="001F123F">
        <w:rPr>
          <w:rFonts w:ascii="Arial" w:hAnsi="Arial" w:cs="Arial"/>
        </w:rPr>
        <w:t xml:space="preserve"> corresponde a </w:t>
      </w:r>
      <w:r w:rsidR="00D02BA2">
        <w:rPr>
          <w:rFonts w:ascii="Arial" w:hAnsi="Arial" w:cs="Arial"/>
        </w:rPr>
        <w:t>trasferencias corrientes y recuperación de préstamos de largo plazo</w:t>
      </w:r>
      <w:r w:rsidR="006D47FD" w:rsidRPr="00F1509B">
        <w:rPr>
          <w:rFonts w:ascii="Arial" w:hAnsi="Arial" w:cs="Arial"/>
        </w:rPr>
        <w:t>.</w:t>
      </w:r>
    </w:p>
    <w:p w:rsidR="006B06E9" w:rsidRPr="00F1509B" w:rsidRDefault="006B06E9" w:rsidP="00F1509B">
      <w:pPr>
        <w:pStyle w:val="Prrafodelista"/>
        <w:spacing w:after="0" w:line="240" w:lineRule="auto"/>
        <w:ind w:left="284" w:hanging="284"/>
        <w:rPr>
          <w:rFonts w:ascii="Arial" w:hAnsi="Arial" w:cs="Arial"/>
          <w:highlight w:val="yellow"/>
        </w:rPr>
      </w:pPr>
    </w:p>
    <w:p w:rsidR="006B06E9" w:rsidRPr="00F1509B" w:rsidRDefault="006B06E9" w:rsidP="00EB3C80">
      <w:pPr>
        <w:pStyle w:val="Prrafodelista"/>
        <w:numPr>
          <w:ilvl w:val="0"/>
          <w:numId w:val="13"/>
        </w:numPr>
        <w:spacing w:after="0" w:line="240" w:lineRule="auto"/>
        <w:ind w:left="284" w:hanging="284"/>
        <w:jc w:val="both"/>
        <w:rPr>
          <w:rFonts w:ascii="Arial" w:hAnsi="Arial" w:cs="Arial"/>
        </w:rPr>
      </w:pPr>
      <w:r w:rsidRPr="00F1509B">
        <w:rPr>
          <w:rFonts w:ascii="Arial" w:hAnsi="Arial" w:cs="Arial"/>
        </w:rPr>
        <w:t>El presupuesto 201</w:t>
      </w:r>
      <w:r w:rsidR="009774DC">
        <w:rPr>
          <w:rFonts w:ascii="Arial" w:hAnsi="Arial" w:cs="Arial"/>
        </w:rPr>
        <w:t>9</w:t>
      </w:r>
      <w:r w:rsidRPr="00F1509B">
        <w:rPr>
          <w:rFonts w:ascii="Arial" w:hAnsi="Arial" w:cs="Arial"/>
        </w:rPr>
        <w:t xml:space="preserve"> considera un mayor incremento en el Tipo de Gasto de Funcionamiento en virtud que en el mismo se programan aquellas asignaciones destinadas al gasto social, tales como, las que corresponden a los servicios de educación, salud y seguridad principalmente. Lo anterior implica financiar el pago de salarios de maestros, médicos, personal de enfermería y agentes de seguridad que son vitales en la prestación de los servicios esenciales a la población. </w:t>
      </w:r>
    </w:p>
    <w:p w:rsidR="006B06E9" w:rsidRPr="00F1509B" w:rsidRDefault="006B06E9" w:rsidP="00F1509B">
      <w:pPr>
        <w:pStyle w:val="Prrafodelista"/>
        <w:spacing w:after="0" w:line="240" w:lineRule="auto"/>
        <w:ind w:left="284" w:hanging="284"/>
        <w:jc w:val="both"/>
        <w:rPr>
          <w:rFonts w:ascii="Arial" w:hAnsi="Arial" w:cs="Arial"/>
          <w:highlight w:val="yellow"/>
        </w:rPr>
      </w:pPr>
    </w:p>
    <w:p w:rsidR="006B06E9" w:rsidRPr="00F1509B" w:rsidRDefault="006B06E9" w:rsidP="00EB3C80">
      <w:pPr>
        <w:pStyle w:val="Prrafodelista"/>
        <w:numPr>
          <w:ilvl w:val="0"/>
          <w:numId w:val="13"/>
        </w:numPr>
        <w:spacing w:after="0" w:line="240" w:lineRule="auto"/>
        <w:ind w:left="284" w:hanging="284"/>
        <w:jc w:val="both"/>
        <w:rPr>
          <w:rFonts w:ascii="Arial" w:hAnsi="Arial" w:cs="Arial"/>
        </w:rPr>
      </w:pPr>
      <w:r w:rsidRPr="00F1509B">
        <w:rPr>
          <w:rFonts w:ascii="Arial" w:hAnsi="Arial" w:cs="Arial"/>
        </w:rPr>
        <w:t>Es de resaltar que aún con la rigidez que tienen los recursos, el Presupuesto 201</w:t>
      </w:r>
      <w:r w:rsidR="009774DC">
        <w:rPr>
          <w:rFonts w:ascii="Arial" w:hAnsi="Arial" w:cs="Arial"/>
        </w:rPr>
        <w:t>9</w:t>
      </w:r>
      <w:r w:rsidRPr="00F1509B">
        <w:rPr>
          <w:rFonts w:ascii="Arial" w:hAnsi="Arial" w:cs="Arial"/>
        </w:rPr>
        <w:t xml:space="preserve"> da cumplimiento a las asignaciones constitucionales y a las asignaciones que coadyuvan a dar cumplimiento a los Acuerdos de Paz. </w:t>
      </w:r>
    </w:p>
    <w:p w:rsidR="006B06E9" w:rsidRPr="00F1509B" w:rsidRDefault="006B06E9" w:rsidP="00F1509B">
      <w:pPr>
        <w:pStyle w:val="Prrafodelista"/>
        <w:spacing w:after="0" w:line="240" w:lineRule="auto"/>
        <w:ind w:left="284" w:hanging="284"/>
        <w:jc w:val="both"/>
        <w:rPr>
          <w:rFonts w:ascii="Arial" w:hAnsi="Arial" w:cs="Arial"/>
        </w:rPr>
      </w:pPr>
    </w:p>
    <w:p w:rsidR="006B06E9" w:rsidRDefault="006B06E9" w:rsidP="00EB3C80">
      <w:pPr>
        <w:pStyle w:val="Prrafodelista"/>
        <w:numPr>
          <w:ilvl w:val="0"/>
          <w:numId w:val="13"/>
        </w:numPr>
        <w:spacing w:after="0" w:line="240" w:lineRule="auto"/>
        <w:ind w:left="284" w:hanging="284"/>
        <w:jc w:val="both"/>
        <w:rPr>
          <w:rFonts w:ascii="Arial" w:hAnsi="Arial" w:cs="Arial"/>
        </w:rPr>
      </w:pPr>
      <w:r w:rsidRPr="00CC208C">
        <w:rPr>
          <w:rFonts w:ascii="Arial" w:hAnsi="Arial" w:cs="Arial"/>
        </w:rPr>
        <w:t xml:space="preserve">El Decreto No. </w:t>
      </w:r>
      <w:r w:rsidR="009774DC" w:rsidRPr="00CC208C">
        <w:rPr>
          <w:rFonts w:ascii="Arial" w:hAnsi="Arial" w:cs="Arial"/>
        </w:rPr>
        <w:t>25-2018</w:t>
      </w:r>
      <w:r w:rsidRPr="00CC208C">
        <w:rPr>
          <w:rFonts w:ascii="Arial" w:hAnsi="Arial" w:cs="Arial"/>
        </w:rPr>
        <w:t xml:space="preserve"> que aprobó el Presupuesto 201</w:t>
      </w:r>
      <w:r w:rsidR="009774DC" w:rsidRPr="00CC208C">
        <w:rPr>
          <w:rFonts w:ascii="Arial" w:hAnsi="Arial" w:cs="Arial"/>
        </w:rPr>
        <w:t>9</w:t>
      </w:r>
      <w:r w:rsidRPr="00CC208C">
        <w:rPr>
          <w:rFonts w:ascii="Arial" w:hAnsi="Arial" w:cs="Arial"/>
        </w:rPr>
        <w:t>, incluye disposiciones que promueven la transparencia y la calidad del gasto público, las cuales son complementarias a la Ley Orgánica del Presupuesto contenida en el Decreto No. 101-97 y sus reformas incluidas en los D</w:t>
      </w:r>
      <w:r w:rsidR="00CC208C">
        <w:rPr>
          <w:rFonts w:ascii="Arial" w:hAnsi="Arial" w:cs="Arial"/>
        </w:rPr>
        <w:t xml:space="preserve">ecretos Nos. 13-2013 y 9-2014. </w:t>
      </w:r>
    </w:p>
    <w:p w:rsidR="00CC208C" w:rsidRPr="00CC208C" w:rsidRDefault="00CC208C" w:rsidP="00EA4041">
      <w:pPr>
        <w:pStyle w:val="Prrafodelista"/>
        <w:spacing w:after="0" w:line="240" w:lineRule="auto"/>
        <w:ind w:left="0"/>
        <w:jc w:val="both"/>
        <w:rPr>
          <w:rFonts w:ascii="Arial" w:hAnsi="Arial" w:cs="Arial"/>
        </w:rPr>
      </w:pPr>
    </w:p>
    <w:p w:rsidR="00F1509B" w:rsidRDefault="006B06E9" w:rsidP="00EB3C80">
      <w:pPr>
        <w:pStyle w:val="Prrafodelista"/>
        <w:numPr>
          <w:ilvl w:val="0"/>
          <w:numId w:val="13"/>
        </w:numPr>
        <w:spacing w:after="0" w:line="240" w:lineRule="auto"/>
        <w:ind w:left="284" w:hanging="284"/>
        <w:jc w:val="both"/>
        <w:rPr>
          <w:rFonts w:ascii="Arial" w:hAnsi="Arial" w:cs="Arial"/>
        </w:rPr>
      </w:pPr>
      <w:r w:rsidRPr="00F1509B">
        <w:rPr>
          <w:rFonts w:ascii="Arial" w:hAnsi="Arial" w:cs="Arial"/>
        </w:rPr>
        <w:t>La Gestión por Resultados (</w:t>
      </w:r>
      <w:proofErr w:type="spellStart"/>
      <w:r w:rsidRPr="00F1509B">
        <w:rPr>
          <w:rFonts w:ascii="Arial" w:hAnsi="Arial" w:cs="Arial"/>
        </w:rPr>
        <w:t>GpR</w:t>
      </w:r>
      <w:proofErr w:type="spellEnd"/>
      <w:r w:rsidRPr="00F1509B">
        <w:rPr>
          <w:rFonts w:ascii="Arial" w:hAnsi="Arial" w:cs="Arial"/>
        </w:rPr>
        <w:t>) que se implementa progresivamente, considera la metodología del presupuesto por programas orientado a la consecución de resultados que beneficien a la población y que busca modificar las condiciones de vida de los ciudadanos. Para ello la gestión se estructura a partir de tres elementos clave: i) el beneficiario (Quién), ii) el bien o servicio prestado (Qué), y iii) las especificaciones o características claramente definidas del producto (estándar).</w:t>
      </w:r>
    </w:p>
    <w:p w:rsidR="00EA4041" w:rsidRPr="00EA4041" w:rsidRDefault="00EA4041" w:rsidP="00EA4041">
      <w:pPr>
        <w:pStyle w:val="Prrafodelista"/>
        <w:ind w:left="0"/>
        <w:rPr>
          <w:rFonts w:ascii="Arial" w:hAnsi="Arial" w:cs="Arial"/>
        </w:rPr>
      </w:pPr>
    </w:p>
    <w:p w:rsidR="006B06E9" w:rsidRDefault="006B06E9" w:rsidP="00EB3C80">
      <w:pPr>
        <w:pStyle w:val="Prrafodelista"/>
        <w:numPr>
          <w:ilvl w:val="0"/>
          <w:numId w:val="13"/>
        </w:numPr>
        <w:spacing w:after="0" w:line="240" w:lineRule="auto"/>
        <w:ind w:left="284" w:hanging="284"/>
        <w:jc w:val="both"/>
        <w:rPr>
          <w:rFonts w:ascii="Arial" w:hAnsi="Arial" w:cs="Arial"/>
        </w:rPr>
      </w:pPr>
      <w:r w:rsidRPr="00F1509B">
        <w:rPr>
          <w:rFonts w:ascii="Arial" w:hAnsi="Arial" w:cs="Arial"/>
        </w:rPr>
        <w:lastRenderedPageBreak/>
        <w:t>Bajo el enfoque por resultados, el Presupuesto 201</w:t>
      </w:r>
      <w:r w:rsidR="007224ED">
        <w:rPr>
          <w:rFonts w:ascii="Arial" w:hAnsi="Arial" w:cs="Arial"/>
        </w:rPr>
        <w:t>9</w:t>
      </w:r>
      <w:r w:rsidRPr="00F1509B">
        <w:rPr>
          <w:rFonts w:ascii="Arial" w:hAnsi="Arial" w:cs="Arial"/>
        </w:rPr>
        <w:t xml:space="preserve"> persigue coadyuvar al cumplimiento de los principales ejes de</w:t>
      </w:r>
      <w:r w:rsidR="00442438">
        <w:rPr>
          <w:rFonts w:ascii="Arial" w:hAnsi="Arial" w:cs="Arial"/>
        </w:rPr>
        <w:t xml:space="preserve"> </w:t>
      </w:r>
      <w:r w:rsidRPr="00F1509B">
        <w:rPr>
          <w:rFonts w:ascii="Arial" w:hAnsi="Arial" w:cs="Arial"/>
        </w:rPr>
        <w:t>l</w:t>
      </w:r>
      <w:r w:rsidR="00442438">
        <w:rPr>
          <w:rFonts w:ascii="Arial" w:hAnsi="Arial" w:cs="Arial"/>
        </w:rPr>
        <w:t>a</w:t>
      </w:r>
      <w:r w:rsidRPr="00F1509B">
        <w:rPr>
          <w:rFonts w:ascii="Arial" w:hAnsi="Arial" w:cs="Arial"/>
        </w:rPr>
        <w:t xml:space="preserve"> P</w:t>
      </w:r>
      <w:r w:rsidR="00442438">
        <w:rPr>
          <w:rFonts w:ascii="Arial" w:hAnsi="Arial" w:cs="Arial"/>
        </w:rPr>
        <w:t>olítica</w:t>
      </w:r>
      <w:r w:rsidRPr="00F1509B">
        <w:rPr>
          <w:rFonts w:ascii="Arial" w:hAnsi="Arial" w:cs="Arial"/>
        </w:rPr>
        <w:t xml:space="preserve"> General de Gobierno, armonizad</w:t>
      </w:r>
      <w:r w:rsidR="00442438">
        <w:rPr>
          <w:rFonts w:ascii="Arial" w:hAnsi="Arial" w:cs="Arial"/>
        </w:rPr>
        <w:t>a</w:t>
      </w:r>
      <w:r w:rsidRPr="00F1509B">
        <w:rPr>
          <w:rFonts w:ascii="Arial" w:hAnsi="Arial" w:cs="Arial"/>
        </w:rPr>
        <w:t xml:space="preserve"> al Plan Nacional de Desarrollo </w:t>
      </w:r>
      <w:proofErr w:type="spellStart"/>
      <w:r w:rsidRPr="00F1509B">
        <w:rPr>
          <w:rFonts w:ascii="Arial" w:hAnsi="Arial" w:cs="Arial"/>
        </w:rPr>
        <w:t>K´atun</w:t>
      </w:r>
      <w:proofErr w:type="spellEnd"/>
      <w:r w:rsidRPr="00F1509B">
        <w:rPr>
          <w:rFonts w:ascii="Arial" w:hAnsi="Arial" w:cs="Arial"/>
        </w:rPr>
        <w:t xml:space="preserve"> 2032.</w:t>
      </w:r>
    </w:p>
    <w:p w:rsidR="00F569C8" w:rsidRPr="00F569C8" w:rsidRDefault="00F569C8" w:rsidP="00F569C8">
      <w:pPr>
        <w:pStyle w:val="Prrafodelista"/>
        <w:rPr>
          <w:rFonts w:ascii="Arial" w:hAnsi="Arial" w:cs="Arial"/>
        </w:rPr>
      </w:pPr>
    </w:p>
    <w:p w:rsidR="00F569C8" w:rsidRDefault="00F569C8" w:rsidP="00F569C8">
      <w:pPr>
        <w:pStyle w:val="Prrafodelista"/>
        <w:spacing w:after="0" w:line="240" w:lineRule="auto"/>
        <w:ind w:left="284"/>
        <w:jc w:val="both"/>
        <w:rPr>
          <w:rFonts w:ascii="Arial" w:hAnsi="Arial" w:cs="Arial"/>
        </w:rPr>
      </w:pPr>
    </w:p>
    <w:p w:rsidR="006B06E9" w:rsidRPr="00913903" w:rsidRDefault="006B06E9" w:rsidP="006B06E9">
      <w:pPr>
        <w:spacing w:after="0" w:line="240" w:lineRule="auto"/>
        <w:jc w:val="center"/>
        <w:rPr>
          <w:rFonts w:ascii="Arial" w:hAnsi="Arial" w:cs="Arial"/>
          <w:sz w:val="24"/>
          <w:szCs w:val="24"/>
        </w:rPr>
      </w:pPr>
      <w:r w:rsidRPr="00913903">
        <w:rPr>
          <w:rFonts w:ascii="Arial" w:hAnsi="Arial" w:cs="Arial"/>
          <w:b/>
          <w:sz w:val="40"/>
          <w:szCs w:val="40"/>
          <w:lang w:val="es-MX"/>
        </w:rPr>
        <w:t>CAPÍTULO V</w:t>
      </w:r>
    </w:p>
    <w:p w:rsidR="006B06E9" w:rsidRPr="00883687" w:rsidRDefault="006B06E9" w:rsidP="006B06E9">
      <w:pPr>
        <w:spacing w:after="0" w:line="240" w:lineRule="auto"/>
        <w:rPr>
          <w:rFonts w:ascii="Arial" w:hAnsi="Arial" w:cs="Arial"/>
        </w:rPr>
      </w:pPr>
    </w:p>
    <w:p w:rsidR="006B06E9" w:rsidRDefault="006B06E9" w:rsidP="00EB3C80">
      <w:pPr>
        <w:pStyle w:val="Prrafodelista"/>
        <w:numPr>
          <w:ilvl w:val="0"/>
          <w:numId w:val="19"/>
        </w:numPr>
        <w:rPr>
          <w:rFonts w:ascii="Arial" w:hAnsi="Arial" w:cs="Arial"/>
          <w:b/>
          <w:sz w:val="24"/>
          <w:szCs w:val="24"/>
          <w:lang w:val="es-MX"/>
        </w:rPr>
      </w:pPr>
      <w:r w:rsidRPr="00913903">
        <w:rPr>
          <w:rFonts w:ascii="Arial" w:hAnsi="Arial" w:cs="Arial"/>
          <w:b/>
          <w:sz w:val="24"/>
          <w:szCs w:val="24"/>
          <w:lang w:val="es-MX"/>
        </w:rPr>
        <w:t>GLOSARIO:</w:t>
      </w:r>
    </w:p>
    <w:p w:rsidR="00F569C8" w:rsidRPr="00913903" w:rsidRDefault="00F569C8" w:rsidP="00F569C8">
      <w:pPr>
        <w:pStyle w:val="Prrafodelista"/>
        <w:ind w:left="718"/>
        <w:rPr>
          <w:rFonts w:ascii="Arial" w:hAnsi="Arial" w:cs="Arial"/>
          <w:b/>
          <w:sz w:val="24"/>
          <w:szCs w:val="24"/>
          <w:lang w:val="es-MX"/>
        </w:rPr>
      </w:pPr>
    </w:p>
    <w:tbl>
      <w:tblPr>
        <w:tblStyle w:val="Sombreadomedio1-nfasis6"/>
        <w:tblW w:w="0" w:type="auto"/>
        <w:tblLook w:val="04A0" w:firstRow="1" w:lastRow="0" w:firstColumn="1" w:lastColumn="0" w:noHBand="0" w:noVBand="1"/>
      </w:tblPr>
      <w:tblGrid>
        <w:gridCol w:w="1860"/>
        <w:gridCol w:w="7194"/>
      </w:tblGrid>
      <w:tr w:rsidR="006B06E9" w:rsidRPr="00883687" w:rsidTr="00E66A14">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jc w:val="center"/>
              <w:rPr>
                <w:rFonts w:ascii="Arial" w:hAnsi="Arial" w:cs="Arial"/>
                <w:bCs w:val="0"/>
                <w:color w:val="auto"/>
                <w:lang w:val="es-MX"/>
              </w:rPr>
            </w:pPr>
            <w:r w:rsidRPr="00883687">
              <w:rPr>
                <w:rFonts w:ascii="Arial" w:hAnsi="Arial" w:cs="Arial"/>
                <w:bCs w:val="0"/>
                <w:color w:val="auto"/>
                <w:lang w:val="es-MX"/>
              </w:rPr>
              <w:t>Término</w:t>
            </w:r>
          </w:p>
        </w:tc>
        <w:tc>
          <w:tcPr>
            <w:tcW w:w="7194" w:type="dxa"/>
          </w:tcPr>
          <w:p w:rsidR="006B06E9" w:rsidRPr="00883687" w:rsidRDefault="006B06E9" w:rsidP="00B8551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val="es-MX"/>
              </w:rPr>
            </w:pPr>
            <w:r w:rsidRPr="00883687">
              <w:rPr>
                <w:rFonts w:ascii="Arial" w:hAnsi="Arial" w:cs="Arial"/>
                <w:color w:val="auto"/>
                <w:lang w:val="es-MX"/>
              </w:rPr>
              <w:t>Descripción</w:t>
            </w:r>
          </w:p>
        </w:tc>
      </w:tr>
      <w:tr w:rsidR="006B06E9" w:rsidRPr="00883687" w:rsidTr="00E66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Balanza de pagos</w:t>
            </w:r>
          </w:p>
        </w:tc>
        <w:tc>
          <w:tcPr>
            <w:tcW w:w="7194" w:type="dxa"/>
          </w:tcPr>
          <w:p w:rsidR="006B06E9" w:rsidRPr="00883687" w:rsidRDefault="006B06E9" w:rsidP="00D55C66">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 xml:space="preserve">Es un registro que contabiliza  las transacciones monetarias de un país con el resto del mundo Estas transacciones pueden incluir pagos por las exportaciones e importaciones del país de bienes, servicios, capital financiero y transferencias financieras. </w:t>
            </w:r>
          </w:p>
        </w:tc>
      </w:tr>
      <w:tr w:rsidR="006B06E9" w:rsidRPr="00883687" w:rsidTr="00E66A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Carga Tributaria</w:t>
            </w:r>
          </w:p>
        </w:tc>
        <w:tc>
          <w:tcPr>
            <w:tcW w:w="7194" w:type="dxa"/>
          </w:tcPr>
          <w:p w:rsidR="006B06E9" w:rsidRPr="00883687" w:rsidRDefault="006B06E9" w:rsidP="00B8551B">
            <w:pPr>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 xml:space="preserve">Es el porcentaje que representa el monto de los ingresos fiscales, </w:t>
            </w:r>
            <w:r w:rsidR="00D55C66">
              <w:rPr>
                <w:rFonts w:ascii="Arial" w:hAnsi="Arial" w:cs="Arial"/>
                <w:sz w:val="20"/>
                <w:szCs w:val="20"/>
                <w:lang w:val="es-MX"/>
              </w:rPr>
              <w:t>con</w:t>
            </w:r>
            <w:r w:rsidRPr="00883687">
              <w:rPr>
                <w:rFonts w:ascii="Arial" w:hAnsi="Arial" w:cs="Arial"/>
                <w:sz w:val="20"/>
                <w:szCs w:val="20"/>
                <w:lang w:val="es-MX"/>
              </w:rPr>
              <w:t xml:space="preserve"> relación al Producto Interno Bruto (PIB) del país.</w:t>
            </w:r>
          </w:p>
          <w:p w:rsidR="006B06E9" w:rsidRPr="00883687" w:rsidRDefault="006B06E9" w:rsidP="00463A28">
            <w:pPr>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83687">
              <w:rPr>
                <w:rFonts w:ascii="Arial" w:hAnsi="Arial" w:cs="Arial"/>
                <w:sz w:val="20"/>
                <w:szCs w:val="20"/>
                <w:lang w:val="es-MX"/>
              </w:rPr>
              <w:t>La carga tributaria es importante porque ejemplifica cuánto otorgan los contribuyentes de lo que producen  al gobierno, para que éste realice la labor pública.</w:t>
            </w:r>
          </w:p>
        </w:tc>
      </w:tr>
      <w:tr w:rsidR="006B06E9" w:rsidRPr="00883687" w:rsidTr="00E66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Ciclo Presupuestario</w:t>
            </w:r>
          </w:p>
        </w:tc>
        <w:tc>
          <w:tcPr>
            <w:tcW w:w="7194" w:type="dxa"/>
          </w:tcPr>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 xml:space="preserve">Etapas o fases que el presupuesto atraviesa, para dar cumplimiento al objetivo del Estado, de proporcionar bienes y servicios públicos a la población. </w:t>
            </w:r>
          </w:p>
          <w:p w:rsidR="006B06E9" w:rsidRPr="00883687" w:rsidRDefault="006B06E9" w:rsidP="00BB63EE">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 xml:space="preserve">Las etapas que conforman el Ciclo Presupuestario son: </w:t>
            </w:r>
            <w:r w:rsidR="00BB63EE">
              <w:rPr>
                <w:rFonts w:ascii="Arial" w:hAnsi="Arial" w:cs="Arial"/>
                <w:sz w:val="20"/>
                <w:szCs w:val="20"/>
                <w:lang w:val="es-MX"/>
              </w:rPr>
              <w:t xml:space="preserve">planificación, </w:t>
            </w:r>
            <w:r w:rsidRPr="00883687">
              <w:rPr>
                <w:rFonts w:ascii="Arial" w:hAnsi="Arial" w:cs="Arial"/>
                <w:sz w:val="20"/>
                <w:szCs w:val="20"/>
                <w:lang w:val="es-MX"/>
              </w:rPr>
              <w:t xml:space="preserve">formulación, </w:t>
            </w:r>
            <w:r w:rsidR="00BB63EE">
              <w:rPr>
                <w:rFonts w:ascii="Arial" w:hAnsi="Arial" w:cs="Arial"/>
                <w:sz w:val="20"/>
                <w:szCs w:val="20"/>
                <w:lang w:val="es-MX"/>
              </w:rPr>
              <w:t xml:space="preserve">presentación, aprobación, </w:t>
            </w:r>
            <w:r w:rsidRPr="00883687">
              <w:rPr>
                <w:rFonts w:ascii="Arial" w:hAnsi="Arial" w:cs="Arial"/>
                <w:sz w:val="20"/>
                <w:szCs w:val="20"/>
                <w:lang w:val="es-MX"/>
              </w:rPr>
              <w:t xml:space="preserve">ejecución, </w:t>
            </w:r>
            <w:r w:rsidR="00BB63EE">
              <w:rPr>
                <w:rFonts w:ascii="Arial" w:hAnsi="Arial" w:cs="Arial"/>
                <w:sz w:val="20"/>
                <w:szCs w:val="20"/>
                <w:lang w:val="es-MX"/>
              </w:rPr>
              <w:t>seguimiento,</w:t>
            </w:r>
            <w:r w:rsidRPr="00883687">
              <w:rPr>
                <w:rFonts w:ascii="Arial" w:hAnsi="Arial" w:cs="Arial"/>
                <w:sz w:val="20"/>
                <w:szCs w:val="20"/>
                <w:lang w:val="es-MX"/>
              </w:rPr>
              <w:t xml:space="preserve"> evaluación y </w:t>
            </w:r>
            <w:r w:rsidR="00BB63EE">
              <w:rPr>
                <w:rFonts w:ascii="Arial" w:hAnsi="Arial" w:cs="Arial"/>
                <w:sz w:val="20"/>
                <w:szCs w:val="20"/>
                <w:lang w:val="es-MX"/>
              </w:rPr>
              <w:t>liquidación y rendición de cuentas.</w:t>
            </w:r>
          </w:p>
        </w:tc>
      </w:tr>
      <w:tr w:rsidR="006B06E9" w:rsidRPr="00883687" w:rsidTr="00E66A14">
        <w:trPr>
          <w:cnfStyle w:val="000000010000" w:firstRow="0" w:lastRow="0" w:firstColumn="0" w:lastColumn="0" w:oddVBand="0" w:evenVBand="0" w:oddHBand="0" w:evenHBand="1"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Déficit Fiscal</w:t>
            </w:r>
          </w:p>
        </w:tc>
        <w:tc>
          <w:tcPr>
            <w:tcW w:w="7194" w:type="dxa"/>
          </w:tcPr>
          <w:p w:rsidR="006B06E9" w:rsidRPr="00883687" w:rsidRDefault="006B06E9" w:rsidP="00B8551B">
            <w:pPr>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83687">
              <w:rPr>
                <w:rFonts w:ascii="Arial" w:hAnsi="Arial" w:cs="Arial"/>
                <w:sz w:val="20"/>
                <w:szCs w:val="20"/>
              </w:rPr>
              <w:t xml:space="preserve">Es la </w:t>
            </w:r>
            <w:r w:rsidRPr="00883687">
              <w:rPr>
                <w:rFonts w:ascii="Arial" w:hAnsi="Arial" w:cs="Arial"/>
                <w:bCs/>
                <w:sz w:val="20"/>
                <w:szCs w:val="20"/>
              </w:rPr>
              <w:t>diferencia (negativa) entre los ingresos y los egresos públicos</w:t>
            </w:r>
            <w:r w:rsidRPr="00883687">
              <w:rPr>
                <w:rFonts w:ascii="Arial" w:hAnsi="Arial" w:cs="Arial"/>
                <w:sz w:val="20"/>
                <w:szCs w:val="20"/>
              </w:rPr>
              <w:t xml:space="preserve"> en un período determinado.</w:t>
            </w:r>
          </w:p>
        </w:tc>
      </w:tr>
      <w:tr w:rsidR="006B06E9" w:rsidRPr="00883687" w:rsidTr="00E66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Deflación</w:t>
            </w:r>
          </w:p>
        </w:tc>
        <w:tc>
          <w:tcPr>
            <w:tcW w:w="7194" w:type="dxa"/>
          </w:tcPr>
          <w:p w:rsidR="006B06E9" w:rsidRPr="00883687" w:rsidRDefault="00463A28" w:rsidP="00463A28">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83687">
              <w:rPr>
                <w:rFonts w:ascii="Arial" w:hAnsi="Arial" w:cs="Arial"/>
                <w:sz w:val="20"/>
                <w:szCs w:val="20"/>
              </w:rPr>
              <w:t>E</w:t>
            </w:r>
            <w:r>
              <w:rPr>
                <w:rFonts w:ascii="Arial" w:hAnsi="Arial" w:cs="Arial"/>
                <w:sz w:val="20"/>
                <w:szCs w:val="20"/>
              </w:rPr>
              <w:t xml:space="preserve">s </w:t>
            </w:r>
            <w:r w:rsidR="006B06E9" w:rsidRPr="00883687">
              <w:rPr>
                <w:rFonts w:ascii="Arial" w:hAnsi="Arial" w:cs="Arial"/>
                <w:sz w:val="20"/>
                <w:szCs w:val="20"/>
              </w:rPr>
              <w:t>un término económico que se refiere a la baja generalizada y prolongada (por lo menos de 2 semestres según el Fondo Monetario Internacional), en los precios de los bienes y servicios. Cuando sucede este efecto económico significa que la oferta de bienes y servicios es mayor que la demanda de éstos.</w:t>
            </w:r>
          </w:p>
        </w:tc>
      </w:tr>
      <w:tr w:rsidR="006B06E9" w:rsidRPr="00883687" w:rsidTr="00E66A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Endeudamiento Público</w:t>
            </w:r>
          </w:p>
        </w:tc>
        <w:tc>
          <w:tcPr>
            <w:tcW w:w="7194" w:type="dxa"/>
          </w:tcPr>
          <w:p w:rsidR="006B06E9" w:rsidRPr="00883687" w:rsidRDefault="006B06E9" w:rsidP="00B8551B">
            <w:pPr>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83687">
              <w:rPr>
                <w:rFonts w:ascii="Arial" w:hAnsi="Arial" w:cs="Arial"/>
                <w:sz w:val="20"/>
                <w:szCs w:val="20"/>
              </w:rPr>
              <w:t>Recursos que obtiene el Estado con carácter reembolsable (o que debe pagar).</w:t>
            </w:r>
          </w:p>
        </w:tc>
      </w:tr>
      <w:tr w:rsidR="006B06E9" w:rsidRPr="00883687" w:rsidTr="00E66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Endeudamiento Externo</w:t>
            </w:r>
          </w:p>
        </w:tc>
        <w:tc>
          <w:tcPr>
            <w:tcW w:w="7194" w:type="dxa"/>
          </w:tcPr>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 xml:space="preserve">Obtención de recursos mediante la colocación de títulos-valores, que se rigen por las leyes internacionales. </w:t>
            </w:r>
          </w:p>
        </w:tc>
      </w:tr>
      <w:tr w:rsidR="006B06E9" w:rsidRPr="00883687" w:rsidTr="00E66A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Endeudamiento Interno</w:t>
            </w:r>
          </w:p>
        </w:tc>
        <w:tc>
          <w:tcPr>
            <w:tcW w:w="7194" w:type="dxa"/>
          </w:tcPr>
          <w:p w:rsidR="006B06E9" w:rsidRPr="00883687" w:rsidRDefault="006B06E9" w:rsidP="00B8551B">
            <w:pPr>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Obtención de recursos mediante la colocación de títulos-valores, que se rigen por las leyes del país.</w:t>
            </w:r>
          </w:p>
        </w:tc>
      </w:tr>
      <w:tr w:rsidR="006B06E9" w:rsidRPr="00883687" w:rsidTr="00E66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Endeudamiento neto</w:t>
            </w:r>
          </w:p>
        </w:tc>
        <w:tc>
          <w:tcPr>
            <w:tcW w:w="7194" w:type="dxa"/>
          </w:tcPr>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Diferencia entre el monto de la colocación de títulos de crédito (cuando su monto es mayor) y la amortización de la deuda (cuando su monto es menor).</w:t>
            </w:r>
          </w:p>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En el caso de que el monto de la amortización sea superior al de la colocación, la diferencia se denomina Desendeudamiento Neto.</w:t>
            </w:r>
          </w:p>
        </w:tc>
      </w:tr>
      <w:tr w:rsidR="006B06E9" w:rsidRPr="00883687" w:rsidTr="00E66A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Equilibrio Presupuestario</w:t>
            </w:r>
          </w:p>
        </w:tc>
        <w:tc>
          <w:tcPr>
            <w:tcW w:w="7194" w:type="dxa"/>
          </w:tcPr>
          <w:p w:rsidR="006B06E9" w:rsidRPr="00883687" w:rsidRDefault="006B06E9" w:rsidP="00B8551B">
            <w:pPr>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83687">
              <w:rPr>
                <w:rFonts w:ascii="Arial" w:hAnsi="Arial" w:cs="Arial"/>
                <w:sz w:val="20"/>
                <w:szCs w:val="20"/>
              </w:rPr>
              <w:t xml:space="preserve">Principio presupuestario que indica que los ingresos y los egresos deben tener el mismo monto.  El equilibrio presupuestario permite que la estimación de las distintas fuentes de recursos (ingresos), financien las autorizaciones máximas de gastos (egresos) para el período de un año. </w:t>
            </w:r>
          </w:p>
        </w:tc>
      </w:tr>
      <w:tr w:rsidR="006B06E9" w:rsidRPr="00883687" w:rsidTr="00E66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Gasto Público</w:t>
            </w:r>
          </w:p>
        </w:tc>
        <w:tc>
          <w:tcPr>
            <w:tcW w:w="7194" w:type="dxa"/>
          </w:tcPr>
          <w:p w:rsidR="006B06E9" w:rsidRPr="00883687" w:rsidRDefault="006B06E9" w:rsidP="00463A28">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 xml:space="preserve">En forma sencilla, el gasto público </w:t>
            </w:r>
            <w:r w:rsidR="00463A28">
              <w:rPr>
                <w:rFonts w:ascii="Arial" w:hAnsi="Arial" w:cs="Arial"/>
                <w:sz w:val="20"/>
                <w:szCs w:val="20"/>
                <w:lang w:val="es-MX"/>
              </w:rPr>
              <w:t>lo conforman los</w:t>
            </w:r>
            <w:r w:rsidRPr="00883687">
              <w:rPr>
                <w:rFonts w:ascii="Arial" w:hAnsi="Arial" w:cs="Arial"/>
                <w:sz w:val="20"/>
                <w:szCs w:val="20"/>
                <w:lang w:val="es-MX"/>
              </w:rPr>
              <w:t xml:space="preserve"> recursos invertidos en programas y proyectos con los cuales se atienden las necesidades colectivas de las personas.  Es la </w:t>
            </w:r>
            <w:r w:rsidR="00463A28">
              <w:rPr>
                <w:rFonts w:ascii="Arial" w:hAnsi="Arial" w:cs="Arial"/>
                <w:sz w:val="20"/>
                <w:szCs w:val="20"/>
                <w:lang w:val="es-MX"/>
              </w:rPr>
              <w:t>redistribución</w:t>
            </w:r>
            <w:r w:rsidR="00463A28" w:rsidRPr="00883687">
              <w:rPr>
                <w:rFonts w:ascii="Arial" w:hAnsi="Arial" w:cs="Arial"/>
                <w:sz w:val="20"/>
                <w:szCs w:val="20"/>
                <w:lang w:val="es-MX"/>
              </w:rPr>
              <w:t xml:space="preserve"> </w:t>
            </w:r>
            <w:r w:rsidRPr="00883687">
              <w:rPr>
                <w:rFonts w:ascii="Arial" w:hAnsi="Arial" w:cs="Arial"/>
                <w:sz w:val="20"/>
                <w:szCs w:val="20"/>
                <w:lang w:val="es-MX"/>
              </w:rPr>
              <w:t xml:space="preserve">de los impuestos que la población paga, y que se </w:t>
            </w:r>
            <w:r w:rsidR="00463A28">
              <w:rPr>
                <w:rFonts w:ascii="Arial" w:hAnsi="Arial" w:cs="Arial"/>
                <w:sz w:val="20"/>
                <w:szCs w:val="20"/>
                <w:lang w:val="es-MX"/>
              </w:rPr>
              <w:t>transforman</w:t>
            </w:r>
            <w:r w:rsidRPr="00883687">
              <w:rPr>
                <w:rFonts w:ascii="Arial" w:hAnsi="Arial" w:cs="Arial"/>
                <w:sz w:val="20"/>
                <w:szCs w:val="20"/>
                <w:lang w:val="es-MX"/>
              </w:rPr>
              <w:t xml:space="preserve"> en servicios públicos (seguridad, educación, salud, entre otros) y en bienes públicos (carreteras, hospitales, centros y puestos de salud, escuelas, puentes, entre otros).</w:t>
            </w:r>
          </w:p>
        </w:tc>
      </w:tr>
      <w:tr w:rsidR="006B06E9" w:rsidRPr="00883687" w:rsidTr="00E66A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lastRenderedPageBreak/>
              <w:t>Gestión por Resultados (</w:t>
            </w:r>
            <w:proofErr w:type="spellStart"/>
            <w:r w:rsidRPr="00883687">
              <w:rPr>
                <w:rFonts w:ascii="Arial" w:hAnsi="Arial" w:cs="Arial"/>
                <w:sz w:val="20"/>
                <w:szCs w:val="20"/>
                <w:lang w:val="es-MX"/>
              </w:rPr>
              <w:t>GpR</w:t>
            </w:r>
            <w:proofErr w:type="spellEnd"/>
            <w:r w:rsidRPr="00883687">
              <w:rPr>
                <w:rFonts w:ascii="Arial" w:hAnsi="Arial" w:cs="Arial"/>
                <w:sz w:val="20"/>
                <w:szCs w:val="20"/>
                <w:lang w:val="es-MX"/>
              </w:rPr>
              <w:t>)</w:t>
            </w:r>
          </w:p>
        </w:tc>
        <w:tc>
          <w:tcPr>
            <w:tcW w:w="7194" w:type="dxa"/>
          </w:tcPr>
          <w:p w:rsidR="006B06E9" w:rsidRPr="00883687" w:rsidRDefault="006B06E9" w:rsidP="00B8551B">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83687">
              <w:rPr>
                <w:rFonts w:ascii="Arial" w:hAnsi="Arial" w:cs="Arial"/>
                <w:sz w:val="20"/>
                <w:szCs w:val="20"/>
              </w:rPr>
              <w:t>Enfoque de la administración pública, que orienta sus esfuerzos a dirigir todos los recursos humanos, financieros y tecnológicos hacia consecución de resultados que propicien el  desarrollo integral de las personas y del país en su conjunto.</w:t>
            </w:r>
          </w:p>
        </w:tc>
      </w:tr>
      <w:tr w:rsidR="006B06E9" w:rsidRPr="00883687" w:rsidTr="00E66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Impuesto</w:t>
            </w:r>
          </w:p>
        </w:tc>
        <w:tc>
          <w:tcPr>
            <w:tcW w:w="7194" w:type="dxa"/>
          </w:tcPr>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Es el tributo que se le exige a los ciudadanos dependiendo de su capacidad económica.</w:t>
            </w:r>
          </w:p>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En otras palabras, es la cantidad de dinero que, de acuerdo a la legislación vigente, proporcionan las personas, para satisfacer las necesidades públicas o colectivas de la población. Estos recursos son recaudados por la administración tributaria, y luego son distribuidos en programas y proyectos prioritarios a favor de la población, a través del Presupuesto de la Nación.</w:t>
            </w:r>
          </w:p>
        </w:tc>
      </w:tr>
      <w:tr w:rsidR="006B06E9" w:rsidRPr="00883687" w:rsidTr="00E66A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Inflación</w:t>
            </w:r>
          </w:p>
        </w:tc>
        <w:tc>
          <w:tcPr>
            <w:tcW w:w="7194" w:type="dxa"/>
          </w:tcPr>
          <w:p w:rsidR="006B06E9" w:rsidRPr="00883687" w:rsidRDefault="006B06E9" w:rsidP="00B8551B">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83687">
              <w:rPr>
                <w:rFonts w:ascii="Arial" w:hAnsi="Arial" w:cs="Arial"/>
                <w:sz w:val="20"/>
                <w:szCs w:val="20"/>
              </w:rPr>
              <w:t>Es el crecimiento continuo y generalizado de los precios de los bienes y servicios y factores productivos de una economía a lo largo del tiempo.</w:t>
            </w:r>
          </w:p>
        </w:tc>
      </w:tr>
      <w:tr w:rsidR="006B06E9" w:rsidRPr="00883687" w:rsidTr="00E66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Ingresos Corrientes</w:t>
            </w:r>
          </w:p>
        </w:tc>
        <w:tc>
          <w:tcPr>
            <w:tcW w:w="7194" w:type="dxa"/>
          </w:tcPr>
          <w:p w:rsidR="006B06E9" w:rsidRPr="00883687" w:rsidRDefault="006B06E9" w:rsidP="00B8551B">
            <w:pPr>
              <w:pStyle w:val="NormalWeb"/>
              <w:spacing w:before="0" w:beforeAutospacing="0" w:after="0" w:afterAutospacing="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val="es-MX" w:eastAsia="en-US"/>
              </w:rPr>
            </w:pPr>
            <w:r w:rsidRPr="00883687">
              <w:rPr>
                <w:rFonts w:ascii="Arial" w:eastAsia="Calibri" w:hAnsi="Arial" w:cs="Arial"/>
                <w:sz w:val="20"/>
                <w:szCs w:val="20"/>
                <w:lang w:val="es-MX" w:eastAsia="en-US"/>
              </w:rPr>
              <w:t>Son los ingresos tributarios y no tributarios que regularmente percibe el Estado.</w:t>
            </w:r>
          </w:p>
        </w:tc>
      </w:tr>
      <w:tr w:rsidR="006B06E9" w:rsidRPr="00883687" w:rsidTr="00E66A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Ingresos Tributarios</w:t>
            </w:r>
          </w:p>
        </w:tc>
        <w:tc>
          <w:tcPr>
            <w:tcW w:w="7194" w:type="dxa"/>
          </w:tcPr>
          <w:p w:rsidR="006B06E9" w:rsidRPr="00883687" w:rsidRDefault="006B06E9" w:rsidP="00B8551B">
            <w:pPr>
              <w:pStyle w:val="NormalWeb"/>
              <w:spacing w:before="0" w:beforeAutospacing="0" w:after="0" w:afterAutospacing="0"/>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sz w:val="20"/>
                <w:szCs w:val="20"/>
                <w:lang w:val="es-MX" w:eastAsia="en-US"/>
              </w:rPr>
            </w:pPr>
            <w:r w:rsidRPr="00883687">
              <w:rPr>
                <w:rFonts w:ascii="Arial" w:eastAsia="Calibri" w:hAnsi="Arial" w:cs="Arial"/>
                <w:sz w:val="20"/>
                <w:szCs w:val="20"/>
                <w:lang w:val="es-MX" w:eastAsia="en-US"/>
              </w:rPr>
              <w:t>Son los ingresos que percibe el Estado y que provienen del pago de impuestos directos e indirectos.</w:t>
            </w:r>
          </w:p>
          <w:p w:rsidR="006B06E9" w:rsidRPr="00883687" w:rsidRDefault="006B06E9" w:rsidP="00B8551B">
            <w:pPr>
              <w:pStyle w:val="NormalWeb"/>
              <w:spacing w:before="0" w:beforeAutospacing="0" w:after="0" w:afterAutospacing="0"/>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sz w:val="20"/>
                <w:szCs w:val="20"/>
                <w:lang w:val="es-MX" w:eastAsia="en-US"/>
              </w:rPr>
            </w:pPr>
            <w:r w:rsidRPr="00883687">
              <w:rPr>
                <w:rFonts w:ascii="Arial" w:eastAsia="Calibri" w:hAnsi="Arial" w:cs="Arial"/>
                <w:sz w:val="20"/>
                <w:szCs w:val="20"/>
                <w:lang w:val="es-MX" w:eastAsia="en-US"/>
              </w:rPr>
              <w:t>Dentro de los impuestos directos se encuentra el impuesto sobre la renta, impuesto de solidaridad, impuesto sobre el patrimonio, principalmente.</w:t>
            </w:r>
          </w:p>
          <w:p w:rsidR="006B06E9" w:rsidRPr="00883687" w:rsidRDefault="006B06E9" w:rsidP="00B8551B">
            <w:pPr>
              <w:pStyle w:val="NormalWeb"/>
              <w:spacing w:before="0" w:beforeAutospacing="0" w:after="0" w:afterAutospacing="0"/>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sz w:val="20"/>
                <w:szCs w:val="20"/>
                <w:lang w:val="es-MX" w:eastAsia="en-US"/>
              </w:rPr>
            </w:pPr>
            <w:r w:rsidRPr="00883687">
              <w:rPr>
                <w:rFonts w:ascii="Arial" w:eastAsia="Calibri" w:hAnsi="Arial" w:cs="Arial"/>
                <w:sz w:val="20"/>
                <w:szCs w:val="20"/>
                <w:lang w:val="es-MX" w:eastAsia="en-US"/>
              </w:rPr>
              <w:t>Dentro de los impuestos indirectos figura el impuesto al valor agregado, impuesto a las importaciones, a los productos industriales y primarios tales como tabaco, petróleo, cemento, impuestos internos sobre servicios como las comunicaciones, jurídicos y de transacciones, impuesto de circulación de vehículos, salida del país, principalmente.</w:t>
            </w:r>
          </w:p>
        </w:tc>
      </w:tr>
      <w:tr w:rsidR="006B06E9" w:rsidRPr="00883687" w:rsidTr="00E66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Ingresos no Tributarios</w:t>
            </w:r>
          </w:p>
        </w:tc>
        <w:tc>
          <w:tcPr>
            <w:tcW w:w="7194" w:type="dxa"/>
          </w:tcPr>
          <w:p w:rsidR="006B06E9" w:rsidRPr="00883687" w:rsidRDefault="006B06E9" w:rsidP="00B8551B">
            <w:pPr>
              <w:pStyle w:val="NormalWeb"/>
              <w:spacing w:before="0" w:beforeAutospacing="0" w:after="0" w:afterAutospacing="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val="es-MX" w:eastAsia="en-US"/>
              </w:rPr>
            </w:pPr>
            <w:r w:rsidRPr="00883687">
              <w:rPr>
                <w:rFonts w:ascii="Arial" w:eastAsia="Calibri" w:hAnsi="Arial" w:cs="Arial"/>
                <w:sz w:val="20"/>
                <w:szCs w:val="20"/>
                <w:lang w:val="es-MX" w:eastAsia="en-US"/>
              </w:rPr>
              <w:t>Son los ingresos que percibe el Estado y que provienen del pago de tasas, derechos, multas, arrendamientos, montepío, venta de bienes y servicios de la administración pública, intereses por depósitos monetarios o títulos y valores, utilidades de las empresas públicas, donaciones.</w:t>
            </w:r>
          </w:p>
        </w:tc>
      </w:tr>
      <w:tr w:rsidR="006B06E9" w:rsidRPr="00883687" w:rsidTr="00E66A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Insumo</w:t>
            </w:r>
          </w:p>
        </w:tc>
        <w:tc>
          <w:tcPr>
            <w:tcW w:w="7194" w:type="dxa"/>
          </w:tcPr>
          <w:p w:rsidR="006B06E9" w:rsidRPr="00883687" w:rsidRDefault="006B06E9" w:rsidP="00B8551B">
            <w:pPr>
              <w:pStyle w:val="NormalWe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eastAsia="Calibri" w:hAnsi="Arial" w:cs="Arial"/>
                <w:sz w:val="20"/>
                <w:szCs w:val="20"/>
                <w:lang w:val="es-MX" w:eastAsia="en-US"/>
              </w:rPr>
            </w:pPr>
            <w:r w:rsidRPr="00883687">
              <w:rPr>
                <w:rFonts w:ascii="Arial" w:eastAsia="Calibri" w:hAnsi="Arial" w:cs="Arial" w:hint="eastAsia"/>
                <w:sz w:val="20"/>
                <w:szCs w:val="20"/>
                <w:lang w:val="es-MX" w:eastAsia="en-US"/>
              </w:rPr>
              <w:t>Conjunto de bienes empleados en la producción de otros bienes.</w:t>
            </w:r>
          </w:p>
          <w:p w:rsidR="006B06E9" w:rsidRPr="00883687" w:rsidRDefault="006B06E9" w:rsidP="00B8551B">
            <w:pPr>
              <w:pStyle w:val="NormalWeb"/>
              <w:spacing w:before="0" w:beforeAutospacing="0" w:after="0" w:afterAutospacing="0"/>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sz w:val="20"/>
                <w:szCs w:val="20"/>
                <w:lang w:val="es-MX" w:eastAsia="en-US"/>
              </w:rPr>
            </w:pPr>
            <w:r w:rsidRPr="00883687">
              <w:rPr>
                <w:rFonts w:ascii="Arial" w:eastAsia="Calibri" w:hAnsi="Arial" w:cs="Arial"/>
                <w:sz w:val="20"/>
                <w:szCs w:val="20"/>
                <w:lang w:val="es-MX" w:eastAsia="en-US"/>
              </w:rPr>
              <w:t>Por ejemplo: en un programa educativo, parte de los insumos serían los maestros, libros de texto, materiales didácticos, entre otros.</w:t>
            </w:r>
          </w:p>
        </w:tc>
      </w:tr>
      <w:tr w:rsidR="006B06E9" w:rsidRPr="00883687" w:rsidTr="00E66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Presupuesto</w:t>
            </w:r>
          </w:p>
        </w:tc>
        <w:tc>
          <w:tcPr>
            <w:tcW w:w="7194" w:type="dxa"/>
          </w:tcPr>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83687">
              <w:rPr>
                <w:rFonts w:ascii="Arial" w:hAnsi="Arial" w:cs="Arial"/>
                <w:sz w:val="20"/>
                <w:szCs w:val="20"/>
              </w:rPr>
              <w:t xml:space="preserve">El “pre-supuesto”, como su nombre lo indica, es un supuesto previo sobre los ingresos que se espera obtener y los egresos (gastos) que se programan realizar para alcanzar los objetivos de gobierno. </w:t>
            </w:r>
          </w:p>
        </w:tc>
      </w:tr>
      <w:tr w:rsidR="006B06E9" w:rsidRPr="00883687" w:rsidTr="00E66A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Presupuesto Ciudadano</w:t>
            </w:r>
          </w:p>
        </w:tc>
        <w:tc>
          <w:tcPr>
            <w:tcW w:w="7194" w:type="dxa"/>
          </w:tcPr>
          <w:p w:rsidR="006B06E9" w:rsidRPr="00883687" w:rsidRDefault="006B06E9" w:rsidP="00B8551B">
            <w:pPr>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83687">
              <w:rPr>
                <w:rFonts w:ascii="Arial" w:hAnsi="Arial" w:cs="Arial"/>
                <w:sz w:val="20"/>
                <w:szCs w:val="20"/>
              </w:rPr>
              <w:t>Es una versión simplificada del Presupuesto General de Ingresos y Egresos del Estado.  En esta versión se incluye información global del presupuesto a nivel de ingresos, egresos, fuentes de financiamiento y cualquiera otra que se estime relevante para mostrar al lector, en forma práctica y sencilla, cómo y en qué se utilizan los recursos públicos para satisfacer las necesidades públicas y colectivas de la población.</w:t>
            </w:r>
          </w:p>
          <w:p w:rsidR="006B06E9" w:rsidRPr="00883687" w:rsidRDefault="006B06E9" w:rsidP="00B8551B">
            <w:pPr>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83687">
              <w:rPr>
                <w:rFonts w:ascii="Arial" w:hAnsi="Arial" w:cs="Arial"/>
                <w:sz w:val="20"/>
                <w:szCs w:val="20"/>
              </w:rPr>
              <w:t>El Presupuesto Ciudadano persigue facilitar a las personas, incluyendo a quienes no están familiarizados con las finanzas públicas, que conozcan hacia dónde se dirigen los recursos públicos.</w:t>
            </w:r>
          </w:p>
        </w:tc>
      </w:tr>
      <w:tr w:rsidR="006B06E9" w:rsidRPr="00883687" w:rsidTr="00E66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 xml:space="preserve">Presupuesto General de Ingresos y Egresos del Estado </w:t>
            </w:r>
          </w:p>
        </w:tc>
        <w:tc>
          <w:tcPr>
            <w:tcW w:w="7194" w:type="dxa"/>
          </w:tcPr>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83687">
              <w:rPr>
                <w:rFonts w:ascii="Arial" w:hAnsi="Arial" w:cs="Arial"/>
                <w:sz w:val="20"/>
                <w:szCs w:val="20"/>
              </w:rPr>
              <w:t>En forma simple se puede definir como:</w:t>
            </w:r>
          </w:p>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83687">
              <w:rPr>
                <w:rFonts w:ascii="Arial" w:hAnsi="Arial" w:cs="Arial"/>
                <w:sz w:val="20"/>
                <w:szCs w:val="20"/>
              </w:rPr>
              <w:t>Documento en el que figuran las estimaciones de ingresos que obtendrá el gobierno, para satisfacer las necesidades públicas o colectivas de la población. Para tal fin, en el presupuesto se asigna a las Instituciones del Estado, límites de gasto con los cuales ejecutarán los programas y proyectos prioritarios que puedan realizarse de acuerdo a la cantidad de ingresos que se obtengan en el período de un año.</w:t>
            </w:r>
          </w:p>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83687">
              <w:rPr>
                <w:rFonts w:ascii="Arial" w:hAnsi="Arial" w:cs="Arial"/>
                <w:sz w:val="20"/>
                <w:szCs w:val="20"/>
              </w:rPr>
              <w:t>Y técnicamente el presupuesto se define como:</w:t>
            </w:r>
          </w:p>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rsidR="00321516"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83687">
              <w:rPr>
                <w:rFonts w:ascii="Arial" w:hAnsi="Arial" w:cs="Arial"/>
                <w:sz w:val="20"/>
                <w:szCs w:val="20"/>
              </w:rPr>
              <w:lastRenderedPageBreak/>
              <w:t>Instrumento de política fiscal que establece el límite de egresos (gastos) que se autoriza a las instituciones para que en el período de un año, de acuerdo al nivel  de ingresos que se espera percibir, ejecuten los programas y proyectos que contribuyan a satisfacer las necesidades de la población, por lo que el presupuesto resulta ser la expresión financiera de los planes de gobierno.</w:t>
            </w:r>
          </w:p>
        </w:tc>
      </w:tr>
      <w:tr w:rsidR="006B06E9" w:rsidRPr="00883687" w:rsidTr="00E66A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lastRenderedPageBreak/>
              <w:t>Presupuesto Aprobado</w:t>
            </w:r>
          </w:p>
        </w:tc>
        <w:tc>
          <w:tcPr>
            <w:tcW w:w="7194" w:type="dxa"/>
          </w:tcPr>
          <w:p w:rsidR="006B06E9" w:rsidRPr="00883687" w:rsidRDefault="006B06E9" w:rsidP="00B8551B">
            <w:pPr>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Se refiere a las asignaciones autorizadas a las instituciones, para que, a partir del inicio del año, realicen la ejecución de los programas y proyectos que benefician a la población. Dichas asignaciones son autorizadas  por el Congreso de la República de Guatemala, en el Decreto que aprueba el Presupuesto General de Ingresos y Egresos del Estado, y que entra a regir a partir del 1 de enero de cada año.</w:t>
            </w:r>
          </w:p>
        </w:tc>
      </w:tr>
      <w:tr w:rsidR="006B06E9" w:rsidRPr="00883687" w:rsidTr="00E66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Presupuesto Vigente</w:t>
            </w:r>
          </w:p>
        </w:tc>
        <w:tc>
          <w:tcPr>
            <w:tcW w:w="7194" w:type="dxa"/>
          </w:tcPr>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 xml:space="preserve">Se refiere a las asignaciones que consideran, además de las autorizadas por el Congreso de la República, las que corresponden  a las ampliaciones y disminuciones que ocasionalmente se realicen al monto total del presupuesto por parte del Congreso de la República, así como los traslados presupuestarios autorizados conforme a lo que regula la Ley Orgánica del Presupuesto.  El presupuesto vigente es dinámico por lo que varía de acuerdo a la ejecución presupuestaria a lo largo del ejercicio fiscal. </w:t>
            </w:r>
          </w:p>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MX"/>
              </w:rPr>
            </w:pPr>
          </w:p>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En resumen, el Presupuesto Vigente se integra así:</w:t>
            </w:r>
          </w:p>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MX"/>
              </w:rPr>
            </w:pPr>
          </w:p>
          <w:tbl>
            <w:tblPr>
              <w:tblW w:w="0" w:type="auto"/>
              <w:tblInd w:w="743" w:type="dxa"/>
              <w:tblBorders>
                <w:top w:val="single" w:sz="8" w:space="0" w:color="4F81BD"/>
                <w:bottom w:val="single" w:sz="8" w:space="0" w:color="4F81BD"/>
              </w:tblBorders>
              <w:tblLook w:val="04A0" w:firstRow="1" w:lastRow="0" w:firstColumn="1" w:lastColumn="0" w:noHBand="0" w:noVBand="1"/>
            </w:tblPr>
            <w:tblGrid>
              <w:gridCol w:w="1134"/>
              <w:gridCol w:w="3564"/>
            </w:tblGrid>
            <w:tr w:rsidR="006B06E9" w:rsidRPr="00883687" w:rsidTr="00AA2C71">
              <w:tc>
                <w:tcPr>
                  <w:tcW w:w="1134" w:type="dxa"/>
                  <w:tcBorders>
                    <w:top w:val="single" w:sz="8" w:space="0" w:color="4F81BD"/>
                    <w:left w:val="nil"/>
                    <w:bottom w:val="nil"/>
                    <w:right w:val="nil"/>
                  </w:tcBorders>
                  <w:shd w:val="clear" w:color="auto" w:fill="FFFFCC"/>
                </w:tcPr>
                <w:p w:rsidR="006B06E9" w:rsidRPr="00883687" w:rsidRDefault="006B06E9" w:rsidP="00B8551B">
                  <w:pPr>
                    <w:spacing w:line="240" w:lineRule="auto"/>
                    <w:jc w:val="center"/>
                    <w:rPr>
                      <w:rFonts w:ascii="Arial" w:hAnsi="Arial" w:cs="Arial"/>
                      <w:b/>
                      <w:bCs/>
                      <w:sz w:val="20"/>
                      <w:szCs w:val="20"/>
                      <w:lang w:val="es-MX"/>
                    </w:rPr>
                  </w:pPr>
                  <w:r w:rsidRPr="00883687">
                    <w:rPr>
                      <w:rFonts w:ascii="Arial" w:hAnsi="Arial" w:cs="Arial"/>
                      <w:b/>
                      <w:bCs/>
                      <w:sz w:val="20"/>
                      <w:szCs w:val="20"/>
                      <w:lang w:val="es-MX"/>
                    </w:rPr>
                    <w:t>(+)</w:t>
                  </w:r>
                </w:p>
              </w:tc>
              <w:tc>
                <w:tcPr>
                  <w:tcW w:w="3564" w:type="dxa"/>
                  <w:tcBorders>
                    <w:top w:val="single" w:sz="8" w:space="0" w:color="4F81BD"/>
                    <w:left w:val="nil"/>
                    <w:bottom w:val="nil"/>
                    <w:right w:val="nil"/>
                  </w:tcBorders>
                  <w:shd w:val="clear" w:color="auto" w:fill="FFFFCC"/>
                </w:tcPr>
                <w:p w:rsidR="006B06E9" w:rsidRPr="00883687" w:rsidRDefault="006B06E9" w:rsidP="00B8551B">
                  <w:pPr>
                    <w:spacing w:line="240" w:lineRule="auto"/>
                    <w:jc w:val="both"/>
                    <w:rPr>
                      <w:rFonts w:ascii="Arial" w:hAnsi="Arial" w:cs="Arial"/>
                      <w:b/>
                      <w:bCs/>
                      <w:sz w:val="20"/>
                      <w:szCs w:val="20"/>
                      <w:lang w:val="es-MX"/>
                    </w:rPr>
                  </w:pPr>
                  <w:r w:rsidRPr="00883687">
                    <w:rPr>
                      <w:rFonts w:ascii="Arial" w:hAnsi="Arial" w:cs="Arial"/>
                      <w:b/>
                      <w:bCs/>
                      <w:sz w:val="20"/>
                      <w:szCs w:val="20"/>
                      <w:lang w:val="es-MX"/>
                    </w:rPr>
                    <w:t>Presupuesto Aprobado</w:t>
                  </w:r>
                </w:p>
              </w:tc>
            </w:tr>
            <w:tr w:rsidR="006B06E9" w:rsidRPr="00883687" w:rsidTr="00677BFC">
              <w:tc>
                <w:tcPr>
                  <w:tcW w:w="1134" w:type="dxa"/>
                  <w:tcBorders>
                    <w:top w:val="nil"/>
                    <w:left w:val="nil"/>
                    <w:right w:val="nil"/>
                  </w:tcBorders>
                  <w:shd w:val="clear" w:color="auto" w:fill="DDD9C3" w:themeFill="background2" w:themeFillShade="E6"/>
                </w:tcPr>
                <w:p w:rsidR="006B06E9" w:rsidRPr="00883687" w:rsidRDefault="006B06E9" w:rsidP="00B8551B">
                  <w:pPr>
                    <w:spacing w:line="240" w:lineRule="auto"/>
                    <w:jc w:val="center"/>
                    <w:rPr>
                      <w:rFonts w:ascii="Arial" w:hAnsi="Arial" w:cs="Arial"/>
                      <w:b/>
                      <w:bCs/>
                      <w:sz w:val="20"/>
                      <w:szCs w:val="20"/>
                      <w:lang w:val="es-MX"/>
                    </w:rPr>
                  </w:pPr>
                  <w:r w:rsidRPr="00883687">
                    <w:rPr>
                      <w:rFonts w:ascii="Arial" w:hAnsi="Arial" w:cs="Arial"/>
                      <w:b/>
                      <w:bCs/>
                      <w:sz w:val="20"/>
                      <w:szCs w:val="20"/>
                      <w:lang w:val="es-MX"/>
                    </w:rPr>
                    <w:t>(+)</w:t>
                  </w:r>
                </w:p>
              </w:tc>
              <w:tc>
                <w:tcPr>
                  <w:tcW w:w="3564" w:type="dxa"/>
                  <w:tcBorders>
                    <w:top w:val="nil"/>
                    <w:left w:val="nil"/>
                    <w:right w:val="nil"/>
                  </w:tcBorders>
                  <w:shd w:val="clear" w:color="auto" w:fill="DDD9C3" w:themeFill="background2" w:themeFillShade="E6"/>
                </w:tcPr>
                <w:p w:rsidR="006B06E9" w:rsidRPr="00883687" w:rsidRDefault="006B06E9" w:rsidP="00B8551B">
                  <w:pPr>
                    <w:spacing w:line="240" w:lineRule="auto"/>
                    <w:jc w:val="both"/>
                    <w:rPr>
                      <w:rFonts w:ascii="Arial" w:hAnsi="Arial" w:cs="Arial"/>
                      <w:sz w:val="20"/>
                      <w:szCs w:val="20"/>
                      <w:lang w:val="es-MX"/>
                    </w:rPr>
                  </w:pPr>
                  <w:r w:rsidRPr="00883687">
                    <w:rPr>
                      <w:rFonts w:ascii="Arial" w:hAnsi="Arial" w:cs="Arial"/>
                      <w:sz w:val="20"/>
                      <w:szCs w:val="20"/>
                      <w:lang w:val="es-MX"/>
                    </w:rPr>
                    <w:t>Ampliaciones Presupuestarias</w:t>
                  </w:r>
                </w:p>
              </w:tc>
            </w:tr>
            <w:tr w:rsidR="006B06E9" w:rsidRPr="00883687" w:rsidTr="00AA2C71">
              <w:tc>
                <w:tcPr>
                  <w:tcW w:w="1134" w:type="dxa"/>
                  <w:shd w:val="clear" w:color="auto" w:fill="FFFFCC"/>
                </w:tcPr>
                <w:p w:rsidR="006B06E9" w:rsidRPr="00883687" w:rsidRDefault="006B06E9" w:rsidP="00B8551B">
                  <w:pPr>
                    <w:spacing w:line="240" w:lineRule="auto"/>
                    <w:jc w:val="center"/>
                    <w:rPr>
                      <w:rFonts w:ascii="Arial" w:hAnsi="Arial" w:cs="Arial"/>
                      <w:b/>
                      <w:bCs/>
                      <w:sz w:val="20"/>
                      <w:szCs w:val="20"/>
                      <w:lang w:val="es-MX"/>
                    </w:rPr>
                  </w:pPr>
                  <w:r w:rsidRPr="00883687">
                    <w:rPr>
                      <w:rFonts w:ascii="Arial" w:hAnsi="Arial" w:cs="Arial"/>
                      <w:b/>
                      <w:bCs/>
                      <w:sz w:val="20"/>
                      <w:szCs w:val="20"/>
                      <w:lang w:val="es-MX"/>
                    </w:rPr>
                    <w:t>(-)</w:t>
                  </w:r>
                </w:p>
              </w:tc>
              <w:tc>
                <w:tcPr>
                  <w:tcW w:w="3564" w:type="dxa"/>
                  <w:shd w:val="clear" w:color="auto" w:fill="FFFFCC"/>
                </w:tcPr>
                <w:p w:rsidR="006B06E9" w:rsidRPr="00883687" w:rsidRDefault="006B06E9" w:rsidP="00B8551B">
                  <w:pPr>
                    <w:spacing w:line="240" w:lineRule="auto"/>
                    <w:jc w:val="both"/>
                    <w:rPr>
                      <w:rFonts w:ascii="Arial" w:hAnsi="Arial" w:cs="Arial"/>
                      <w:sz w:val="20"/>
                      <w:szCs w:val="20"/>
                      <w:lang w:val="es-MX"/>
                    </w:rPr>
                  </w:pPr>
                  <w:r w:rsidRPr="00883687">
                    <w:rPr>
                      <w:rFonts w:ascii="Arial" w:hAnsi="Arial" w:cs="Arial"/>
                      <w:sz w:val="20"/>
                      <w:szCs w:val="20"/>
                      <w:lang w:val="es-MX"/>
                    </w:rPr>
                    <w:t>Disminuciones Presupuestarias</w:t>
                  </w:r>
                </w:p>
              </w:tc>
            </w:tr>
            <w:tr w:rsidR="006B06E9" w:rsidRPr="00883687" w:rsidTr="00677BFC">
              <w:tc>
                <w:tcPr>
                  <w:tcW w:w="1134" w:type="dxa"/>
                  <w:tcBorders>
                    <w:left w:val="nil"/>
                    <w:right w:val="nil"/>
                  </w:tcBorders>
                  <w:shd w:val="clear" w:color="auto" w:fill="DDD9C3" w:themeFill="background2" w:themeFillShade="E6"/>
                </w:tcPr>
                <w:p w:rsidR="006B06E9" w:rsidRPr="00883687" w:rsidRDefault="006B06E9" w:rsidP="00B8551B">
                  <w:pPr>
                    <w:spacing w:line="240" w:lineRule="auto"/>
                    <w:jc w:val="center"/>
                    <w:rPr>
                      <w:rFonts w:ascii="Arial" w:hAnsi="Arial" w:cs="Arial"/>
                      <w:b/>
                      <w:bCs/>
                      <w:sz w:val="20"/>
                      <w:szCs w:val="20"/>
                      <w:lang w:val="es-MX"/>
                    </w:rPr>
                  </w:pPr>
                  <w:r w:rsidRPr="00883687">
                    <w:rPr>
                      <w:rFonts w:ascii="Arial" w:hAnsi="Arial" w:cs="Arial"/>
                      <w:b/>
                      <w:bCs/>
                      <w:sz w:val="20"/>
                      <w:szCs w:val="20"/>
                      <w:lang w:val="es-MX"/>
                    </w:rPr>
                    <w:t>( + / - )</w:t>
                  </w:r>
                </w:p>
              </w:tc>
              <w:tc>
                <w:tcPr>
                  <w:tcW w:w="3564" w:type="dxa"/>
                  <w:tcBorders>
                    <w:left w:val="nil"/>
                    <w:right w:val="nil"/>
                  </w:tcBorders>
                  <w:shd w:val="clear" w:color="auto" w:fill="DDD9C3" w:themeFill="background2" w:themeFillShade="E6"/>
                </w:tcPr>
                <w:p w:rsidR="006B06E9" w:rsidRPr="00883687" w:rsidRDefault="006B06E9" w:rsidP="00B8551B">
                  <w:pPr>
                    <w:spacing w:line="240" w:lineRule="auto"/>
                    <w:jc w:val="both"/>
                    <w:rPr>
                      <w:rFonts w:ascii="Arial" w:hAnsi="Arial" w:cs="Arial"/>
                      <w:sz w:val="20"/>
                      <w:szCs w:val="20"/>
                      <w:u w:val="single"/>
                      <w:lang w:val="es-MX"/>
                    </w:rPr>
                  </w:pPr>
                  <w:r w:rsidRPr="00883687">
                    <w:rPr>
                      <w:rFonts w:ascii="Arial" w:hAnsi="Arial" w:cs="Arial"/>
                      <w:sz w:val="20"/>
                      <w:szCs w:val="20"/>
                      <w:u w:val="single"/>
                      <w:lang w:val="es-MX"/>
                    </w:rPr>
                    <w:t>Traslados Presupuestarios</w:t>
                  </w:r>
                </w:p>
              </w:tc>
            </w:tr>
            <w:tr w:rsidR="006B06E9" w:rsidRPr="00883687" w:rsidTr="00AA2C71">
              <w:tc>
                <w:tcPr>
                  <w:tcW w:w="1134" w:type="dxa"/>
                  <w:shd w:val="clear" w:color="auto" w:fill="FFFFCC"/>
                </w:tcPr>
                <w:p w:rsidR="006B06E9" w:rsidRPr="00883687" w:rsidRDefault="006B06E9" w:rsidP="00B8551B">
                  <w:pPr>
                    <w:spacing w:line="240" w:lineRule="auto"/>
                    <w:jc w:val="center"/>
                    <w:rPr>
                      <w:rFonts w:ascii="Arial" w:hAnsi="Arial" w:cs="Arial"/>
                      <w:b/>
                      <w:bCs/>
                      <w:sz w:val="20"/>
                      <w:szCs w:val="20"/>
                      <w:lang w:val="es-MX"/>
                    </w:rPr>
                  </w:pPr>
                  <w:r w:rsidRPr="00883687">
                    <w:rPr>
                      <w:rFonts w:ascii="Arial" w:hAnsi="Arial" w:cs="Arial"/>
                      <w:b/>
                      <w:bCs/>
                      <w:sz w:val="20"/>
                      <w:szCs w:val="20"/>
                      <w:lang w:val="es-MX"/>
                    </w:rPr>
                    <w:t>=</w:t>
                  </w:r>
                </w:p>
              </w:tc>
              <w:tc>
                <w:tcPr>
                  <w:tcW w:w="3564" w:type="dxa"/>
                  <w:shd w:val="clear" w:color="auto" w:fill="FFFFCC"/>
                </w:tcPr>
                <w:p w:rsidR="006B06E9" w:rsidRPr="00883687" w:rsidRDefault="006B06E9" w:rsidP="00B8551B">
                  <w:pPr>
                    <w:spacing w:line="240" w:lineRule="auto"/>
                    <w:jc w:val="both"/>
                    <w:rPr>
                      <w:rFonts w:ascii="Arial" w:hAnsi="Arial" w:cs="Arial"/>
                      <w:sz w:val="20"/>
                      <w:szCs w:val="20"/>
                      <w:u w:val="single"/>
                      <w:lang w:val="es-MX"/>
                    </w:rPr>
                  </w:pPr>
                  <w:r w:rsidRPr="00883687">
                    <w:rPr>
                      <w:rFonts w:ascii="Arial" w:hAnsi="Arial" w:cs="Arial"/>
                      <w:sz w:val="20"/>
                      <w:szCs w:val="20"/>
                      <w:u w:val="single"/>
                      <w:lang w:val="es-MX"/>
                    </w:rPr>
                    <w:t>Presupuesto Vigente</w:t>
                  </w:r>
                </w:p>
              </w:tc>
            </w:tr>
          </w:tbl>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MX"/>
              </w:rPr>
            </w:pPr>
          </w:p>
        </w:tc>
      </w:tr>
      <w:tr w:rsidR="006B06E9" w:rsidRPr="00883687" w:rsidTr="00E66A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Presupuesto Ejecutado</w:t>
            </w:r>
          </w:p>
        </w:tc>
        <w:tc>
          <w:tcPr>
            <w:tcW w:w="7194" w:type="dxa"/>
          </w:tcPr>
          <w:p w:rsidR="006B06E9" w:rsidRPr="00883687" w:rsidRDefault="006B06E9" w:rsidP="00B8551B">
            <w:pPr>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83687">
              <w:rPr>
                <w:rFonts w:ascii="Arial" w:hAnsi="Arial" w:cs="Arial"/>
                <w:sz w:val="20"/>
                <w:szCs w:val="20"/>
              </w:rPr>
              <w:t xml:space="preserve">Es el monto de recursos que efectivamente se utilizaron en la producción de bienes y prestación de los servicios públicos en un período de tiempo, o al cierre del ejercicio fiscal. </w:t>
            </w:r>
          </w:p>
          <w:p w:rsidR="006B06E9" w:rsidRPr="00883687" w:rsidRDefault="006B06E9" w:rsidP="00B8551B">
            <w:pPr>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s-MX"/>
              </w:rPr>
            </w:pPr>
            <w:r w:rsidRPr="00883687">
              <w:rPr>
                <w:rFonts w:ascii="Arial" w:hAnsi="Arial" w:cs="Arial"/>
                <w:sz w:val="20"/>
                <w:szCs w:val="20"/>
              </w:rPr>
              <w:t xml:space="preserve">El presupuesto ejecutado puede analizarse a nivel total del presupuesto, por instituciones, programas, proyectos, actividades, insumos, entre otros. </w:t>
            </w:r>
          </w:p>
        </w:tc>
      </w:tr>
      <w:tr w:rsidR="006B06E9" w:rsidRPr="00883687" w:rsidTr="00E66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Presupuesto por Resultados</w:t>
            </w:r>
          </w:p>
        </w:tc>
        <w:tc>
          <w:tcPr>
            <w:tcW w:w="7194" w:type="dxa"/>
          </w:tcPr>
          <w:p w:rsidR="006B06E9" w:rsidRPr="00883687" w:rsidRDefault="006B06E9" w:rsidP="00B8551B">
            <w:pPr>
              <w:pStyle w:val="NormalWeb"/>
              <w:spacing w:before="0" w:beforeAutospacing="0" w:after="0" w:afterAutospacing="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83687">
              <w:rPr>
                <w:rFonts w:ascii="Arial" w:hAnsi="Arial" w:cs="Arial"/>
                <w:sz w:val="20"/>
                <w:szCs w:val="20"/>
              </w:rPr>
              <w:t>Es el presupuesto que se formula, ejecuta, monitorea y evalúa sobre la base de los efectos y consecuencia de hechos (resultados) deliberadamente planificados.</w:t>
            </w:r>
          </w:p>
          <w:p w:rsidR="006B06E9" w:rsidRPr="00883687" w:rsidRDefault="006B06E9" w:rsidP="007A77BA">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83687">
              <w:rPr>
                <w:rFonts w:ascii="Arial" w:hAnsi="Arial" w:cs="Arial"/>
                <w:sz w:val="20"/>
                <w:szCs w:val="20"/>
              </w:rPr>
              <w:t xml:space="preserve">Su finalidad es mejorar el impacto de las intervenciones del Estado según las necesidades de la población. Por ejemplo: </w:t>
            </w:r>
            <w:r w:rsidR="007A77BA">
              <w:rPr>
                <w:rFonts w:ascii="Arial" w:hAnsi="Arial" w:cs="Arial"/>
                <w:sz w:val="20"/>
                <w:szCs w:val="20"/>
              </w:rPr>
              <w:t>r</w:t>
            </w:r>
            <w:r w:rsidRPr="00883687">
              <w:rPr>
                <w:rFonts w:ascii="Arial" w:hAnsi="Arial" w:cs="Arial"/>
                <w:sz w:val="20"/>
                <w:szCs w:val="20"/>
              </w:rPr>
              <w:t>educir la mortalidad materna infantil.</w:t>
            </w:r>
          </w:p>
        </w:tc>
      </w:tr>
      <w:tr w:rsidR="006B06E9" w:rsidRPr="00883687" w:rsidTr="00E66A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Producto Interno Bruto</w:t>
            </w:r>
          </w:p>
        </w:tc>
        <w:tc>
          <w:tcPr>
            <w:tcW w:w="7194" w:type="dxa"/>
          </w:tcPr>
          <w:p w:rsidR="006B06E9" w:rsidRPr="00883687" w:rsidRDefault="006B06E9" w:rsidP="00B8551B">
            <w:pPr>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83687">
              <w:rPr>
                <w:rFonts w:ascii="Arial" w:hAnsi="Arial" w:cs="Arial"/>
                <w:sz w:val="20"/>
                <w:szCs w:val="20"/>
                <w:lang w:val="es-MX"/>
              </w:rPr>
              <w:t>Es el valor monetario total de la producción corriente de bienes y servicios de un país, en un período determinado, que generalmente es de un año.</w:t>
            </w:r>
          </w:p>
        </w:tc>
      </w:tr>
      <w:tr w:rsidR="006B06E9" w:rsidRPr="00883687" w:rsidTr="00E66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Rigidez Presupuestaria</w:t>
            </w:r>
          </w:p>
        </w:tc>
        <w:tc>
          <w:tcPr>
            <w:tcW w:w="7194" w:type="dxa"/>
          </w:tcPr>
          <w:p w:rsidR="006B06E9" w:rsidRPr="00883687" w:rsidRDefault="006B06E9" w:rsidP="007A77BA">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 xml:space="preserve">Grado o nivel de compromiso de los Ingresos Corrientes, asignados a instituciones o programas específicos que ordena la Constitución Política de la República de Guatemala, u otra </w:t>
            </w:r>
            <w:r w:rsidR="007A77BA">
              <w:rPr>
                <w:rFonts w:ascii="Arial" w:hAnsi="Arial" w:cs="Arial"/>
                <w:sz w:val="20"/>
                <w:szCs w:val="20"/>
                <w:lang w:val="es-MX"/>
              </w:rPr>
              <w:t>l</w:t>
            </w:r>
            <w:r w:rsidRPr="00883687">
              <w:rPr>
                <w:rFonts w:ascii="Arial" w:hAnsi="Arial" w:cs="Arial"/>
                <w:sz w:val="20"/>
                <w:szCs w:val="20"/>
                <w:lang w:val="es-MX"/>
              </w:rPr>
              <w:t>ey ordinaria, lo que deja poca disponibilidad para financiar programas nuevos o ampliar la cobertura de los existentes.</w:t>
            </w:r>
          </w:p>
        </w:tc>
      </w:tr>
      <w:tr w:rsidR="006B06E9" w:rsidRPr="00883687" w:rsidTr="00E66A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t>Obligaciones del Estado a cargo del Tesoro</w:t>
            </w:r>
          </w:p>
        </w:tc>
        <w:tc>
          <w:tcPr>
            <w:tcW w:w="7194" w:type="dxa"/>
          </w:tcPr>
          <w:p w:rsidR="006B06E9" w:rsidRPr="00883687" w:rsidRDefault="006B06E9" w:rsidP="00B8551B">
            <w:pPr>
              <w:jc w:val="both"/>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 xml:space="preserve">Es una entidad pública en la que se programan asignaciones que son trasladadas a Organismos y Entidades del Estado que no corresponde asignar a un Ministerio  o Institución en particular, sino derivan de dar cumplimiento a un mandato constitucional, ordenamientos de leyes específicas y de tratados internacionales.  Asimismo incluye aportes a Organizaciones no Gubernamentales, Entidades Descentralizadas y otras que </w:t>
            </w:r>
            <w:r w:rsidRPr="00883687">
              <w:rPr>
                <w:rFonts w:ascii="Arial" w:hAnsi="Arial" w:cs="Arial"/>
                <w:sz w:val="20"/>
                <w:szCs w:val="20"/>
                <w:lang w:val="es-MX"/>
              </w:rPr>
              <w:lastRenderedPageBreak/>
              <w:t>contribuyen con la ejecución de programas específicos, de acuerdo a la naturaleza de los recursos.</w:t>
            </w:r>
          </w:p>
        </w:tc>
      </w:tr>
      <w:tr w:rsidR="006B06E9" w:rsidRPr="00883687" w:rsidTr="00E66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rsidR="006B06E9" w:rsidRPr="00883687" w:rsidRDefault="006B06E9" w:rsidP="00B8551B">
            <w:pPr>
              <w:rPr>
                <w:rFonts w:ascii="Arial" w:hAnsi="Arial" w:cs="Arial"/>
                <w:sz w:val="20"/>
                <w:szCs w:val="20"/>
                <w:lang w:val="es-MX"/>
              </w:rPr>
            </w:pPr>
            <w:r w:rsidRPr="00883687">
              <w:rPr>
                <w:rFonts w:ascii="Arial" w:hAnsi="Arial" w:cs="Arial"/>
                <w:sz w:val="20"/>
                <w:szCs w:val="20"/>
                <w:lang w:val="es-MX"/>
              </w:rPr>
              <w:lastRenderedPageBreak/>
              <w:t>Saldo de Caja</w:t>
            </w:r>
          </w:p>
        </w:tc>
        <w:tc>
          <w:tcPr>
            <w:tcW w:w="7194" w:type="dxa"/>
          </w:tcPr>
          <w:p w:rsidR="006B06E9" w:rsidRPr="00883687" w:rsidRDefault="006B06E9" w:rsidP="00B8551B">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MX"/>
              </w:rPr>
            </w:pPr>
            <w:r w:rsidRPr="00883687">
              <w:rPr>
                <w:rFonts w:ascii="Arial" w:hAnsi="Arial" w:cs="Arial"/>
                <w:sz w:val="20"/>
                <w:szCs w:val="20"/>
                <w:lang w:val="es-MX"/>
              </w:rPr>
              <w:t>Son los recursos que quedan disponibles de ejercicios fiscales anteriores.</w:t>
            </w:r>
          </w:p>
        </w:tc>
      </w:tr>
    </w:tbl>
    <w:p w:rsidR="007703BB" w:rsidRDefault="007703BB" w:rsidP="00014F53">
      <w:pPr>
        <w:spacing w:after="0" w:line="240" w:lineRule="auto"/>
      </w:pPr>
    </w:p>
    <w:p w:rsidR="007703BB" w:rsidRDefault="007703BB" w:rsidP="00014F53">
      <w:pPr>
        <w:spacing w:after="0" w:line="240" w:lineRule="auto"/>
      </w:pPr>
    </w:p>
    <w:p w:rsidR="007703BB" w:rsidRDefault="007703BB" w:rsidP="00014F53">
      <w:pPr>
        <w:spacing w:after="0" w:line="240" w:lineRule="auto"/>
      </w:pPr>
    </w:p>
    <w:p w:rsidR="007703BB" w:rsidRDefault="007703BB" w:rsidP="00014F53">
      <w:pPr>
        <w:spacing w:after="0" w:line="240" w:lineRule="auto"/>
      </w:pPr>
    </w:p>
    <w:p w:rsidR="007703BB" w:rsidRDefault="007703BB" w:rsidP="00014F53">
      <w:pPr>
        <w:spacing w:after="0" w:line="240" w:lineRule="auto"/>
      </w:pPr>
    </w:p>
    <w:p w:rsidR="0092350A" w:rsidRPr="00883687" w:rsidRDefault="0092350A" w:rsidP="00014F53">
      <w:pPr>
        <w:spacing w:after="0" w:line="240" w:lineRule="auto"/>
        <w:rPr>
          <w:rFonts w:ascii="Arial" w:hAnsi="Arial" w:cs="Arial"/>
          <w:sz w:val="24"/>
          <w:szCs w:val="24"/>
        </w:rPr>
      </w:pPr>
      <w:r w:rsidRPr="0092350A">
        <w:rPr>
          <w:rFonts w:ascii="Arial" w:hAnsi="Arial" w:cs="Arial"/>
          <w:noProof/>
          <w:sz w:val="24"/>
          <w:szCs w:val="24"/>
        </w:rPr>
        <w:drawing>
          <wp:inline distT="0" distB="0" distL="0" distR="0" wp14:anchorId="7E7CC872" wp14:editId="1422B29B">
            <wp:extent cx="5410200" cy="2609850"/>
            <wp:effectExtent l="76200" t="57150" r="95250" b="114300"/>
            <wp:docPr id="674" name="Diagrama 6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7" r:lo="rId158" r:qs="rId159" r:cs="rId160"/>
              </a:graphicData>
            </a:graphic>
          </wp:inline>
        </w:drawing>
      </w:r>
    </w:p>
    <w:p w:rsidR="007952F5" w:rsidRPr="00883687" w:rsidRDefault="007952F5">
      <w:pPr>
        <w:rPr>
          <w:rFonts w:ascii="Arial" w:hAnsi="Arial" w:cs="Arial"/>
        </w:rPr>
      </w:pPr>
    </w:p>
    <w:sectPr w:rsidR="007952F5" w:rsidRPr="00883687" w:rsidSect="00FE6E6E">
      <w:headerReference w:type="default" r:id="rId162"/>
      <w:footerReference w:type="default" r:id="rId163"/>
      <w:pgSz w:w="12240" w:h="15840" w:code="1"/>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7848" w:rsidRDefault="00467848" w:rsidP="00635D55">
      <w:pPr>
        <w:spacing w:after="0" w:line="240" w:lineRule="auto"/>
      </w:pPr>
      <w:r>
        <w:separator/>
      </w:r>
    </w:p>
  </w:endnote>
  <w:endnote w:type="continuationSeparator" w:id="0">
    <w:p w:rsidR="00467848" w:rsidRDefault="00467848" w:rsidP="00635D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yriadPro-Regular">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9C8" w:rsidRPr="00314378" w:rsidRDefault="00F569C8" w:rsidP="00314378">
    <w:pPr>
      <w:pStyle w:val="Piedepgina"/>
      <w:pBdr>
        <w:top w:val="thinThickSmallGap" w:sz="24" w:space="1" w:color="622423" w:themeColor="accent2" w:themeShade="7F"/>
      </w:pBdr>
      <w:jc w:val="center"/>
      <w:rPr>
        <w:rFonts w:ascii="Arial Narrow" w:hAnsi="Arial Narrow"/>
      </w:rPr>
    </w:pPr>
    <w:r w:rsidRPr="00314378">
      <w:rPr>
        <w:rFonts w:ascii="Arial Narrow" w:hAnsi="Arial Narrow"/>
      </w:rPr>
      <w:t>Ministerio de Finanzas Públicas</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7848" w:rsidRDefault="00467848" w:rsidP="00635D55">
      <w:pPr>
        <w:spacing w:after="0" w:line="240" w:lineRule="auto"/>
      </w:pPr>
      <w:r>
        <w:separator/>
      </w:r>
    </w:p>
  </w:footnote>
  <w:footnote w:type="continuationSeparator" w:id="0">
    <w:p w:rsidR="00467848" w:rsidRDefault="00467848" w:rsidP="00635D55">
      <w:pPr>
        <w:spacing w:after="0" w:line="240" w:lineRule="auto"/>
      </w:pPr>
      <w:r>
        <w:continuationSeparator/>
      </w:r>
    </w:p>
  </w:footnote>
  <w:footnote w:id="1">
    <w:p w:rsidR="00F569C8" w:rsidRPr="007A2AAD" w:rsidRDefault="00F569C8" w:rsidP="00477C99">
      <w:pPr>
        <w:autoSpaceDE w:val="0"/>
        <w:autoSpaceDN w:val="0"/>
        <w:adjustRightInd w:val="0"/>
        <w:spacing w:after="0" w:line="240" w:lineRule="auto"/>
        <w:jc w:val="both"/>
        <w:rPr>
          <w:sz w:val="18"/>
          <w:szCs w:val="18"/>
          <w:lang w:val="es-MX"/>
        </w:rPr>
      </w:pPr>
      <w:r>
        <w:rPr>
          <w:rStyle w:val="Refdenotaalpie"/>
        </w:rPr>
        <w:footnoteRef/>
      </w:r>
      <w:r>
        <w:t xml:space="preserve"> </w:t>
      </w:r>
      <w:r w:rsidRPr="007A2AAD">
        <w:rPr>
          <w:rFonts w:cs="MyriadPro-Regular"/>
          <w:sz w:val="18"/>
          <w:szCs w:val="18"/>
          <w:lang w:eastAsia="es-ES"/>
        </w:rPr>
        <w:t>La Iniciativa de Presupuesto Abierto de</w:t>
      </w:r>
      <w:r>
        <w:rPr>
          <w:rFonts w:cs="MyriadPro-Regular"/>
          <w:sz w:val="18"/>
          <w:szCs w:val="18"/>
          <w:lang w:eastAsia="es-ES"/>
        </w:rPr>
        <w:t xml:space="preserve"> </w:t>
      </w:r>
      <w:r w:rsidRPr="007A2AAD">
        <w:rPr>
          <w:rFonts w:cs="MyriadPro-Regular"/>
          <w:sz w:val="18"/>
          <w:szCs w:val="18"/>
          <w:lang w:eastAsia="es-ES"/>
        </w:rPr>
        <w:t>l</w:t>
      </w:r>
      <w:r>
        <w:rPr>
          <w:rFonts w:cs="MyriadPro-Regular"/>
          <w:sz w:val="18"/>
          <w:szCs w:val="18"/>
          <w:lang w:eastAsia="es-ES"/>
        </w:rPr>
        <w:t>a</w:t>
      </w:r>
      <w:r w:rsidRPr="007A2AAD">
        <w:rPr>
          <w:rFonts w:cs="MyriadPro-Regular"/>
          <w:sz w:val="18"/>
          <w:szCs w:val="18"/>
          <w:lang w:eastAsia="es-ES"/>
        </w:rPr>
        <w:t xml:space="preserve"> International Budget </w:t>
      </w:r>
      <w:proofErr w:type="spellStart"/>
      <w:r w:rsidRPr="007A2AAD">
        <w:rPr>
          <w:rFonts w:cs="MyriadPro-Regular"/>
          <w:sz w:val="18"/>
          <w:szCs w:val="18"/>
          <w:lang w:eastAsia="es-ES"/>
        </w:rPr>
        <w:t>Partnership</w:t>
      </w:r>
      <w:proofErr w:type="spellEnd"/>
      <w:r w:rsidRPr="007A2AAD">
        <w:rPr>
          <w:rFonts w:cs="MyriadPro-Regular"/>
          <w:sz w:val="18"/>
          <w:szCs w:val="18"/>
          <w:lang w:eastAsia="es-ES"/>
        </w:rPr>
        <w:t xml:space="preserve"> (IBP) es un programa global de investigación e incidencia que promueve la adopción de sistemas de finanzas públicas transparentes, responsables y participativos.</w:t>
      </w:r>
    </w:p>
  </w:footnote>
  <w:footnote w:id="2">
    <w:p w:rsidR="00F569C8" w:rsidRDefault="00F569C8" w:rsidP="000B657C">
      <w:pPr>
        <w:pStyle w:val="Textonotapie"/>
        <w:jc w:val="both"/>
      </w:pPr>
      <w:r>
        <w:rPr>
          <w:rStyle w:val="Refdenotaalpie"/>
        </w:rPr>
        <w:footnoteRef/>
      </w:r>
      <w:r>
        <w:t xml:space="preserve"> El Acuerdo Ministerial 379-2017 aprobó modificaciones al Manual de Clasificaciones Presupuestarias para el Sector Público de Guatemala, dentro de las cuales figura el tipo de gasto Transferencias Corrientes.</w:t>
      </w:r>
    </w:p>
  </w:footnote>
  <w:footnote w:id="3">
    <w:p w:rsidR="00F569C8" w:rsidRPr="002115AA" w:rsidRDefault="00F569C8" w:rsidP="0030713C">
      <w:pPr>
        <w:pStyle w:val="Textonotapie"/>
        <w:jc w:val="both"/>
      </w:pPr>
      <w:r>
        <w:rPr>
          <w:rStyle w:val="Refdenotaalpie"/>
        </w:rPr>
        <w:footnoteRef/>
      </w:r>
      <w:r>
        <w:t xml:space="preserve"> El Acuerdo Ministerial 473-2014 aprobó modificaciones al Manual de Clasificaciones Presupuestarias para el Sector Público de Guatemala, dentro de las cuales figura el tipo de gasto Inversión Física.</w:t>
      </w:r>
    </w:p>
  </w:footnote>
  <w:footnote w:id="4">
    <w:p w:rsidR="00F569C8" w:rsidRPr="007A2AAD" w:rsidRDefault="00F569C8" w:rsidP="006C636D">
      <w:pPr>
        <w:autoSpaceDE w:val="0"/>
        <w:autoSpaceDN w:val="0"/>
        <w:adjustRightInd w:val="0"/>
        <w:spacing w:after="0" w:line="240" w:lineRule="auto"/>
        <w:jc w:val="both"/>
        <w:rPr>
          <w:sz w:val="18"/>
          <w:szCs w:val="18"/>
          <w:lang w:val="es-MX"/>
        </w:rPr>
      </w:pPr>
      <w:r>
        <w:rPr>
          <w:rStyle w:val="Refdenotaalpie"/>
        </w:rPr>
        <w:footnoteRef/>
      </w:r>
      <w:r>
        <w:t xml:space="preserve"> </w:t>
      </w:r>
      <w:r w:rsidRPr="007A2AAD">
        <w:rPr>
          <w:rFonts w:cs="MyriadPro-Regular"/>
          <w:sz w:val="18"/>
          <w:szCs w:val="18"/>
          <w:lang w:eastAsia="es-ES"/>
        </w:rPr>
        <w:t xml:space="preserve">La Iniciativa de Presupuesto Abierto del International Budget </w:t>
      </w:r>
      <w:proofErr w:type="spellStart"/>
      <w:r w:rsidRPr="007A2AAD">
        <w:rPr>
          <w:rFonts w:cs="MyriadPro-Regular"/>
          <w:sz w:val="18"/>
          <w:szCs w:val="18"/>
          <w:lang w:eastAsia="es-ES"/>
        </w:rPr>
        <w:t>Partnership</w:t>
      </w:r>
      <w:proofErr w:type="spellEnd"/>
      <w:r w:rsidRPr="007A2AAD">
        <w:rPr>
          <w:rFonts w:cs="MyriadPro-Regular"/>
          <w:sz w:val="18"/>
          <w:szCs w:val="18"/>
          <w:lang w:eastAsia="es-ES"/>
        </w:rPr>
        <w:t xml:space="preserve"> (IBP) es un programa global de investigación e incidencia que promueve la adopción de sistemas de finanzas públicas transparentes, responsables y participativos.</w:t>
      </w:r>
    </w:p>
  </w:footnote>
  <w:footnote w:id="5">
    <w:p w:rsidR="00F569C8" w:rsidRDefault="00F569C8" w:rsidP="006C636D">
      <w:pPr>
        <w:autoSpaceDE w:val="0"/>
        <w:autoSpaceDN w:val="0"/>
        <w:adjustRightInd w:val="0"/>
        <w:spacing w:after="0" w:line="240" w:lineRule="auto"/>
        <w:jc w:val="both"/>
        <w:rPr>
          <w:rFonts w:cs="MyriadPro-Regular"/>
          <w:sz w:val="18"/>
          <w:szCs w:val="18"/>
          <w:lang w:eastAsia="es-ES"/>
        </w:rPr>
      </w:pPr>
      <w:r>
        <w:rPr>
          <w:rStyle w:val="Refdenotaalpie"/>
        </w:rPr>
        <w:footnoteRef/>
      </w:r>
      <w:r>
        <w:t xml:space="preserve"> </w:t>
      </w:r>
      <w:r w:rsidRPr="007A2AAD">
        <w:rPr>
          <w:rFonts w:cs="MyriadPro-Regular"/>
          <w:sz w:val="18"/>
          <w:szCs w:val="18"/>
          <w:lang w:eastAsia="es-ES"/>
        </w:rPr>
        <w:t xml:space="preserve">La Encuesta de Presupuesto Abierto es un análisis y una encuesta exhaustiva que evalúa </w:t>
      </w:r>
      <w:r>
        <w:rPr>
          <w:rFonts w:cs="MyriadPro-Regular"/>
          <w:sz w:val="18"/>
          <w:szCs w:val="18"/>
          <w:lang w:eastAsia="es-ES"/>
        </w:rPr>
        <w:t>¿</w:t>
      </w:r>
      <w:r w:rsidRPr="007A2AAD">
        <w:rPr>
          <w:rFonts w:cs="MyriadPro-Regular"/>
          <w:sz w:val="18"/>
          <w:szCs w:val="18"/>
          <w:lang w:eastAsia="es-ES"/>
        </w:rPr>
        <w:t xml:space="preserve">qué tanta información presupuestaria y oportunidades de participar en el proceso presupuestario otorgan los gobiernos centrales de los </w:t>
      </w:r>
      <w:r>
        <w:rPr>
          <w:rFonts w:cs="MyriadPro-Regular"/>
          <w:sz w:val="18"/>
          <w:szCs w:val="18"/>
          <w:lang w:eastAsia="es-ES"/>
        </w:rPr>
        <w:t>países participantes al público?</w:t>
      </w:r>
    </w:p>
    <w:p w:rsidR="00F569C8" w:rsidRPr="007A2AAD" w:rsidRDefault="00F569C8" w:rsidP="006C636D">
      <w:pPr>
        <w:autoSpaceDE w:val="0"/>
        <w:autoSpaceDN w:val="0"/>
        <w:adjustRightInd w:val="0"/>
        <w:spacing w:after="0" w:line="240" w:lineRule="auto"/>
        <w:jc w:val="both"/>
        <w:rPr>
          <w:sz w:val="18"/>
          <w:szCs w:val="18"/>
          <w:lang w:val="es-MX"/>
        </w:rPr>
      </w:pPr>
      <w:r w:rsidRPr="007A2AAD">
        <w:rPr>
          <w:rFonts w:cs="MyriadPro-Regular"/>
          <w:sz w:val="18"/>
          <w:szCs w:val="18"/>
          <w:lang w:eastAsia="es-ES"/>
        </w:rPr>
        <w:t>Es la única encuesta en el mundo sobre transparencia presupuestaria que es independiente y en la que participan múltiples países</w:t>
      </w:r>
      <w:r>
        <w:rPr>
          <w:rFonts w:cs="MyriadPro-Regular"/>
          <w:sz w:val="18"/>
          <w:szCs w:val="18"/>
          <w:lang w:eastAsia="es-ES"/>
        </w:rPr>
        <w:t xml:space="preserve"> (más de 100)</w:t>
      </w:r>
      <w:r w:rsidRPr="007A2AAD">
        <w:rPr>
          <w:rFonts w:cs="MyriadPro-Regular"/>
          <w:sz w:val="18"/>
          <w:szCs w:val="18"/>
          <w:lang w:eastAsia="es-ES"/>
        </w:rPr>
        <w:t>. Desde 2006, la Encuesta se realiza cada dos años en colaboración con investigadores independientes de la sociedad civil dentro de cada país. Para medir fácilmente el compromiso de los países encuestados en materia de transparencia y para permitir compar</w:t>
      </w:r>
      <w:r>
        <w:rPr>
          <w:rFonts w:cs="MyriadPro-Regular"/>
          <w:sz w:val="18"/>
          <w:szCs w:val="18"/>
          <w:lang w:eastAsia="es-ES"/>
        </w:rPr>
        <w:t>aciones entre ellos, el IBP creó</w:t>
      </w:r>
      <w:r w:rsidRPr="007A2AAD">
        <w:rPr>
          <w:rFonts w:cs="MyriadPro-Regular"/>
          <w:sz w:val="18"/>
          <w:szCs w:val="18"/>
          <w:lang w:eastAsia="es-ES"/>
        </w:rPr>
        <w:t xml:space="preserve"> el Índice de Presupuesto Abierto (OBI, por sus siglas en inglés) a partir de la encuesta. El OBI le asigna una calificación a cada país, con base en la información que éste pone a disposición del público a lo largo del proceso presupuestario.</w:t>
      </w:r>
    </w:p>
  </w:footnote>
  <w:footnote w:id="6">
    <w:p w:rsidR="00F569C8" w:rsidRPr="00435D65" w:rsidRDefault="00F569C8" w:rsidP="006C636D">
      <w:pPr>
        <w:pStyle w:val="Textonotapie"/>
        <w:jc w:val="both"/>
        <w:rPr>
          <w:sz w:val="18"/>
          <w:szCs w:val="18"/>
          <w:lang w:val="es-MX"/>
        </w:rPr>
      </w:pPr>
      <w:r>
        <w:rPr>
          <w:rStyle w:val="Refdenotaalpie"/>
        </w:rPr>
        <w:footnoteRef/>
      </w:r>
      <w:r>
        <w:t xml:space="preserve"> </w:t>
      </w:r>
      <w:r w:rsidRPr="00435D65">
        <w:rPr>
          <w:sz w:val="18"/>
          <w:szCs w:val="18"/>
        </w:rPr>
        <w:t>El</w:t>
      </w:r>
      <w:r w:rsidRPr="00435D65">
        <w:rPr>
          <w:sz w:val="18"/>
          <w:szCs w:val="18"/>
          <w:lang w:val="es-MX"/>
        </w:rPr>
        <w:t xml:space="preserve"> Decreto No. 13-2013 del Congreso de la República de Guatemala, adicionó a la Ley Orgánica del Presupuesto, Decreto No. 101-97, entre otros, el Artículo 7 Bis relativo al Proceso Presupuestario.</w:t>
      </w:r>
    </w:p>
  </w:footnote>
  <w:footnote w:id="7">
    <w:p w:rsidR="00F569C8" w:rsidRPr="00505654" w:rsidRDefault="00F569C8" w:rsidP="006C636D">
      <w:pPr>
        <w:pStyle w:val="Textonotapie"/>
        <w:jc w:val="both"/>
        <w:rPr>
          <w:sz w:val="18"/>
          <w:szCs w:val="18"/>
          <w:lang w:val="es-MX"/>
        </w:rPr>
      </w:pPr>
      <w:r>
        <w:rPr>
          <w:rStyle w:val="Refdenotaalpie"/>
        </w:rPr>
        <w:footnoteRef/>
      </w:r>
      <w:r>
        <w:t xml:space="preserve"> </w:t>
      </w:r>
      <w:r w:rsidRPr="00505654">
        <w:rPr>
          <w:sz w:val="18"/>
          <w:szCs w:val="18"/>
          <w:lang w:val="es-MX"/>
        </w:rPr>
        <w:t>Constitución Política de la República de Guatemala,</w:t>
      </w:r>
      <w:r>
        <w:rPr>
          <w:sz w:val="18"/>
          <w:szCs w:val="18"/>
          <w:lang w:val="es-MX"/>
        </w:rPr>
        <w:t xml:space="preserve"> </w:t>
      </w:r>
      <w:r w:rsidRPr="00505654">
        <w:rPr>
          <w:sz w:val="18"/>
          <w:szCs w:val="18"/>
          <w:lang w:val="es-MX"/>
        </w:rPr>
        <w:t xml:space="preserve"> artículos</w:t>
      </w:r>
      <w:r>
        <w:rPr>
          <w:sz w:val="18"/>
          <w:szCs w:val="18"/>
          <w:lang w:val="es-MX"/>
        </w:rPr>
        <w:t xml:space="preserve"> </w:t>
      </w:r>
      <w:r w:rsidRPr="00505654">
        <w:rPr>
          <w:sz w:val="18"/>
          <w:szCs w:val="18"/>
          <w:lang w:val="es-MX"/>
        </w:rPr>
        <w:t xml:space="preserve"> 171 </w:t>
      </w:r>
      <w:r>
        <w:rPr>
          <w:sz w:val="18"/>
          <w:szCs w:val="18"/>
          <w:lang w:val="es-MX"/>
        </w:rPr>
        <w:t xml:space="preserve"> </w:t>
      </w:r>
      <w:r w:rsidRPr="00505654">
        <w:rPr>
          <w:sz w:val="18"/>
          <w:szCs w:val="18"/>
          <w:lang w:val="es-MX"/>
        </w:rPr>
        <w:t>literales</w:t>
      </w:r>
      <w:r>
        <w:rPr>
          <w:sz w:val="18"/>
          <w:szCs w:val="18"/>
          <w:lang w:val="es-MX"/>
        </w:rPr>
        <w:t xml:space="preserve"> </w:t>
      </w:r>
      <w:r w:rsidRPr="00505654">
        <w:rPr>
          <w:sz w:val="18"/>
          <w:szCs w:val="18"/>
          <w:lang w:val="es-MX"/>
        </w:rPr>
        <w:t xml:space="preserve"> a), b)</w:t>
      </w:r>
      <w:r>
        <w:rPr>
          <w:sz w:val="18"/>
          <w:szCs w:val="18"/>
          <w:lang w:val="es-MX"/>
        </w:rPr>
        <w:t>, d)</w:t>
      </w:r>
      <w:r w:rsidRPr="00505654">
        <w:rPr>
          <w:sz w:val="18"/>
          <w:szCs w:val="18"/>
          <w:lang w:val="es-MX"/>
        </w:rPr>
        <w:t xml:space="preserve"> e  i), </w:t>
      </w:r>
      <w:r>
        <w:rPr>
          <w:sz w:val="18"/>
          <w:szCs w:val="18"/>
          <w:lang w:val="es-MX"/>
        </w:rPr>
        <w:t xml:space="preserve"> </w:t>
      </w:r>
      <w:r w:rsidRPr="00505654">
        <w:rPr>
          <w:sz w:val="18"/>
          <w:szCs w:val="18"/>
          <w:lang w:val="es-MX"/>
        </w:rPr>
        <w:t>23</w:t>
      </w:r>
      <w:r>
        <w:rPr>
          <w:sz w:val="18"/>
          <w:szCs w:val="18"/>
          <w:lang w:val="es-MX"/>
        </w:rPr>
        <w:t>7</w:t>
      </w:r>
      <w:r w:rsidRPr="00505654">
        <w:rPr>
          <w:sz w:val="18"/>
          <w:szCs w:val="18"/>
          <w:lang w:val="es-MX"/>
        </w:rPr>
        <w:t>, 238</w:t>
      </w:r>
      <w:r>
        <w:rPr>
          <w:sz w:val="18"/>
          <w:szCs w:val="18"/>
          <w:lang w:val="es-MX"/>
        </w:rPr>
        <w:t>, 241.</w:t>
      </w:r>
    </w:p>
  </w:footnote>
  <w:footnote w:id="8">
    <w:p w:rsidR="00F569C8" w:rsidRPr="00505654" w:rsidRDefault="00F569C8" w:rsidP="006C636D">
      <w:pPr>
        <w:pStyle w:val="Textonotapie"/>
        <w:rPr>
          <w:lang w:val="es-MX"/>
        </w:rPr>
      </w:pPr>
      <w:r>
        <w:rPr>
          <w:rStyle w:val="Refdenotaalpie"/>
        </w:rPr>
        <w:footnoteRef/>
      </w:r>
      <w:r>
        <w:t xml:space="preserve"> </w:t>
      </w:r>
      <w:r w:rsidRPr="005913C9">
        <w:rPr>
          <w:sz w:val="18"/>
          <w:szCs w:val="18"/>
          <w:lang w:val="es-MX"/>
        </w:rPr>
        <w:t xml:space="preserve">Decreto No. 101-97, </w:t>
      </w:r>
      <w:r>
        <w:rPr>
          <w:sz w:val="18"/>
          <w:szCs w:val="18"/>
          <w:lang w:val="es-MX"/>
        </w:rPr>
        <w:t xml:space="preserve"> </w:t>
      </w:r>
      <w:r w:rsidRPr="005913C9">
        <w:rPr>
          <w:sz w:val="18"/>
          <w:szCs w:val="18"/>
          <w:lang w:val="es-MX"/>
        </w:rPr>
        <w:t xml:space="preserve">Ley Orgánica del Presupuesto, </w:t>
      </w:r>
      <w:r>
        <w:rPr>
          <w:sz w:val="18"/>
          <w:szCs w:val="18"/>
          <w:lang w:val="es-MX"/>
        </w:rPr>
        <w:t xml:space="preserve"> </w:t>
      </w:r>
      <w:r w:rsidRPr="005913C9">
        <w:rPr>
          <w:sz w:val="18"/>
          <w:szCs w:val="18"/>
          <w:lang w:val="es-MX"/>
        </w:rPr>
        <w:t>artículo</w:t>
      </w:r>
      <w:r>
        <w:rPr>
          <w:sz w:val="18"/>
          <w:szCs w:val="18"/>
          <w:lang w:val="es-MX"/>
        </w:rPr>
        <w:t xml:space="preserve">s </w:t>
      </w:r>
      <w:r w:rsidRPr="005913C9">
        <w:rPr>
          <w:sz w:val="18"/>
          <w:szCs w:val="18"/>
          <w:lang w:val="es-MX"/>
        </w:rPr>
        <w:t xml:space="preserve"> 19, </w:t>
      </w:r>
      <w:r>
        <w:rPr>
          <w:sz w:val="18"/>
          <w:szCs w:val="18"/>
          <w:lang w:val="es-MX"/>
        </w:rPr>
        <w:t xml:space="preserve"> </w:t>
      </w:r>
      <w:r w:rsidRPr="005913C9">
        <w:rPr>
          <w:sz w:val="18"/>
          <w:szCs w:val="18"/>
          <w:lang w:val="es-MX"/>
        </w:rPr>
        <w:t xml:space="preserve">23, </w:t>
      </w:r>
      <w:r>
        <w:rPr>
          <w:sz w:val="18"/>
          <w:szCs w:val="18"/>
          <w:lang w:val="es-MX"/>
        </w:rPr>
        <w:t xml:space="preserve"> </w:t>
      </w:r>
      <w:r w:rsidRPr="005913C9">
        <w:rPr>
          <w:sz w:val="18"/>
          <w:szCs w:val="18"/>
          <w:lang w:val="es-MX"/>
        </w:rPr>
        <w:t>24.</w:t>
      </w:r>
    </w:p>
  </w:footnote>
  <w:footnote w:id="9">
    <w:p w:rsidR="00F569C8" w:rsidRPr="006976FB" w:rsidRDefault="00F569C8" w:rsidP="006C636D">
      <w:pPr>
        <w:pStyle w:val="Textonotapie"/>
        <w:jc w:val="both"/>
      </w:pPr>
      <w:r>
        <w:rPr>
          <w:rStyle w:val="Refdenotaalpie"/>
        </w:rPr>
        <w:footnoteRef/>
      </w:r>
      <w:r>
        <w:t xml:space="preserve">La Superintendencia de </w:t>
      </w:r>
      <w:r w:rsidRPr="006976FB">
        <w:t>Administración Tributaria (SAT), fue creada mediante Decreto No. 1-98 del Congreso de la República de Guatemala</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9C8" w:rsidRDefault="00467848" w:rsidP="00736911">
    <w:pPr>
      <w:pStyle w:val="Encabezado"/>
      <w:pBdr>
        <w:bottom w:val="thickThinSmallGap" w:sz="24" w:space="0" w:color="622423" w:themeColor="accent2" w:themeShade="7F"/>
      </w:pBdr>
      <w:jc w:val="center"/>
      <w:rPr>
        <w:rFonts w:asciiTheme="majorHAnsi" w:eastAsiaTheme="majorEastAsia" w:hAnsiTheme="majorHAnsi" w:cstheme="majorBidi"/>
        <w:sz w:val="32"/>
        <w:szCs w:val="32"/>
      </w:rPr>
    </w:pPr>
    <w:sdt>
      <w:sdtPr>
        <w:rPr>
          <w:rFonts w:ascii="Arial Narrow" w:eastAsiaTheme="majorEastAsia" w:hAnsi="Arial Narrow" w:cs="Arial"/>
        </w:rPr>
        <w:id w:val="18137398"/>
        <w:docPartObj>
          <w:docPartGallery w:val="Page Numbers (Margins)"/>
          <w:docPartUnique/>
        </w:docPartObj>
      </w:sdtPr>
      <w:sdtEndPr/>
      <w:sdtContent>
        <w:r w:rsidR="00F569C8">
          <w:rPr>
            <w:rFonts w:ascii="Arial Narrow" w:eastAsiaTheme="majorEastAsia" w:hAnsi="Arial Narrow" w:cs="Arial"/>
            <w:noProof/>
          </w:rPr>
          <mc:AlternateContent>
            <mc:Choice Requires="wps">
              <w:drawing>
                <wp:anchor distT="0" distB="0" distL="114300" distR="114300" simplePos="0" relativeHeight="251660288" behindDoc="0" locked="0" layoutInCell="0" allowOverlap="1" wp14:anchorId="48135DD8" wp14:editId="2A03F6F8">
                  <wp:simplePos x="0" y="0"/>
                  <wp:positionH relativeFrom="rightMargin">
                    <wp:align>center</wp:align>
                  </wp:positionH>
                  <wp:positionV relativeFrom="margin">
                    <wp:align>bottom</wp:align>
                  </wp:positionV>
                  <wp:extent cx="519430" cy="2183130"/>
                  <wp:effectExtent l="0" t="3175" r="0" b="4445"/>
                  <wp:wrapNone/>
                  <wp:docPr id="2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43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69C8" w:rsidRDefault="00F569C8">
                              <w:pPr>
                                <w:pStyle w:val="Piedepgina"/>
                                <w:rPr>
                                  <w:rFonts w:asciiTheme="majorHAnsi" w:hAnsiTheme="majorHAnsi"/>
                                  <w:sz w:val="44"/>
                                  <w:szCs w:val="44"/>
                                </w:rPr>
                              </w:pPr>
                              <w:r>
                                <w:rPr>
                                  <w:rFonts w:asciiTheme="majorHAnsi" w:hAnsiTheme="majorHAnsi"/>
                                </w:rPr>
                                <w:t>Página</w:t>
                              </w:r>
                              <w:r>
                                <w:fldChar w:fldCharType="begin"/>
                              </w:r>
                              <w:r>
                                <w:instrText xml:space="preserve"> PAGE    \* MERGEFORMAT </w:instrText>
                              </w:r>
                              <w:r>
                                <w:fldChar w:fldCharType="separate"/>
                              </w:r>
                              <w:r w:rsidR="009D4E6D" w:rsidRPr="009D4E6D">
                                <w:rPr>
                                  <w:rFonts w:asciiTheme="majorHAnsi" w:hAnsiTheme="majorHAnsi"/>
                                  <w:noProof/>
                                  <w:sz w:val="44"/>
                                  <w:szCs w:val="44"/>
                                </w:rPr>
                                <w:t>56</w:t>
                              </w:r>
                              <w:r>
                                <w:rPr>
                                  <w:rFonts w:asciiTheme="majorHAnsi" w:hAnsiTheme="majorHAns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3" o:spid="_x0000_s1028" style="position:absolute;left:0;text-align:left;margin-left:0;margin-top:0;width:40.9pt;height:171.9pt;z-index:251660288;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" o:allowincell="f" filled="f" stroked="f">
                  <v:textbox style="layout-flow:vertical;mso-layout-flow-alt:bottom-to-top;mso-fit-shape-to-text:t">
                    <w:txbxContent>
                      <w:p w:rsidR="00F569C8" w:rsidRDefault="00F569C8">
                        <w:pPr>
                          <w:pStyle w:val="Piedepgina"/>
                          <w:rPr>
                            <w:rFonts w:asciiTheme="majorHAnsi" w:hAnsiTheme="majorHAnsi"/>
                            <w:sz w:val="44"/>
                            <w:szCs w:val="44"/>
                          </w:rPr>
                        </w:pPr>
                        <w:r>
                          <w:rPr>
                            <w:rFonts w:asciiTheme="majorHAnsi" w:hAnsiTheme="majorHAnsi"/>
                          </w:rPr>
                          <w:t>Página</w:t>
                        </w:r>
                        <w:r>
                          <w:fldChar w:fldCharType="begin"/>
                        </w:r>
                        <w:r>
                          <w:instrText xml:space="preserve"> PAGE    \* MERGEFORMAT </w:instrText>
                        </w:r>
                        <w:r>
                          <w:fldChar w:fldCharType="separate"/>
                        </w:r>
                        <w:r w:rsidR="009D4E6D" w:rsidRPr="009D4E6D">
                          <w:rPr>
                            <w:rFonts w:asciiTheme="majorHAnsi" w:hAnsiTheme="majorHAnsi"/>
                            <w:noProof/>
                            <w:sz w:val="44"/>
                            <w:szCs w:val="44"/>
                          </w:rPr>
                          <w:t>56</w:t>
                        </w:r>
                        <w:r>
                          <w:rPr>
                            <w:rFonts w:asciiTheme="majorHAnsi" w:hAnsiTheme="majorHAnsi"/>
                            <w:noProof/>
                            <w:sz w:val="44"/>
                            <w:szCs w:val="44"/>
                          </w:rPr>
                          <w:fldChar w:fldCharType="end"/>
                        </w:r>
                      </w:p>
                    </w:txbxContent>
                  </v:textbox>
                  <w10:wrap anchorx="margin" anchory="margin"/>
                </v:rect>
              </w:pict>
            </mc:Fallback>
          </mc:AlternateContent>
        </w:r>
      </w:sdtContent>
    </w:sdt>
    <w:sdt>
      <w:sdtPr>
        <w:rPr>
          <w:rFonts w:ascii="Arial Narrow" w:eastAsiaTheme="majorEastAsia" w:hAnsi="Arial Narrow" w:cs="Arial"/>
        </w:rPr>
        <w:alias w:val="Título"/>
        <w:id w:val="18137362"/>
        <w:dataBinding w:prefixMappings="xmlns:ns0='http://schemas.openxmlformats.org/package/2006/metadata/core-properties' xmlns:ns1='http://purl.org/dc/elements/1.1/'" w:xpath="/ns0:coreProperties[1]/ns1:title[1]" w:storeItemID="{6C3C8BC8-F283-45AE-878A-BAB7291924A1}"/>
        <w:text/>
      </w:sdtPr>
      <w:sdtEndPr/>
      <w:sdtContent>
        <w:r w:rsidR="00F569C8">
          <w:rPr>
            <w:rFonts w:ascii="Arial Narrow" w:eastAsiaTheme="majorEastAsia" w:hAnsi="Arial Narrow" w:cs="Arial"/>
          </w:rPr>
          <w:t>Presupuesto Ciudadano</w:t>
        </w:r>
      </w:sdtContent>
    </w:sdt>
  </w:p>
  <w:p w:rsidR="00F569C8" w:rsidRPr="004B307B" w:rsidRDefault="00F569C8" w:rsidP="00507B1E">
    <w:pPr>
      <w:pStyle w:val="Encabezado"/>
      <w:tabs>
        <w:tab w:val="clear" w:pos="8504"/>
        <w:tab w:val="left" w:pos="4956"/>
        <w:tab w:val="left" w:pos="5664"/>
      </w:tabs>
      <w:rPr>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388"/>
      </v:shape>
    </w:pict>
  </w:numPicBullet>
  <w:numPicBullet w:numPicBulletId="1">
    <w:pict>
      <v:shape id="_x0000_i1029" type="#_x0000_t75" style="width:11.25pt;height:11.25pt" o:bullet="t">
        <v:imagedata r:id="rId2" o:title="BD10297_"/>
      </v:shape>
    </w:pict>
  </w:numPicBullet>
  <w:abstractNum w:abstractNumId="0">
    <w:nsid w:val="071D1898"/>
    <w:multiLevelType w:val="hybridMultilevel"/>
    <w:tmpl w:val="2EE2EFEA"/>
    <w:lvl w:ilvl="0" w:tplc="0C0A000F">
      <w:start w:val="1"/>
      <w:numFmt w:val="decimal"/>
      <w:lvlText w:val="%1."/>
      <w:lvlJc w:val="left"/>
      <w:pPr>
        <w:ind w:left="720" w:hanging="360"/>
      </w:pPr>
      <w:rPr>
        <w:rFonts w:hint="default"/>
      </w:rPr>
    </w:lvl>
    <w:lvl w:ilvl="1" w:tplc="6296A8CC">
      <w:start w:val="1"/>
      <w:numFmt w:val="lowerLetter"/>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E976CE1"/>
    <w:multiLevelType w:val="hybridMultilevel"/>
    <w:tmpl w:val="3520598C"/>
    <w:lvl w:ilvl="0" w:tplc="ED5204B4">
      <w:start w:val="1"/>
      <w:numFmt w:val="lowerLetter"/>
      <w:lvlText w:val="%1)"/>
      <w:lvlJc w:val="left"/>
      <w:pPr>
        <w:ind w:left="360" w:hanging="360"/>
      </w:pPr>
      <w:rPr>
        <w:rFonts w:hint="default"/>
        <w:b/>
        <w:u w:val="none"/>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
    <w:nsid w:val="147D34A0"/>
    <w:multiLevelType w:val="hybridMultilevel"/>
    <w:tmpl w:val="5ADAD9AE"/>
    <w:lvl w:ilvl="0" w:tplc="B3DCB69E">
      <w:start w:val="1"/>
      <w:numFmt w:val="upperRoman"/>
      <w:lvlText w:val="%1."/>
      <w:lvlJc w:val="left"/>
      <w:pPr>
        <w:ind w:left="1440" w:hanging="72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3">
    <w:nsid w:val="14E5450E"/>
    <w:multiLevelType w:val="hybridMultilevel"/>
    <w:tmpl w:val="429017C6"/>
    <w:lvl w:ilvl="0" w:tplc="E7703C28">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4">
    <w:nsid w:val="161310EA"/>
    <w:multiLevelType w:val="hybridMultilevel"/>
    <w:tmpl w:val="8534B0CC"/>
    <w:lvl w:ilvl="0" w:tplc="EC7E3640">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nsid w:val="171823A7"/>
    <w:multiLevelType w:val="hybridMultilevel"/>
    <w:tmpl w:val="F0FC9412"/>
    <w:lvl w:ilvl="0" w:tplc="100A0017">
      <w:start w:val="1"/>
      <w:numFmt w:val="lowerLetter"/>
      <w:lvlText w:val="%1)"/>
      <w:lvlJc w:val="left"/>
      <w:pPr>
        <w:ind w:left="1776" w:hanging="360"/>
      </w:pPr>
      <w:rPr>
        <w:rFonts w:hint="default"/>
      </w:rPr>
    </w:lvl>
    <w:lvl w:ilvl="1" w:tplc="0C0A0003">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6">
    <w:nsid w:val="19AA35E4"/>
    <w:multiLevelType w:val="hybridMultilevel"/>
    <w:tmpl w:val="7306504E"/>
    <w:lvl w:ilvl="0" w:tplc="9C749898">
      <w:start w:val="1"/>
      <w:numFmt w:val="bullet"/>
      <w:lvlText w:val=""/>
      <w:lvlPicBulletId w:val="1"/>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1BE25626"/>
    <w:multiLevelType w:val="hybridMultilevel"/>
    <w:tmpl w:val="7A70926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1E6257F2"/>
    <w:multiLevelType w:val="hybridMultilevel"/>
    <w:tmpl w:val="76EE1744"/>
    <w:lvl w:ilvl="0" w:tplc="DF601864">
      <w:start w:val="2"/>
      <w:numFmt w:val="upperRoman"/>
      <w:lvlText w:val="%1."/>
      <w:lvlJc w:val="left"/>
      <w:pPr>
        <w:ind w:left="-1836" w:hanging="720"/>
      </w:pPr>
      <w:rPr>
        <w:rFonts w:hint="default"/>
        <w:b/>
      </w:rPr>
    </w:lvl>
    <w:lvl w:ilvl="1" w:tplc="0C0A0019">
      <w:start w:val="1"/>
      <w:numFmt w:val="lowerLetter"/>
      <w:lvlText w:val="%2."/>
      <w:lvlJc w:val="left"/>
      <w:pPr>
        <w:ind w:left="-1476" w:hanging="360"/>
      </w:pPr>
    </w:lvl>
    <w:lvl w:ilvl="2" w:tplc="0C0A001B" w:tentative="1">
      <w:start w:val="1"/>
      <w:numFmt w:val="lowerRoman"/>
      <w:lvlText w:val="%3."/>
      <w:lvlJc w:val="right"/>
      <w:pPr>
        <w:ind w:left="-756" w:hanging="180"/>
      </w:pPr>
    </w:lvl>
    <w:lvl w:ilvl="3" w:tplc="0C0A000F" w:tentative="1">
      <w:start w:val="1"/>
      <w:numFmt w:val="decimal"/>
      <w:lvlText w:val="%4."/>
      <w:lvlJc w:val="left"/>
      <w:pPr>
        <w:ind w:left="-36" w:hanging="360"/>
      </w:pPr>
    </w:lvl>
    <w:lvl w:ilvl="4" w:tplc="0C0A0019" w:tentative="1">
      <w:start w:val="1"/>
      <w:numFmt w:val="lowerLetter"/>
      <w:lvlText w:val="%5."/>
      <w:lvlJc w:val="left"/>
      <w:pPr>
        <w:ind w:left="684" w:hanging="360"/>
      </w:pPr>
    </w:lvl>
    <w:lvl w:ilvl="5" w:tplc="0C0A001B" w:tentative="1">
      <w:start w:val="1"/>
      <w:numFmt w:val="lowerRoman"/>
      <w:lvlText w:val="%6."/>
      <w:lvlJc w:val="right"/>
      <w:pPr>
        <w:ind w:left="1404" w:hanging="180"/>
      </w:pPr>
    </w:lvl>
    <w:lvl w:ilvl="6" w:tplc="0C0A000F" w:tentative="1">
      <w:start w:val="1"/>
      <w:numFmt w:val="decimal"/>
      <w:lvlText w:val="%7."/>
      <w:lvlJc w:val="left"/>
      <w:pPr>
        <w:ind w:left="2124" w:hanging="360"/>
      </w:pPr>
    </w:lvl>
    <w:lvl w:ilvl="7" w:tplc="0C0A0019" w:tentative="1">
      <w:start w:val="1"/>
      <w:numFmt w:val="lowerLetter"/>
      <w:lvlText w:val="%8."/>
      <w:lvlJc w:val="left"/>
      <w:pPr>
        <w:ind w:left="2844" w:hanging="360"/>
      </w:pPr>
    </w:lvl>
    <w:lvl w:ilvl="8" w:tplc="0C0A001B" w:tentative="1">
      <w:start w:val="1"/>
      <w:numFmt w:val="lowerRoman"/>
      <w:lvlText w:val="%9."/>
      <w:lvlJc w:val="right"/>
      <w:pPr>
        <w:ind w:left="3564" w:hanging="180"/>
      </w:pPr>
    </w:lvl>
  </w:abstractNum>
  <w:abstractNum w:abstractNumId="9">
    <w:nsid w:val="243C5A5E"/>
    <w:multiLevelType w:val="hybridMultilevel"/>
    <w:tmpl w:val="CDE6853C"/>
    <w:lvl w:ilvl="0" w:tplc="32FA1A06">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
    <w:nsid w:val="29E15231"/>
    <w:multiLevelType w:val="hybridMultilevel"/>
    <w:tmpl w:val="497A4C3A"/>
    <w:lvl w:ilvl="0" w:tplc="31BEB8E2">
      <w:start w:val="1"/>
      <w:numFmt w:val="upperRoman"/>
      <w:lvlText w:val="%1."/>
      <w:lvlJc w:val="left"/>
      <w:pPr>
        <w:ind w:left="-416" w:hanging="720"/>
      </w:pPr>
      <w:rPr>
        <w:rFonts w:hint="default"/>
      </w:rPr>
    </w:lvl>
    <w:lvl w:ilvl="1" w:tplc="0C0A0019">
      <w:start w:val="1"/>
      <w:numFmt w:val="lowerLetter"/>
      <w:lvlText w:val="%2."/>
      <w:lvlJc w:val="left"/>
      <w:pPr>
        <w:ind w:left="-56" w:hanging="360"/>
      </w:pPr>
    </w:lvl>
    <w:lvl w:ilvl="2" w:tplc="0C0A001B">
      <w:start w:val="1"/>
      <w:numFmt w:val="lowerRoman"/>
      <w:lvlText w:val="%3."/>
      <w:lvlJc w:val="right"/>
      <w:pPr>
        <w:ind w:left="664" w:hanging="180"/>
      </w:pPr>
    </w:lvl>
    <w:lvl w:ilvl="3" w:tplc="0C0A000F" w:tentative="1">
      <w:start w:val="1"/>
      <w:numFmt w:val="decimal"/>
      <w:lvlText w:val="%4."/>
      <w:lvlJc w:val="left"/>
      <w:pPr>
        <w:ind w:left="1384" w:hanging="360"/>
      </w:pPr>
    </w:lvl>
    <w:lvl w:ilvl="4" w:tplc="0C0A0019" w:tentative="1">
      <w:start w:val="1"/>
      <w:numFmt w:val="lowerLetter"/>
      <w:lvlText w:val="%5."/>
      <w:lvlJc w:val="left"/>
      <w:pPr>
        <w:ind w:left="2104" w:hanging="360"/>
      </w:pPr>
    </w:lvl>
    <w:lvl w:ilvl="5" w:tplc="0C0A001B" w:tentative="1">
      <w:start w:val="1"/>
      <w:numFmt w:val="lowerRoman"/>
      <w:lvlText w:val="%6."/>
      <w:lvlJc w:val="right"/>
      <w:pPr>
        <w:ind w:left="2824" w:hanging="180"/>
      </w:pPr>
    </w:lvl>
    <w:lvl w:ilvl="6" w:tplc="0C0A000F" w:tentative="1">
      <w:start w:val="1"/>
      <w:numFmt w:val="decimal"/>
      <w:lvlText w:val="%7."/>
      <w:lvlJc w:val="left"/>
      <w:pPr>
        <w:ind w:left="3544" w:hanging="360"/>
      </w:pPr>
    </w:lvl>
    <w:lvl w:ilvl="7" w:tplc="0C0A0019" w:tentative="1">
      <w:start w:val="1"/>
      <w:numFmt w:val="lowerLetter"/>
      <w:lvlText w:val="%8."/>
      <w:lvlJc w:val="left"/>
      <w:pPr>
        <w:ind w:left="4264" w:hanging="360"/>
      </w:pPr>
    </w:lvl>
    <w:lvl w:ilvl="8" w:tplc="0C0A001B" w:tentative="1">
      <w:start w:val="1"/>
      <w:numFmt w:val="lowerRoman"/>
      <w:lvlText w:val="%9."/>
      <w:lvlJc w:val="right"/>
      <w:pPr>
        <w:ind w:left="4984" w:hanging="180"/>
      </w:pPr>
    </w:lvl>
  </w:abstractNum>
  <w:abstractNum w:abstractNumId="11">
    <w:nsid w:val="2B7440F0"/>
    <w:multiLevelType w:val="hybridMultilevel"/>
    <w:tmpl w:val="F5ECFBD6"/>
    <w:lvl w:ilvl="0" w:tplc="0C0A0017">
      <w:start w:val="1"/>
      <w:numFmt w:val="lowerLetter"/>
      <w:lvlText w:val="%1)"/>
      <w:lvlJc w:val="left"/>
      <w:pPr>
        <w:ind w:left="1068" w:hanging="360"/>
      </w:pPr>
      <w:rPr>
        <w:rFont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2">
    <w:nsid w:val="2C5044D3"/>
    <w:multiLevelType w:val="hybridMultilevel"/>
    <w:tmpl w:val="40B6F962"/>
    <w:lvl w:ilvl="0" w:tplc="0C0A0017">
      <w:start w:val="1"/>
      <w:numFmt w:val="lowerLetter"/>
      <w:lvlText w:val="%1)"/>
      <w:lvlJc w:val="left"/>
      <w:pPr>
        <w:ind w:left="718" w:hanging="360"/>
      </w:pPr>
    </w:lvl>
    <w:lvl w:ilvl="1" w:tplc="0C0A0019" w:tentative="1">
      <w:start w:val="1"/>
      <w:numFmt w:val="lowerLetter"/>
      <w:lvlText w:val="%2."/>
      <w:lvlJc w:val="left"/>
      <w:pPr>
        <w:ind w:left="1438" w:hanging="360"/>
      </w:pPr>
    </w:lvl>
    <w:lvl w:ilvl="2" w:tplc="0C0A001B" w:tentative="1">
      <w:start w:val="1"/>
      <w:numFmt w:val="lowerRoman"/>
      <w:lvlText w:val="%3."/>
      <w:lvlJc w:val="right"/>
      <w:pPr>
        <w:ind w:left="2158" w:hanging="180"/>
      </w:pPr>
    </w:lvl>
    <w:lvl w:ilvl="3" w:tplc="0C0A000F" w:tentative="1">
      <w:start w:val="1"/>
      <w:numFmt w:val="decimal"/>
      <w:lvlText w:val="%4."/>
      <w:lvlJc w:val="left"/>
      <w:pPr>
        <w:ind w:left="2878" w:hanging="360"/>
      </w:pPr>
    </w:lvl>
    <w:lvl w:ilvl="4" w:tplc="0C0A0019" w:tentative="1">
      <w:start w:val="1"/>
      <w:numFmt w:val="lowerLetter"/>
      <w:lvlText w:val="%5."/>
      <w:lvlJc w:val="left"/>
      <w:pPr>
        <w:ind w:left="3598" w:hanging="360"/>
      </w:pPr>
    </w:lvl>
    <w:lvl w:ilvl="5" w:tplc="0C0A001B" w:tentative="1">
      <w:start w:val="1"/>
      <w:numFmt w:val="lowerRoman"/>
      <w:lvlText w:val="%6."/>
      <w:lvlJc w:val="right"/>
      <w:pPr>
        <w:ind w:left="4318" w:hanging="180"/>
      </w:pPr>
    </w:lvl>
    <w:lvl w:ilvl="6" w:tplc="0C0A000F" w:tentative="1">
      <w:start w:val="1"/>
      <w:numFmt w:val="decimal"/>
      <w:lvlText w:val="%7."/>
      <w:lvlJc w:val="left"/>
      <w:pPr>
        <w:ind w:left="5038" w:hanging="360"/>
      </w:pPr>
    </w:lvl>
    <w:lvl w:ilvl="7" w:tplc="0C0A0019" w:tentative="1">
      <w:start w:val="1"/>
      <w:numFmt w:val="lowerLetter"/>
      <w:lvlText w:val="%8."/>
      <w:lvlJc w:val="left"/>
      <w:pPr>
        <w:ind w:left="5758" w:hanging="360"/>
      </w:pPr>
    </w:lvl>
    <w:lvl w:ilvl="8" w:tplc="0C0A001B" w:tentative="1">
      <w:start w:val="1"/>
      <w:numFmt w:val="lowerRoman"/>
      <w:lvlText w:val="%9."/>
      <w:lvlJc w:val="right"/>
      <w:pPr>
        <w:ind w:left="6478" w:hanging="180"/>
      </w:pPr>
    </w:lvl>
  </w:abstractNum>
  <w:abstractNum w:abstractNumId="13">
    <w:nsid w:val="33075985"/>
    <w:multiLevelType w:val="hybridMultilevel"/>
    <w:tmpl w:val="10443EF2"/>
    <w:lvl w:ilvl="0" w:tplc="B2AAA7F4">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4">
    <w:nsid w:val="37E20EAB"/>
    <w:multiLevelType w:val="hybridMultilevel"/>
    <w:tmpl w:val="3E1C0F2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nsid w:val="3A4E0353"/>
    <w:multiLevelType w:val="hybridMultilevel"/>
    <w:tmpl w:val="8CCE474A"/>
    <w:lvl w:ilvl="0" w:tplc="100A000F">
      <w:start w:val="1"/>
      <w:numFmt w:val="decimal"/>
      <w:lvlText w:val="%1."/>
      <w:lvlJc w:val="left"/>
      <w:pPr>
        <w:ind w:left="1068" w:hanging="360"/>
      </w:p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6">
    <w:nsid w:val="41661CAE"/>
    <w:multiLevelType w:val="hybridMultilevel"/>
    <w:tmpl w:val="498A910E"/>
    <w:lvl w:ilvl="0" w:tplc="2B2ECE56">
      <w:start w:val="2"/>
      <w:numFmt w:val="decimal"/>
      <w:lvlText w:val="%1"/>
      <w:lvlJc w:val="left"/>
      <w:pPr>
        <w:ind w:left="360" w:hanging="360"/>
      </w:pPr>
      <w:rPr>
        <w:rFonts w:hint="default"/>
        <w:b/>
        <w:u w:val="single"/>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7">
    <w:nsid w:val="41687DFB"/>
    <w:multiLevelType w:val="hybridMultilevel"/>
    <w:tmpl w:val="53CE8F82"/>
    <w:lvl w:ilvl="0" w:tplc="08227FE0">
      <w:start w:val="1"/>
      <w:numFmt w:val="upperRoman"/>
      <w:lvlText w:val="%1."/>
      <w:lvlJc w:val="left"/>
      <w:pPr>
        <w:ind w:left="720" w:hanging="72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8">
    <w:nsid w:val="4378210A"/>
    <w:multiLevelType w:val="hybridMultilevel"/>
    <w:tmpl w:val="574A11C0"/>
    <w:lvl w:ilvl="0" w:tplc="7A3CADA8">
      <w:start w:val="5"/>
      <w:numFmt w:val="upperRoman"/>
      <w:lvlText w:val="%1."/>
      <w:lvlJc w:val="right"/>
      <w:pPr>
        <w:ind w:left="71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48F63CB7"/>
    <w:multiLevelType w:val="hybridMultilevel"/>
    <w:tmpl w:val="0828484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55E44B5C"/>
    <w:multiLevelType w:val="hybridMultilevel"/>
    <w:tmpl w:val="7A5ECF06"/>
    <w:lvl w:ilvl="0" w:tplc="9C749898">
      <w:start w:val="1"/>
      <w:numFmt w:val="bullet"/>
      <w:lvlText w:val=""/>
      <w:lvlPicBulletId w:val="1"/>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58D949A2"/>
    <w:multiLevelType w:val="hybridMultilevel"/>
    <w:tmpl w:val="40F8FFC2"/>
    <w:lvl w:ilvl="0" w:tplc="100A000F">
      <w:start w:val="1"/>
      <w:numFmt w:val="decimal"/>
      <w:lvlText w:val="%1."/>
      <w:lvlJc w:val="left"/>
      <w:pPr>
        <w:ind w:left="927" w:hanging="360"/>
      </w:pPr>
      <w:rPr>
        <w:rFonts w:hint="default"/>
      </w:r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2">
    <w:nsid w:val="64183552"/>
    <w:multiLevelType w:val="hybridMultilevel"/>
    <w:tmpl w:val="F320DC84"/>
    <w:lvl w:ilvl="0" w:tplc="56009342">
      <w:start w:val="1"/>
      <w:numFmt w:val="upperRoman"/>
      <w:lvlText w:val="%1."/>
      <w:lvlJc w:val="left"/>
      <w:pPr>
        <w:ind w:left="720" w:hanging="72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3">
    <w:nsid w:val="69F079CF"/>
    <w:multiLevelType w:val="hybridMultilevel"/>
    <w:tmpl w:val="B35E94A0"/>
    <w:lvl w:ilvl="0" w:tplc="0C0A0007">
      <w:start w:val="1"/>
      <w:numFmt w:val="bullet"/>
      <w:lvlText w:val=""/>
      <w:lvlPicBulletId w:val="0"/>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24">
    <w:nsid w:val="6B822515"/>
    <w:multiLevelType w:val="hybridMultilevel"/>
    <w:tmpl w:val="FAB810B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6EAE5D85"/>
    <w:multiLevelType w:val="hybridMultilevel"/>
    <w:tmpl w:val="FBB84F94"/>
    <w:lvl w:ilvl="0" w:tplc="364A3AEE">
      <w:start w:val="1"/>
      <w:numFmt w:val="decimal"/>
      <w:lvlText w:val="%1)"/>
      <w:lvlJc w:val="left"/>
      <w:pPr>
        <w:tabs>
          <w:tab w:val="num" w:pos="720"/>
        </w:tabs>
        <w:ind w:left="720" w:hanging="360"/>
      </w:pPr>
    </w:lvl>
    <w:lvl w:ilvl="1" w:tplc="0E461694" w:tentative="1">
      <w:start w:val="1"/>
      <w:numFmt w:val="decimal"/>
      <w:lvlText w:val="%2)"/>
      <w:lvlJc w:val="left"/>
      <w:pPr>
        <w:tabs>
          <w:tab w:val="num" w:pos="1440"/>
        </w:tabs>
        <w:ind w:left="1440" w:hanging="360"/>
      </w:pPr>
    </w:lvl>
    <w:lvl w:ilvl="2" w:tplc="B0703804" w:tentative="1">
      <w:start w:val="1"/>
      <w:numFmt w:val="decimal"/>
      <w:lvlText w:val="%3)"/>
      <w:lvlJc w:val="left"/>
      <w:pPr>
        <w:tabs>
          <w:tab w:val="num" w:pos="2160"/>
        </w:tabs>
        <w:ind w:left="2160" w:hanging="360"/>
      </w:pPr>
    </w:lvl>
    <w:lvl w:ilvl="3" w:tplc="57F0E69C" w:tentative="1">
      <w:start w:val="1"/>
      <w:numFmt w:val="decimal"/>
      <w:lvlText w:val="%4)"/>
      <w:lvlJc w:val="left"/>
      <w:pPr>
        <w:tabs>
          <w:tab w:val="num" w:pos="2880"/>
        </w:tabs>
        <w:ind w:left="2880" w:hanging="360"/>
      </w:pPr>
    </w:lvl>
    <w:lvl w:ilvl="4" w:tplc="9EE2AC4E" w:tentative="1">
      <w:start w:val="1"/>
      <w:numFmt w:val="decimal"/>
      <w:lvlText w:val="%5)"/>
      <w:lvlJc w:val="left"/>
      <w:pPr>
        <w:tabs>
          <w:tab w:val="num" w:pos="3600"/>
        </w:tabs>
        <w:ind w:left="3600" w:hanging="360"/>
      </w:pPr>
    </w:lvl>
    <w:lvl w:ilvl="5" w:tplc="968CDF7C" w:tentative="1">
      <w:start w:val="1"/>
      <w:numFmt w:val="decimal"/>
      <w:lvlText w:val="%6)"/>
      <w:lvlJc w:val="left"/>
      <w:pPr>
        <w:tabs>
          <w:tab w:val="num" w:pos="4320"/>
        </w:tabs>
        <w:ind w:left="4320" w:hanging="360"/>
      </w:pPr>
    </w:lvl>
    <w:lvl w:ilvl="6" w:tplc="54F83E30" w:tentative="1">
      <w:start w:val="1"/>
      <w:numFmt w:val="decimal"/>
      <w:lvlText w:val="%7)"/>
      <w:lvlJc w:val="left"/>
      <w:pPr>
        <w:tabs>
          <w:tab w:val="num" w:pos="5040"/>
        </w:tabs>
        <w:ind w:left="5040" w:hanging="360"/>
      </w:pPr>
    </w:lvl>
    <w:lvl w:ilvl="7" w:tplc="11008F36" w:tentative="1">
      <w:start w:val="1"/>
      <w:numFmt w:val="decimal"/>
      <w:lvlText w:val="%8)"/>
      <w:lvlJc w:val="left"/>
      <w:pPr>
        <w:tabs>
          <w:tab w:val="num" w:pos="5760"/>
        </w:tabs>
        <w:ind w:left="5760" w:hanging="360"/>
      </w:pPr>
    </w:lvl>
    <w:lvl w:ilvl="8" w:tplc="B02ADBB2" w:tentative="1">
      <w:start w:val="1"/>
      <w:numFmt w:val="decimal"/>
      <w:lvlText w:val="%9)"/>
      <w:lvlJc w:val="left"/>
      <w:pPr>
        <w:tabs>
          <w:tab w:val="num" w:pos="6480"/>
        </w:tabs>
        <w:ind w:left="6480" w:hanging="360"/>
      </w:pPr>
    </w:lvl>
  </w:abstractNum>
  <w:abstractNum w:abstractNumId="26">
    <w:nsid w:val="7325151C"/>
    <w:multiLevelType w:val="hybridMultilevel"/>
    <w:tmpl w:val="07A6E4A2"/>
    <w:lvl w:ilvl="0" w:tplc="3814BC6C">
      <w:numFmt w:val="bullet"/>
      <w:lvlText w:val=""/>
      <w:lvlJc w:val="left"/>
      <w:pPr>
        <w:ind w:left="720" w:hanging="360"/>
      </w:pPr>
      <w:rPr>
        <w:rFonts w:ascii="Symbol" w:eastAsiaTheme="minorEastAsia" w:hAnsi="Symbo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7">
    <w:nsid w:val="740C32F8"/>
    <w:multiLevelType w:val="hybridMultilevel"/>
    <w:tmpl w:val="409E8322"/>
    <w:lvl w:ilvl="0" w:tplc="0C0A000F">
      <w:start w:val="1"/>
      <w:numFmt w:val="decimal"/>
      <w:lvlText w:val="%1."/>
      <w:lvlJc w:val="left"/>
      <w:pPr>
        <w:ind w:left="3124" w:hanging="720"/>
      </w:pPr>
      <w:rPr>
        <w:rFonts w:hint="default"/>
      </w:rPr>
    </w:lvl>
    <w:lvl w:ilvl="1" w:tplc="0C0A0019">
      <w:start w:val="1"/>
      <w:numFmt w:val="lowerLetter"/>
      <w:lvlText w:val="%2."/>
      <w:lvlJc w:val="left"/>
      <w:pPr>
        <w:ind w:left="3844" w:hanging="360"/>
      </w:pPr>
    </w:lvl>
    <w:lvl w:ilvl="2" w:tplc="0C0A001B" w:tentative="1">
      <w:start w:val="1"/>
      <w:numFmt w:val="lowerRoman"/>
      <w:lvlText w:val="%3."/>
      <w:lvlJc w:val="right"/>
      <w:pPr>
        <w:ind w:left="4564" w:hanging="180"/>
      </w:pPr>
    </w:lvl>
    <w:lvl w:ilvl="3" w:tplc="0C0A000F" w:tentative="1">
      <w:start w:val="1"/>
      <w:numFmt w:val="decimal"/>
      <w:lvlText w:val="%4."/>
      <w:lvlJc w:val="left"/>
      <w:pPr>
        <w:ind w:left="5284" w:hanging="360"/>
      </w:pPr>
    </w:lvl>
    <w:lvl w:ilvl="4" w:tplc="0C0A0019" w:tentative="1">
      <w:start w:val="1"/>
      <w:numFmt w:val="lowerLetter"/>
      <w:lvlText w:val="%5."/>
      <w:lvlJc w:val="left"/>
      <w:pPr>
        <w:ind w:left="6004" w:hanging="360"/>
      </w:pPr>
    </w:lvl>
    <w:lvl w:ilvl="5" w:tplc="0C0A001B" w:tentative="1">
      <w:start w:val="1"/>
      <w:numFmt w:val="lowerRoman"/>
      <w:lvlText w:val="%6."/>
      <w:lvlJc w:val="right"/>
      <w:pPr>
        <w:ind w:left="6724" w:hanging="180"/>
      </w:pPr>
    </w:lvl>
    <w:lvl w:ilvl="6" w:tplc="0C0A000F" w:tentative="1">
      <w:start w:val="1"/>
      <w:numFmt w:val="decimal"/>
      <w:lvlText w:val="%7."/>
      <w:lvlJc w:val="left"/>
      <w:pPr>
        <w:ind w:left="7444" w:hanging="360"/>
      </w:pPr>
    </w:lvl>
    <w:lvl w:ilvl="7" w:tplc="0C0A0019" w:tentative="1">
      <w:start w:val="1"/>
      <w:numFmt w:val="lowerLetter"/>
      <w:lvlText w:val="%8."/>
      <w:lvlJc w:val="left"/>
      <w:pPr>
        <w:ind w:left="8164" w:hanging="360"/>
      </w:pPr>
    </w:lvl>
    <w:lvl w:ilvl="8" w:tplc="0C0A001B" w:tentative="1">
      <w:start w:val="1"/>
      <w:numFmt w:val="lowerRoman"/>
      <w:lvlText w:val="%9."/>
      <w:lvlJc w:val="right"/>
      <w:pPr>
        <w:ind w:left="8884" w:hanging="180"/>
      </w:pPr>
    </w:lvl>
  </w:abstractNum>
  <w:abstractNum w:abstractNumId="28">
    <w:nsid w:val="741174CA"/>
    <w:multiLevelType w:val="hybridMultilevel"/>
    <w:tmpl w:val="FA566F2C"/>
    <w:lvl w:ilvl="0" w:tplc="6562BD8E">
      <w:start w:val="1"/>
      <w:numFmt w:val="lowerLetter"/>
      <w:lvlText w:val="%1)"/>
      <w:lvlJc w:val="left"/>
      <w:pPr>
        <w:ind w:left="1068" w:hanging="360"/>
      </w:pPr>
      <w:rPr>
        <w:rFonts w:hint="default"/>
        <w:b/>
      </w:rPr>
    </w:lvl>
    <w:lvl w:ilvl="1" w:tplc="100A0017">
      <w:start w:val="1"/>
      <w:numFmt w:val="lowerLetter"/>
      <w:lvlText w:val="%2)"/>
      <w:lvlJc w:val="left"/>
      <w:pPr>
        <w:ind w:left="1788" w:hanging="360"/>
      </w:pPr>
      <w:rPr>
        <w:rFonts w:hint="default"/>
      </w:r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9">
    <w:nsid w:val="7A45009C"/>
    <w:multiLevelType w:val="hybridMultilevel"/>
    <w:tmpl w:val="5FA6F46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7D4810D8"/>
    <w:multiLevelType w:val="hybridMultilevel"/>
    <w:tmpl w:val="9FFE81A2"/>
    <w:lvl w:ilvl="0" w:tplc="D032B58A">
      <w:start w:val="3"/>
      <w:numFmt w:val="decimal"/>
      <w:lvlText w:val="%1."/>
      <w:lvlJc w:val="left"/>
      <w:pPr>
        <w:ind w:left="927"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4"/>
  </w:num>
  <w:num w:numId="2">
    <w:abstractNumId w:val="15"/>
  </w:num>
  <w:num w:numId="3">
    <w:abstractNumId w:val="21"/>
  </w:num>
  <w:num w:numId="4">
    <w:abstractNumId w:val="5"/>
  </w:num>
  <w:num w:numId="5">
    <w:abstractNumId w:val="8"/>
  </w:num>
  <w:num w:numId="6">
    <w:abstractNumId w:val="10"/>
  </w:num>
  <w:num w:numId="7">
    <w:abstractNumId w:val="27"/>
  </w:num>
  <w:num w:numId="8">
    <w:abstractNumId w:val="22"/>
  </w:num>
  <w:num w:numId="9">
    <w:abstractNumId w:val="0"/>
  </w:num>
  <w:num w:numId="10">
    <w:abstractNumId w:val="11"/>
  </w:num>
  <w:num w:numId="11">
    <w:abstractNumId w:val="1"/>
  </w:num>
  <w:num w:numId="12">
    <w:abstractNumId w:val="23"/>
  </w:num>
  <w:num w:numId="13">
    <w:abstractNumId w:val="12"/>
  </w:num>
  <w:num w:numId="14">
    <w:abstractNumId w:val="6"/>
  </w:num>
  <w:num w:numId="15">
    <w:abstractNumId w:val="20"/>
  </w:num>
  <w:num w:numId="16">
    <w:abstractNumId w:val="24"/>
  </w:num>
  <w:num w:numId="17">
    <w:abstractNumId w:val="30"/>
  </w:num>
  <w:num w:numId="18">
    <w:abstractNumId w:val="28"/>
  </w:num>
  <w:num w:numId="19">
    <w:abstractNumId w:val="18"/>
  </w:num>
  <w:num w:numId="20">
    <w:abstractNumId w:val="25"/>
  </w:num>
  <w:num w:numId="21">
    <w:abstractNumId w:val="17"/>
  </w:num>
  <w:num w:numId="22">
    <w:abstractNumId w:val="4"/>
  </w:num>
  <w:num w:numId="23">
    <w:abstractNumId w:val="16"/>
  </w:num>
  <w:num w:numId="24">
    <w:abstractNumId w:val="3"/>
  </w:num>
  <w:num w:numId="25">
    <w:abstractNumId w:val="9"/>
  </w:num>
  <w:num w:numId="26">
    <w:abstractNumId w:val="29"/>
  </w:num>
  <w:num w:numId="27">
    <w:abstractNumId w:val="13"/>
  </w:num>
  <w:num w:numId="28">
    <w:abstractNumId w:val="19"/>
  </w:num>
  <w:num w:numId="29">
    <w:abstractNumId w:val="7"/>
  </w:num>
  <w:num w:numId="30">
    <w:abstractNumId w:val="26"/>
  </w:num>
  <w:num w:numId="31">
    <w:abstractNumId w:val="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70CC"/>
    <w:rsid w:val="00000033"/>
    <w:rsid w:val="00000559"/>
    <w:rsid w:val="00001125"/>
    <w:rsid w:val="00001A99"/>
    <w:rsid w:val="00001D78"/>
    <w:rsid w:val="00005501"/>
    <w:rsid w:val="0000742B"/>
    <w:rsid w:val="00007ADC"/>
    <w:rsid w:val="00011DDE"/>
    <w:rsid w:val="00012995"/>
    <w:rsid w:val="0001497B"/>
    <w:rsid w:val="00014F53"/>
    <w:rsid w:val="00015922"/>
    <w:rsid w:val="00015ECC"/>
    <w:rsid w:val="00017342"/>
    <w:rsid w:val="00020C19"/>
    <w:rsid w:val="00020DCA"/>
    <w:rsid w:val="000214A6"/>
    <w:rsid w:val="00021F3A"/>
    <w:rsid w:val="00022691"/>
    <w:rsid w:val="00025F11"/>
    <w:rsid w:val="0003278C"/>
    <w:rsid w:val="00033D9A"/>
    <w:rsid w:val="000346BC"/>
    <w:rsid w:val="0003585E"/>
    <w:rsid w:val="00036C32"/>
    <w:rsid w:val="00036C71"/>
    <w:rsid w:val="0003733F"/>
    <w:rsid w:val="00041E41"/>
    <w:rsid w:val="0004295D"/>
    <w:rsid w:val="000460DF"/>
    <w:rsid w:val="00046305"/>
    <w:rsid w:val="00051AAE"/>
    <w:rsid w:val="000553E7"/>
    <w:rsid w:val="000562EF"/>
    <w:rsid w:val="00056660"/>
    <w:rsid w:val="00060929"/>
    <w:rsid w:val="00061472"/>
    <w:rsid w:val="0006240F"/>
    <w:rsid w:val="00062CA0"/>
    <w:rsid w:val="00062DCE"/>
    <w:rsid w:val="00070DBB"/>
    <w:rsid w:val="00070F4E"/>
    <w:rsid w:val="00071380"/>
    <w:rsid w:val="00071C06"/>
    <w:rsid w:val="0007354D"/>
    <w:rsid w:val="00073EEE"/>
    <w:rsid w:val="000746E7"/>
    <w:rsid w:val="00074C12"/>
    <w:rsid w:val="00075C01"/>
    <w:rsid w:val="00077647"/>
    <w:rsid w:val="00081590"/>
    <w:rsid w:val="00081A55"/>
    <w:rsid w:val="00081B8D"/>
    <w:rsid w:val="000828B4"/>
    <w:rsid w:val="00083AF8"/>
    <w:rsid w:val="00083B3C"/>
    <w:rsid w:val="00083C96"/>
    <w:rsid w:val="00083F53"/>
    <w:rsid w:val="00084A05"/>
    <w:rsid w:val="00085D2E"/>
    <w:rsid w:val="00086221"/>
    <w:rsid w:val="000867C7"/>
    <w:rsid w:val="00087915"/>
    <w:rsid w:val="00090FD5"/>
    <w:rsid w:val="00091CFF"/>
    <w:rsid w:val="00092F3C"/>
    <w:rsid w:val="0009408B"/>
    <w:rsid w:val="00094A32"/>
    <w:rsid w:val="00096061"/>
    <w:rsid w:val="00096B74"/>
    <w:rsid w:val="000A0597"/>
    <w:rsid w:val="000A13CD"/>
    <w:rsid w:val="000A2C7B"/>
    <w:rsid w:val="000A36F6"/>
    <w:rsid w:val="000A5699"/>
    <w:rsid w:val="000A5722"/>
    <w:rsid w:val="000A5CD4"/>
    <w:rsid w:val="000A7D31"/>
    <w:rsid w:val="000A7DCE"/>
    <w:rsid w:val="000B01E0"/>
    <w:rsid w:val="000B231F"/>
    <w:rsid w:val="000B2F0C"/>
    <w:rsid w:val="000B3C36"/>
    <w:rsid w:val="000B59D5"/>
    <w:rsid w:val="000B6053"/>
    <w:rsid w:val="000B654A"/>
    <w:rsid w:val="000B657C"/>
    <w:rsid w:val="000C2201"/>
    <w:rsid w:val="000C27C3"/>
    <w:rsid w:val="000C2F05"/>
    <w:rsid w:val="000C322A"/>
    <w:rsid w:val="000C3381"/>
    <w:rsid w:val="000C475B"/>
    <w:rsid w:val="000C4894"/>
    <w:rsid w:val="000C75A8"/>
    <w:rsid w:val="000D018A"/>
    <w:rsid w:val="000D08F1"/>
    <w:rsid w:val="000D0E13"/>
    <w:rsid w:val="000D2494"/>
    <w:rsid w:val="000D3499"/>
    <w:rsid w:val="000D47D7"/>
    <w:rsid w:val="000D61B0"/>
    <w:rsid w:val="000E14C4"/>
    <w:rsid w:val="000E20A9"/>
    <w:rsid w:val="000E37FF"/>
    <w:rsid w:val="000E3865"/>
    <w:rsid w:val="000E4317"/>
    <w:rsid w:val="000E4346"/>
    <w:rsid w:val="000E6813"/>
    <w:rsid w:val="000E6E76"/>
    <w:rsid w:val="000E7984"/>
    <w:rsid w:val="000F08E3"/>
    <w:rsid w:val="000F2154"/>
    <w:rsid w:val="000F4978"/>
    <w:rsid w:val="000F7054"/>
    <w:rsid w:val="001012D4"/>
    <w:rsid w:val="00105F08"/>
    <w:rsid w:val="00107F2E"/>
    <w:rsid w:val="0011191A"/>
    <w:rsid w:val="001119A8"/>
    <w:rsid w:val="001121A7"/>
    <w:rsid w:val="0011237C"/>
    <w:rsid w:val="001141C1"/>
    <w:rsid w:val="0011436C"/>
    <w:rsid w:val="00114615"/>
    <w:rsid w:val="00114AB9"/>
    <w:rsid w:val="001178E9"/>
    <w:rsid w:val="00117980"/>
    <w:rsid w:val="00117DB3"/>
    <w:rsid w:val="0012036B"/>
    <w:rsid w:val="0012049F"/>
    <w:rsid w:val="00120C9D"/>
    <w:rsid w:val="001211B2"/>
    <w:rsid w:val="00122084"/>
    <w:rsid w:val="001220CF"/>
    <w:rsid w:val="00122B48"/>
    <w:rsid w:val="001233DB"/>
    <w:rsid w:val="00123684"/>
    <w:rsid w:val="00123B4C"/>
    <w:rsid w:val="00123CA5"/>
    <w:rsid w:val="00124DB9"/>
    <w:rsid w:val="001250C2"/>
    <w:rsid w:val="001254CB"/>
    <w:rsid w:val="00126AC8"/>
    <w:rsid w:val="0012725D"/>
    <w:rsid w:val="00130128"/>
    <w:rsid w:val="00130739"/>
    <w:rsid w:val="00132419"/>
    <w:rsid w:val="001329CA"/>
    <w:rsid w:val="00140D25"/>
    <w:rsid w:val="0014207C"/>
    <w:rsid w:val="001425D3"/>
    <w:rsid w:val="001461E8"/>
    <w:rsid w:val="001537BF"/>
    <w:rsid w:val="00153D6A"/>
    <w:rsid w:val="001572E5"/>
    <w:rsid w:val="00160C32"/>
    <w:rsid w:val="00160F94"/>
    <w:rsid w:val="0016446C"/>
    <w:rsid w:val="00164AAA"/>
    <w:rsid w:val="00165744"/>
    <w:rsid w:val="00166063"/>
    <w:rsid w:val="00166A88"/>
    <w:rsid w:val="00170B12"/>
    <w:rsid w:val="001711FB"/>
    <w:rsid w:val="00173AFE"/>
    <w:rsid w:val="0017425C"/>
    <w:rsid w:val="001747D4"/>
    <w:rsid w:val="001748E8"/>
    <w:rsid w:val="00174FDA"/>
    <w:rsid w:val="0017505D"/>
    <w:rsid w:val="001811F8"/>
    <w:rsid w:val="0018207D"/>
    <w:rsid w:val="00182D11"/>
    <w:rsid w:val="00183B19"/>
    <w:rsid w:val="00183B91"/>
    <w:rsid w:val="00183E36"/>
    <w:rsid w:val="00183FD7"/>
    <w:rsid w:val="00184BC3"/>
    <w:rsid w:val="00184FED"/>
    <w:rsid w:val="00187101"/>
    <w:rsid w:val="00190C42"/>
    <w:rsid w:val="001913C3"/>
    <w:rsid w:val="00195634"/>
    <w:rsid w:val="001977F5"/>
    <w:rsid w:val="001A04D5"/>
    <w:rsid w:val="001A0F17"/>
    <w:rsid w:val="001A15C1"/>
    <w:rsid w:val="001A2A08"/>
    <w:rsid w:val="001A2C45"/>
    <w:rsid w:val="001A2F06"/>
    <w:rsid w:val="001A3539"/>
    <w:rsid w:val="001A386F"/>
    <w:rsid w:val="001A4D44"/>
    <w:rsid w:val="001A77E2"/>
    <w:rsid w:val="001B029A"/>
    <w:rsid w:val="001B17D3"/>
    <w:rsid w:val="001B1EFD"/>
    <w:rsid w:val="001B343E"/>
    <w:rsid w:val="001B3CE1"/>
    <w:rsid w:val="001B3D58"/>
    <w:rsid w:val="001B43C6"/>
    <w:rsid w:val="001B4CEC"/>
    <w:rsid w:val="001B4F2D"/>
    <w:rsid w:val="001C1BE7"/>
    <w:rsid w:val="001C4F6F"/>
    <w:rsid w:val="001C7D81"/>
    <w:rsid w:val="001D0D44"/>
    <w:rsid w:val="001D37B4"/>
    <w:rsid w:val="001E01F1"/>
    <w:rsid w:val="001E1619"/>
    <w:rsid w:val="001E16BA"/>
    <w:rsid w:val="001E2B14"/>
    <w:rsid w:val="001E3BAB"/>
    <w:rsid w:val="001E3EDD"/>
    <w:rsid w:val="001E52D7"/>
    <w:rsid w:val="001E6585"/>
    <w:rsid w:val="001E708A"/>
    <w:rsid w:val="001E7783"/>
    <w:rsid w:val="001F0A16"/>
    <w:rsid w:val="001F123F"/>
    <w:rsid w:val="001F1F33"/>
    <w:rsid w:val="001F43B2"/>
    <w:rsid w:val="001F59C4"/>
    <w:rsid w:val="001F5CEE"/>
    <w:rsid w:val="001F6568"/>
    <w:rsid w:val="001F6E34"/>
    <w:rsid w:val="001F7A38"/>
    <w:rsid w:val="00201DD3"/>
    <w:rsid w:val="00202643"/>
    <w:rsid w:val="002042BF"/>
    <w:rsid w:val="0020494F"/>
    <w:rsid w:val="0020524E"/>
    <w:rsid w:val="00205D27"/>
    <w:rsid w:val="00210849"/>
    <w:rsid w:val="002117FF"/>
    <w:rsid w:val="00211B25"/>
    <w:rsid w:val="00216166"/>
    <w:rsid w:val="00216795"/>
    <w:rsid w:val="00216D26"/>
    <w:rsid w:val="00220038"/>
    <w:rsid w:val="0022348D"/>
    <w:rsid w:val="00223C91"/>
    <w:rsid w:val="0022772F"/>
    <w:rsid w:val="00230810"/>
    <w:rsid w:val="00230D93"/>
    <w:rsid w:val="00230F68"/>
    <w:rsid w:val="00231C18"/>
    <w:rsid w:val="00232643"/>
    <w:rsid w:val="002332B3"/>
    <w:rsid w:val="00234394"/>
    <w:rsid w:val="0023500F"/>
    <w:rsid w:val="00235EDC"/>
    <w:rsid w:val="0024006A"/>
    <w:rsid w:val="00240391"/>
    <w:rsid w:val="00242215"/>
    <w:rsid w:val="002427CD"/>
    <w:rsid w:val="00243030"/>
    <w:rsid w:val="002433C9"/>
    <w:rsid w:val="0024742C"/>
    <w:rsid w:val="002477B5"/>
    <w:rsid w:val="002533D9"/>
    <w:rsid w:val="00255482"/>
    <w:rsid w:val="00256BA0"/>
    <w:rsid w:val="0025758C"/>
    <w:rsid w:val="00260891"/>
    <w:rsid w:val="00263D60"/>
    <w:rsid w:val="0026457E"/>
    <w:rsid w:val="00266D2C"/>
    <w:rsid w:val="00270B3C"/>
    <w:rsid w:val="00271D0E"/>
    <w:rsid w:val="00272078"/>
    <w:rsid w:val="00272557"/>
    <w:rsid w:val="0028011B"/>
    <w:rsid w:val="002832F8"/>
    <w:rsid w:val="002836D0"/>
    <w:rsid w:val="0028396F"/>
    <w:rsid w:val="00285440"/>
    <w:rsid w:val="002856CA"/>
    <w:rsid w:val="00285B3A"/>
    <w:rsid w:val="0028667B"/>
    <w:rsid w:val="00287436"/>
    <w:rsid w:val="00290539"/>
    <w:rsid w:val="002915D6"/>
    <w:rsid w:val="00291B9C"/>
    <w:rsid w:val="0029260C"/>
    <w:rsid w:val="00292AEE"/>
    <w:rsid w:val="00293E01"/>
    <w:rsid w:val="00294C94"/>
    <w:rsid w:val="00296074"/>
    <w:rsid w:val="002973C6"/>
    <w:rsid w:val="002A053D"/>
    <w:rsid w:val="002A0614"/>
    <w:rsid w:val="002A3602"/>
    <w:rsid w:val="002A3EF0"/>
    <w:rsid w:val="002A636A"/>
    <w:rsid w:val="002A6397"/>
    <w:rsid w:val="002B0C56"/>
    <w:rsid w:val="002B3B99"/>
    <w:rsid w:val="002B44CA"/>
    <w:rsid w:val="002B4857"/>
    <w:rsid w:val="002B4AB9"/>
    <w:rsid w:val="002B4FFA"/>
    <w:rsid w:val="002B5570"/>
    <w:rsid w:val="002B6119"/>
    <w:rsid w:val="002B6B5F"/>
    <w:rsid w:val="002C12B5"/>
    <w:rsid w:val="002C1BB8"/>
    <w:rsid w:val="002C2E17"/>
    <w:rsid w:val="002C4ED9"/>
    <w:rsid w:val="002D0EED"/>
    <w:rsid w:val="002D2C3B"/>
    <w:rsid w:val="002D4B8E"/>
    <w:rsid w:val="002D62DE"/>
    <w:rsid w:val="002E093E"/>
    <w:rsid w:val="002E0ECD"/>
    <w:rsid w:val="002E479D"/>
    <w:rsid w:val="002E4861"/>
    <w:rsid w:val="002E591E"/>
    <w:rsid w:val="002E615D"/>
    <w:rsid w:val="002E624E"/>
    <w:rsid w:val="002E70A5"/>
    <w:rsid w:val="002F0399"/>
    <w:rsid w:val="002F1098"/>
    <w:rsid w:val="002F17A2"/>
    <w:rsid w:val="002F1A9A"/>
    <w:rsid w:val="002F2FEC"/>
    <w:rsid w:val="002F369D"/>
    <w:rsid w:val="002F37A0"/>
    <w:rsid w:val="002F3A52"/>
    <w:rsid w:val="002F3ED1"/>
    <w:rsid w:val="002F74FE"/>
    <w:rsid w:val="002F751A"/>
    <w:rsid w:val="003000C0"/>
    <w:rsid w:val="003002C6"/>
    <w:rsid w:val="003015ED"/>
    <w:rsid w:val="00301B3B"/>
    <w:rsid w:val="00301D46"/>
    <w:rsid w:val="0030556E"/>
    <w:rsid w:val="00306EFD"/>
    <w:rsid w:val="0030713C"/>
    <w:rsid w:val="00312213"/>
    <w:rsid w:val="00314378"/>
    <w:rsid w:val="00316CBF"/>
    <w:rsid w:val="00317F83"/>
    <w:rsid w:val="00321516"/>
    <w:rsid w:val="00322809"/>
    <w:rsid w:val="0032297C"/>
    <w:rsid w:val="00323164"/>
    <w:rsid w:val="00323499"/>
    <w:rsid w:val="00324625"/>
    <w:rsid w:val="003260A9"/>
    <w:rsid w:val="00326773"/>
    <w:rsid w:val="00326EA7"/>
    <w:rsid w:val="0033008B"/>
    <w:rsid w:val="00331E25"/>
    <w:rsid w:val="00331E58"/>
    <w:rsid w:val="003330B5"/>
    <w:rsid w:val="00335972"/>
    <w:rsid w:val="00336659"/>
    <w:rsid w:val="00336AAC"/>
    <w:rsid w:val="00336CF8"/>
    <w:rsid w:val="0033770B"/>
    <w:rsid w:val="00337D93"/>
    <w:rsid w:val="00341C55"/>
    <w:rsid w:val="003441B5"/>
    <w:rsid w:val="00344219"/>
    <w:rsid w:val="00344777"/>
    <w:rsid w:val="00346F7A"/>
    <w:rsid w:val="00347A6C"/>
    <w:rsid w:val="00351F83"/>
    <w:rsid w:val="00354125"/>
    <w:rsid w:val="00355FA0"/>
    <w:rsid w:val="0035636D"/>
    <w:rsid w:val="00360B88"/>
    <w:rsid w:val="00362879"/>
    <w:rsid w:val="0036308F"/>
    <w:rsid w:val="00366A76"/>
    <w:rsid w:val="00367BB9"/>
    <w:rsid w:val="00370087"/>
    <w:rsid w:val="00373C01"/>
    <w:rsid w:val="003753A8"/>
    <w:rsid w:val="00377136"/>
    <w:rsid w:val="00377374"/>
    <w:rsid w:val="00377397"/>
    <w:rsid w:val="00380F8D"/>
    <w:rsid w:val="00381F52"/>
    <w:rsid w:val="00383AB2"/>
    <w:rsid w:val="00384402"/>
    <w:rsid w:val="003852C5"/>
    <w:rsid w:val="00386E4E"/>
    <w:rsid w:val="00387501"/>
    <w:rsid w:val="00387B10"/>
    <w:rsid w:val="00387FBD"/>
    <w:rsid w:val="00394E35"/>
    <w:rsid w:val="00395A6D"/>
    <w:rsid w:val="00395F3B"/>
    <w:rsid w:val="00396130"/>
    <w:rsid w:val="00396CF6"/>
    <w:rsid w:val="00397CCD"/>
    <w:rsid w:val="003A02D4"/>
    <w:rsid w:val="003A0DB3"/>
    <w:rsid w:val="003A0FB9"/>
    <w:rsid w:val="003A0FBB"/>
    <w:rsid w:val="003A2121"/>
    <w:rsid w:val="003A246A"/>
    <w:rsid w:val="003A24B0"/>
    <w:rsid w:val="003A2C97"/>
    <w:rsid w:val="003A30AA"/>
    <w:rsid w:val="003A56C1"/>
    <w:rsid w:val="003A5FCC"/>
    <w:rsid w:val="003B08A6"/>
    <w:rsid w:val="003B0E5D"/>
    <w:rsid w:val="003B3B85"/>
    <w:rsid w:val="003B47C8"/>
    <w:rsid w:val="003B58D8"/>
    <w:rsid w:val="003C1458"/>
    <w:rsid w:val="003C1C57"/>
    <w:rsid w:val="003C2971"/>
    <w:rsid w:val="003C363C"/>
    <w:rsid w:val="003C453A"/>
    <w:rsid w:val="003C455A"/>
    <w:rsid w:val="003C611A"/>
    <w:rsid w:val="003C69AD"/>
    <w:rsid w:val="003C7106"/>
    <w:rsid w:val="003C7835"/>
    <w:rsid w:val="003D10BF"/>
    <w:rsid w:val="003D54A8"/>
    <w:rsid w:val="003D5775"/>
    <w:rsid w:val="003D5D2D"/>
    <w:rsid w:val="003D64BF"/>
    <w:rsid w:val="003E1639"/>
    <w:rsid w:val="003E1992"/>
    <w:rsid w:val="003E1B4B"/>
    <w:rsid w:val="003E3CAC"/>
    <w:rsid w:val="003E3E53"/>
    <w:rsid w:val="003E3FBA"/>
    <w:rsid w:val="003E4925"/>
    <w:rsid w:val="003E5411"/>
    <w:rsid w:val="003E5734"/>
    <w:rsid w:val="003E5A0C"/>
    <w:rsid w:val="003E68D2"/>
    <w:rsid w:val="003F02FA"/>
    <w:rsid w:val="003F1C3F"/>
    <w:rsid w:val="003F4057"/>
    <w:rsid w:val="003F4907"/>
    <w:rsid w:val="003F4DB9"/>
    <w:rsid w:val="004002DF"/>
    <w:rsid w:val="004010B3"/>
    <w:rsid w:val="004010FB"/>
    <w:rsid w:val="00402085"/>
    <w:rsid w:val="00403AB9"/>
    <w:rsid w:val="00404908"/>
    <w:rsid w:val="00406A34"/>
    <w:rsid w:val="00410367"/>
    <w:rsid w:val="004105E7"/>
    <w:rsid w:val="004126E1"/>
    <w:rsid w:val="00413402"/>
    <w:rsid w:val="00413A5A"/>
    <w:rsid w:val="004149C1"/>
    <w:rsid w:val="00414A66"/>
    <w:rsid w:val="00416C38"/>
    <w:rsid w:val="00417826"/>
    <w:rsid w:val="00417EAF"/>
    <w:rsid w:val="00420818"/>
    <w:rsid w:val="00420846"/>
    <w:rsid w:val="00420D85"/>
    <w:rsid w:val="0042117D"/>
    <w:rsid w:val="004216A3"/>
    <w:rsid w:val="00422538"/>
    <w:rsid w:val="00423193"/>
    <w:rsid w:val="004235BD"/>
    <w:rsid w:val="00423A85"/>
    <w:rsid w:val="0042467D"/>
    <w:rsid w:val="00424820"/>
    <w:rsid w:val="004250BA"/>
    <w:rsid w:val="00426B6E"/>
    <w:rsid w:val="004303A8"/>
    <w:rsid w:val="0043066A"/>
    <w:rsid w:val="00431A15"/>
    <w:rsid w:val="00431A37"/>
    <w:rsid w:val="00431B67"/>
    <w:rsid w:val="00433657"/>
    <w:rsid w:val="00436307"/>
    <w:rsid w:val="0043698A"/>
    <w:rsid w:val="00436CBA"/>
    <w:rsid w:val="0043736D"/>
    <w:rsid w:val="00440285"/>
    <w:rsid w:val="00442438"/>
    <w:rsid w:val="00443BF8"/>
    <w:rsid w:val="00443E16"/>
    <w:rsid w:val="00445622"/>
    <w:rsid w:val="00445D60"/>
    <w:rsid w:val="00445E6F"/>
    <w:rsid w:val="0044677E"/>
    <w:rsid w:val="00447176"/>
    <w:rsid w:val="004476F7"/>
    <w:rsid w:val="00450B7E"/>
    <w:rsid w:val="00451294"/>
    <w:rsid w:val="0045239C"/>
    <w:rsid w:val="00452ED7"/>
    <w:rsid w:val="0045316A"/>
    <w:rsid w:val="0045339E"/>
    <w:rsid w:val="00453829"/>
    <w:rsid w:val="00454D1D"/>
    <w:rsid w:val="00456A48"/>
    <w:rsid w:val="0046362F"/>
    <w:rsid w:val="00463A28"/>
    <w:rsid w:val="00465C6E"/>
    <w:rsid w:val="00467848"/>
    <w:rsid w:val="00467CF2"/>
    <w:rsid w:val="004700CD"/>
    <w:rsid w:val="00470CB9"/>
    <w:rsid w:val="00470D9A"/>
    <w:rsid w:val="004728B3"/>
    <w:rsid w:val="00472C07"/>
    <w:rsid w:val="00474823"/>
    <w:rsid w:val="00477006"/>
    <w:rsid w:val="00477C99"/>
    <w:rsid w:val="00480992"/>
    <w:rsid w:val="004847D5"/>
    <w:rsid w:val="00487475"/>
    <w:rsid w:val="004877A0"/>
    <w:rsid w:val="00491CD9"/>
    <w:rsid w:val="00492C09"/>
    <w:rsid w:val="004955DB"/>
    <w:rsid w:val="004A1B70"/>
    <w:rsid w:val="004A1BDB"/>
    <w:rsid w:val="004A21C6"/>
    <w:rsid w:val="004A2928"/>
    <w:rsid w:val="004A35D9"/>
    <w:rsid w:val="004A3C8C"/>
    <w:rsid w:val="004A61DF"/>
    <w:rsid w:val="004A6C9B"/>
    <w:rsid w:val="004A6DB0"/>
    <w:rsid w:val="004A7247"/>
    <w:rsid w:val="004A7673"/>
    <w:rsid w:val="004A7BC7"/>
    <w:rsid w:val="004B307B"/>
    <w:rsid w:val="004B44AE"/>
    <w:rsid w:val="004B60B1"/>
    <w:rsid w:val="004B634C"/>
    <w:rsid w:val="004B7567"/>
    <w:rsid w:val="004C175A"/>
    <w:rsid w:val="004C32FC"/>
    <w:rsid w:val="004C49A9"/>
    <w:rsid w:val="004C5AB7"/>
    <w:rsid w:val="004C7E58"/>
    <w:rsid w:val="004D16F6"/>
    <w:rsid w:val="004D396D"/>
    <w:rsid w:val="004D44BE"/>
    <w:rsid w:val="004D5564"/>
    <w:rsid w:val="004D5A84"/>
    <w:rsid w:val="004D7ECA"/>
    <w:rsid w:val="004E1883"/>
    <w:rsid w:val="004E5C14"/>
    <w:rsid w:val="004E72C6"/>
    <w:rsid w:val="004E754D"/>
    <w:rsid w:val="004F2CAE"/>
    <w:rsid w:val="004F3D89"/>
    <w:rsid w:val="004F7BFB"/>
    <w:rsid w:val="005011FB"/>
    <w:rsid w:val="005024E7"/>
    <w:rsid w:val="00502789"/>
    <w:rsid w:val="005029EE"/>
    <w:rsid w:val="00502A7D"/>
    <w:rsid w:val="00504D07"/>
    <w:rsid w:val="0050587C"/>
    <w:rsid w:val="00505956"/>
    <w:rsid w:val="00505A5E"/>
    <w:rsid w:val="00507203"/>
    <w:rsid w:val="00507B1E"/>
    <w:rsid w:val="00507E48"/>
    <w:rsid w:val="00507FAC"/>
    <w:rsid w:val="00510CC9"/>
    <w:rsid w:val="00512267"/>
    <w:rsid w:val="00513926"/>
    <w:rsid w:val="0051557B"/>
    <w:rsid w:val="00515755"/>
    <w:rsid w:val="0051605C"/>
    <w:rsid w:val="00520153"/>
    <w:rsid w:val="00521D1E"/>
    <w:rsid w:val="00522600"/>
    <w:rsid w:val="00523135"/>
    <w:rsid w:val="00523E66"/>
    <w:rsid w:val="005262E0"/>
    <w:rsid w:val="00527457"/>
    <w:rsid w:val="005274F5"/>
    <w:rsid w:val="00530198"/>
    <w:rsid w:val="00530818"/>
    <w:rsid w:val="00530940"/>
    <w:rsid w:val="00530A04"/>
    <w:rsid w:val="00530A86"/>
    <w:rsid w:val="00531FB3"/>
    <w:rsid w:val="005328D7"/>
    <w:rsid w:val="005335F5"/>
    <w:rsid w:val="00535526"/>
    <w:rsid w:val="005376D2"/>
    <w:rsid w:val="005379F9"/>
    <w:rsid w:val="005401D7"/>
    <w:rsid w:val="00540F42"/>
    <w:rsid w:val="0054126B"/>
    <w:rsid w:val="00541546"/>
    <w:rsid w:val="00541923"/>
    <w:rsid w:val="00541AFE"/>
    <w:rsid w:val="005424DE"/>
    <w:rsid w:val="00542C0F"/>
    <w:rsid w:val="00542FAB"/>
    <w:rsid w:val="00543148"/>
    <w:rsid w:val="005437E2"/>
    <w:rsid w:val="00547756"/>
    <w:rsid w:val="00551E69"/>
    <w:rsid w:val="0055384A"/>
    <w:rsid w:val="00554A3C"/>
    <w:rsid w:val="00555F09"/>
    <w:rsid w:val="00556A5B"/>
    <w:rsid w:val="00557B83"/>
    <w:rsid w:val="0056207A"/>
    <w:rsid w:val="005625B2"/>
    <w:rsid w:val="005625B5"/>
    <w:rsid w:val="0056463A"/>
    <w:rsid w:val="00564F66"/>
    <w:rsid w:val="005661EB"/>
    <w:rsid w:val="0056654E"/>
    <w:rsid w:val="00572E12"/>
    <w:rsid w:val="00572EBF"/>
    <w:rsid w:val="00576C53"/>
    <w:rsid w:val="0057748F"/>
    <w:rsid w:val="005810CD"/>
    <w:rsid w:val="00581961"/>
    <w:rsid w:val="00581A0E"/>
    <w:rsid w:val="00582984"/>
    <w:rsid w:val="00587324"/>
    <w:rsid w:val="00590C0A"/>
    <w:rsid w:val="00591AE7"/>
    <w:rsid w:val="005953BB"/>
    <w:rsid w:val="005956F0"/>
    <w:rsid w:val="00596302"/>
    <w:rsid w:val="00596D8F"/>
    <w:rsid w:val="0059720B"/>
    <w:rsid w:val="005A6FC1"/>
    <w:rsid w:val="005A70CC"/>
    <w:rsid w:val="005B76E7"/>
    <w:rsid w:val="005B7E72"/>
    <w:rsid w:val="005C0E2A"/>
    <w:rsid w:val="005C145B"/>
    <w:rsid w:val="005C217B"/>
    <w:rsid w:val="005C37D7"/>
    <w:rsid w:val="005C4673"/>
    <w:rsid w:val="005C48E5"/>
    <w:rsid w:val="005C6FD9"/>
    <w:rsid w:val="005C71BC"/>
    <w:rsid w:val="005C7319"/>
    <w:rsid w:val="005C7364"/>
    <w:rsid w:val="005D01D5"/>
    <w:rsid w:val="005D11D6"/>
    <w:rsid w:val="005D2876"/>
    <w:rsid w:val="005D639E"/>
    <w:rsid w:val="005D648B"/>
    <w:rsid w:val="005E0AD9"/>
    <w:rsid w:val="005E117F"/>
    <w:rsid w:val="005E1BB9"/>
    <w:rsid w:val="005E21BC"/>
    <w:rsid w:val="005E2E19"/>
    <w:rsid w:val="005E300B"/>
    <w:rsid w:val="005E34B9"/>
    <w:rsid w:val="005E454A"/>
    <w:rsid w:val="005E45D0"/>
    <w:rsid w:val="005E56F9"/>
    <w:rsid w:val="005E5D54"/>
    <w:rsid w:val="005E7192"/>
    <w:rsid w:val="005F096E"/>
    <w:rsid w:val="005F0CE7"/>
    <w:rsid w:val="005F188D"/>
    <w:rsid w:val="005F1907"/>
    <w:rsid w:val="005F1DAB"/>
    <w:rsid w:val="005F20FB"/>
    <w:rsid w:val="005F2C75"/>
    <w:rsid w:val="005F31A0"/>
    <w:rsid w:val="005F3709"/>
    <w:rsid w:val="005F536F"/>
    <w:rsid w:val="005F614F"/>
    <w:rsid w:val="005F61EE"/>
    <w:rsid w:val="005F6E9C"/>
    <w:rsid w:val="005F6FE7"/>
    <w:rsid w:val="005F70C2"/>
    <w:rsid w:val="005F7E77"/>
    <w:rsid w:val="005F7F4E"/>
    <w:rsid w:val="00600C8D"/>
    <w:rsid w:val="006016B3"/>
    <w:rsid w:val="006016E0"/>
    <w:rsid w:val="006023EE"/>
    <w:rsid w:val="00603475"/>
    <w:rsid w:val="00603DAD"/>
    <w:rsid w:val="00603EB6"/>
    <w:rsid w:val="00603F46"/>
    <w:rsid w:val="00604B19"/>
    <w:rsid w:val="00605527"/>
    <w:rsid w:val="00607051"/>
    <w:rsid w:val="00607AA3"/>
    <w:rsid w:val="0061019D"/>
    <w:rsid w:val="00610AC5"/>
    <w:rsid w:val="00610BC5"/>
    <w:rsid w:val="00610D11"/>
    <w:rsid w:val="006112C2"/>
    <w:rsid w:val="00611593"/>
    <w:rsid w:val="0061443C"/>
    <w:rsid w:val="006152FE"/>
    <w:rsid w:val="0061571D"/>
    <w:rsid w:val="006171B1"/>
    <w:rsid w:val="00617982"/>
    <w:rsid w:val="006209BC"/>
    <w:rsid w:val="00620FC4"/>
    <w:rsid w:val="006229C0"/>
    <w:rsid w:val="00624EFC"/>
    <w:rsid w:val="00625423"/>
    <w:rsid w:val="00625F39"/>
    <w:rsid w:val="00633FBF"/>
    <w:rsid w:val="006348C8"/>
    <w:rsid w:val="00635790"/>
    <w:rsid w:val="00635D55"/>
    <w:rsid w:val="006362E0"/>
    <w:rsid w:val="00636C8B"/>
    <w:rsid w:val="00641EF0"/>
    <w:rsid w:val="006420E5"/>
    <w:rsid w:val="0064211D"/>
    <w:rsid w:val="00642CD1"/>
    <w:rsid w:val="00645087"/>
    <w:rsid w:val="0064650C"/>
    <w:rsid w:val="00646514"/>
    <w:rsid w:val="00646AC0"/>
    <w:rsid w:val="00646CF4"/>
    <w:rsid w:val="006472CF"/>
    <w:rsid w:val="00647358"/>
    <w:rsid w:val="00651A7D"/>
    <w:rsid w:val="0065200A"/>
    <w:rsid w:val="006520D5"/>
    <w:rsid w:val="006542FC"/>
    <w:rsid w:val="00656B51"/>
    <w:rsid w:val="00656C9E"/>
    <w:rsid w:val="00660B45"/>
    <w:rsid w:val="00662535"/>
    <w:rsid w:val="00662737"/>
    <w:rsid w:val="00662EF4"/>
    <w:rsid w:val="00664F45"/>
    <w:rsid w:val="006665D4"/>
    <w:rsid w:val="00666C81"/>
    <w:rsid w:val="006711DD"/>
    <w:rsid w:val="0067252B"/>
    <w:rsid w:val="00673B0B"/>
    <w:rsid w:val="00675098"/>
    <w:rsid w:val="00675DD0"/>
    <w:rsid w:val="006775B2"/>
    <w:rsid w:val="006775F6"/>
    <w:rsid w:val="00677BFC"/>
    <w:rsid w:val="00677ECB"/>
    <w:rsid w:val="00680243"/>
    <w:rsid w:val="006806C2"/>
    <w:rsid w:val="00684634"/>
    <w:rsid w:val="0068480F"/>
    <w:rsid w:val="00686846"/>
    <w:rsid w:val="00686F17"/>
    <w:rsid w:val="006873F1"/>
    <w:rsid w:val="00687F46"/>
    <w:rsid w:val="006911AE"/>
    <w:rsid w:val="006911F0"/>
    <w:rsid w:val="0069157F"/>
    <w:rsid w:val="00691BD5"/>
    <w:rsid w:val="006920A5"/>
    <w:rsid w:val="00692BCE"/>
    <w:rsid w:val="00693DBA"/>
    <w:rsid w:val="0069650B"/>
    <w:rsid w:val="006A4FF5"/>
    <w:rsid w:val="006A5E64"/>
    <w:rsid w:val="006A75DD"/>
    <w:rsid w:val="006B06E9"/>
    <w:rsid w:val="006B139D"/>
    <w:rsid w:val="006B1976"/>
    <w:rsid w:val="006B219D"/>
    <w:rsid w:val="006B3890"/>
    <w:rsid w:val="006B4D25"/>
    <w:rsid w:val="006B6089"/>
    <w:rsid w:val="006B66E4"/>
    <w:rsid w:val="006B6AF3"/>
    <w:rsid w:val="006C14B0"/>
    <w:rsid w:val="006C3209"/>
    <w:rsid w:val="006C42D1"/>
    <w:rsid w:val="006C5238"/>
    <w:rsid w:val="006C5AD1"/>
    <w:rsid w:val="006C636D"/>
    <w:rsid w:val="006D0158"/>
    <w:rsid w:val="006D01DE"/>
    <w:rsid w:val="006D0E82"/>
    <w:rsid w:val="006D13DE"/>
    <w:rsid w:val="006D3888"/>
    <w:rsid w:val="006D47FD"/>
    <w:rsid w:val="006D598B"/>
    <w:rsid w:val="006D774D"/>
    <w:rsid w:val="006D7A6E"/>
    <w:rsid w:val="006D7EB3"/>
    <w:rsid w:val="006E2077"/>
    <w:rsid w:val="006E29DF"/>
    <w:rsid w:val="006E2F5A"/>
    <w:rsid w:val="006E350C"/>
    <w:rsid w:val="006E418E"/>
    <w:rsid w:val="006E440D"/>
    <w:rsid w:val="006E462F"/>
    <w:rsid w:val="006E4667"/>
    <w:rsid w:val="006E5D1B"/>
    <w:rsid w:val="006E67FF"/>
    <w:rsid w:val="006E688B"/>
    <w:rsid w:val="006E7A63"/>
    <w:rsid w:val="006F0090"/>
    <w:rsid w:val="006F1670"/>
    <w:rsid w:val="006F316F"/>
    <w:rsid w:val="006F4254"/>
    <w:rsid w:val="006F4706"/>
    <w:rsid w:val="006F6D0B"/>
    <w:rsid w:val="00701B73"/>
    <w:rsid w:val="0070233C"/>
    <w:rsid w:val="00704556"/>
    <w:rsid w:val="00710952"/>
    <w:rsid w:val="00710AA9"/>
    <w:rsid w:val="00710E75"/>
    <w:rsid w:val="00712244"/>
    <w:rsid w:val="007129FD"/>
    <w:rsid w:val="00714C26"/>
    <w:rsid w:val="007151BF"/>
    <w:rsid w:val="0071597D"/>
    <w:rsid w:val="00716655"/>
    <w:rsid w:val="00716A52"/>
    <w:rsid w:val="00717084"/>
    <w:rsid w:val="0072097F"/>
    <w:rsid w:val="00720ADA"/>
    <w:rsid w:val="00720CA5"/>
    <w:rsid w:val="007224ED"/>
    <w:rsid w:val="00723BAC"/>
    <w:rsid w:val="00724DAD"/>
    <w:rsid w:val="00725C3A"/>
    <w:rsid w:val="0072660C"/>
    <w:rsid w:val="00726CF4"/>
    <w:rsid w:val="0072759C"/>
    <w:rsid w:val="0073020E"/>
    <w:rsid w:val="007316D0"/>
    <w:rsid w:val="00732913"/>
    <w:rsid w:val="00733831"/>
    <w:rsid w:val="007338DF"/>
    <w:rsid w:val="00733D1D"/>
    <w:rsid w:val="00733DB7"/>
    <w:rsid w:val="007351BE"/>
    <w:rsid w:val="0073522C"/>
    <w:rsid w:val="007363C7"/>
    <w:rsid w:val="00736695"/>
    <w:rsid w:val="00736911"/>
    <w:rsid w:val="00736E31"/>
    <w:rsid w:val="007374F0"/>
    <w:rsid w:val="00740FC2"/>
    <w:rsid w:val="00742671"/>
    <w:rsid w:val="00742B8E"/>
    <w:rsid w:val="007432EE"/>
    <w:rsid w:val="007445EF"/>
    <w:rsid w:val="00745C5A"/>
    <w:rsid w:val="007463D3"/>
    <w:rsid w:val="00747FBC"/>
    <w:rsid w:val="00751847"/>
    <w:rsid w:val="00752820"/>
    <w:rsid w:val="00752D36"/>
    <w:rsid w:val="0075327B"/>
    <w:rsid w:val="00753887"/>
    <w:rsid w:val="00753D48"/>
    <w:rsid w:val="007551D8"/>
    <w:rsid w:val="00755E8E"/>
    <w:rsid w:val="007568B8"/>
    <w:rsid w:val="007575F7"/>
    <w:rsid w:val="007603B9"/>
    <w:rsid w:val="00760EE6"/>
    <w:rsid w:val="007643E3"/>
    <w:rsid w:val="00764601"/>
    <w:rsid w:val="00764C03"/>
    <w:rsid w:val="007675D8"/>
    <w:rsid w:val="0077011E"/>
    <w:rsid w:val="007703BB"/>
    <w:rsid w:val="00772625"/>
    <w:rsid w:val="00773E51"/>
    <w:rsid w:val="00774F02"/>
    <w:rsid w:val="00775D48"/>
    <w:rsid w:val="00775D9B"/>
    <w:rsid w:val="00777E09"/>
    <w:rsid w:val="007806BE"/>
    <w:rsid w:val="00781956"/>
    <w:rsid w:val="00783FF4"/>
    <w:rsid w:val="007840C6"/>
    <w:rsid w:val="0078431A"/>
    <w:rsid w:val="0078706C"/>
    <w:rsid w:val="007870BC"/>
    <w:rsid w:val="007871FF"/>
    <w:rsid w:val="00787552"/>
    <w:rsid w:val="0078789A"/>
    <w:rsid w:val="00791515"/>
    <w:rsid w:val="007920DC"/>
    <w:rsid w:val="00792EF8"/>
    <w:rsid w:val="0079375F"/>
    <w:rsid w:val="0079425B"/>
    <w:rsid w:val="00794353"/>
    <w:rsid w:val="007952F5"/>
    <w:rsid w:val="0079645B"/>
    <w:rsid w:val="00797E34"/>
    <w:rsid w:val="007A0333"/>
    <w:rsid w:val="007A0A78"/>
    <w:rsid w:val="007A1A95"/>
    <w:rsid w:val="007A2687"/>
    <w:rsid w:val="007A2850"/>
    <w:rsid w:val="007A53ED"/>
    <w:rsid w:val="007A666A"/>
    <w:rsid w:val="007A7232"/>
    <w:rsid w:val="007A7705"/>
    <w:rsid w:val="007A77BA"/>
    <w:rsid w:val="007B3E0E"/>
    <w:rsid w:val="007B4634"/>
    <w:rsid w:val="007B47ED"/>
    <w:rsid w:val="007B50CA"/>
    <w:rsid w:val="007B516C"/>
    <w:rsid w:val="007B519F"/>
    <w:rsid w:val="007B7FDD"/>
    <w:rsid w:val="007C1C59"/>
    <w:rsid w:val="007C40C8"/>
    <w:rsid w:val="007C48EE"/>
    <w:rsid w:val="007C616B"/>
    <w:rsid w:val="007C626C"/>
    <w:rsid w:val="007C6E61"/>
    <w:rsid w:val="007C6FAC"/>
    <w:rsid w:val="007D0560"/>
    <w:rsid w:val="007D058C"/>
    <w:rsid w:val="007D1D97"/>
    <w:rsid w:val="007D2044"/>
    <w:rsid w:val="007D26A4"/>
    <w:rsid w:val="007D2AC8"/>
    <w:rsid w:val="007D4F55"/>
    <w:rsid w:val="007D5A89"/>
    <w:rsid w:val="007D63F3"/>
    <w:rsid w:val="007D658D"/>
    <w:rsid w:val="007D7880"/>
    <w:rsid w:val="007D79F8"/>
    <w:rsid w:val="007E1B60"/>
    <w:rsid w:val="007E23F4"/>
    <w:rsid w:val="007E2856"/>
    <w:rsid w:val="007E396D"/>
    <w:rsid w:val="007E3FC9"/>
    <w:rsid w:val="007E48EA"/>
    <w:rsid w:val="007E6405"/>
    <w:rsid w:val="007E75AE"/>
    <w:rsid w:val="007E7D6C"/>
    <w:rsid w:val="007F014C"/>
    <w:rsid w:val="007F1CB6"/>
    <w:rsid w:val="007F24E7"/>
    <w:rsid w:val="007F26C9"/>
    <w:rsid w:val="007F3E3D"/>
    <w:rsid w:val="007F42AC"/>
    <w:rsid w:val="007F5CC4"/>
    <w:rsid w:val="007F67A3"/>
    <w:rsid w:val="007F7251"/>
    <w:rsid w:val="008010A2"/>
    <w:rsid w:val="00801D9C"/>
    <w:rsid w:val="00802010"/>
    <w:rsid w:val="008023AB"/>
    <w:rsid w:val="00803573"/>
    <w:rsid w:val="008064E3"/>
    <w:rsid w:val="0080653C"/>
    <w:rsid w:val="00810729"/>
    <w:rsid w:val="00810821"/>
    <w:rsid w:val="008110F5"/>
    <w:rsid w:val="0081160A"/>
    <w:rsid w:val="008146A8"/>
    <w:rsid w:val="00814E72"/>
    <w:rsid w:val="008159B1"/>
    <w:rsid w:val="00816E99"/>
    <w:rsid w:val="008173FC"/>
    <w:rsid w:val="008209C2"/>
    <w:rsid w:val="00820C65"/>
    <w:rsid w:val="0082200E"/>
    <w:rsid w:val="008226CE"/>
    <w:rsid w:val="00831C73"/>
    <w:rsid w:val="00833973"/>
    <w:rsid w:val="00834B84"/>
    <w:rsid w:val="00834FBB"/>
    <w:rsid w:val="00835A8D"/>
    <w:rsid w:val="00836676"/>
    <w:rsid w:val="00837199"/>
    <w:rsid w:val="00840354"/>
    <w:rsid w:val="00841712"/>
    <w:rsid w:val="00844109"/>
    <w:rsid w:val="00845170"/>
    <w:rsid w:val="00845581"/>
    <w:rsid w:val="008467F4"/>
    <w:rsid w:val="008505D3"/>
    <w:rsid w:val="00853350"/>
    <w:rsid w:val="0085418E"/>
    <w:rsid w:val="00854448"/>
    <w:rsid w:val="00855568"/>
    <w:rsid w:val="00857844"/>
    <w:rsid w:val="00857D7D"/>
    <w:rsid w:val="0086099D"/>
    <w:rsid w:val="00860ABD"/>
    <w:rsid w:val="008610B4"/>
    <w:rsid w:val="008611FD"/>
    <w:rsid w:val="00861BB1"/>
    <w:rsid w:val="00861BF7"/>
    <w:rsid w:val="008652F0"/>
    <w:rsid w:val="00865643"/>
    <w:rsid w:val="0086704D"/>
    <w:rsid w:val="00873634"/>
    <w:rsid w:val="008802B4"/>
    <w:rsid w:val="0088070C"/>
    <w:rsid w:val="0088278D"/>
    <w:rsid w:val="008832DD"/>
    <w:rsid w:val="00883377"/>
    <w:rsid w:val="00883543"/>
    <w:rsid w:val="00883687"/>
    <w:rsid w:val="00883C1E"/>
    <w:rsid w:val="008846C1"/>
    <w:rsid w:val="00884735"/>
    <w:rsid w:val="008850F1"/>
    <w:rsid w:val="008856D3"/>
    <w:rsid w:val="00885D18"/>
    <w:rsid w:val="00886113"/>
    <w:rsid w:val="00891245"/>
    <w:rsid w:val="0089236B"/>
    <w:rsid w:val="00892EF0"/>
    <w:rsid w:val="00893AC6"/>
    <w:rsid w:val="008940AD"/>
    <w:rsid w:val="008941F9"/>
    <w:rsid w:val="00894A9A"/>
    <w:rsid w:val="008952C5"/>
    <w:rsid w:val="0089693F"/>
    <w:rsid w:val="00896A6B"/>
    <w:rsid w:val="008A0056"/>
    <w:rsid w:val="008A1413"/>
    <w:rsid w:val="008A1926"/>
    <w:rsid w:val="008A3286"/>
    <w:rsid w:val="008A4105"/>
    <w:rsid w:val="008A44FE"/>
    <w:rsid w:val="008A71AF"/>
    <w:rsid w:val="008A7287"/>
    <w:rsid w:val="008A7EE9"/>
    <w:rsid w:val="008B06BF"/>
    <w:rsid w:val="008B0E89"/>
    <w:rsid w:val="008B0F35"/>
    <w:rsid w:val="008B3370"/>
    <w:rsid w:val="008B560A"/>
    <w:rsid w:val="008B760A"/>
    <w:rsid w:val="008C2ED8"/>
    <w:rsid w:val="008C579B"/>
    <w:rsid w:val="008C5E46"/>
    <w:rsid w:val="008C5E94"/>
    <w:rsid w:val="008C7A43"/>
    <w:rsid w:val="008D0AF4"/>
    <w:rsid w:val="008D2923"/>
    <w:rsid w:val="008D309C"/>
    <w:rsid w:val="008D345D"/>
    <w:rsid w:val="008D4F66"/>
    <w:rsid w:val="008D5045"/>
    <w:rsid w:val="008D58A7"/>
    <w:rsid w:val="008D5B50"/>
    <w:rsid w:val="008D7DD6"/>
    <w:rsid w:val="008E1B3F"/>
    <w:rsid w:val="008E3E7E"/>
    <w:rsid w:val="008F0ED2"/>
    <w:rsid w:val="008F165F"/>
    <w:rsid w:val="008F1A35"/>
    <w:rsid w:val="008F3EDB"/>
    <w:rsid w:val="008F49C9"/>
    <w:rsid w:val="00900300"/>
    <w:rsid w:val="00900B29"/>
    <w:rsid w:val="00902154"/>
    <w:rsid w:val="009024B2"/>
    <w:rsid w:val="00903F66"/>
    <w:rsid w:val="00904F0F"/>
    <w:rsid w:val="00905440"/>
    <w:rsid w:val="009058E2"/>
    <w:rsid w:val="009065F7"/>
    <w:rsid w:val="00912298"/>
    <w:rsid w:val="009126C6"/>
    <w:rsid w:val="00913903"/>
    <w:rsid w:val="0091566B"/>
    <w:rsid w:val="00915C99"/>
    <w:rsid w:val="009172C1"/>
    <w:rsid w:val="00921BC9"/>
    <w:rsid w:val="0092350A"/>
    <w:rsid w:val="00924F03"/>
    <w:rsid w:val="00925456"/>
    <w:rsid w:val="00926CF2"/>
    <w:rsid w:val="00930818"/>
    <w:rsid w:val="00933B3F"/>
    <w:rsid w:val="00934D58"/>
    <w:rsid w:val="009352CB"/>
    <w:rsid w:val="00935CD5"/>
    <w:rsid w:val="0094079E"/>
    <w:rsid w:val="00940FC3"/>
    <w:rsid w:val="00942A7C"/>
    <w:rsid w:val="00943E57"/>
    <w:rsid w:val="00943E60"/>
    <w:rsid w:val="00945D6E"/>
    <w:rsid w:val="00946301"/>
    <w:rsid w:val="00950241"/>
    <w:rsid w:val="009505C6"/>
    <w:rsid w:val="009518C1"/>
    <w:rsid w:val="00954A19"/>
    <w:rsid w:val="00956612"/>
    <w:rsid w:val="009567B2"/>
    <w:rsid w:val="00957C83"/>
    <w:rsid w:val="00960A65"/>
    <w:rsid w:val="00962798"/>
    <w:rsid w:val="00963575"/>
    <w:rsid w:val="00965849"/>
    <w:rsid w:val="0096586A"/>
    <w:rsid w:val="0096607F"/>
    <w:rsid w:val="0096614A"/>
    <w:rsid w:val="00967335"/>
    <w:rsid w:val="00971B7B"/>
    <w:rsid w:val="00974F26"/>
    <w:rsid w:val="00975014"/>
    <w:rsid w:val="009766BD"/>
    <w:rsid w:val="00976D19"/>
    <w:rsid w:val="009770B4"/>
    <w:rsid w:val="009774DC"/>
    <w:rsid w:val="0098023B"/>
    <w:rsid w:val="00980A2F"/>
    <w:rsid w:val="00981E8B"/>
    <w:rsid w:val="0098326A"/>
    <w:rsid w:val="00983D29"/>
    <w:rsid w:val="0098441B"/>
    <w:rsid w:val="00985BBB"/>
    <w:rsid w:val="00986802"/>
    <w:rsid w:val="00991D24"/>
    <w:rsid w:val="00992597"/>
    <w:rsid w:val="00992974"/>
    <w:rsid w:val="00993B67"/>
    <w:rsid w:val="00994622"/>
    <w:rsid w:val="0099490C"/>
    <w:rsid w:val="009971BE"/>
    <w:rsid w:val="00997D5E"/>
    <w:rsid w:val="009A0B0B"/>
    <w:rsid w:val="009A0C89"/>
    <w:rsid w:val="009A278F"/>
    <w:rsid w:val="009A2792"/>
    <w:rsid w:val="009A324A"/>
    <w:rsid w:val="009A3E65"/>
    <w:rsid w:val="009A42F4"/>
    <w:rsid w:val="009A572D"/>
    <w:rsid w:val="009A58F2"/>
    <w:rsid w:val="009A5937"/>
    <w:rsid w:val="009A78EC"/>
    <w:rsid w:val="009B4180"/>
    <w:rsid w:val="009B68C9"/>
    <w:rsid w:val="009B7150"/>
    <w:rsid w:val="009B7900"/>
    <w:rsid w:val="009B7D90"/>
    <w:rsid w:val="009C2D11"/>
    <w:rsid w:val="009C3600"/>
    <w:rsid w:val="009C4BF5"/>
    <w:rsid w:val="009C4FB6"/>
    <w:rsid w:val="009C6428"/>
    <w:rsid w:val="009C675B"/>
    <w:rsid w:val="009C6ED8"/>
    <w:rsid w:val="009D4E6D"/>
    <w:rsid w:val="009D60D4"/>
    <w:rsid w:val="009D75C6"/>
    <w:rsid w:val="009E06E1"/>
    <w:rsid w:val="009E06FF"/>
    <w:rsid w:val="009E0981"/>
    <w:rsid w:val="009E1133"/>
    <w:rsid w:val="009E52D3"/>
    <w:rsid w:val="009E5484"/>
    <w:rsid w:val="009E5953"/>
    <w:rsid w:val="009E5E07"/>
    <w:rsid w:val="009F23C1"/>
    <w:rsid w:val="009F2E97"/>
    <w:rsid w:val="009F4EA2"/>
    <w:rsid w:val="009F51CC"/>
    <w:rsid w:val="009F5988"/>
    <w:rsid w:val="00A0087C"/>
    <w:rsid w:val="00A0306A"/>
    <w:rsid w:val="00A039B6"/>
    <w:rsid w:val="00A04806"/>
    <w:rsid w:val="00A059A4"/>
    <w:rsid w:val="00A0692E"/>
    <w:rsid w:val="00A071DF"/>
    <w:rsid w:val="00A072EC"/>
    <w:rsid w:val="00A11949"/>
    <w:rsid w:val="00A124B5"/>
    <w:rsid w:val="00A136B6"/>
    <w:rsid w:val="00A13CF4"/>
    <w:rsid w:val="00A14535"/>
    <w:rsid w:val="00A14B8B"/>
    <w:rsid w:val="00A1740D"/>
    <w:rsid w:val="00A211DE"/>
    <w:rsid w:val="00A21F90"/>
    <w:rsid w:val="00A23225"/>
    <w:rsid w:val="00A23253"/>
    <w:rsid w:val="00A246DC"/>
    <w:rsid w:val="00A2478D"/>
    <w:rsid w:val="00A25470"/>
    <w:rsid w:val="00A26300"/>
    <w:rsid w:val="00A26809"/>
    <w:rsid w:val="00A26EA1"/>
    <w:rsid w:val="00A3037D"/>
    <w:rsid w:val="00A30541"/>
    <w:rsid w:val="00A30B5B"/>
    <w:rsid w:val="00A31779"/>
    <w:rsid w:val="00A31961"/>
    <w:rsid w:val="00A3437A"/>
    <w:rsid w:val="00A3642C"/>
    <w:rsid w:val="00A37585"/>
    <w:rsid w:val="00A40134"/>
    <w:rsid w:val="00A43B7A"/>
    <w:rsid w:val="00A45655"/>
    <w:rsid w:val="00A4594D"/>
    <w:rsid w:val="00A46799"/>
    <w:rsid w:val="00A46B3D"/>
    <w:rsid w:val="00A470D7"/>
    <w:rsid w:val="00A477E1"/>
    <w:rsid w:val="00A50807"/>
    <w:rsid w:val="00A50DFA"/>
    <w:rsid w:val="00A51D34"/>
    <w:rsid w:val="00A52955"/>
    <w:rsid w:val="00A5792A"/>
    <w:rsid w:val="00A60FED"/>
    <w:rsid w:val="00A61AC0"/>
    <w:rsid w:val="00A6257C"/>
    <w:rsid w:val="00A65ABA"/>
    <w:rsid w:val="00A660D5"/>
    <w:rsid w:val="00A66317"/>
    <w:rsid w:val="00A66D10"/>
    <w:rsid w:val="00A66D85"/>
    <w:rsid w:val="00A6741D"/>
    <w:rsid w:val="00A67805"/>
    <w:rsid w:val="00A71757"/>
    <w:rsid w:val="00A7559E"/>
    <w:rsid w:val="00A76035"/>
    <w:rsid w:val="00A771F7"/>
    <w:rsid w:val="00A77B52"/>
    <w:rsid w:val="00A81257"/>
    <w:rsid w:val="00A8171B"/>
    <w:rsid w:val="00A85065"/>
    <w:rsid w:val="00A8514F"/>
    <w:rsid w:val="00A85E1C"/>
    <w:rsid w:val="00A90141"/>
    <w:rsid w:val="00A91223"/>
    <w:rsid w:val="00A92ADC"/>
    <w:rsid w:val="00A92BDC"/>
    <w:rsid w:val="00A93AC2"/>
    <w:rsid w:val="00A940B9"/>
    <w:rsid w:val="00A95582"/>
    <w:rsid w:val="00A95A6A"/>
    <w:rsid w:val="00A95B8A"/>
    <w:rsid w:val="00A961DC"/>
    <w:rsid w:val="00A96F6F"/>
    <w:rsid w:val="00A97716"/>
    <w:rsid w:val="00A97F90"/>
    <w:rsid w:val="00AA14EB"/>
    <w:rsid w:val="00AA18AD"/>
    <w:rsid w:val="00AA2C71"/>
    <w:rsid w:val="00AA3293"/>
    <w:rsid w:val="00AA387D"/>
    <w:rsid w:val="00AA473E"/>
    <w:rsid w:val="00AA5561"/>
    <w:rsid w:val="00AA61AD"/>
    <w:rsid w:val="00AA769A"/>
    <w:rsid w:val="00AB1651"/>
    <w:rsid w:val="00AB1ED8"/>
    <w:rsid w:val="00AB2108"/>
    <w:rsid w:val="00AB5DA9"/>
    <w:rsid w:val="00AB716E"/>
    <w:rsid w:val="00AB7E89"/>
    <w:rsid w:val="00AC0D41"/>
    <w:rsid w:val="00AC1E4C"/>
    <w:rsid w:val="00AC22FA"/>
    <w:rsid w:val="00AC3796"/>
    <w:rsid w:val="00AC3985"/>
    <w:rsid w:val="00AC620D"/>
    <w:rsid w:val="00AC730D"/>
    <w:rsid w:val="00AC7399"/>
    <w:rsid w:val="00AC7B51"/>
    <w:rsid w:val="00AD0B11"/>
    <w:rsid w:val="00AD0FFD"/>
    <w:rsid w:val="00AD10B5"/>
    <w:rsid w:val="00AD1A72"/>
    <w:rsid w:val="00AD587B"/>
    <w:rsid w:val="00AE0925"/>
    <w:rsid w:val="00AE5627"/>
    <w:rsid w:val="00AE5F26"/>
    <w:rsid w:val="00AE67F1"/>
    <w:rsid w:val="00AF0420"/>
    <w:rsid w:val="00AF2FA4"/>
    <w:rsid w:val="00AF3BF0"/>
    <w:rsid w:val="00AF7176"/>
    <w:rsid w:val="00B010BF"/>
    <w:rsid w:val="00B02303"/>
    <w:rsid w:val="00B0392A"/>
    <w:rsid w:val="00B03DCA"/>
    <w:rsid w:val="00B053C6"/>
    <w:rsid w:val="00B067C6"/>
    <w:rsid w:val="00B07E31"/>
    <w:rsid w:val="00B10967"/>
    <w:rsid w:val="00B11CD1"/>
    <w:rsid w:val="00B146DC"/>
    <w:rsid w:val="00B14BE5"/>
    <w:rsid w:val="00B20280"/>
    <w:rsid w:val="00B20965"/>
    <w:rsid w:val="00B21727"/>
    <w:rsid w:val="00B23519"/>
    <w:rsid w:val="00B2387E"/>
    <w:rsid w:val="00B23B0C"/>
    <w:rsid w:val="00B251AD"/>
    <w:rsid w:val="00B252F8"/>
    <w:rsid w:val="00B253CB"/>
    <w:rsid w:val="00B2601F"/>
    <w:rsid w:val="00B26575"/>
    <w:rsid w:val="00B26AD7"/>
    <w:rsid w:val="00B32909"/>
    <w:rsid w:val="00B32CBC"/>
    <w:rsid w:val="00B3336A"/>
    <w:rsid w:val="00B34363"/>
    <w:rsid w:val="00B35BE3"/>
    <w:rsid w:val="00B367C9"/>
    <w:rsid w:val="00B36B1B"/>
    <w:rsid w:val="00B405C1"/>
    <w:rsid w:val="00B41BF3"/>
    <w:rsid w:val="00B41D72"/>
    <w:rsid w:val="00B41F76"/>
    <w:rsid w:val="00B423BC"/>
    <w:rsid w:val="00B434AB"/>
    <w:rsid w:val="00B44E0B"/>
    <w:rsid w:val="00B457A0"/>
    <w:rsid w:val="00B4622F"/>
    <w:rsid w:val="00B50DA8"/>
    <w:rsid w:val="00B5110E"/>
    <w:rsid w:val="00B53A47"/>
    <w:rsid w:val="00B54060"/>
    <w:rsid w:val="00B572E4"/>
    <w:rsid w:val="00B57BA2"/>
    <w:rsid w:val="00B61C23"/>
    <w:rsid w:val="00B62432"/>
    <w:rsid w:val="00B6526E"/>
    <w:rsid w:val="00B659CA"/>
    <w:rsid w:val="00B67AB1"/>
    <w:rsid w:val="00B67F96"/>
    <w:rsid w:val="00B72229"/>
    <w:rsid w:val="00B72E3B"/>
    <w:rsid w:val="00B75161"/>
    <w:rsid w:val="00B755D8"/>
    <w:rsid w:val="00B75766"/>
    <w:rsid w:val="00B77314"/>
    <w:rsid w:val="00B77E3A"/>
    <w:rsid w:val="00B800AE"/>
    <w:rsid w:val="00B81702"/>
    <w:rsid w:val="00B81876"/>
    <w:rsid w:val="00B84512"/>
    <w:rsid w:val="00B84818"/>
    <w:rsid w:val="00B84F13"/>
    <w:rsid w:val="00B8551B"/>
    <w:rsid w:val="00B85663"/>
    <w:rsid w:val="00B85E70"/>
    <w:rsid w:val="00B860B4"/>
    <w:rsid w:val="00B8752A"/>
    <w:rsid w:val="00B87D7B"/>
    <w:rsid w:val="00B90E52"/>
    <w:rsid w:val="00B92C39"/>
    <w:rsid w:val="00B930AD"/>
    <w:rsid w:val="00B95A47"/>
    <w:rsid w:val="00B96406"/>
    <w:rsid w:val="00B96535"/>
    <w:rsid w:val="00B97801"/>
    <w:rsid w:val="00BA086C"/>
    <w:rsid w:val="00BA1F33"/>
    <w:rsid w:val="00BA1FD3"/>
    <w:rsid w:val="00BA3897"/>
    <w:rsid w:val="00BA6540"/>
    <w:rsid w:val="00BB1F9B"/>
    <w:rsid w:val="00BB279B"/>
    <w:rsid w:val="00BB34DD"/>
    <w:rsid w:val="00BB48D5"/>
    <w:rsid w:val="00BB4BC1"/>
    <w:rsid w:val="00BB63EE"/>
    <w:rsid w:val="00BC27B2"/>
    <w:rsid w:val="00BC47B6"/>
    <w:rsid w:val="00BC5989"/>
    <w:rsid w:val="00BC5F13"/>
    <w:rsid w:val="00BC6751"/>
    <w:rsid w:val="00BC6C8D"/>
    <w:rsid w:val="00BC74B7"/>
    <w:rsid w:val="00BD0679"/>
    <w:rsid w:val="00BD0EBE"/>
    <w:rsid w:val="00BD198C"/>
    <w:rsid w:val="00BD2939"/>
    <w:rsid w:val="00BD2FB9"/>
    <w:rsid w:val="00BD5194"/>
    <w:rsid w:val="00BD58E3"/>
    <w:rsid w:val="00BD6AC3"/>
    <w:rsid w:val="00BE071D"/>
    <w:rsid w:val="00BE1A76"/>
    <w:rsid w:val="00BE3B8C"/>
    <w:rsid w:val="00BE4235"/>
    <w:rsid w:val="00BE4E21"/>
    <w:rsid w:val="00BE6A4A"/>
    <w:rsid w:val="00BE6D18"/>
    <w:rsid w:val="00BE7066"/>
    <w:rsid w:val="00BE7B83"/>
    <w:rsid w:val="00BF0A20"/>
    <w:rsid w:val="00BF0E5B"/>
    <w:rsid w:val="00BF165C"/>
    <w:rsid w:val="00BF1ECC"/>
    <w:rsid w:val="00BF3FE8"/>
    <w:rsid w:val="00BF49F5"/>
    <w:rsid w:val="00BF5695"/>
    <w:rsid w:val="00BF61B2"/>
    <w:rsid w:val="00BF6349"/>
    <w:rsid w:val="00BF7CEF"/>
    <w:rsid w:val="00C00537"/>
    <w:rsid w:val="00C01A52"/>
    <w:rsid w:val="00C01EBE"/>
    <w:rsid w:val="00C043A2"/>
    <w:rsid w:val="00C05228"/>
    <w:rsid w:val="00C0622D"/>
    <w:rsid w:val="00C062DD"/>
    <w:rsid w:val="00C07143"/>
    <w:rsid w:val="00C07637"/>
    <w:rsid w:val="00C11282"/>
    <w:rsid w:val="00C1161A"/>
    <w:rsid w:val="00C11C47"/>
    <w:rsid w:val="00C12E1D"/>
    <w:rsid w:val="00C13020"/>
    <w:rsid w:val="00C13AB4"/>
    <w:rsid w:val="00C13CE5"/>
    <w:rsid w:val="00C151BE"/>
    <w:rsid w:val="00C15D75"/>
    <w:rsid w:val="00C223EC"/>
    <w:rsid w:val="00C237E6"/>
    <w:rsid w:val="00C24486"/>
    <w:rsid w:val="00C248DB"/>
    <w:rsid w:val="00C31656"/>
    <w:rsid w:val="00C32938"/>
    <w:rsid w:val="00C3310D"/>
    <w:rsid w:val="00C35084"/>
    <w:rsid w:val="00C37DC9"/>
    <w:rsid w:val="00C400C7"/>
    <w:rsid w:val="00C406F5"/>
    <w:rsid w:val="00C42C56"/>
    <w:rsid w:val="00C43B92"/>
    <w:rsid w:val="00C45F11"/>
    <w:rsid w:val="00C4608D"/>
    <w:rsid w:val="00C46ABC"/>
    <w:rsid w:val="00C47C3A"/>
    <w:rsid w:val="00C51C7E"/>
    <w:rsid w:val="00C51D0E"/>
    <w:rsid w:val="00C545A7"/>
    <w:rsid w:val="00C6081D"/>
    <w:rsid w:val="00C60B9C"/>
    <w:rsid w:val="00C61D93"/>
    <w:rsid w:val="00C61F95"/>
    <w:rsid w:val="00C62464"/>
    <w:rsid w:val="00C647F2"/>
    <w:rsid w:val="00C65A46"/>
    <w:rsid w:val="00C66C82"/>
    <w:rsid w:val="00C66D63"/>
    <w:rsid w:val="00C6764A"/>
    <w:rsid w:val="00C71244"/>
    <w:rsid w:val="00C73D3F"/>
    <w:rsid w:val="00C75044"/>
    <w:rsid w:val="00C75706"/>
    <w:rsid w:val="00C765C2"/>
    <w:rsid w:val="00C77D47"/>
    <w:rsid w:val="00C8048E"/>
    <w:rsid w:val="00C81C4F"/>
    <w:rsid w:val="00C82953"/>
    <w:rsid w:val="00C83638"/>
    <w:rsid w:val="00C83DAA"/>
    <w:rsid w:val="00C84FD4"/>
    <w:rsid w:val="00C86609"/>
    <w:rsid w:val="00C86916"/>
    <w:rsid w:val="00C87C72"/>
    <w:rsid w:val="00C90CA0"/>
    <w:rsid w:val="00C90CDB"/>
    <w:rsid w:val="00C91B2B"/>
    <w:rsid w:val="00C923BF"/>
    <w:rsid w:val="00C92829"/>
    <w:rsid w:val="00C92AC8"/>
    <w:rsid w:val="00C9404B"/>
    <w:rsid w:val="00C9498E"/>
    <w:rsid w:val="00C97E3E"/>
    <w:rsid w:val="00CA30C7"/>
    <w:rsid w:val="00CA3A1A"/>
    <w:rsid w:val="00CA4EA0"/>
    <w:rsid w:val="00CA587C"/>
    <w:rsid w:val="00CA6BAD"/>
    <w:rsid w:val="00CB06A5"/>
    <w:rsid w:val="00CB26AC"/>
    <w:rsid w:val="00CB338E"/>
    <w:rsid w:val="00CB3CCE"/>
    <w:rsid w:val="00CB3F03"/>
    <w:rsid w:val="00CB4705"/>
    <w:rsid w:val="00CB4BFD"/>
    <w:rsid w:val="00CB4F43"/>
    <w:rsid w:val="00CB6D18"/>
    <w:rsid w:val="00CB7869"/>
    <w:rsid w:val="00CC208C"/>
    <w:rsid w:val="00CC2D4D"/>
    <w:rsid w:val="00CC5163"/>
    <w:rsid w:val="00CC567C"/>
    <w:rsid w:val="00CC6DD2"/>
    <w:rsid w:val="00CD16A7"/>
    <w:rsid w:val="00CD16EA"/>
    <w:rsid w:val="00CD17CD"/>
    <w:rsid w:val="00CD4C58"/>
    <w:rsid w:val="00CE0AF9"/>
    <w:rsid w:val="00CE11CC"/>
    <w:rsid w:val="00CE272F"/>
    <w:rsid w:val="00CE3AFC"/>
    <w:rsid w:val="00CE41D1"/>
    <w:rsid w:val="00CE4986"/>
    <w:rsid w:val="00CE53CD"/>
    <w:rsid w:val="00CE5406"/>
    <w:rsid w:val="00CE5CB8"/>
    <w:rsid w:val="00CE610C"/>
    <w:rsid w:val="00CE64A3"/>
    <w:rsid w:val="00CE6D4C"/>
    <w:rsid w:val="00CF0BF4"/>
    <w:rsid w:val="00CF1A41"/>
    <w:rsid w:val="00CF277D"/>
    <w:rsid w:val="00CF325C"/>
    <w:rsid w:val="00CF3505"/>
    <w:rsid w:val="00CF6FBE"/>
    <w:rsid w:val="00CF7B14"/>
    <w:rsid w:val="00CF7FD3"/>
    <w:rsid w:val="00D00857"/>
    <w:rsid w:val="00D01937"/>
    <w:rsid w:val="00D0230B"/>
    <w:rsid w:val="00D02721"/>
    <w:rsid w:val="00D02BA2"/>
    <w:rsid w:val="00D02D6A"/>
    <w:rsid w:val="00D02FBD"/>
    <w:rsid w:val="00D05C06"/>
    <w:rsid w:val="00D067F7"/>
    <w:rsid w:val="00D117EB"/>
    <w:rsid w:val="00D12AFE"/>
    <w:rsid w:val="00D13215"/>
    <w:rsid w:val="00D13E18"/>
    <w:rsid w:val="00D14D34"/>
    <w:rsid w:val="00D1721F"/>
    <w:rsid w:val="00D172DD"/>
    <w:rsid w:val="00D20FF3"/>
    <w:rsid w:val="00D22D9B"/>
    <w:rsid w:val="00D232EA"/>
    <w:rsid w:val="00D23ADC"/>
    <w:rsid w:val="00D23B5F"/>
    <w:rsid w:val="00D2451B"/>
    <w:rsid w:val="00D24F24"/>
    <w:rsid w:val="00D26547"/>
    <w:rsid w:val="00D27139"/>
    <w:rsid w:val="00D276AF"/>
    <w:rsid w:val="00D31271"/>
    <w:rsid w:val="00D320D8"/>
    <w:rsid w:val="00D32435"/>
    <w:rsid w:val="00D32BEB"/>
    <w:rsid w:val="00D34C5A"/>
    <w:rsid w:val="00D3632D"/>
    <w:rsid w:val="00D36C45"/>
    <w:rsid w:val="00D37250"/>
    <w:rsid w:val="00D42DFA"/>
    <w:rsid w:val="00D43A39"/>
    <w:rsid w:val="00D43B41"/>
    <w:rsid w:val="00D43BDB"/>
    <w:rsid w:val="00D46809"/>
    <w:rsid w:val="00D46E62"/>
    <w:rsid w:val="00D4722B"/>
    <w:rsid w:val="00D47A8E"/>
    <w:rsid w:val="00D5216B"/>
    <w:rsid w:val="00D523FB"/>
    <w:rsid w:val="00D54272"/>
    <w:rsid w:val="00D558DF"/>
    <w:rsid w:val="00D55C66"/>
    <w:rsid w:val="00D56C89"/>
    <w:rsid w:val="00D62496"/>
    <w:rsid w:val="00D62A46"/>
    <w:rsid w:val="00D63E5A"/>
    <w:rsid w:val="00D644BD"/>
    <w:rsid w:val="00D64CD6"/>
    <w:rsid w:val="00D65B70"/>
    <w:rsid w:val="00D67B06"/>
    <w:rsid w:val="00D67F0A"/>
    <w:rsid w:val="00D70809"/>
    <w:rsid w:val="00D709ED"/>
    <w:rsid w:val="00D70B6B"/>
    <w:rsid w:val="00D70FC9"/>
    <w:rsid w:val="00D717F2"/>
    <w:rsid w:val="00D71B9D"/>
    <w:rsid w:val="00D72349"/>
    <w:rsid w:val="00D73133"/>
    <w:rsid w:val="00D743C8"/>
    <w:rsid w:val="00D75093"/>
    <w:rsid w:val="00D75A98"/>
    <w:rsid w:val="00D81A86"/>
    <w:rsid w:val="00D853F9"/>
    <w:rsid w:val="00D878D3"/>
    <w:rsid w:val="00D916D4"/>
    <w:rsid w:val="00D9193A"/>
    <w:rsid w:val="00D9209C"/>
    <w:rsid w:val="00D9360E"/>
    <w:rsid w:val="00D93EC0"/>
    <w:rsid w:val="00D940A5"/>
    <w:rsid w:val="00D957C1"/>
    <w:rsid w:val="00DA1021"/>
    <w:rsid w:val="00DA3528"/>
    <w:rsid w:val="00DA41C8"/>
    <w:rsid w:val="00DA4545"/>
    <w:rsid w:val="00DA4E1F"/>
    <w:rsid w:val="00DA53B5"/>
    <w:rsid w:val="00DA61E0"/>
    <w:rsid w:val="00DA67AD"/>
    <w:rsid w:val="00DA70B1"/>
    <w:rsid w:val="00DA7941"/>
    <w:rsid w:val="00DB036C"/>
    <w:rsid w:val="00DB53A2"/>
    <w:rsid w:val="00DB749A"/>
    <w:rsid w:val="00DC087E"/>
    <w:rsid w:val="00DC12F9"/>
    <w:rsid w:val="00DC233A"/>
    <w:rsid w:val="00DC2A25"/>
    <w:rsid w:val="00DC2B4D"/>
    <w:rsid w:val="00DC2F56"/>
    <w:rsid w:val="00DC3FDA"/>
    <w:rsid w:val="00DC4ABD"/>
    <w:rsid w:val="00DC66AB"/>
    <w:rsid w:val="00DC69CC"/>
    <w:rsid w:val="00DC6D34"/>
    <w:rsid w:val="00DC7E37"/>
    <w:rsid w:val="00DD0CD4"/>
    <w:rsid w:val="00DD1AAC"/>
    <w:rsid w:val="00DD1ADA"/>
    <w:rsid w:val="00DD1E97"/>
    <w:rsid w:val="00DD1EB6"/>
    <w:rsid w:val="00DD22E8"/>
    <w:rsid w:val="00DD2346"/>
    <w:rsid w:val="00DD2F19"/>
    <w:rsid w:val="00DD451D"/>
    <w:rsid w:val="00DD55E0"/>
    <w:rsid w:val="00DD60DA"/>
    <w:rsid w:val="00DD6F20"/>
    <w:rsid w:val="00DE0C8B"/>
    <w:rsid w:val="00DE2C01"/>
    <w:rsid w:val="00DE38FC"/>
    <w:rsid w:val="00DE46CB"/>
    <w:rsid w:val="00DE4EE1"/>
    <w:rsid w:val="00DE5D7E"/>
    <w:rsid w:val="00DE6C56"/>
    <w:rsid w:val="00DF07A6"/>
    <w:rsid w:val="00DF186C"/>
    <w:rsid w:val="00DF1ED8"/>
    <w:rsid w:val="00DF2955"/>
    <w:rsid w:val="00DF2AA5"/>
    <w:rsid w:val="00DF3D7F"/>
    <w:rsid w:val="00DF3F93"/>
    <w:rsid w:val="00DF411B"/>
    <w:rsid w:val="00DF478A"/>
    <w:rsid w:val="00DF56B4"/>
    <w:rsid w:val="00DF5DB1"/>
    <w:rsid w:val="00DF7ACA"/>
    <w:rsid w:val="00E02D1E"/>
    <w:rsid w:val="00E0390C"/>
    <w:rsid w:val="00E051E1"/>
    <w:rsid w:val="00E061B6"/>
    <w:rsid w:val="00E1059D"/>
    <w:rsid w:val="00E10AA0"/>
    <w:rsid w:val="00E118CD"/>
    <w:rsid w:val="00E121FE"/>
    <w:rsid w:val="00E15736"/>
    <w:rsid w:val="00E16806"/>
    <w:rsid w:val="00E200DF"/>
    <w:rsid w:val="00E20970"/>
    <w:rsid w:val="00E21C99"/>
    <w:rsid w:val="00E23173"/>
    <w:rsid w:val="00E238E6"/>
    <w:rsid w:val="00E2400F"/>
    <w:rsid w:val="00E265DA"/>
    <w:rsid w:val="00E27F1A"/>
    <w:rsid w:val="00E30DE0"/>
    <w:rsid w:val="00E30E37"/>
    <w:rsid w:val="00E31224"/>
    <w:rsid w:val="00E322F4"/>
    <w:rsid w:val="00E348C6"/>
    <w:rsid w:val="00E353F0"/>
    <w:rsid w:val="00E35C4E"/>
    <w:rsid w:val="00E42318"/>
    <w:rsid w:val="00E423E7"/>
    <w:rsid w:val="00E51434"/>
    <w:rsid w:val="00E518C3"/>
    <w:rsid w:val="00E52174"/>
    <w:rsid w:val="00E54034"/>
    <w:rsid w:val="00E5483A"/>
    <w:rsid w:val="00E54E07"/>
    <w:rsid w:val="00E565B5"/>
    <w:rsid w:val="00E57C99"/>
    <w:rsid w:val="00E60794"/>
    <w:rsid w:val="00E612B0"/>
    <w:rsid w:val="00E62222"/>
    <w:rsid w:val="00E6380B"/>
    <w:rsid w:val="00E65413"/>
    <w:rsid w:val="00E65C87"/>
    <w:rsid w:val="00E66A14"/>
    <w:rsid w:val="00E66B50"/>
    <w:rsid w:val="00E66B80"/>
    <w:rsid w:val="00E71C91"/>
    <w:rsid w:val="00E74A1D"/>
    <w:rsid w:val="00E74BF2"/>
    <w:rsid w:val="00E76358"/>
    <w:rsid w:val="00E76BEA"/>
    <w:rsid w:val="00E76E72"/>
    <w:rsid w:val="00E77A2F"/>
    <w:rsid w:val="00E802DE"/>
    <w:rsid w:val="00E828C8"/>
    <w:rsid w:val="00E83C69"/>
    <w:rsid w:val="00E83ECD"/>
    <w:rsid w:val="00E86B6F"/>
    <w:rsid w:val="00E8780B"/>
    <w:rsid w:val="00E9056F"/>
    <w:rsid w:val="00E90949"/>
    <w:rsid w:val="00E915A3"/>
    <w:rsid w:val="00E9247E"/>
    <w:rsid w:val="00E92A47"/>
    <w:rsid w:val="00E92F5D"/>
    <w:rsid w:val="00E93B84"/>
    <w:rsid w:val="00E94EF6"/>
    <w:rsid w:val="00E95075"/>
    <w:rsid w:val="00E97B75"/>
    <w:rsid w:val="00EA093D"/>
    <w:rsid w:val="00EA36B5"/>
    <w:rsid w:val="00EA4041"/>
    <w:rsid w:val="00EA428F"/>
    <w:rsid w:val="00EA73A4"/>
    <w:rsid w:val="00EB0AAB"/>
    <w:rsid w:val="00EB0F85"/>
    <w:rsid w:val="00EB222A"/>
    <w:rsid w:val="00EB36AA"/>
    <w:rsid w:val="00EB39AD"/>
    <w:rsid w:val="00EB3C25"/>
    <w:rsid w:val="00EB3C80"/>
    <w:rsid w:val="00EB4952"/>
    <w:rsid w:val="00EB4AC3"/>
    <w:rsid w:val="00EB4D61"/>
    <w:rsid w:val="00EB56EB"/>
    <w:rsid w:val="00EB6AF8"/>
    <w:rsid w:val="00EB7523"/>
    <w:rsid w:val="00EC2B0F"/>
    <w:rsid w:val="00EC3CBE"/>
    <w:rsid w:val="00EC3E67"/>
    <w:rsid w:val="00EC41F3"/>
    <w:rsid w:val="00EC57BF"/>
    <w:rsid w:val="00EC5887"/>
    <w:rsid w:val="00EC6077"/>
    <w:rsid w:val="00EC67C0"/>
    <w:rsid w:val="00ED11AC"/>
    <w:rsid w:val="00ED1AE5"/>
    <w:rsid w:val="00ED1CE9"/>
    <w:rsid w:val="00ED3DAF"/>
    <w:rsid w:val="00ED4294"/>
    <w:rsid w:val="00EE11FE"/>
    <w:rsid w:val="00EE31EF"/>
    <w:rsid w:val="00EE3C20"/>
    <w:rsid w:val="00EE44ED"/>
    <w:rsid w:val="00EE5196"/>
    <w:rsid w:val="00EE5C1F"/>
    <w:rsid w:val="00EE7095"/>
    <w:rsid w:val="00EE7584"/>
    <w:rsid w:val="00EE7E78"/>
    <w:rsid w:val="00EF30F4"/>
    <w:rsid w:val="00EF31F0"/>
    <w:rsid w:val="00EF51F0"/>
    <w:rsid w:val="00EF5ECC"/>
    <w:rsid w:val="00EF79F0"/>
    <w:rsid w:val="00F005C4"/>
    <w:rsid w:val="00F00C2D"/>
    <w:rsid w:val="00F01315"/>
    <w:rsid w:val="00F01475"/>
    <w:rsid w:val="00F03349"/>
    <w:rsid w:val="00F05D38"/>
    <w:rsid w:val="00F06C18"/>
    <w:rsid w:val="00F0741B"/>
    <w:rsid w:val="00F07CFA"/>
    <w:rsid w:val="00F10484"/>
    <w:rsid w:val="00F1198E"/>
    <w:rsid w:val="00F133C7"/>
    <w:rsid w:val="00F1398C"/>
    <w:rsid w:val="00F13F7A"/>
    <w:rsid w:val="00F1509B"/>
    <w:rsid w:val="00F157FC"/>
    <w:rsid w:val="00F15EF8"/>
    <w:rsid w:val="00F22B48"/>
    <w:rsid w:val="00F22B54"/>
    <w:rsid w:val="00F2386C"/>
    <w:rsid w:val="00F23D18"/>
    <w:rsid w:val="00F25665"/>
    <w:rsid w:val="00F25670"/>
    <w:rsid w:val="00F25FB5"/>
    <w:rsid w:val="00F26C83"/>
    <w:rsid w:val="00F31DB7"/>
    <w:rsid w:val="00F323C2"/>
    <w:rsid w:val="00F32609"/>
    <w:rsid w:val="00F32A08"/>
    <w:rsid w:val="00F3480F"/>
    <w:rsid w:val="00F352AF"/>
    <w:rsid w:val="00F357BE"/>
    <w:rsid w:val="00F3583F"/>
    <w:rsid w:val="00F405ED"/>
    <w:rsid w:val="00F40B35"/>
    <w:rsid w:val="00F40C34"/>
    <w:rsid w:val="00F42C53"/>
    <w:rsid w:val="00F43C85"/>
    <w:rsid w:val="00F442AE"/>
    <w:rsid w:val="00F44D2A"/>
    <w:rsid w:val="00F45408"/>
    <w:rsid w:val="00F46900"/>
    <w:rsid w:val="00F50310"/>
    <w:rsid w:val="00F50515"/>
    <w:rsid w:val="00F51275"/>
    <w:rsid w:val="00F51BEA"/>
    <w:rsid w:val="00F51D02"/>
    <w:rsid w:val="00F51F95"/>
    <w:rsid w:val="00F531FE"/>
    <w:rsid w:val="00F55CE3"/>
    <w:rsid w:val="00F55EBB"/>
    <w:rsid w:val="00F56277"/>
    <w:rsid w:val="00F56931"/>
    <w:rsid w:val="00F569C8"/>
    <w:rsid w:val="00F57E6B"/>
    <w:rsid w:val="00F6109A"/>
    <w:rsid w:val="00F62522"/>
    <w:rsid w:val="00F62F5C"/>
    <w:rsid w:val="00F63331"/>
    <w:rsid w:val="00F634DE"/>
    <w:rsid w:val="00F63700"/>
    <w:rsid w:val="00F65E9E"/>
    <w:rsid w:val="00F714CC"/>
    <w:rsid w:val="00F71F27"/>
    <w:rsid w:val="00F71FBC"/>
    <w:rsid w:val="00F73265"/>
    <w:rsid w:val="00F73EE0"/>
    <w:rsid w:val="00F74B41"/>
    <w:rsid w:val="00F7511A"/>
    <w:rsid w:val="00F75F4E"/>
    <w:rsid w:val="00F77BE2"/>
    <w:rsid w:val="00F809F7"/>
    <w:rsid w:val="00F80C4B"/>
    <w:rsid w:val="00F81575"/>
    <w:rsid w:val="00F82224"/>
    <w:rsid w:val="00F83237"/>
    <w:rsid w:val="00F83429"/>
    <w:rsid w:val="00F838B9"/>
    <w:rsid w:val="00F84F76"/>
    <w:rsid w:val="00F85BF4"/>
    <w:rsid w:val="00F86245"/>
    <w:rsid w:val="00F866C9"/>
    <w:rsid w:val="00F86E86"/>
    <w:rsid w:val="00F9061C"/>
    <w:rsid w:val="00F909F6"/>
    <w:rsid w:val="00F90F8A"/>
    <w:rsid w:val="00F9163A"/>
    <w:rsid w:val="00F92554"/>
    <w:rsid w:val="00F92FD8"/>
    <w:rsid w:val="00F97637"/>
    <w:rsid w:val="00FA0037"/>
    <w:rsid w:val="00FA07AE"/>
    <w:rsid w:val="00FA0B26"/>
    <w:rsid w:val="00FA3F66"/>
    <w:rsid w:val="00FA440D"/>
    <w:rsid w:val="00FA44B5"/>
    <w:rsid w:val="00FA46FB"/>
    <w:rsid w:val="00FA641B"/>
    <w:rsid w:val="00FA6B87"/>
    <w:rsid w:val="00FA6B8D"/>
    <w:rsid w:val="00FA7537"/>
    <w:rsid w:val="00FA77CC"/>
    <w:rsid w:val="00FA7DC3"/>
    <w:rsid w:val="00FB12FE"/>
    <w:rsid w:val="00FB17B9"/>
    <w:rsid w:val="00FB1EC4"/>
    <w:rsid w:val="00FB2F13"/>
    <w:rsid w:val="00FB398A"/>
    <w:rsid w:val="00FB3B8A"/>
    <w:rsid w:val="00FB3BAF"/>
    <w:rsid w:val="00FB3C9F"/>
    <w:rsid w:val="00FB4B8C"/>
    <w:rsid w:val="00FB5312"/>
    <w:rsid w:val="00FB726C"/>
    <w:rsid w:val="00FB7525"/>
    <w:rsid w:val="00FC23DC"/>
    <w:rsid w:val="00FC2E15"/>
    <w:rsid w:val="00FC422C"/>
    <w:rsid w:val="00FC467C"/>
    <w:rsid w:val="00FC5E08"/>
    <w:rsid w:val="00FC789C"/>
    <w:rsid w:val="00FD0C04"/>
    <w:rsid w:val="00FD2C06"/>
    <w:rsid w:val="00FD2D24"/>
    <w:rsid w:val="00FD3DAE"/>
    <w:rsid w:val="00FD737C"/>
    <w:rsid w:val="00FD74B9"/>
    <w:rsid w:val="00FD7C10"/>
    <w:rsid w:val="00FE1BF3"/>
    <w:rsid w:val="00FE373F"/>
    <w:rsid w:val="00FE41CB"/>
    <w:rsid w:val="00FE5AA2"/>
    <w:rsid w:val="00FE6E6E"/>
    <w:rsid w:val="00FF10E5"/>
    <w:rsid w:val="00FF2150"/>
    <w:rsid w:val="00FF2959"/>
    <w:rsid w:val="00FF295A"/>
    <w:rsid w:val="00FF362F"/>
    <w:rsid w:val="00FF3D6B"/>
    <w:rsid w:val="00FF430D"/>
    <w:rsid w:val="00FF439C"/>
    <w:rsid w:val="00FF57BD"/>
    <w:rsid w:val="00FF5F54"/>
    <w:rsid w:val="00FF6B26"/>
    <w:rsid w:val="00FF70AA"/>
    <w:rsid w:val="00FF756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GT" w:eastAsia="es-G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A70C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70CC"/>
    <w:rPr>
      <w:rFonts w:ascii="Tahoma" w:hAnsi="Tahoma" w:cs="Tahoma"/>
      <w:sz w:val="16"/>
      <w:szCs w:val="16"/>
    </w:rPr>
  </w:style>
  <w:style w:type="table" w:styleId="Tablaconcuadrcula">
    <w:name w:val="Table Grid"/>
    <w:basedOn w:val="Tablanormal"/>
    <w:uiPriority w:val="59"/>
    <w:rsid w:val="002836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C223EC"/>
    <w:pPr>
      <w:ind w:left="720"/>
      <w:contextualSpacing/>
    </w:pPr>
    <w:rPr>
      <w:rFonts w:ascii="Calibri" w:eastAsia="Calibri" w:hAnsi="Calibri" w:cs="Times New Roman"/>
    </w:rPr>
  </w:style>
  <w:style w:type="paragraph" w:styleId="Sinespaciado">
    <w:name w:val="No Spacing"/>
    <w:link w:val="SinespaciadoCar"/>
    <w:uiPriority w:val="1"/>
    <w:qFormat/>
    <w:rsid w:val="009A0B0B"/>
    <w:pPr>
      <w:spacing w:after="0" w:line="240" w:lineRule="auto"/>
    </w:pPr>
  </w:style>
  <w:style w:type="character" w:customStyle="1" w:styleId="SinespaciadoCar">
    <w:name w:val="Sin espaciado Car"/>
    <w:basedOn w:val="Fuentedeprrafopredeter"/>
    <w:link w:val="Sinespaciado"/>
    <w:uiPriority w:val="1"/>
    <w:rsid w:val="009A0B0B"/>
    <w:rPr>
      <w:rFonts w:eastAsiaTheme="minorEastAsia"/>
    </w:rPr>
  </w:style>
  <w:style w:type="character" w:styleId="Hipervnculo">
    <w:name w:val="Hyperlink"/>
    <w:basedOn w:val="Fuentedeprrafopredeter"/>
    <w:uiPriority w:val="99"/>
    <w:unhideWhenUsed/>
    <w:rsid w:val="00736695"/>
    <w:rPr>
      <w:color w:val="0000FF" w:themeColor="hyperlink"/>
      <w:u w:val="single"/>
    </w:rPr>
  </w:style>
  <w:style w:type="paragraph" w:customStyle="1" w:styleId="Default">
    <w:name w:val="Default"/>
    <w:rsid w:val="00D05C0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Encabezado">
    <w:name w:val="header"/>
    <w:basedOn w:val="Normal"/>
    <w:link w:val="EncabezadoCar"/>
    <w:uiPriority w:val="99"/>
    <w:unhideWhenUsed/>
    <w:rsid w:val="00635D5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35D55"/>
  </w:style>
  <w:style w:type="paragraph" w:styleId="Piedepgina">
    <w:name w:val="footer"/>
    <w:basedOn w:val="Normal"/>
    <w:link w:val="PiedepginaCar"/>
    <w:uiPriority w:val="99"/>
    <w:unhideWhenUsed/>
    <w:rsid w:val="00635D5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35D55"/>
  </w:style>
  <w:style w:type="paragraph" w:styleId="Textonotapie">
    <w:name w:val="footnote text"/>
    <w:basedOn w:val="Normal"/>
    <w:link w:val="TextonotapieCar"/>
    <w:uiPriority w:val="99"/>
    <w:unhideWhenUsed/>
    <w:rsid w:val="005C37D7"/>
    <w:pPr>
      <w:spacing w:after="0" w:line="240" w:lineRule="auto"/>
    </w:pPr>
    <w:rPr>
      <w:rFonts w:ascii="Calibri" w:eastAsia="Calibri" w:hAnsi="Calibri" w:cs="Times New Roman"/>
      <w:sz w:val="20"/>
      <w:szCs w:val="20"/>
    </w:rPr>
  </w:style>
  <w:style w:type="character" w:customStyle="1" w:styleId="TextonotapieCar">
    <w:name w:val="Texto nota pie Car"/>
    <w:basedOn w:val="Fuentedeprrafopredeter"/>
    <w:link w:val="Textonotapie"/>
    <w:uiPriority w:val="99"/>
    <w:rsid w:val="005C37D7"/>
    <w:rPr>
      <w:rFonts w:ascii="Calibri" w:eastAsia="Calibri" w:hAnsi="Calibri" w:cs="Times New Roman"/>
      <w:sz w:val="20"/>
      <w:szCs w:val="20"/>
    </w:rPr>
  </w:style>
  <w:style w:type="character" w:styleId="Refdenotaalpie">
    <w:name w:val="footnote reference"/>
    <w:uiPriority w:val="99"/>
    <w:semiHidden/>
    <w:unhideWhenUsed/>
    <w:rsid w:val="005C37D7"/>
    <w:rPr>
      <w:vertAlign w:val="superscript"/>
    </w:rPr>
  </w:style>
  <w:style w:type="paragraph" w:styleId="NormalWeb">
    <w:name w:val="Normal (Web)"/>
    <w:basedOn w:val="Normal"/>
    <w:uiPriority w:val="99"/>
    <w:unhideWhenUsed/>
    <w:rsid w:val="006B06E9"/>
    <w:pPr>
      <w:spacing w:before="100" w:beforeAutospacing="1" w:after="100" w:afterAutospacing="1" w:line="240" w:lineRule="auto"/>
    </w:pPr>
    <w:rPr>
      <w:rFonts w:ascii="Times New Roman" w:eastAsia="Times New Roman" w:hAnsi="Times New Roman" w:cs="Times New Roman"/>
      <w:sz w:val="24"/>
      <w:szCs w:val="24"/>
      <w:lang w:eastAsia="es-ES"/>
    </w:rPr>
  </w:style>
  <w:style w:type="table" w:styleId="Sombreadomedio1-nfasis4">
    <w:name w:val="Medium Shading 1 Accent 4"/>
    <w:basedOn w:val="Tablanormal"/>
    <w:uiPriority w:val="63"/>
    <w:rsid w:val="006B06E9"/>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63"/>
    <w:rsid w:val="00677BFC"/>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Sombreadomedio2-nfasis5">
    <w:name w:val="Medium Shading 2 Accent 5"/>
    <w:basedOn w:val="Tablanormal"/>
    <w:uiPriority w:val="64"/>
    <w:rsid w:val="00AB2108"/>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clara-nfasis2">
    <w:name w:val="Light List Accent 2"/>
    <w:basedOn w:val="Tablanormal"/>
    <w:uiPriority w:val="61"/>
    <w:rsid w:val="0028011B"/>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Epgrafe">
    <w:name w:val="caption"/>
    <w:basedOn w:val="Normal"/>
    <w:next w:val="Normal"/>
    <w:uiPriority w:val="35"/>
    <w:unhideWhenUsed/>
    <w:qFormat/>
    <w:rsid w:val="00C11282"/>
    <w:pPr>
      <w:spacing w:line="240" w:lineRule="auto"/>
    </w:pPr>
    <w:rPr>
      <w:b/>
      <w:bCs/>
      <w:color w:val="4F81BD" w:themeColor="accent1"/>
      <w:sz w:val="18"/>
      <w:szCs w:val="18"/>
    </w:rPr>
  </w:style>
  <w:style w:type="table" w:styleId="Listaclara-nfasis5">
    <w:name w:val="Light List Accent 5"/>
    <w:basedOn w:val="Tablanormal"/>
    <w:uiPriority w:val="61"/>
    <w:rsid w:val="00F84F7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staclara-nfasis6">
    <w:name w:val="Light List Accent 6"/>
    <w:basedOn w:val="Tablanormal"/>
    <w:uiPriority w:val="61"/>
    <w:rsid w:val="001425D3"/>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styleId="Refdecomentario">
    <w:name w:val="annotation reference"/>
    <w:basedOn w:val="Fuentedeprrafopredeter"/>
    <w:uiPriority w:val="99"/>
    <w:semiHidden/>
    <w:unhideWhenUsed/>
    <w:rsid w:val="00CE5406"/>
    <w:rPr>
      <w:sz w:val="16"/>
      <w:szCs w:val="16"/>
    </w:rPr>
  </w:style>
  <w:style w:type="paragraph" w:styleId="Textocomentario">
    <w:name w:val="annotation text"/>
    <w:basedOn w:val="Normal"/>
    <w:link w:val="TextocomentarioCar"/>
    <w:uiPriority w:val="99"/>
    <w:semiHidden/>
    <w:unhideWhenUsed/>
    <w:rsid w:val="00CE540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E5406"/>
    <w:rPr>
      <w:sz w:val="20"/>
      <w:szCs w:val="20"/>
    </w:rPr>
  </w:style>
  <w:style w:type="paragraph" w:styleId="Asuntodelcomentario">
    <w:name w:val="annotation subject"/>
    <w:basedOn w:val="Textocomentario"/>
    <w:next w:val="Textocomentario"/>
    <w:link w:val="AsuntodelcomentarioCar"/>
    <w:uiPriority w:val="99"/>
    <w:semiHidden/>
    <w:unhideWhenUsed/>
    <w:rsid w:val="00CE5406"/>
    <w:rPr>
      <w:b/>
      <w:bCs/>
    </w:rPr>
  </w:style>
  <w:style w:type="character" w:customStyle="1" w:styleId="AsuntodelcomentarioCar">
    <w:name w:val="Asunto del comentario Car"/>
    <w:basedOn w:val="TextocomentarioCar"/>
    <w:link w:val="Asuntodelcomentario"/>
    <w:uiPriority w:val="99"/>
    <w:semiHidden/>
    <w:rsid w:val="00CE5406"/>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GT" w:eastAsia="es-G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A70C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70CC"/>
    <w:rPr>
      <w:rFonts w:ascii="Tahoma" w:hAnsi="Tahoma" w:cs="Tahoma"/>
      <w:sz w:val="16"/>
      <w:szCs w:val="16"/>
    </w:rPr>
  </w:style>
  <w:style w:type="table" w:styleId="Tablaconcuadrcula">
    <w:name w:val="Table Grid"/>
    <w:basedOn w:val="Tablanormal"/>
    <w:uiPriority w:val="59"/>
    <w:rsid w:val="002836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C223EC"/>
    <w:pPr>
      <w:ind w:left="720"/>
      <w:contextualSpacing/>
    </w:pPr>
    <w:rPr>
      <w:rFonts w:ascii="Calibri" w:eastAsia="Calibri" w:hAnsi="Calibri" w:cs="Times New Roman"/>
    </w:rPr>
  </w:style>
  <w:style w:type="paragraph" w:styleId="Sinespaciado">
    <w:name w:val="No Spacing"/>
    <w:link w:val="SinespaciadoCar"/>
    <w:uiPriority w:val="1"/>
    <w:qFormat/>
    <w:rsid w:val="009A0B0B"/>
    <w:pPr>
      <w:spacing w:after="0" w:line="240" w:lineRule="auto"/>
    </w:pPr>
  </w:style>
  <w:style w:type="character" w:customStyle="1" w:styleId="SinespaciadoCar">
    <w:name w:val="Sin espaciado Car"/>
    <w:basedOn w:val="Fuentedeprrafopredeter"/>
    <w:link w:val="Sinespaciado"/>
    <w:uiPriority w:val="1"/>
    <w:rsid w:val="009A0B0B"/>
    <w:rPr>
      <w:rFonts w:eastAsiaTheme="minorEastAsia"/>
    </w:rPr>
  </w:style>
  <w:style w:type="character" w:styleId="Hipervnculo">
    <w:name w:val="Hyperlink"/>
    <w:basedOn w:val="Fuentedeprrafopredeter"/>
    <w:uiPriority w:val="99"/>
    <w:unhideWhenUsed/>
    <w:rsid w:val="00736695"/>
    <w:rPr>
      <w:color w:val="0000FF" w:themeColor="hyperlink"/>
      <w:u w:val="single"/>
    </w:rPr>
  </w:style>
  <w:style w:type="paragraph" w:customStyle="1" w:styleId="Default">
    <w:name w:val="Default"/>
    <w:rsid w:val="00D05C0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Encabezado">
    <w:name w:val="header"/>
    <w:basedOn w:val="Normal"/>
    <w:link w:val="EncabezadoCar"/>
    <w:uiPriority w:val="99"/>
    <w:unhideWhenUsed/>
    <w:rsid w:val="00635D5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35D55"/>
  </w:style>
  <w:style w:type="paragraph" w:styleId="Piedepgina">
    <w:name w:val="footer"/>
    <w:basedOn w:val="Normal"/>
    <w:link w:val="PiedepginaCar"/>
    <w:uiPriority w:val="99"/>
    <w:unhideWhenUsed/>
    <w:rsid w:val="00635D5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35D55"/>
  </w:style>
  <w:style w:type="paragraph" w:styleId="Textonotapie">
    <w:name w:val="footnote text"/>
    <w:basedOn w:val="Normal"/>
    <w:link w:val="TextonotapieCar"/>
    <w:uiPriority w:val="99"/>
    <w:unhideWhenUsed/>
    <w:rsid w:val="005C37D7"/>
    <w:pPr>
      <w:spacing w:after="0" w:line="240" w:lineRule="auto"/>
    </w:pPr>
    <w:rPr>
      <w:rFonts w:ascii="Calibri" w:eastAsia="Calibri" w:hAnsi="Calibri" w:cs="Times New Roman"/>
      <w:sz w:val="20"/>
      <w:szCs w:val="20"/>
    </w:rPr>
  </w:style>
  <w:style w:type="character" w:customStyle="1" w:styleId="TextonotapieCar">
    <w:name w:val="Texto nota pie Car"/>
    <w:basedOn w:val="Fuentedeprrafopredeter"/>
    <w:link w:val="Textonotapie"/>
    <w:uiPriority w:val="99"/>
    <w:rsid w:val="005C37D7"/>
    <w:rPr>
      <w:rFonts w:ascii="Calibri" w:eastAsia="Calibri" w:hAnsi="Calibri" w:cs="Times New Roman"/>
      <w:sz w:val="20"/>
      <w:szCs w:val="20"/>
    </w:rPr>
  </w:style>
  <w:style w:type="character" w:styleId="Refdenotaalpie">
    <w:name w:val="footnote reference"/>
    <w:uiPriority w:val="99"/>
    <w:semiHidden/>
    <w:unhideWhenUsed/>
    <w:rsid w:val="005C37D7"/>
    <w:rPr>
      <w:vertAlign w:val="superscript"/>
    </w:rPr>
  </w:style>
  <w:style w:type="paragraph" w:styleId="NormalWeb">
    <w:name w:val="Normal (Web)"/>
    <w:basedOn w:val="Normal"/>
    <w:uiPriority w:val="99"/>
    <w:unhideWhenUsed/>
    <w:rsid w:val="006B06E9"/>
    <w:pPr>
      <w:spacing w:before="100" w:beforeAutospacing="1" w:after="100" w:afterAutospacing="1" w:line="240" w:lineRule="auto"/>
    </w:pPr>
    <w:rPr>
      <w:rFonts w:ascii="Times New Roman" w:eastAsia="Times New Roman" w:hAnsi="Times New Roman" w:cs="Times New Roman"/>
      <w:sz w:val="24"/>
      <w:szCs w:val="24"/>
      <w:lang w:eastAsia="es-ES"/>
    </w:rPr>
  </w:style>
  <w:style w:type="table" w:styleId="Sombreadomedio1-nfasis4">
    <w:name w:val="Medium Shading 1 Accent 4"/>
    <w:basedOn w:val="Tablanormal"/>
    <w:uiPriority w:val="63"/>
    <w:rsid w:val="006B06E9"/>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63"/>
    <w:rsid w:val="00677BFC"/>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Sombreadomedio2-nfasis5">
    <w:name w:val="Medium Shading 2 Accent 5"/>
    <w:basedOn w:val="Tablanormal"/>
    <w:uiPriority w:val="64"/>
    <w:rsid w:val="00AB2108"/>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clara-nfasis2">
    <w:name w:val="Light List Accent 2"/>
    <w:basedOn w:val="Tablanormal"/>
    <w:uiPriority w:val="61"/>
    <w:rsid w:val="0028011B"/>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Epgrafe">
    <w:name w:val="caption"/>
    <w:basedOn w:val="Normal"/>
    <w:next w:val="Normal"/>
    <w:uiPriority w:val="35"/>
    <w:unhideWhenUsed/>
    <w:qFormat/>
    <w:rsid w:val="00C11282"/>
    <w:pPr>
      <w:spacing w:line="240" w:lineRule="auto"/>
    </w:pPr>
    <w:rPr>
      <w:b/>
      <w:bCs/>
      <w:color w:val="4F81BD" w:themeColor="accent1"/>
      <w:sz w:val="18"/>
      <w:szCs w:val="18"/>
    </w:rPr>
  </w:style>
  <w:style w:type="table" w:styleId="Listaclara-nfasis5">
    <w:name w:val="Light List Accent 5"/>
    <w:basedOn w:val="Tablanormal"/>
    <w:uiPriority w:val="61"/>
    <w:rsid w:val="00F84F7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staclara-nfasis6">
    <w:name w:val="Light List Accent 6"/>
    <w:basedOn w:val="Tablanormal"/>
    <w:uiPriority w:val="61"/>
    <w:rsid w:val="001425D3"/>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styleId="Refdecomentario">
    <w:name w:val="annotation reference"/>
    <w:basedOn w:val="Fuentedeprrafopredeter"/>
    <w:uiPriority w:val="99"/>
    <w:semiHidden/>
    <w:unhideWhenUsed/>
    <w:rsid w:val="00CE5406"/>
    <w:rPr>
      <w:sz w:val="16"/>
      <w:szCs w:val="16"/>
    </w:rPr>
  </w:style>
  <w:style w:type="paragraph" w:styleId="Textocomentario">
    <w:name w:val="annotation text"/>
    <w:basedOn w:val="Normal"/>
    <w:link w:val="TextocomentarioCar"/>
    <w:uiPriority w:val="99"/>
    <w:semiHidden/>
    <w:unhideWhenUsed/>
    <w:rsid w:val="00CE540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E5406"/>
    <w:rPr>
      <w:sz w:val="20"/>
      <w:szCs w:val="20"/>
    </w:rPr>
  </w:style>
  <w:style w:type="paragraph" w:styleId="Asuntodelcomentario">
    <w:name w:val="annotation subject"/>
    <w:basedOn w:val="Textocomentario"/>
    <w:next w:val="Textocomentario"/>
    <w:link w:val="AsuntodelcomentarioCar"/>
    <w:uiPriority w:val="99"/>
    <w:semiHidden/>
    <w:unhideWhenUsed/>
    <w:rsid w:val="00CE5406"/>
    <w:rPr>
      <w:b/>
      <w:bCs/>
    </w:rPr>
  </w:style>
  <w:style w:type="character" w:customStyle="1" w:styleId="AsuntodelcomentarioCar">
    <w:name w:val="Asunto del comentario Car"/>
    <w:basedOn w:val="TextocomentarioCar"/>
    <w:link w:val="Asuntodelcomentario"/>
    <w:uiPriority w:val="99"/>
    <w:semiHidden/>
    <w:rsid w:val="00CE540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275778">
      <w:bodyDiv w:val="1"/>
      <w:marLeft w:val="0"/>
      <w:marRight w:val="0"/>
      <w:marTop w:val="0"/>
      <w:marBottom w:val="0"/>
      <w:divBdr>
        <w:top w:val="none" w:sz="0" w:space="0" w:color="auto"/>
        <w:left w:val="none" w:sz="0" w:space="0" w:color="auto"/>
        <w:bottom w:val="none" w:sz="0" w:space="0" w:color="auto"/>
        <w:right w:val="none" w:sz="0" w:space="0" w:color="auto"/>
      </w:divBdr>
    </w:div>
    <w:div w:id="321585962">
      <w:bodyDiv w:val="1"/>
      <w:marLeft w:val="0"/>
      <w:marRight w:val="0"/>
      <w:marTop w:val="0"/>
      <w:marBottom w:val="0"/>
      <w:divBdr>
        <w:top w:val="none" w:sz="0" w:space="0" w:color="auto"/>
        <w:left w:val="none" w:sz="0" w:space="0" w:color="auto"/>
        <w:bottom w:val="none" w:sz="0" w:space="0" w:color="auto"/>
        <w:right w:val="none" w:sz="0" w:space="0" w:color="auto"/>
      </w:divBdr>
    </w:div>
    <w:div w:id="496310985">
      <w:bodyDiv w:val="1"/>
      <w:marLeft w:val="0"/>
      <w:marRight w:val="0"/>
      <w:marTop w:val="0"/>
      <w:marBottom w:val="0"/>
      <w:divBdr>
        <w:top w:val="none" w:sz="0" w:space="0" w:color="auto"/>
        <w:left w:val="none" w:sz="0" w:space="0" w:color="auto"/>
        <w:bottom w:val="none" w:sz="0" w:space="0" w:color="auto"/>
        <w:right w:val="none" w:sz="0" w:space="0" w:color="auto"/>
      </w:divBdr>
      <w:divsChild>
        <w:div w:id="1433671249">
          <w:marLeft w:val="547"/>
          <w:marRight w:val="0"/>
          <w:marTop w:val="0"/>
          <w:marBottom w:val="0"/>
          <w:divBdr>
            <w:top w:val="none" w:sz="0" w:space="0" w:color="auto"/>
            <w:left w:val="none" w:sz="0" w:space="0" w:color="auto"/>
            <w:bottom w:val="none" w:sz="0" w:space="0" w:color="auto"/>
            <w:right w:val="none" w:sz="0" w:space="0" w:color="auto"/>
          </w:divBdr>
        </w:div>
      </w:divsChild>
    </w:div>
    <w:div w:id="649401810">
      <w:bodyDiv w:val="1"/>
      <w:marLeft w:val="0"/>
      <w:marRight w:val="0"/>
      <w:marTop w:val="0"/>
      <w:marBottom w:val="0"/>
      <w:divBdr>
        <w:top w:val="none" w:sz="0" w:space="0" w:color="auto"/>
        <w:left w:val="none" w:sz="0" w:space="0" w:color="auto"/>
        <w:bottom w:val="none" w:sz="0" w:space="0" w:color="auto"/>
        <w:right w:val="none" w:sz="0" w:space="0" w:color="auto"/>
      </w:divBdr>
      <w:divsChild>
        <w:div w:id="442775013">
          <w:marLeft w:val="806"/>
          <w:marRight w:val="0"/>
          <w:marTop w:val="96"/>
          <w:marBottom w:val="0"/>
          <w:divBdr>
            <w:top w:val="none" w:sz="0" w:space="0" w:color="auto"/>
            <w:left w:val="none" w:sz="0" w:space="0" w:color="auto"/>
            <w:bottom w:val="none" w:sz="0" w:space="0" w:color="auto"/>
            <w:right w:val="none" w:sz="0" w:space="0" w:color="auto"/>
          </w:divBdr>
        </w:div>
        <w:div w:id="1355691770">
          <w:marLeft w:val="576"/>
          <w:marRight w:val="0"/>
          <w:marTop w:val="96"/>
          <w:marBottom w:val="0"/>
          <w:divBdr>
            <w:top w:val="none" w:sz="0" w:space="0" w:color="auto"/>
            <w:left w:val="none" w:sz="0" w:space="0" w:color="auto"/>
            <w:bottom w:val="none" w:sz="0" w:space="0" w:color="auto"/>
            <w:right w:val="none" w:sz="0" w:space="0" w:color="auto"/>
          </w:divBdr>
        </w:div>
        <w:div w:id="2095004068">
          <w:marLeft w:val="576"/>
          <w:marRight w:val="0"/>
          <w:marTop w:val="96"/>
          <w:marBottom w:val="0"/>
          <w:divBdr>
            <w:top w:val="none" w:sz="0" w:space="0" w:color="auto"/>
            <w:left w:val="none" w:sz="0" w:space="0" w:color="auto"/>
            <w:bottom w:val="none" w:sz="0" w:space="0" w:color="auto"/>
            <w:right w:val="none" w:sz="0" w:space="0" w:color="auto"/>
          </w:divBdr>
        </w:div>
      </w:divsChild>
    </w:div>
    <w:div w:id="956453608">
      <w:bodyDiv w:val="1"/>
      <w:marLeft w:val="0"/>
      <w:marRight w:val="0"/>
      <w:marTop w:val="0"/>
      <w:marBottom w:val="0"/>
      <w:divBdr>
        <w:top w:val="none" w:sz="0" w:space="0" w:color="auto"/>
        <w:left w:val="none" w:sz="0" w:space="0" w:color="auto"/>
        <w:bottom w:val="none" w:sz="0" w:space="0" w:color="auto"/>
        <w:right w:val="none" w:sz="0" w:space="0" w:color="auto"/>
      </w:divBdr>
      <w:divsChild>
        <w:div w:id="1664813785">
          <w:marLeft w:val="547"/>
          <w:marRight w:val="0"/>
          <w:marTop w:val="0"/>
          <w:marBottom w:val="0"/>
          <w:divBdr>
            <w:top w:val="none" w:sz="0" w:space="0" w:color="auto"/>
            <w:left w:val="none" w:sz="0" w:space="0" w:color="auto"/>
            <w:bottom w:val="none" w:sz="0" w:space="0" w:color="auto"/>
            <w:right w:val="none" w:sz="0" w:space="0" w:color="auto"/>
          </w:divBdr>
        </w:div>
      </w:divsChild>
    </w:div>
    <w:div w:id="1487554881">
      <w:bodyDiv w:val="1"/>
      <w:marLeft w:val="0"/>
      <w:marRight w:val="0"/>
      <w:marTop w:val="0"/>
      <w:marBottom w:val="0"/>
      <w:divBdr>
        <w:top w:val="none" w:sz="0" w:space="0" w:color="auto"/>
        <w:left w:val="none" w:sz="0" w:space="0" w:color="auto"/>
        <w:bottom w:val="none" w:sz="0" w:space="0" w:color="auto"/>
        <w:right w:val="none" w:sz="0" w:space="0" w:color="auto"/>
      </w:divBdr>
      <w:divsChild>
        <w:div w:id="1145929222">
          <w:marLeft w:val="547"/>
          <w:marRight w:val="0"/>
          <w:marTop w:val="0"/>
          <w:marBottom w:val="0"/>
          <w:divBdr>
            <w:top w:val="none" w:sz="0" w:space="0" w:color="auto"/>
            <w:left w:val="none" w:sz="0" w:space="0" w:color="auto"/>
            <w:bottom w:val="none" w:sz="0" w:space="0" w:color="auto"/>
            <w:right w:val="none" w:sz="0" w:space="0" w:color="auto"/>
          </w:divBdr>
        </w:div>
      </w:divsChild>
    </w:div>
    <w:div w:id="1681470522">
      <w:bodyDiv w:val="1"/>
      <w:marLeft w:val="0"/>
      <w:marRight w:val="0"/>
      <w:marTop w:val="0"/>
      <w:marBottom w:val="0"/>
      <w:divBdr>
        <w:top w:val="none" w:sz="0" w:space="0" w:color="auto"/>
        <w:left w:val="none" w:sz="0" w:space="0" w:color="auto"/>
        <w:bottom w:val="none" w:sz="0" w:space="0" w:color="auto"/>
        <w:right w:val="none" w:sz="0" w:space="0" w:color="auto"/>
      </w:divBdr>
      <w:divsChild>
        <w:div w:id="695543770">
          <w:marLeft w:val="547"/>
          <w:marRight w:val="0"/>
          <w:marTop w:val="0"/>
          <w:marBottom w:val="0"/>
          <w:divBdr>
            <w:top w:val="none" w:sz="0" w:space="0" w:color="auto"/>
            <w:left w:val="none" w:sz="0" w:space="0" w:color="auto"/>
            <w:bottom w:val="none" w:sz="0" w:space="0" w:color="auto"/>
            <w:right w:val="none" w:sz="0" w:space="0" w:color="auto"/>
          </w:divBdr>
        </w:div>
      </w:divsChild>
    </w:div>
    <w:div w:id="1733501185">
      <w:bodyDiv w:val="1"/>
      <w:marLeft w:val="0"/>
      <w:marRight w:val="0"/>
      <w:marTop w:val="0"/>
      <w:marBottom w:val="0"/>
      <w:divBdr>
        <w:top w:val="none" w:sz="0" w:space="0" w:color="auto"/>
        <w:left w:val="none" w:sz="0" w:space="0" w:color="auto"/>
        <w:bottom w:val="none" w:sz="0" w:space="0" w:color="auto"/>
        <w:right w:val="none" w:sz="0" w:space="0" w:color="auto"/>
      </w:divBdr>
    </w:div>
    <w:div w:id="1776248103">
      <w:bodyDiv w:val="1"/>
      <w:marLeft w:val="0"/>
      <w:marRight w:val="0"/>
      <w:marTop w:val="0"/>
      <w:marBottom w:val="0"/>
      <w:divBdr>
        <w:top w:val="none" w:sz="0" w:space="0" w:color="auto"/>
        <w:left w:val="none" w:sz="0" w:space="0" w:color="auto"/>
        <w:bottom w:val="none" w:sz="0" w:space="0" w:color="auto"/>
        <w:right w:val="none" w:sz="0" w:space="0" w:color="auto"/>
      </w:divBdr>
      <w:divsChild>
        <w:div w:id="1476755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117" Type="http://schemas.openxmlformats.org/officeDocument/2006/relationships/diagramQuickStyle" Target="diagrams/quickStyle14.xml"/><Relationship Id="rId21" Type="http://schemas.openxmlformats.org/officeDocument/2006/relationships/image" Target="media/image9.emf"/><Relationship Id="rId42" Type="http://schemas.openxmlformats.org/officeDocument/2006/relationships/chart" Target="charts/chart10.xml"/><Relationship Id="rId47" Type="http://schemas.microsoft.com/office/2007/relationships/diagramDrawing" Target="diagrams/drawing4.xml"/><Relationship Id="rId63" Type="http://schemas.openxmlformats.org/officeDocument/2006/relationships/image" Target="media/image22.png"/><Relationship Id="rId68" Type="http://schemas.openxmlformats.org/officeDocument/2006/relationships/diagramData" Target="diagrams/data6.xml"/><Relationship Id="rId84" Type="http://schemas.openxmlformats.org/officeDocument/2006/relationships/diagramLayout" Target="diagrams/layout8.xml"/><Relationship Id="rId89" Type="http://schemas.openxmlformats.org/officeDocument/2006/relationships/diagramLayout" Target="diagrams/layout9.xml"/><Relationship Id="rId112" Type="http://schemas.openxmlformats.org/officeDocument/2006/relationships/diagramQuickStyle" Target="diagrams/quickStyle13.xml"/><Relationship Id="rId133" Type="http://schemas.openxmlformats.org/officeDocument/2006/relationships/diagramColors" Target="diagrams/colors17.xml"/><Relationship Id="rId138" Type="http://schemas.openxmlformats.org/officeDocument/2006/relationships/diagramColors" Target="diagrams/colors18.xml"/><Relationship Id="rId154" Type="http://schemas.openxmlformats.org/officeDocument/2006/relationships/diagramQuickStyle" Target="diagrams/quickStyle21.xml"/><Relationship Id="rId159" Type="http://schemas.openxmlformats.org/officeDocument/2006/relationships/diagramQuickStyle" Target="diagrams/quickStyle22.xml"/><Relationship Id="rId16" Type="http://schemas.openxmlformats.org/officeDocument/2006/relationships/diagramData" Target="diagrams/data1.xml"/><Relationship Id="rId107" Type="http://schemas.openxmlformats.org/officeDocument/2006/relationships/diagramQuickStyle" Target="diagrams/quickStyle12.xml"/><Relationship Id="rId11" Type="http://schemas.openxmlformats.org/officeDocument/2006/relationships/image" Target="media/image4.emf"/><Relationship Id="rId32" Type="http://schemas.microsoft.com/office/2007/relationships/diagramDrawing" Target="diagrams/drawing2.xml"/><Relationship Id="rId37" Type="http://schemas.openxmlformats.org/officeDocument/2006/relationships/diagramQuickStyle" Target="diagrams/quickStyle3.xml"/><Relationship Id="rId53" Type="http://schemas.openxmlformats.org/officeDocument/2006/relationships/chart" Target="charts/chart13.xml"/><Relationship Id="rId58" Type="http://schemas.openxmlformats.org/officeDocument/2006/relationships/diagramColors" Target="diagrams/colors5.xml"/><Relationship Id="rId74" Type="http://schemas.openxmlformats.org/officeDocument/2006/relationships/hyperlink" Target="http://www.minfin.gob.gt/index.php/formulacion-presupuestaria" TargetMode="External"/><Relationship Id="rId79" Type="http://schemas.openxmlformats.org/officeDocument/2006/relationships/diagramQuickStyle" Target="diagrams/quickStyle7.xml"/><Relationship Id="rId102" Type="http://schemas.openxmlformats.org/officeDocument/2006/relationships/diagramQuickStyle" Target="diagrams/quickStyle11.xml"/><Relationship Id="rId123" Type="http://schemas.openxmlformats.org/officeDocument/2006/relationships/diagramColors" Target="diagrams/colors15.xml"/><Relationship Id="rId128" Type="http://schemas.openxmlformats.org/officeDocument/2006/relationships/diagramColors" Target="diagrams/colors16.xml"/><Relationship Id="rId144" Type="http://schemas.microsoft.com/office/2007/relationships/diagramDrawing" Target="diagrams/drawing19.xml"/><Relationship Id="rId149" Type="http://schemas.microsoft.com/office/2007/relationships/diagramDrawing" Target="diagrams/drawing20.xml"/><Relationship Id="rId5" Type="http://schemas.microsoft.com/office/2007/relationships/stylesWithEffects" Target="stylesWithEffects.xml"/><Relationship Id="rId90" Type="http://schemas.openxmlformats.org/officeDocument/2006/relationships/diagramQuickStyle" Target="diagrams/quickStyle9.xml"/><Relationship Id="rId95" Type="http://schemas.openxmlformats.org/officeDocument/2006/relationships/diagramData" Target="diagrams/data10.xml"/><Relationship Id="rId160" Type="http://schemas.openxmlformats.org/officeDocument/2006/relationships/diagramColors" Target="diagrams/colors22.xml"/><Relationship Id="rId165" Type="http://schemas.openxmlformats.org/officeDocument/2006/relationships/theme" Target="theme/theme1.xml"/><Relationship Id="rId22" Type="http://schemas.openxmlformats.org/officeDocument/2006/relationships/chart" Target="charts/chart1.xml"/><Relationship Id="rId27" Type="http://schemas.openxmlformats.org/officeDocument/2006/relationships/chart" Target="charts/chart6.xml"/><Relationship Id="rId43" Type="http://schemas.openxmlformats.org/officeDocument/2006/relationships/diagramData" Target="diagrams/data4.xml"/><Relationship Id="rId48" Type="http://schemas.openxmlformats.org/officeDocument/2006/relationships/image" Target="media/image14.emf"/><Relationship Id="rId64" Type="http://schemas.openxmlformats.org/officeDocument/2006/relationships/chart" Target="charts/chart16.xml"/><Relationship Id="rId69" Type="http://schemas.openxmlformats.org/officeDocument/2006/relationships/diagramLayout" Target="diagrams/layout6.xml"/><Relationship Id="rId113" Type="http://schemas.openxmlformats.org/officeDocument/2006/relationships/diagramColors" Target="diagrams/colors13.xml"/><Relationship Id="rId118" Type="http://schemas.openxmlformats.org/officeDocument/2006/relationships/diagramColors" Target="diagrams/colors14.xml"/><Relationship Id="rId134" Type="http://schemas.microsoft.com/office/2007/relationships/diagramDrawing" Target="diagrams/drawing17.xml"/><Relationship Id="rId139" Type="http://schemas.microsoft.com/office/2007/relationships/diagramDrawing" Target="diagrams/drawing18.xml"/><Relationship Id="rId80" Type="http://schemas.openxmlformats.org/officeDocument/2006/relationships/diagramColors" Target="diagrams/colors7.xml"/><Relationship Id="rId85" Type="http://schemas.openxmlformats.org/officeDocument/2006/relationships/diagramQuickStyle" Target="diagrams/quickStyle8.xml"/><Relationship Id="rId150" Type="http://schemas.openxmlformats.org/officeDocument/2006/relationships/image" Target="media/image49.jpeg"/><Relationship Id="rId155" Type="http://schemas.openxmlformats.org/officeDocument/2006/relationships/diagramColors" Target="diagrams/colors21.xml"/><Relationship Id="rId12" Type="http://schemas.openxmlformats.org/officeDocument/2006/relationships/image" Target="media/image5.jpeg"/><Relationship Id="rId17" Type="http://schemas.openxmlformats.org/officeDocument/2006/relationships/diagramLayout" Target="diagrams/layout1.xml"/><Relationship Id="rId33" Type="http://schemas.openxmlformats.org/officeDocument/2006/relationships/image" Target="media/image11.png"/><Relationship Id="rId38" Type="http://schemas.openxmlformats.org/officeDocument/2006/relationships/diagramColors" Target="diagrams/colors3.xml"/><Relationship Id="rId59" Type="http://schemas.microsoft.com/office/2007/relationships/diagramDrawing" Target="diagrams/drawing5.xml"/><Relationship Id="rId103" Type="http://schemas.openxmlformats.org/officeDocument/2006/relationships/diagramColors" Target="diagrams/colors11.xml"/><Relationship Id="rId108" Type="http://schemas.openxmlformats.org/officeDocument/2006/relationships/diagramColors" Target="diagrams/colors12.xml"/><Relationship Id="rId124" Type="http://schemas.microsoft.com/office/2007/relationships/diagramDrawing" Target="diagrams/drawing15.xml"/><Relationship Id="rId129" Type="http://schemas.microsoft.com/office/2007/relationships/diagramDrawing" Target="diagrams/drawing16.xml"/><Relationship Id="rId54" Type="http://schemas.openxmlformats.org/officeDocument/2006/relationships/image" Target="media/image18.emf"/><Relationship Id="rId70" Type="http://schemas.openxmlformats.org/officeDocument/2006/relationships/diagramQuickStyle" Target="diagrams/quickStyle6.xml"/><Relationship Id="rId75" Type="http://schemas.openxmlformats.org/officeDocument/2006/relationships/hyperlink" Target="http://presupuestoabierto.gt/" TargetMode="External"/><Relationship Id="rId91" Type="http://schemas.openxmlformats.org/officeDocument/2006/relationships/diagramColors" Target="diagrams/colors9.xml"/><Relationship Id="rId96" Type="http://schemas.openxmlformats.org/officeDocument/2006/relationships/diagramLayout" Target="diagrams/layout10.xml"/><Relationship Id="rId140" Type="http://schemas.openxmlformats.org/officeDocument/2006/relationships/diagramData" Target="diagrams/data19.xml"/><Relationship Id="rId145" Type="http://schemas.openxmlformats.org/officeDocument/2006/relationships/diagramData" Target="diagrams/data20.xml"/><Relationship Id="rId161" Type="http://schemas.microsoft.com/office/2007/relationships/diagramDrawing" Target="diagrams/drawing2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chart" Target="charts/chart2.xml"/><Relationship Id="rId28" Type="http://schemas.openxmlformats.org/officeDocument/2006/relationships/diagramData" Target="diagrams/data2.xml"/><Relationship Id="rId36" Type="http://schemas.openxmlformats.org/officeDocument/2006/relationships/diagramLayout" Target="diagrams/layout3.xml"/><Relationship Id="rId49" Type="http://schemas.openxmlformats.org/officeDocument/2006/relationships/image" Target="media/image15.png"/><Relationship Id="rId57" Type="http://schemas.openxmlformats.org/officeDocument/2006/relationships/diagramQuickStyle" Target="diagrams/quickStyle5.xml"/><Relationship Id="rId106" Type="http://schemas.openxmlformats.org/officeDocument/2006/relationships/diagramLayout" Target="diagrams/layout12.xml"/><Relationship Id="rId114" Type="http://schemas.microsoft.com/office/2007/relationships/diagramDrawing" Target="diagrams/drawing13.xml"/><Relationship Id="rId119" Type="http://schemas.microsoft.com/office/2007/relationships/diagramDrawing" Target="diagrams/drawing14.xml"/><Relationship Id="rId127" Type="http://schemas.openxmlformats.org/officeDocument/2006/relationships/diagramQuickStyle" Target="diagrams/quickStyle16.xml"/><Relationship Id="rId10" Type="http://schemas.openxmlformats.org/officeDocument/2006/relationships/image" Target="media/image3.emf"/><Relationship Id="rId31" Type="http://schemas.openxmlformats.org/officeDocument/2006/relationships/diagramColors" Target="diagrams/colors2.xml"/><Relationship Id="rId44" Type="http://schemas.openxmlformats.org/officeDocument/2006/relationships/diagramLayout" Target="diagrams/layout4.xml"/><Relationship Id="rId52" Type="http://schemas.openxmlformats.org/officeDocument/2006/relationships/image" Target="media/image17.gif"/><Relationship Id="rId60" Type="http://schemas.openxmlformats.org/officeDocument/2006/relationships/chart" Target="charts/chart14.xml"/><Relationship Id="rId65" Type="http://schemas.openxmlformats.org/officeDocument/2006/relationships/image" Target="media/image23.png"/><Relationship Id="rId73" Type="http://schemas.openxmlformats.org/officeDocument/2006/relationships/image" Target="media/image26.emf"/><Relationship Id="rId78" Type="http://schemas.openxmlformats.org/officeDocument/2006/relationships/diagramLayout" Target="diagrams/layout7.xml"/><Relationship Id="rId81" Type="http://schemas.microsoft.com/office/2007/relationships/diagramDrawing" Target="diagrams/drawing7.xml"/><Relationship Id="rId86" Type="http://schemas.openxmlformats.org/officeDocument/2006/relationships/diagramColors" Target="diagrams/colors8.xml"/><Relationship Id="rId94" Type="http://schemas.openxmlformats.org/officeDocument/2006/relationships/image" Target="media/image34.emf"/><Relationship Id="rId99" Type="http://schemas.microsoft.com/office/2007/relationships/diagramDrawing" Target="diagrams/drawing10.xml"/><Relationship Id="rId101" Type="http://schemas.openxmlformats.org/officeDocument/2006/relationships/diagramLayout" Target="diagrams/layout11.xml"/><Relationship Id="rId122" Type="http://schemas.openxmlformats.org/officeDocument/2006/relationships/diagramQuickStyle" Target="diagrams/quickStyle15.xml"/><Relationship Id="rId130" Type="http://schemas.openxmlformats.org/officeDocument/2006/relationships/diagramData" Target="diagrams/data17.xml"/><Relationship Id="rId135" Type="http://schemas.openxmlformats.org/officeDocument/2006/relationships/diagramData" Target="diagrams/data18.xml"/><Relationship Id="rId143" Type="http://schemas.openxmlformats.org/officeDocument/2006/relationships/diagramColors" Target="diagrams/colors19.xml"/><Relationship Id="rId148" Type="http://schemas.openxmlformats.org/officeDocument/2006/relationships/diagramColors" Target="diagrams/colors20.xml"/><Relationship Id="rId151" Type="http://schemas.openxmlformats.org/officeDocument/2006/relationships/image" Target="media/image50.emf"/><Relationship Id="rId156" Type="http://schemas.microsoft.com/office/2007/relationships/diagramDrawing" Target="diagrams/drawing21.xml"/><Relationship Id="rId16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yperlink" Target="http://www.minfin.gob.gt/index.php/presupuestos-aprobados" TargetMode="External"/><Relationship Id="rId18" Type="http://schemas.openxmlformats.org/officeDocument/2006/relationships/diagramQuickStyle" Target="diagrams/quickStyle1.xml"/><Relationship Id="rId39" Type="http://schemas.microsoft.com/office/2007/relationships/diagramDrawing" Target="diagrams/drawing3.xml"/><Relationship Id="rId109" Type="http://schemas.microsoft.com/office/2007/relationships/diagramDrawing" Target="diagrams/drawing12.xml"/><Relationship Id="rId34" Type="http://schemas.openxmlformats.org/officeDocument/2006/relationships/chart" Target="charts/chart7.xml"/><Relationship Id="rId50" Type="http://schemas.openxmlformats.org/officeDocument/2006/relationships/chart" Target="charts/chart11.xml"/><Relationship Id="rId55" Type="http://schemas.openxmlformats.org/officeDocument/2006/relationships/diagramData" Target="diagrams/data5.xml"/><Relationship Id="rId76" Type="http://schemas.openxmlformats.org/officeDocument/2006/relationships/hyperlink" Target="http://www.minfin.gob.gt/index.php/?option=com_content&amp;view=article&amp;id=3509&amp;Itemid=430" TargetMode="External"/><Relationship Id="rId97" Type="http://schemas.openxmlformats.org/officeDocument/2006/relationships/diagramQuickStyle" Target="diagrams/quickStyle10.xml"/><Relationship Id="rId104" Type="http://schemas.microsoft.com/office/2007/relationships/diagramDrawing" Target="diagrams/drawing11.xml"/><Relationship Id="rId120" Type="http://schemas.openxmlformats.org/officeDocument/2006/relationships/diagramData" Target="diagrams/data15.xml"/><Relationship Id="rId125" Type="http://schemas.openxmlformats.org/officeDocument/2006/relationships/diagramData" Target="diagrams/data16.xml"/><Relationship Id="rId141" Type="http://schemas.openxmlformats.org/officeDocument/2006/relationships/diagramLayout" Target="diagrams/layout19.xml"/><Relationship Id="rId146" Type="http://schemas.openxmlformats.org/officeDocument/2006/relationships/diagramLayout" Target="diagrams/layout20.xml"/><Relationship Id="rId7" Type="http://schemas.openxmlformats.org/officeDocument/2006/relationships/webSettings" Target="webSettings.xml"/><Relationship Id="rId71" Type="http://schemas.openxmlformats.org/officeDocument/2006/relationships/diagramColors" Target="diagrams/colors6.xml"/><Relationship Id="rId92" Type="http://schemas.microsoft.com/office/2007/relationships/diagramDrawing" Target="diagrams/drawing9.xml"/><Relationship Id="rId162"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diagramLayout" Target="diagrams/layout2.xml"/><Relationship Id="rId24" Type="http://schemas.openxmlformats.org/officeDocument/2006/relationships/chart" Target="charts/chart3.xml"/><Relationship Id="rId40" Type="http://schemas.openxmlformats.org/officeDocument/2006/relationships/chart" Target="charts/chart8.xml"/><Relationship Id="rId45" Type="http://schemas.openxmlformats.org/officeDocument/2006/relationships/diagramQuickStyle" Target="diagrams/quickStyle4.xml"/><Relationship Id="rId66" Type="http://schemas.openxmlformats.org/officeDocument/2006/relationships/image" Target="media/image24.emf"/><Relationship Id="rId87" Type="http://schemas.microsoft.com/office/2007/relationships/diagramDrawing" Target="diagrams/drawing8.xml"/><Relationship Id="rId110" Type="http://schemas.openxmlformats.org/officeDocument/2006/relationships/diagramData" Target="diagrams/data13.xml"/><Relationship Id="rId115" Type="http://schemas.openxmlformats.org/officeDocument/2006/relationships/diagramData" Target="diagrams/data14.xml"/><Relationship Id="rId131" Type="http://schemas.openxmlformats.org/officeDocument/2006/relationships/diagramLayout" Target="diagrams/layout17.xml"/><Relationship Id="rId136" Type="http://schemas.openxmlformats.org/officeDocument/2006/relationships/diagramLayout" Target="diagrams/layout18.xml"/><Relationship Id="rId157" Type="http://schemas.openxmlformats.org/officeDocument/2006/relationships/diagramData" Target="diagrams/data22.xml"/><Relationship Id="rId61" Type="http://schemas.openxmlformats.org/officeDocument/2006/relationships/image" Target="media/image21.png"/><Relationship Id="rId82" Type="http://schemas.openxmlformats.org/officeDocument/2006/relationships/image" Target="media/image27.emf"/><Relationship Id="rId152" Type="http://schemas.openxmlformats.org/officeDocument/2006/relationships/diagramData" Target="diagrams/data21.xml"/><Relationship Id="rId19" Type="http://schemas.openxmlformats.org/officeDocument/2006/relationships/diagramColors" Target="diagrams/colors1.xml"/><Relationship Id="rId14" Type="http://schemas.openxmlformats.org/officeDocument/2006/relationships/image" Target="media/image6.jpeg"/><Relationship Id="rId30" Type="http://schemas.openxmlformats.org/officeDocument/2006/relationships/diagramQuickStyle" Target="diagrams/quickStyle2.xml"/><Relationship Id="rId35" Type="http://schemas.openxmlformats.org/officeDocument/2006/relationships/diagramData" Target="diagrams/data3.xml"/><Relationship Id="rId56" Type="http://schemas.openxmlformats.org/officeDocument/2006/relationships/diagramLayout" Target="diagrams/layout5.xml"/><Relationship Id="rId77" Type="http://schemas.openxmlformats.org/officeDocument/2006/relationships/diagramData" Target="diagrams/data7.xml"/><Relationship Id="rId100" Type="http://schemas.openxmlformats.org/officeDocument/2006/relationships/diagramData" Target="diagrams/data11.xml"/><Relationship Id="rId105" Type="http://schemas.openxmlformats.org/officeDocument/2006/relationships/diagramData" Target="diagrams/data12.xml"/><Relationship Id="rId126" Type="http://schemas.openxmlformats.org/officeDocument/2006/relationships/diagramLayout" Target="diagrams/layout16.xml"/><Relationship Id="rId147" Type="http://schemas.openxmlformats.org/officeDocument/2006/relationships/diagramQuickStyle" Target="diagrams/quickStyle20.xml"/><Relationship Id="rId8" Type="http://schemas.openxmlformats.org/officeDocument/2006/relationships/footnotes" Target="footnotes.xml"/><Relationship Id="rId51" Type="http://schemas.openxmlformats.org/officeDocument/2006/relationships/chart" Target="charts/chart12.xml"/><Relationship Id="rId72" Type="http://schemas.microsoft.com/office/2007/relationships/diagramDrawing" Target="diagrams/drawing6.xml"/><Relationship Id="rId93" Type="http://schemas.openxmlformats.org/officeDocument/2006/relationships/image" Target="media/image33.png"/><Relationship Id="rId98" Type="http://schemas.openxmlformats.org/officeDocument/2006/relationships/diagramColors" Target="diagrams/colors10.xml"/><Relationship Id="rId121" Type="http://schemas.openxmlformats.org/officeDocument/2006/relationships/diagramLayout" Target="diagrams/layout15.xml"/><Relationship Id="rId142" Type="http://schemas.openxmlformats.org/officeDocument/2006/relationships/diagramQuickStyle" Target="diagrams/quickStyle19.xml"/><Relationship Id="rId163" Type="http://schemas.openxmlformats.org/officeDocument/2006/relationships/footer" Target="footer1.xml"/><Relationship Id="rId3" Type="http://schemas.openxmlformats.org/officeDocument/2006/relationships/numbering" Target="numbering.xml"/><Relationship Id="rId25" Type="http://schemas.openxmlformats.org/officeDocument/2006/relationships/chart" Target="charts/chart4.xml"/><Relationship Id="rId46" Type="http://schemas.openxmlformats.org/officeDocument/2006/relationships/diagramColors" Target="diagrams/colors4.xml"/><Relationship Id="rId67" Type="http://schemas.openxmlformats.org/officeDocument/2006/relationships/image" Target="media/image25.emf"/><Relationship Id="rId116" Type="http://schemas.openxmlformats.org/officeDocument/2006/relationships/diagramLayout" Target="diagrams/layout14.xml"/><Relationship Id="rId137" Type="http://schemas.openxmlformats.org/officeDocument/2006/relationships/diagramQuickStyle" Target="diagrams/quickStyle18.xml"/><Relationship Id="rId158" Type="http://schemas.openxmlformats.org/officeDocument/2006/relationships/diagramLayout" Target="diagrams/layout22.xml"/><Relationship Id="rId20" Type="http://schemas.microsoft.com/office/2007/relationships/diagramDrawing" Target="diagrams/drawing1.xml"/><Relationship Id="rId41" Type="http://schemas.openxmlformats.org/officeDocument/2006/relationships/chart" Target="charts/chart9.xml"/><Relationship Id="rId62" Type="http://schemas.openxmlformats.org/officeDocument/2006/relationships/chart" Target="charts/chart15.xml"/><Relationship Id="rId83" Type="http://schemas.openxmlformats.org/officeDocument/2006/relationships/diagramData" Target="diagrams/data8.xml"/><Relationship Id="rId88" Type="http://schemas.openxmlformats.org/officeDocument/2006/relationships/diagramData" Target="diagrams/data9.xml"/><Relationship Id="rId111" Type="http://schemas.openxmlformats.org/officeDocument/2006/relationships/diagramLayout" Target="diagrams/layout13.xml"/><Relationship Id="rId132" Type="http://schemas.openxmlformats.org/officeDocument/2006/relationships/diagramQuickStyle" Target="diagrams/quickStyle17.xml"/><Relationship Id="rId153" Type="http://schemas.openxmlformats.org/officeDocument/2006/relationships/diagramLayout" Target="diagrams/layout21.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deefoper18\AppData\Local\Microsoft\Windows\Temporary%20Internet%20Files\Content.Outlook\0P2JAKGA\2019%20Escenario%20macro%20(varias%20variables).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Users\deefoper18\AppData\Local\Microsoft\Windows\Temporary%20Internet%20Files\Content.Outlook\0P2JAKGA\2019-Llibreta%20datos%20para%20Presupuesto%20ciudadano%20aprobado.xls"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Users\deefoper18\Desktop\Copia%20de%202019-Llibreta%20datos%20para%20Presupuesto%20ciudadano%20aprobado%20con%20ajustes%20en%20las%20gr&#225;ficas.xls"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C:\Users\deefoper18\Desktop\Copia%20de%202019-Llibreta%20datos%20para%20Presupuesto%20ciudadano%20aprobado%20con%20ajustes%20en%20las%20gr&#225;ficas.xls"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C:\Users\deefoper18\Desktop\Copia%20de%202019-Llibreta%20datos%20para%20Presupuesto%20ciudadano%20aprobado%20con%20ajustes%20en%20las%20gr&#225;ficas.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deefoper18\Desktop\Copia%20de%202019-Llibreta%20datos%20para%20Presupuesto%20ciudadano%20aprobado%20con%20ajustes%20en%20las%20gr&#225;ficas.xls"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C:\Users\deefoper18\Desktop\2019-%20Aportes%20constitucionales%20y%20otros%20%20Ppto%20Ciudadano%20aprobado%20con%20ajustes%20en%20las%20gr&#225;ficas.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deefoper18\Desktop\2019-%20Aportes%20constitucionales%20y%20otros%20%20Ppto%20Ciudadano%20aprobado%20con%20ajustes%20en%20las%20gr&#225;ficas.xls"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deefoper18\AppData\Local\Microsoft\Windows\Temporary%20Internet%20Files\Content.Outlook\0P2JAKGA\2019%20Escenario%20macro%20(varias%20variables).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deefoper18\AppData\Local\Microsoft\Windows\Temporary%20Internet%20Files\Content.Outlook\0P2JAKGA\2019%20Escenario%20macro%20(varias%20variables).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deefoper18\AppData\Local\Microsoft\Windows\Temporary%20Internet%20Files\Content.Outlook\0P2JAKGA\2019%20Escenario%20macro%20(varias%20variables).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deefoper18\AppData\Local\Microsoft\Windows\Temporary%20Internet%20Files\Content.Outlook\0P2JAKGA\2019%20Escenario%20macro%20(varias%20variables).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deefoper18\Desktop\Copia%20de%202019%20Escenario%20macro%20(varias%20variables)%20con%20ajustes%20en%20las%20gr&#225;fica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deefoper18\Desktop\Copia%20de%202019%20Escenario%20macro%20(varias%20variables)%20con%20ajustes%20en%20las%20gr&#225;ficas.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Users\deefoper18\Desktop\2019-Ingresos%20con%20ajustes%20en%20las%20gr&#225;ficas.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Users\deefoper18\Desktop\2019-Ingresos%20con%20ajustes%20en%20las%20gr&#225;fica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50"/>
            </a:pPr>
            <a:r>
              <a:rPr lang="en-US" sz="1050"/>
              <a:t>Tasa real de crecimiento de la economía de Guatemala</a:t>
            </a:r>
          </a:p>
        </c:rich>
      </c:tx>
      <c:layout>
        <c:manualLayout>
          <c:xMode val="edge"/>
          <c:yMode val="edge"/>
          <c:x val="0.1785689599885987"/>
          <c:y val="0"/>
        </c:manualLayout>
      </c:layout>
      <c:overlay val="0"/>
    </c:title>
    <c:autoTitleDeleted val="0"/>
    <c:plotArea>
      <c:layout>
        <c:manualLayout>
          <c:layoutTarget val="inner"/>
          <c:xMode val="edge"/>
          <c:yMode val="edge"/>
          <c:x val="9.6324568390254675E-2"/>
          <c:y val="0.14779357840305557"/>
          <c:w val="0.86973634517404785"/>
          <c:h val="0.6807975473308816"/>
        </c:manualLayout>
      </c:layout>
      <c:barChart>
        <c:barDir val="col"/>
        <c:grouping val="clustered"/>
        <c:varyColors val="1"/>
        <c:ser>
          <c:idx val="0"/>
          <c:order val="0"/>
          <c:spPr>
            <a:effectLst>
              <a:outerShdw blurRad="40000" dist="23000" dir="5400000" rotWithShape="0">
                <a:srgbClr val="996600">
                  <a:alpha val="34902"/>
                </a:srgbClr>
              </a:outerShdw>
            </a:effectLst>
          </c:spPr>
          <c:invertIfNegative val="0"/>
          <c:dLbls>
            <c:txPr>
              <a:bodyPr/>
              <a:lstStyle/>
              <a:p>
                <a:pPr>
                  <a:defRPr sz="700"/>
                </a:pPr>
                <a:endParaRPr lang="es-GT"/>
              </a:p>
            </c:txPr>
            <c:showLegendKey val="0"/>
            <c:showVal val="1"/>
            <c:showCatName val="0"/>
            <c:showSerName val="0"/>
            <c:showPercent val="0"/>
            <c:showBubbleSize val="0"/>
            <c:showLeaderLines val="0"/>
          </c:dLbls>
          <c:cat>
            <c:strRef>
              <c:f>'Escenario Macro'!$B$35:$M$35</c:f>
              <c:strCach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strCache>
            </c:strRef>
          </c:cat>
          <c:val>
            <c:numRef>
              <c:f>'Escenario Macro'!$B$36:$M$36</c:f>
              <c:numCache>
                <c:formatCode>0.0</c:formatCode>
                <c:ptCount val="12"/>
                <c:pt idx="0">
                  <c:v>3.3</c:v>
                </c:pt>
                <c:pt idx="1">
                  <c:v>0.5</c:v>
                </c:pt>
                <c:pt idx="2">
                  <c:v>2.9</c:v>
                </c:pt>
                <c:pt idx="3">
                  <c:v>4.2</c:v>
                </c:pt>
                <c:pt idx="4">
                  <c:v>3</c:v>
                </c:pt>
                <c:pt idx="5">
                  <c:v>3.7</c:v>
                </c:pt>
                <c:pt idx="6">
                  <c:v>4.2</c:v>
                </c:pt>
                <c:pt idx="7">
                  <c:v>4.0999999999999996</c:v>
                </c:pt>
                <c:pt idx="8">
                  <c:v>3.1</c:v>
                </c:pt>
                <c:pt idx="9">
                  <c:v>2.8</c:v>
                </c:pt>
                <c:pt idx="10">
                  <c:v>3</c:v>
                </c:pt>
                <c:pt idx="11">
                  <c:v>3</c:v>
                </c:pt>
              </c:numCache>
            </c:numRef>
          </c:val>
        </c:ser>
        <c:dLbls>
          <c:showLegendKey val="0"/>
          <c:showVal val="0"/>
          <c:showCatName val="0"/>
          <c:showSerName val="0"/>
          <c:showPercent val="0"/>
          <c:showBubbleSize val="0"/>
        </c:dLbls>
        <c:gapWidth val="75"/>
        <c:axId val="134518272"/>
        <c:axId val="134519808"/>
      </c:barChart>
      <c:catAx>
        <c:axId val="134518272"/>
        <c:scaling>
          <c:orientation val="minMax"/>
        </c:scaling>
        <c:delete val="0"/>
        <c:axPos val="b"/>
        <c:numFmt formatCode="General" sourceLinked="1"/>
        <c:majorTickMark val="none"/>
        <c:minorTickMark val="none"/>
        <c:tickLblPos val="nextTo"/>
        <c:txPr>
          <a:bodyPr rot="0" vert="horz"/>
          <a:lstStyle/>
          <a:p>
            <a:pPr>
              <a:defRPr sz="900"/>
            </a:pPr>
            <a:endParaRPr lang="es-GT"/>
          </a:p>
        </c:txPr>
        <c:crossAx val="134519808"/>
        <c:crosses val="autoZero"/>
        <c:auto val="1"/>
        <c:lblAlgn val="ctr"/>
        <c:lblOffset val="100"/>
        <c:noMultiLvlLbl val="0"/>
      </c:catAx>
      <c:valAx>
        <c:axId val="134519808"/>
        <c:scaling>
          <c:orientation val="minMax"/>
        </c:scaling>
        <c:delete val="0"/>
        <c:axPos val="l"/>
        <c:title>
          <c:tx>
            <c:rich>
              <a:bodyPr rot="-5400000" vert="horz"/>
              <a:lstStyle/>
              <a:p>
                <a:pPr>
                  <a:defRPr sz="900"/>
                </a:pPr>
                <a:r>
                  <a:rPr lang="es-GT" sz="900"/>
                  <a:t>Porcentaje </a:t>
                </a:r>
              </a:p>
            </c:rich>
          </c:tx>
          <c:layout>
            <c:manualLayout>
              <c:xMode val="edge"/>
              <c:yMode val="edge"/>
              <c:x val="2.9985392097481023E-3"/>
              <c:y val="0.36892870099760372"/>
            </c:manualLayout>
          </c:layout>
          <c:overlay val="0"/>
        </c:title>
        <c:numFmt formatCode="0.0" sourceLinked="1"/>
        <c:majorTickMark val="none"/>
        <c:minorTickMark val="none"/>
        <c:tickLblPos val="nextTo"/>
        <c:spPr>
          <a:noFill/>
          <a:ln w="9525">
            <a:noFill/>
          </a:ln>
        </c:spPr>
        <c:txPr>
          <a:bodyPr rot="0" vert="horz"/>
          <a:lstStyle/>
          <a:p>
            <a:pPr>
              <a:defRPr sz="900"/>
            </a:pPr>
            <a:endParaRPr lang="es-GT"/>
          </a:p>
        </c:txPr>
        <c:crossAx val="134518272"/>
        <c:crosses val="autoZero"/>
        <c:crossBetween val="between"/>
      </c:valAx>
      <c:spPr>
        <a:noFill/>
        <a:ln w="25400">
          <a:noFill/>
        </a:ln>
        <a:effectLst>
          <a:innerShdw blurRad="63500" dist="50800" dir="8100000">
            <a:prstClr val="black">
              <a:alpha val="50000"/>
            </a:prstClr>
          </a:innerShdw>
        </a:effectLst>
      </c:spPr>
    </c:plotArea>
    <c:plotVisOnly val="1"/>
    <c:dispBlanksAs val="zero"/>
    <c:showDLblsOverMax val="0"/>
  </c:chart>
  <c:spPr>
    <a:solidFill>
      <a:schemeClr val="bg1"/>
    </a:solidFill>
    <a:ln>
      <a:noFill/>
    </a:ln>
  </c:spPr>
  <c:txPr>
    <a:bodyPr/>
    <a:lstStyle/>
    <a:p>
      <a:pPr>
        <a:defRPr>
          <a:latin typeface="Arial" pitchFamily="34" charset="0"/>
          <a:cs typeface="Arial" pitchFamily="34" charset="0"/>
        </a:defRPr>
      </a:pPr>
      <a:endParaRPr lang="es-GT"/>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pPr>
            <a:r>
              <a:rPr lang="es-ES" sz="1600"/>
              <a:t>Presupuesto 2019, por Tipo de Gasto</a:t>
            </a:r>
          </a:p>
          <a:p>
            <a:pPr>
              <a:defRPr sz="1050"/>
            </a:pPr>
            <a:r>
              <a:rPr lang="es-ES" sz="1050"/>
              <a:t>(En</a:t>
            </a:r>
            <a:r>
              <a:rPr lang="es-ES" sz="1050" baseline="0"/>
              <a:t> millones Q.)</a:t>
            </a:r>
            <a:endParaRPr lang="es-ES" sz="1050"/>
          </a:p>
        </c:rich>
      </c:tx>
      <c:layout>
        <c:manualLayout>
          <c:xMode val="edge"/>
          <c:yMode val="edge"/>
          <c:x val="0.22924333471473959"/>
          <c:y val="2.5054616334722866E-2"/>
        </c:manualLayout>
      </c:layout>
      <c:overlay val="0"/>
    </c:title>
    <c:autoTitleDeleted val="0"/>
    <c:plotArea>
      <c:layout>
        <c:manualLayout>
          <c:layoutTarget val="inner"/>
          <c:xMode val="edge"/>
          <c:yMode val="edge"/>
          <c:x val="0.13653267025832297"/>
          <c:y val="0.17709259688127221"/>
          <c:w val="0.83472974132595601"/>
          <c:h val="0.66560946425814427"/>
        </c:manualLayout>
      </c:layout>
      <c:pieChart>
        <c:varyColors val="1"/>
        <c:ser>
          <c:idx val="0"/>
          <c:order val="0"/>
          <c:tx>
            <c:v>Recomendado 2017</c:v>
          </c:tx>
          <c:dPt>
            <c:idx val="0"/>
            <c:bubble3D val="1"/>
          </c:dPt>
          <c:dPt>
            <c:idx val="1"/>
            <c:bubble3D val="1"/>
          </c:dPt>
          <c:dPt>
            <c:idx val="2"/>
            <c:bubble3D val="1"/>
          </c:dPt>
          <c:dLbls>
            <c:dLbl>
              <c:idx val="0"/>
              <c:layout>
                <c:manualLayout>
                  <c:x val="-3.6164007459593854E-2"/>
                  <c:y val="-9.1907904894241166E-3"/>
                </c:manualLayout>
              </c:layout>
              <c:showLegendKey val="0"/>
              <c:showVal val="1"/>
              <c:showCatName val="1"/>
              <c:showSerName val="0"/>
              <c:showPercent val="1"/>
              <c:showBubbleSize val="0"/>
              <c:separator>
</c:separator>
            </c:dLbl>
            <c:dLbl>
              <c:idx val="1"/>
              <c:layout>
                <c:manualLayout>
                  <c:x val="-1.1179720955933141E-2"/>
                  <c:y val="-0.12928882970511038"/>
                </c:manualLayout>
              </c:layout>
              <c:showLegendKey val="0"/>
              <c:showVal val="1"/>
              <c:showCatName val="1"/>
              <c:showSerName val="0"/>
              <c:showPercent val="1"/>
              <c:showBubbleSize val="0"/>
              <c:separator>
</c:separator>
            </c:dLbl>
            <c:dLbl>
              <c:idx val="2"/>
              <c:layout>
                <c:manualLayout>
                  <c:x val="7.0097043790578809E-2"/>
                  <c:y val="5.514898872935001E-3"/>
                </c:manualLayout>
              </c:layout>
              <c:showLegendKey val="0"/>
              <c:showVal val="1"/>
              <c:showCatName val="1"/>
              <c:showSerName val="0"/>
              <c:showPercent val="1"/>
              <c:showBubbleSize val="0"/>
              <c:separator>
</c:separator>
            </c:dLbl>
            <c:txPr>
              <a:bodyPr/>
              <a:lstStyle/>
              <a:p>
                <a:pPr>
                  <a:defRPr b="1"/>
                </a:pPr>
                <a:endParaRPr lang="es-GT"/>
              </a:p>
            </c:txPr>
            <c:showLegendKey val="0"/>
            <c:showVal val="1"/>
            <c:showCatName val="1"/>
            <c:showSerName val="0"/>
            <c:showPercent val="1"/>
            <c:showBubbleSize val="0"/>
            <c:separator>
</c:separator>
            <c:showLeaderLines val="1"/>
          </c:dLbls>
          <c:cat>
            <c:strRef>
              <c:f>'Subrupo de gasto '!$A$6:$A$8</c:f>
              <c:strCache>
                <c:ptCount val="3"/>
                <c:pt idx="0">
                  <c:v>Funcionamiento</c:v>
                </c:pt>
                <c:pt idx="1">
                  <c:v>Inversión</c:v>
                </c:pt>
                <c:pt idx="2">
                  <c:v>Deuda Pública</c:v>
                </c:pt>
              </c:strCache>
            </c:strRef>
          </c:cat>
          <c:val>
            <c:numRef>
              <c:f>'Subrupo de gasto '!$E$6:$E$8</c:f>
              <c:numCache>
                <c:formatCode>"Q"#,##0.0</c:formatCode>
                <c:ptCount val="3"/>
                <c:pt idx="0">
                  <c:v>58110.200000000004</c:v>
                </c:pt>
                <c:pt idx="1">
                  <c:v>16193.8</c:v>
                </c:pt>
                <c:pt idx="2">
                  <c:v>13411</c:v>
                </c:pt>
              </c:numCache>
            </c:numRef>
          </c:val>
        </c:ser>
        <c:dLbls>
          <c:showLegendKey val="0"/>
          <c:showVal val="0"/>
          <c:showCatName val="0"/>
          <c:showSerName val="0"/>
          <c:showPercent val="0"/>
          <c:showBubbleSize val="0"/>
          <c:showLeaderLines val="1"/>
        </c:dLbls>
        <c:firstSliceAng val="178"/>
      </c:pieChart>
      <c:spPr>
        <a:solidFill>
          <a:schemeClr val="bg1">
            <a:alpha val="51000"/>
          </a:schemeClr>
        </a:solidFill>
        <a:ln>
          <a:noFill/>
        </a:ln>
        <a:scene3d>
          <a:camera prst="orthographicFront"/>
          <a:lightRig rig="threePt" dir="t"/>
        </a:scene3d>
        <a:sp3d prstMaterial="softEdge">
          <a:bevelB h="50800"/>
        </a:sp3d>
      </c:spPr>
    </c:plotArea>
    <c:plotVisOnly val="1"/>
    <c:dispBlanksAs val="gap"/>
    <c:showDLblsOverMax val="0"/>
  </c:chart>
  <c:spPr>
    <a:noFill/>
    <a:ln>
      <a:noFill/>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latin typeface="Arial" pitchFamily="34" charset="0"/>
                <a:cs typeface="Arial" pitchFamily="34" charset="0"/>
              </a:defRPr>
            </a:pPr>
            <a:r>
              <a:rPr lang="es-ES" sz="1050">
                <a:latin typeface="Arial" pitchFamily="34" charset="0"/>
                <a:cs typeface="Arial" pitchFamily="34" charset="0"/>
              </a:rPr>
              <a:t>Presupuesto 2018 y  2019, </a:t>
            </a:r>
          </a:p>
          <a:p>
            <a:pPr>
              <a:defRPr sz="1050">
                <a:latin typeface="Arial" pitchFamily="34" charset="0"/>
                <a:cs typeface="Arial" pitchFamily="34" charset="0"/>
              </a:defRPr>
            </a:pPr>
            <a:r>
              <a:rPr lang="es-ES" sz="1050">
                <a:latin typeface="Arial" pitchFamily="34" charset="0"/>
                <a:cs typeface="Arial" pitchFamily="34" charset="0"/>
              </a:rPr>
              <a:t>por Fuente de Financiamiento</a:t>
            </a:r>
          </a:p>
          <a:p>
            <a:pPr>
              <a:defRPr sz="1050">
                <a:latin typeface="Arial" pitchFamily="34" charset="0"/>
                <a:cs typeface="Arial" pitchFamily="34" charset="0"/>
              </a:defRPr>
            </a:pPr>
            <a:r>
              <a:rPr lang="es-ES" sz="1050">
                <a:latin typeface="Arial" pitchFamily="34" charset="0"/>
                <a:cs typeface="Arial" pitchFamily="34" charset="0"/>
              </a:rPr>
              <a:t>(En millones Q.)</a:t>
            </a:r>
          </a:p>
        </c:rich>
      </c:tx>
      <c:overlay val="0"/>
    </c:title>
    <c:autoTitleDeleted val="0"/>
    <c:plotArea>
      <c:layout/>
      <c:barChart>
        <c:barDir val="col"/>
        <c:grouping val="clustered"/>
        <c:varyColors val="0"/>
        <c:ser>
          <c:idx val="0"/>
          <c:order val="0"/>
          <c:tx>
            <c:v>Aprobado 2018</c:v>
          </c:tx>
          <c:invertIfNegative val="0"/>
          <c:cat>
            <c:strRef>
              <c:f>Financiamiento!$B$9:$B$15</c:f>
              <c:strCache>
                <c:ptCount val="7"/>
                <c:pt idx="0">
                  <c:v>Recursos del Tesoro</c:v>
                </c:pt>
                <c:pt idx="1">
                  <c:v>Afectación Específica</c:v>
                </c:pt>
                <c:pt idx="2">
                  <c:v>Crédito Interno</c:v>
                </c:pt>
                <c:pt idx="3">
                  <c:v>Crédito Externo</c:v>
                </c:pt>
                <c:pt idx="4">
                  <c:v>Recursos Propios</c:v>
                </c:pt>
                <c:pt idx="5">
                  <c:v>Donaciones Externas</c:v>
                </c:pt>
                <c:pt idx="6">
                  <c:v>Donaciones Internas</c:v>
                </c:pt>
              </c:strCache>
            </c:strRef>
          </c:cat>
          <c:val>
            <c:numRef>
              <c:f>Financiamiento!$C$9:$C$15</c:f>
              <c:numCache>
                <c:formatCode>"Q"#,##0.0</c:formatCode>
                <c:ptCount val="7"/>
                <c:pt idx="0">
                  <c:v>42177.8</c:v>
                </c:pt>
                <c:pt idx="1">
                  <c:v>19788.599999999999</c:v>
                </c:pt>
                <c:pt idx="2">
                  <c:v>10548.5</c:v>
                </c:pt>
                <c:pt idx="3">
                  <c:v>2580.6999999999998</c:v>
                </c:pt>
                <c:pt idx="4">
                  <c:v>1302.0999999999999</c:v>
                </c:pt>
                <c:pt idx="5">
                  <c:v>573.79999999999995</c:v>
                </c:pt>
                <c:pt idx="6">
                  <c:v>17.899999999999999</c:v>
                </c:pt>
              </c:numCache>
            </c:numRef>
          </c:val>
        </c:ser>
        <c:ser>
          <c:idx val="2"/>
          <c:order val="1"/>
          <c:tx>
            <c:v>Aprobado 2019</c:v>
          </c:tx>
          <c:invertIfNegative val="0"/>
          <c:cat>
            <c:strRef>
              <c:f>Financiamiento!$B$9:$B$15</c:f>
              <c:strCache>
                <c:ptCount val="7"/>
                <c:pt idx="0">
                  <c:v>Recursos del Tesoro</c:v>
                </c:pt>
                <c:pt idx="1">
                  <c:v>Afectación Específica</c:v>
                </c:pt>
                <c:pt idx="2">
                  <c:v>Crédito Interno</c:v>
                </c:pt>
                <c:pt idx="3">
                  <c:v>Crédito Externo</c:v>
                </c:pt>
                <c:pt idx="4">
                  <c:v>Recursos Propios</c:v>
                </c:pt>
                <c:pt idx="5">
                  <c:v>Donaciones Externas</c:v>
                </c:pt>
                <c:pt idx="6">
                  <c:v>Donaciones Internas</c:v>
                </c:pt>
              </c:strCache>
            </c:strRef>
          </c:cat>
          <c:val>
            <c:numRef>
              <c:f>Financiamiento!$D$9:$D$15</c:f>
              <c:numCache>
                <c:formatCode>"Q"#,##0.0</c:formatCode>
                <c:ptCount val="7"/>
                <c:pt idx="0">
                  <c:v>46975</c:v>
                </c:pt>
                <c:pt idx="1">
                  <c:v>22212.2</c:v>
                </c:pt>
                <c:pt idx="2">
                  <c:v>15252.6</c:v>
                </c:pt>
                <c:pt idx="3">
                  <c:v>1592.6</c:v>
                </c:pt>
                <c:pt idx="4">
                  <c:v>1410.6</c:v>
                </c:pt>
                <c:pt idx="5">
                  <c:v>254.4</c:v>
                </c:pt>
                <c:pt idx="6">
                  <c:v>17.600000000000001</c:v>
                </c:pt>
              </c:numCache>
            </c:numRef>
          </c:val>
        </c:ser>
        <c:dLbls>
          <c:showLegendKey val="0"/>
          <c:showVal val="0"/>
          <c:showCatName val="0"/>
          <c:showSerName val="0"/>
          <c:showPercent val="0"/>
          <c:showBubbleSize val="0"/>
        </c:dLbls>
        <c:gapWidth val="75"/>
        <c:overlap val="-25"/>
        <c:axId val="384719104"/>
        <c:axId val="384720896"/>
      </c:barChart>
      <c:catAx>
        <c:axId val="384719104"/>
        <c:scaling>
          <c:orientation val="minMax"/>
        </c:scaling>
        <c:delete val="0"/>
        <c:axPos val="b"/>
        <c:numFmt formatCode="General" sourceLinked="1"/>
        <c:majorTickMark val="none"/>
        <c:minorTickMark val="none"/>
        <c:tickLblPos val="nextTo"/>
        <c:txPr>
          <a:bodyPr/>
          <a:lstStyle/>
          <a:p>
            <a:pPr>
              <a:defRPr sz="800">
                <a:latin typeface="Arial" pitchFamily="34" charset="0"/>
                <a:cs typeface="Arial" pitchFamily="34" charset="0"/>
              </a:defRPr>
            </a:pPr>
            <a:endParaRPr lang="es-GT"/>
          </a:p>
        </c:txPr>
        <c:crossAx val="384720896"/>
        <c:crosses val="autoZero"/>
        <c:auto val="1"/>
        <c:lblAlgn val="ctr"/>
        <c:lblOffset val="100"/>
        <c:noMultiLvlLbl val="0"/>
      </c:catAx>
      <c:valAx>
        <c:axId val="384720896"/>
        <c:scaling>
          <c:orientation val="minMax"/>
        </c:scaling>
        <c:delete val="0"/>
        <c:axPos val="l"/>
        <c:majorGridlines/>
        <c:numFmt formatCode="&quot;Q&quot;#,##0.0" sourceLinked="1"/>
        <c:majorTickMark val="none"/>
        <c:minorTickMark val="none"/>
        <c:tickLblPos val="nextTo"/>
        <c:spPr>
          <a:ln w="9525">
            <a:noFill/>
          </a:ln>
        </c:spPr>
        <c:txPr>
          <a:bodyPr/>
          <a:lstStyle/>
          <a:p>
            <a:pPr>
              <a:defRPr sz="700">
                <a:latin typeface="Arial" pitchFamily="34" charset="0"/>
                <a:cs typeface="Arial" pitchFamily="34" charset="0"/>
              </a:defRPr>
            </a:pPr>
            <a:endParaRPr lang="es-GT"/>
          </a:p>
        </c:txPr>
        <c:crossAx val="384719104"/>
        <c:crosses val="autoZero"/>
        <c:crossBetween val="between"/>
      </c:valAx>
    </c:plotArea>
    <c:legend>
      <c:legendPos val="b"/>
      <c:layout>
        <c:manualLayout>
          <c:xMode val="edge"/>
          <c:yMode val="edge"/>
          <c:x val="0.30337098660893552"/>
          <c:y val="0.95300087489063867"/>
          <c:w val="0.39325802678212896"/>
          <c:h val="4.6999125109361328E-2"/>
        </c:manualLayout>
      </c:layout>
      <c:overlay val="0"/>
    </c:legend>
    <c:plotVisOnly val="1"/>
    <c:dispBlanksAs val="gap"/>
    <c:showDLblsOverMax val="0"/>
  </c:chart>
  <c:spPr>
    <a:ln>
      <a:noFill/>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pPr>
            <a:r>
              <a:rPr lang="es-ES" sz="1050"/>
              <a:t>Presupuesto 2019</a:t>
            </a:r>
          </a:p>
          <a:p>
            <a:pPr>
              <a:defRPr sz="1050"/>
            </a:pPr>
            <a:r>
              <a:rPr lang="es-ES" sz="1050"/>
              <a:t>por Fuente de Financiamiento</a:t>
            </a:r>
          </a:p>
          <a:p>
            <a:pPr>
              <a:defRPr sz="1050"/>
            </a:pPr>
            <a:r>
              <a:rPr lang="es-ES" sz="1050"/>
              <a:t>(En millones Q.   y  porcentaje)</a:t>
            </a:r>
          </a:p>
          <a:p>
            <a:pPr>
              <a:defRPr sz="1050"/>
            </a:pPr>
            <a:endParaRPr lang="es-ES" sz="1050"/>
          </a:p>
          <a:p>
            <a:pPr>
              <a:defRPr sz="1050"/>
            </a:pPr>
            <a:endParaRPr lang="es-ES" sz="1050"/>
          </a:p>
        </c:rich>
      </c:tx>
      <c:layout>
        <c:manualLayout>
          <c:xMode val="edge"/>
          <c:yMode val="edge"/>
          <c:x val="0.34614504653313449"/>
          <c:y val="1.571824329020665E-3"/>
        </c:manualLayout>
      </c:layout>
      <c:overlay val="0"/>
    </c:title>
    <c:autoTitleDeleted val="0"/>
    <c:view3D>
      <c:rotX val="75"/>
      <c:rotY val="0"/>
      <c:rAngAx val="0"/>
      <c:perspective val="30"/>
    </c:view3D>
    <c:floor>
      <c:thickness val="0"/>
    </c:floor>
    <c:sideWall>
      <c:thickness val="0"/>
    </c:sideWall>
    <c:backWall>
      <c:thickness val="0"/>
    </c:backWall>
    <c:plotArea>
      <c:layout>
        <c:manualLayout>
          <c:layoutTarget val="inner"/>
          <c:xMode val="edge"/>
          <c:yMode val="edge"/>
          <c:x val="0.22433211632659972"/>
          <c:y val="0.29470604005520745"/>
          <c:w val="0.65770078740157478"/>
          <c:h val="0.68623739181362664"/>
        </c:manualLayout>
      </c:layout>
      <c:pie3DChart>
        <c:varyColors val="1"/>
        <c:ser>
          <c:idx val="3"/>
          <c:order val="0"/>
          <c:spPr>
            <a:scene3d>
              <a:camera prst="orthographicFront"/>
              <a:lightRig rig="threePt" dir="t"/>
            </a:scene3d>
            <a:sp3d prstMaterial="flat"/>
          </c:spPr>
          <c:explosion val="5"/>
          <c:dPt>
            <c:idx val="0"/>
            <c:bubble3D val="0"/>
            <c:spPr>
              <a:solidFill>
                <a:srgbClr val="99CC00"/>
              </a:solidFill>
              <a:ln>
                <a:noFill/>
              </a:ln>
              <a:effectLst>
                <a:outerShdw blurRad="40000" dist="23000" dir="5400000" rotWithShape="0">
                  <a:srgbClr val="000000">
                    <a:alpha val="35000"/>
                  </a:srgbClr>
                </a:outerShdw>
              </a:effectLst>
              <a:scene3d>
                <a:camera prst="orthographicFront"/>
                <a:lightRig rig="threePt" dir="t"/>
              </a:scene3d>
              <a:sp3d prstMaterial="flat"/>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scene3d>
              <a:sp3d prstMaterial="flat"/>
            </c:spPr>
          </c:dPt>
          <c:dPt>
            <c:idx val="2"/>
            <c:bubble3D val="0"/>
            <c:spPr>
              <a:solidFill>
                <a:srgbClr val="FF99FF"/>
              </a:solidFill>
              <a:ln>
                <a:noFill/>
              </a:ln>
              <a:effectLst>
                <a:outerShdw blurRad="40000" dist="23000" dir="5400000" rotWithShape="0">
                  <a:srgbClr val="000000">
                    <a:alpha val="35000"/>
                  </a:srgbClr>
                </a:outerShdw>
              </a:effectLst>
              <a:scene3d>
                <a:camera prst="orthographicFront"/>
                <a:lightRig rig="threePt" dir="t"/>
              </a:scene3d>
              <a:sp3d prstMaterial="flat"/>
            </c:spPr>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scene3d>
              <a:sp3d prstMaterial="flat"/>
            </c:spPr>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scene3d>
              <a:sp3d prstMaterial="flat"/>
            </c:spPr>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scene3d>
              <a:sp3d prstMaterial="flat"/>
            </c:spPr>
          </c:dPt>
          <c:dPt>
            <c:idx val="6"/>
            <c:bubble3D val="0"/>
          </c:dPt>
          <c:dLbls>
            <c:dLbl>
              <c:idx val="0"/>
              <c:layout>
                <c:manualLayout>
                  <c:x val="1.3540669941715534E-2"/>
                  <c:y val="8.1842499826235468E-2"/>
                </c:manualLayout>
              </c:layout>
              <c:dLblPos val="bestFit"/>
              <c:showLegendKey val="0"/>
              <c:showVal val="1"/>
              <c:showCatName val="1"/>
              <c:showSerName val="0"/>
              <c:showPercent val="1"/>
              <c:showBubbleSize val="0"/>
              <c:separator>
</c:separator>
            </c:dLbl>
            <c:dLbl>
              <c:idx val="1"/>
              <c:layout>
                <c:manualLayout>
                  <c:x val="-5.0056882821387948E-2"/>
                  <c:y val="7.1047957371225573E-2"/>
                </c:manualLayout>
              </c:layout>
              <c:dLblPos val="bestFit"/>
              <c:showLegendKey val="0"/>
              <c:showVal val="1"/>
              <c:showCatName val="1"/>
              <c:showSerName val="0"/>
              <c:showPercent val="1"/>
              <c:showBubbleSize val="0"/>
              <c:separator>
</c:separator>
            </c:dLbl>
            <c:dLbl>
              <c:idx val="2"/>
              <c:layout>
                <c:manualLayout>
                  <c:x val="-0.10705561234232311"/>
                  <c:y val="7.2158698763608448E-2"/>
                </c:manualLayout>
              </c:layout>
              <c:dLblPos val="bestFit"/>
              <c:showLegendKey val="0"/>
              <c:showVal val="1"/>
              <c:showCatName val="1"/>
              <c:showSerName val="0"/>
              <c:showPercent val="1"/>
              <c:showBubbleSize val="0"/>
              <c:separator>
</c:separator>
            </c:dLbl>
            <c:dLbl>
              <c:idx val="3"/>
              <c:layout>
                <c:manualLayout>
                  <c:x val="-0.23707085116500237"/>
                  <c:y val="4.8359225367099384E-2"/>
                </c:manualLayout>
              </c:layout>
              <c:dLblPos val="bestFit"/>
              <c:showLegendKey val="0"/>
              <c:showVal val="1"/>
              <c:showCatName val="1"/>
              <c:showSerName val="0"/>
              <c:showPercent val="1"/>
              <c:showBubbleSize val="0"/>
              <c:separator>
</c:separator>
            </c:dLbl>
            <c:dLbl>
              <c:idx val="4"/>
              <c:layout>
                <c:manualLayout>
                  <c:x val="-0.24808054485343398"/>
                  <c:y val="-3.1796502384737677E-2"/>
                </c:manualLayout>
              </c:layout>
              <c:dLblPos val="bestFit"/>
              <c:showLegendKey val="0"/>
              <c:showVal val="1"/>
              <c:showCatName val="1"/>
              <c:showSerName val="0"/>
              <c:showPercent val="1"/>
              <c:showBubbleSize val="0"/>
              <c:separator>
</c:separator>
            </c:dLbl>
            <c:dLbl>
              <c:idx val="5"/>
              <c:layout>
                <c:manualLayout>
                  <c:x val="-2.23440828812233E-2"/>
                  <c:y val="-4.7628823821505635E-2"/>
                </c:manualLayout>
              </c:layout>
              <c:dLblPos val="bestFit"/>
              <c:showLegendKey val="0"/>
              <c:showVal val="1"/>
              <c:showCatName val="1"/>
              <c:showSerName val="0"/>
              <c:showPercent val="1"/>
              <c:showBubbleSize val="0"/>
              <c:separator>
</c:separator>
            </c:dLbl>
            <c:dLbl>
              <c:idx val="6"/>
              <c:layout>
                <c:manualLayout>
                  <c:x val="0.28213879408418657"/>
                  <c:y val="1.4209591474245116E-2"/>
                </c:manualLayout>
              </c:layout>
              <c:dLblPos val="bestFit"/>
              <c:showLegendKey val="0"/>
              <c:showVal val="1"/>
              <c:showCatName val="1"/>
              <c:showSerName val="0"/>
              <c:showPercent val="1"/>
              <c:showBubbleSize val="0"/>
              <c:separator>
</c:separator>
            </c:dLbl>
            <c:numFmt formatCode="0.00%" sourceLinked="0"/>
            <c:txPr>
              <a:bodyPr/>
              <a:lstStyle/>
              <a:p>
                <a:pPr>
                  <a:defRPr sz="900"/>
                </a:pPr>
                <a:endParaRPr lang="es-GT"/>
              </a:p>
            </c:txPr>
            <c:dLblPos val="outEnd"/>
            <c:showLegendKey val="0"/>
            <c:showVal val="1"/>
            <c:showCatName val="1"/>
            <c:showSerName val="0"/>
            <c:showPercent val="1"/>
            <c:showBubbleSize val="0"/>
            <c:separator>
</c:separator>
            <c:showLeaderLines val="1"/>
          </c:dLbls>
          <c:cat>
            <c:strRef>
              <c:f>Financiamiento!$B$9:$B$15</c:f>
              <c:strCache>
                <c:ptCount val="7"/>
                <c:pt idx="0">
                  <c:v>Recursos del Tesoro</c:v>
                </c:pt>
                <c:pt idx="1">
                  <c:v>Afectación Específica</c:v>
                </c:pt>
                <c:pt idx="2">
                  <c:v>Crédito Interno</c:v>
                </c:pt>
                <c:pt idx="3">
                  <c:v>Crédito Externo</c:v>
                </c:pt>
                <c:pt idx="4">
                  <c:v>Recursos Propios</c:v>
                </c:pt>
                <c:pt idx="5">
                  <c:v>Donaciones Externas</c:v>
                </c:pt>
                <c:pt idx="6">
                  <c:v>Donaciones Internas</c:v>
                </c:pt>
              </c:strCache>
            </c:strRef>
          </c:cat>
          <c:val>
            <c:numRef>
              <c:f>Financiamiento!$D$9:$D$15</c:f>
              <c:numCache>
                <c:formatCode>"Q"#,##0.0</c:formatCode>
                <c:ptCount val="7"/>
                <c:pt idx="0">
                  <c:v>46975</c:v>
                </c:pt>
                <c:pt idx="1">
                  <c:v>22212.2</c:v>
                </c:pt>
                <c:pt idx="2">
                  <c:v>15252.6</c:v>
                </c:pt>
                <c:pt idx="3">
                  <c:v>1592.6</c:v>
                </c:pt>
                <c:pt idx="4">
                  <c:v>1410.6</c:v>
                </c:pt>
                <c:pt idx="5">
                  <c:v>254.4</c:v>
                </c:pt>
                <c:pt idx="6">
                  <c:v>17.600000000000001</c:v>
                </c:pt>
              </c:numCache>
            </c:numRef>
          </c:val>
        </c:ser>
        <c:dLbls>
          <c:showLegendKey val="0"/>
          <c:showVal val="0"/>
          <c:showCatName val="0"/>
          <c:showSerName val="0"/>
          <c:showPercent val="0"/>
          <c:showBubbleSize val="0"/>
          <c:showLeaderLines val="1"/>
        </c:dLbls>
      </c:pie3DChart>
      <c:spPr>
        <a:noFill/>
        <a:ln w="25400">
          <a:noFill/>
        </a:ln>
      </c:spPr>
    </c:plotArea>
    <c:plotVisOnly val="1"/>
    <c:dispBlanksAs val="zero"/>
    <c:showDLblsOverMax val="0"/>
  </c:chart>
  <c:spPr>
    <a:noFill/>
    <a:ln>
      <a:noFill/>
    </a:ln>
  </c:spPr>
  <c:txPr>
    <a:bodyPr/>
    <a:lstStyle/>
    <a:p>
      <a:pPr>
        <a:defRPr>
          <a:latin typeface="Arial" pitchFamily="34" charset="0"/>
          <a:cs typeface="Arial" pitchFamily="34" charset="0"/>
        </a:defRPr>
      </a:pPr>
      <a:endParaRPr lang="es-GT"/>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sz="1050"/>
            </a:pPr>
            <a:r>
              <a:rPr lang="es-ES" sz="1050"/>
              <a:t>Presupuesto 2018 y 2019 </a:t>
            </a:r>
          </a:p>
          <a:p>
            <a:pPr>
              <a:defRPr sz="1050"/>
            </a:pPr>
            <a:r>
              <a:rPr lang="es-ES" sz="1050"/>
              <a:t>por agrupación institucional</a:t>
            </a:r>
          </a:p>
          <a:p>
            <a:pPr>
              <a:defRPr sz="1050"/>
            </a:pPr>
            <a:r>
              <a:rPr lang="es-ES" sz="1050"/>
              <a:t>(En millones Q.)</a:t>
            </a:r>
          </a:p>
        </c:rich>
      </c:tx>
      <c:overlay val="0"/>
    </c:title>
    <c:autoTitleDeleted val="0"/>
    <c:plotArea>
      <c:layout/>
      <c:barChart>
        <c:barDir val="col"/>
        <c:grouping val="clustered"/>
        <c:varyColors val="0"/>
        <c:ser>
          <c:idx val="0"/>
          <c:order val="0"/>
          <c:tx>
            <c:v>Aprobado 2018</c:v>
          </c:tx>
          <c:invertIfNegative val="0"/>
          <c:dLbls>
            <c:txPr>
              <a:bodyPr/>
              <a:lstStyle/>
              <a:p>
                <a:pPr>
                  <a:defRPr sz="700"/>
                </a:pPr>
                <a:endParaRPr lang="es-GT"/>
              </a:p>
            </c:txPr>
            <c:showLegendKey val="0"/>
            <c:showVal val="1"/>
            <c:showCatName val="0"/>
            <c:showSerName val="0"/>
            <c:showPercent val="0"/>
            <c:showBubbleSize val="0"/>
            <c:showLeaderLines val="0"/>
          </c:dLbls>
          <c:cat>
            <c:strRef>
              <c:f>Institución!$A$93:$A$96</c:f>
              <c:strCache>
                <c:ptCount val="4"/>
                <c:pt idx="0">
                  <c:v>Obligaciones del Estado</c:v>
                </c:pt>
                <c:pt idx="1">
                  <c:v>Servicios de la Deuda Pública</c:v>
                </c:pt>
                <c:pt idx="2">
                  <c:v>Gobernación, Educación, Salud, Comunicaciones</c:v>
                </c:pt>
                <c:pt idx="3">
                  <c:v>Resto Instituciones Admon. Central</c:v>
                </c:pt>
              </c:strCache>
            </c:strRef>
          </c:cat>
          <c:val>
            <c:numRef>
              <c:f>Institución!$B$93:$B$96</c:f>
              <c:numCache>
                <c:formatCode>"Q"#,##0.0</c:formatCode>
                <c:ptCount val="4"/>
                <c:pt idx="0">
                  <c:v>26019</c:v>
                </c:pt>
                <c:pt idx="1">
                  <c:v>12096</c:v>
                </c:pt>
                <c:pt idx="2">
                  <c:v>23827.899999999998</c:v>
                </c:pt>
                <c:pt idx="3">
                  <c:v>36790.199999999997</c:v>
                </c:pt>
              </c:numCache>
            </c:numRef>
          </c:val>
        </c:ser>
        <c:ser>
          <c:idx val="3"/>
          <c:order val="1"/>
          <c:tx>
            <c:v>Aprobado 2019</c:v>
          </c:tx>
          <c:invertIfNegative val="0"/>
          <c:dLbls>
            <c:txPr>
              <a:bodyPr/>
              <a:lstStyle/>
              <a:p>
                <a:pPr>
                  <a:defRPr sz="700"/>
                </a:pPr>
                <a:endParaRPr lang="es-GT"/>
              </a:p>
            </c:txPr>
            <c:showLegendKey val="0"/>
            <c:showVal val="1"/>
            <c:showCatName val="0"/>
            <c:showSerName val="0"/>
            <c:showPercent val="0"/>
            <c:showBubbleSize val="0"/>
            <c:showLeaderLines val="0"/>
          </c:dLbls>
          <c:cat>
            <c:strRef>
              <c:f>Institución!$A$93:$A$96</c:f>
              <c:strCache>
                <c:ptCount val="4"/>
                <c:pt idx="0">
                  <c:v>Obligaciones del Estado</c:v>
                </c:pt>
                <c:pt idx="1">
                  <c:v>Servicios de la Deuda Pública</c:v>
                </c:pt>
                <c:pt idx="2">
                  <c:v>Gobernación, Educación, Salud, Comunicaciones</c:v>
                </c:pt>
                <c:pt idx="3">
                  <c:v>Resto Instituciones Admon. Central</c:v>
                </c:pt>
              </c:strCache>
            </c:strRef>
          </c:cat>
          <c:val>
            <c:numRef>
              <c:f>Institución!$C$93:$C$96</c:f>
              <c:numCache>
                <c:formatCode>"Q"#,##0.0</c:formatCode>
                <c:ptCount val="4"/>
                <c:pt idx="0">
                  <c:v>28205.200000000001</c:v>
                </c:pt>
                <c:pt idx="1">
                  <c:v>13411</c:v>
                </c:pt>
                <c:pt idx="2">
                  <c:v>28720.799999999999</c:v>
                </c:pt>
                <c:pt idx="3">
                  <c:v>44091.199999999997</c:v>
                </c:pt>
              </c:numCache>
            </c:numRef>
          </c:val>
        </c:ser>
        <c:dLbls>
          <c:showLegendKey val="0"/>
          <c:showVal val="1"/>
          <c:showCatName val="0"/>
          <c:showSerName val="0"/>
          <c:showPercent val="0"/>
          <c:showBubbleSize val="0"/>
        </c:dLbls>
        <c:gapWidth val="150"/>
        <c:overlap val="-25"/>
        <c:axId val="385068032"/>
        <c:axId val="385086208"/>
      </c:barChart>
      <c:catAx>
        <c:axId val="385068032"/>
        <c:scaling>
          <c:orientation val="minMax"/>
        </c:scaling>
        <c:delete val="0"/>
        <c:axPos val="b"/>
        <c:numFmt formatCode="General" sourceLinked="1"/>
        <c:majorTickMark val="none"/>
        <c:minorTickMark val="none"/>
        <c:tickLblPos val="nextTo"/>
        <c:txPr>
          <a:bodyPr/>
          <a:lstStyle/>
          <a:p>
            <a:pPr>
              <a:defRPr sz="900"/>
            </a:pPr>
            <a:endParaRPr lang="es-GT"/>
          </a:p>
        </c:txPr>
        <c:crossAx val="385086208"/>
        <c:crosses val="autoZero"/>
        <c:auto val="1"/>
        <c:lblAlgn val="ctr"/>
        <c:lblOffset val="100"/>
        <c:noMultiLvlLbl val="0"/>
      </c:catAx>
      <c:valAx>
        <c:axId val="385086208"/>
        <c:scaling>
          <c:orientation val="minMax"/>
        </c:scaling>
        <c:delete val="1"/>
        <c:axPos val="l"/>
        <c:numFmt formatCode="&quot;Q&quot;#,##0.0" sourceLinked="1"/>
        <c:majorTickMark val="out"/>
        <c:minorTickMark val="none"/>
        <c:tickLblPos val="nextTo"/>
        <c:crossAx val="385068032"/>
        <c:crosses val="autoZero"/>
        <c:crossBetween val="between"/>
      </c:valAx>
    </c:plotArea>
    <c:legend>
      <c:legendPos val="b"/>
      <c:overlay val="0"/>
      <c:txPr>
        <a:bodyPr/>
        <a:lstStyle/>
        <a:p>
          <a:pPr>
            <a:defRPr sz="900"/>
          </a:pPr>
          <a:endParaRPr lang="es-GT"/>
        </a:p>
      </c:txPr>
    </c:legend>
    <c:plotVisOnly val="1"/>
    <c:dispBlanksAs val="gap"/>
    <c:showDLblsOverMax val="0"/>
  </c:chart>
  <c:spPr>
    <a:ln>
      <a:noFill/>
    </a:ln>
  </c:spPr>
  <c:txPr>
    <a:bodyPr/>
    <a:lstStyle/>
    <a:p>
      <a:pPr>
        <a:defRPr>
          <a:latin typeface="Arial" pitchFamily="34" charset="0"/>
          <a:cs typeface="Arial" pitchFamily="34" charset="0"/>
        </a:defRPr>
      </a:pPr>
      <a:endParaRPr lang="es-GT"/>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Institución!$B$12</c:f>
              <c:strCache>
                <c:ptCount val="1"/>
                <c:pt idx="0">
                  <c:v>Aprobado 2018</c:v>
                </c:pt>
              </c:strCache>
            </c:strRef>
          </c:tx>
          <c:invertIfNegative val="0"/>
          <c:dLbls>
            <c:txPr>
              <a:bodyPr/>
              <a:lstStyle/>
              <a:p>
                <a:pPr>
                  <a:defRPr sz="800"/>
                </a:pPr>
                <a:endParaRPr lang="es-GT"/>
              </a:p>
            </c:txPr>
            <c:showLegendKey val="0"/>
            <c:showVal val="1"/>
            <c:showCatName val="0"/>
            <c:showSerName val="0"/>
            <c:showPercent val="0"/>
            <c:showBubbleSize val="0"/>
            <c:showLeaderLines val="0"/>
          </c:dLbls>
          <c:cat>
            <c:strRef>
              <c:f>Institución!$A$20:$A$34</c:f>
              <c:strCache>
                <c:ptCount val="15"/>
                <c:pt idx="0">
                  <c:v>Finanzas Públicas</c:v>
                </c:pt>
                <c:pt idx="1">
                  <c:v>Economía</c:v>
                </c:pt>
                <c:pt idx="2">
                  <c:v>Relaciones Exteriores</c:v>
                </c:pt>
                <c:pt idx="3">
                  <c:v>Cultura y Deportes</c:v>
                </c:pt>
                <c:pt idx="4">
                  <c:v>Trabajo y Previsión Social</c:v>
                </c:pt>
                <c:pt idx="5">
                  <c:v>Desarrollo Social</c:v>
                </c:pt>
                <c:pt idx="6">
                  <c:v>Agricultura, Ganadería y Alimentación</c:v>
                </c:pt>
                <c:pt idx="7">
                  <c:v>Secretarías y otras Dependencias del Ejecutivo</c:v>
                </c:pt>
                <c:pt idx="8">
                  <c:v>Defensa Nacional</c:v>
                </c:pt>
                <c:pt idx="9">
                  <c:v>Gobernación</c:v>
                </c:pt>
                <c:pt idx="10">
                  <c:v>Comunicaciones, Infraestructura y Vivienda</c:v>
                </c:pt>
                <c:pt idx="11">
                  <c:v>Salud y Asistencia Social</c:v>
                </c:pt>
                <c:pt idx="12">
                  <c:v>Servicios de la Deuda Pública</c:v>
                </c:pt>
                <c:pt idx="13">
                  <c:v>Educación</c:v>
                </c:pt>
                <c:pt idx="14">
                  <c:v>Obligaciones del Estado a cargo del Tesoro</c:v>
                </c:pt>
              </c:strCache>
            </c:strRef>
          </c:cat>
          <c:val>
            <c:numRef>
              <c:f>Institución!$B$20:$B$34</c:f>
              <c:numCache>
                <c:formatCode>0.0%</c:formatCode>
                <c:ptCount val="15"/>
                <c:pt idx="0">
                  <c:v>4.6707728596404189E-3</c:v>
                </c:pt>
                <c:pt idx="1">
                  <c:v>8.8284880775795129E-3</c:v>
                </c:pt>
                <c:pt idx="2">
                  <c:v>5.7501422273715606E-3</c:v>
                </c:pt>
                <c:pt idx="3">
                  <c:v>7.2633375503640771E-3</c:v>
                </c:pt>
                <c:pt idx="4">
                  <c:v>8.6271616612157015E-3</c:v>
                </c:pt>
                <c:pt idx="5">
                  <c:v>1.198866337443856E-2</c:v>
                </c:pt>
                <c:pt idx="6">
                  <c:v>1.4096745785783498E-2</c:v>
                </c:pt>
                <c:pt idx="7">
                  <c:v>1.7043904745328579E-2</c:v>
                </c:pt>
                <c:pt idx="8">
                  <c:v>2.4786529054649082E-2</c:v>
                </c:pt>
                <c:pt idx="9">
                  <c:v>7.0991591050196534E-2</c:v>
                </c:pt>
                <c:pt idx="10">
                  <c:v>5.3229405606486098E-2</c:v>
                </c:pt>
                <c:pt idx="11">
                  <c:v>8.958505976147367E-2</c:v>
                </c:pt>
                <c:pt idx="12">
                  <c:v>0.15711253757010707</c:v>
                </c:pt>
                <c:pt idx="13">
                  <c:v>0.1810275180739167</c:v>
                </c:pt>
                <c:pt idx="14">
                  <c:v>0.3379556146690324</c:v>
                </c:pt>
              </c:numCache>
            </c:numRef>
          </c:val>
        </c:ser>
        <c:ser>
          <c:idx val="1"/>
          <c:order val="1"/>
          <c:tx>
            <c:strRef>
              <c:f>Institución!$C$12</c:f>
              <c:strCache>
                <c:ptCount val="1"/>
                <c:pt idx="0">
                  <c:v>Aprobado 2019</c:v>
                </c:pt>
              </c:strCache>
            </c:strRef>
          </c:tx>
          <c:invertIfNegative val="0"/>
          <c:dLbls>
            <c:txPr>
              <a:bodyPr/>
              <a:lstStyle/>
              <a:p>
                <a:pPr>
                  <a:defRPr sz="800"/>
                </a:pPr>
                <a:endParaRPr lang="es-GT"/>
              </a:p>
            </c:txPr>
            <c:showLegendKey val="0"/>
            <c:showVal val="1"/>
            <c:showCatName val="0"/>
            <c:showSerName val="0"/>
            <c:showPercent val="0"/>
            <c:showBubbleSize val="0"/>
            <c:showLeaderLines val="0"/>
          </c:dLbls>
          <c:cat>
            <c:strRef>
              <c:f>Institución!$A$20:$A$34</c:f>
              <c:strCache>
                <c:ptCount val="15"/>
                <c:pt idx="0">
                  <c:v>Finanzas Públicas</c:v>
                </c:pt>
                <c:pt idx="1">
                  <c:v>Economía</c:v>
                </c:pt>
                <c:pt idx="2">
                  <c:v>Relaciones Exteriores</c:v>
                </c:pt>
                <c:pt idx="3">
                  <c:v>Cultura y Deportes</c:v>
                </c:pt>
                <c:pt idx="4">
                  <c:v>Trabajo y Previsión Social</c:v>
                </c:pt>
                <c:pt idx="5">
                  <c:v>Desarrollo Social</c:v>
                </c:pt>
                <c:pt idx="6">
                  <c:v>Agricultura, Ganadería y Alimentación</c:v>
                </c:pt>
                <c:pt idx="7">
                  <c:v>Secretarías y otras Dependencias del Ejecutivo</c:v>
                </c:pt>
                <c:pt idx="8">
                  <c:v>Defensa Nacional</c:v>
                </c:pt>
                <c:pt idx="9">
                  <c:v>Gobernación</c:v>
                </c:pt>
                <c:pt idx="10">
                  <c:v>Comunicaciones, Infraestructura y Vivienda</c:v>
                </c:pt>
                <c:pt idx="11">
                  <c:v>Salud y Asistencia Social</c:v>
                </c:pt>
                <c:pt idx="12">
                  <c:v>Servicios de la Deuda Pública</c:v>
                </c:pt>
                <c:pt idx="13">
                  <c:v>Educación</c:v>
                </c:pt>
                <c:pt idx="14">
                  <c:v>Obligaciones del Estado a cargo del Tesoro</c:v>
                </c:pt>
              </c:strCache>
            </c:strRef>
          </c:cat>
          <c:val>
            <c:numRef>
              <c:f>Institución!$C$20:$C$34</c:f>
              <c:numCache>
                <c:formatCode>0.0%</c:formatCode>
                <c:ptCount val="15"/>
                <c:pt idx="0">
                  <c:v>4.3458929487544887E-3</c:v>
                </c:pt>
                <c:pt idx="1">
                  <c:v>4.5989853502821634E-3</c:v>
                </c:pt>
                <c:pt idx="2">
                  <c:v>6.5861027190332331E-3</c:v>
                </c:pt>
                <c:pt idx="3">
                  <c:v>7.1025480248532178E-3</c:v>
                </c:pt>
                <c:pt idx="4">
                  <c:v>8.5755001995097765E-3</c:v>
                </c:pt>
                <c:pt idx="5">
                  <c:v>1.3214387504987744E-2</c:v>
                </c:pt>
                <c:pt idx="6">
                  <c:v>1.5566322749814742E-2</c:v>
                </c:pt>
                <c:pt idx="7">
                  <c:v>1.7405232856409963E-2</c:v>
                </c:pt>
                <c:pt idx="8">
                  <c:v>2.9957247905147349E-2</c:v>
                </c:pt>
                <c:pt idx="9">
                  <c:v>6.0933705751581829E-2</c:v>
                </c:pt>
                <c:pt idx="10">
                  <c:v>6.9012141594938153E-2</c:v>
                </c:pt>
                <c:pt idx="11">
                  <c:v>9.3451519124437096E-2</c:v>
                </c:pt>
                <c:pt idx="12">
                  <c:v>0.15289289175169582</c:v>
                </c:pt>
                <c:pt idx="13">
                  <c:v>0.18845807444564783</c:v>
                </c:pt>
                <c:pt idx="14">
                  <c:v>0.32155503619677367</c:v>
                </c:pt>
              </c:numCache>
            </c:numRef>
          </c:val>
        </c:ser>
        <c:dLbls>
          <c:showLegendKey val="0"/>
          <c:showVal val="0"/>
          <c:showCatName val="0"/>
          <c:showSerName val="0"/>
          <c:showPercent val="0"/>
          <c:showBubbleSize val="0"/>
        </c:dLbls>
        <c:gapWidth val="17"/>
        <c:overlap val="-72"/>
        <c:axId val="385584128"/>
        <c:axId val="385606400"/>
      </c:barChart>
      <c:catAx>
        <c:axId val="385584128"/>
        <c:scaling>
          <c:orientation val="minMax"/>
        </c:scaling>
        <c:delete val="0"/>
        <c:axPos val="l"/>
        <c:majorTickMark val="out"/>
        <c:minorTickMark val="none"/>
        <c:tickLblPos val="nextTo"/>
        <c:crossAx val="385606400"/>
        <c:crosses val="autoZero"/>
        <c:auto val="1"/>
        <c:lblAlgn val="ctr"/>
        <c:lblOffset val="100"/>
        <c:noMultiLvlLbl val="0"/>
      </c:catAx>
      <c:valAx>
        <c:axId val="385606400"/>
        <c:scaling>
          <c:orientation val="minMax"/>
        </c:scaling>
        <c:delete val="1"/>
        <c:axPos val="b"/>
        <c:numFmt formatCode="0.0%" sourceLinked="0"/>
        <c:majorTickMark val="out"/>
        <c:minorTickMark val="none"/>
        <c:tickLblPos val="nextTo"/>
        <c:crossAx val="385584128"/>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a:pPr>
            <a:r>
              <a:rPr lang="es-ES"/>
              <a:t>Presupuesto 2018 y 2019</a:t>
            </a:r>
          </a:p>
          <a:p>
            <a:pPr>
              <a:defRPr/>
            </a:pPr>
            <a:r>
              <a:rPr lang="es-ES"/>
              <a:t>Aportes Constitucionales</a:t>
            </a:r>
          </a:p>
          <a:p>
            <a:pPr>
              <a:defRPr/>
            </a:pPr>
            <a:r>
              <a:rPr lang="es-ES"/>
              <a:t>(En millones Q. y porcentaje)</a:t>
            </a:r>
          </a:p>
        </c:rich>
      </c:tx>
      <c:overlay val="0"/>
    </c:title>
    <c:autoTitleDeleted val="0"/>
    <c:plotArea>
      <c:layout>
        <c:manualLayout>
          <c:layoutTarget val="inner"/>
          <c:xMode val="edge"/>
          <c:yMode val="edge"/>
          <c:x val="0.41964145823028487"/>
          <c:y val="0.1566961651917404"/>
          <c:w val="0.52950960077358755"/>
          <c:h val="0.72204352774487257"/>
        </c:manualLayout>
      </c:layout>
      <c:barChart>
        <c:barDir val="bar"/>
        <c:grouping val="clustered"/>
        <c:varyColors val="0"/>
        <c:ser>
          <c:idx val="0"/>
          <c:order val="0"/>
          <c:tx>
            <c:v>Aprobado 2018</c:v>
          </c:tx>
          <c:invertIfNegative val="0"/>
          <c:dLbls>
            <c:txPr>
              <a:bodyPr/>
              <a:lstStyle/>
              <a:p>
                <a:pPr>
                  <a:defRPr sz="700"/>
                </a:pPr>
                <a:endParaRPr lang="es-GT"/>
              </a:p>
            </c:txPr>
            <c:showLegendKey val="0"/>
            <c:showVal val="1"/>
            <c:showCatName val="0"/>
            <c:showSerName val="0"/>
            <c:showPercent val="0"/>
            <c:showBubbleSize val="0"/>
            <c:showLeaderLines val="0"/>
          </c:dLbls>
          <c:cat>
            <c:strRef>
              <c:f>'Aportes constitucionales'!$B$13:$B$19</c:f>
              <c:strCache>
                <c:ptCount val="7"/>
                <c:pt idx="0">
                  <c:v>Municipalidades (10.%)</c:v>
                </c:pt>
                <c:pt idx="1">
                  <c:v>Universidad de San Carlos de Guatemala (5%)</c:v>
                </c:pt>
                <c:pt idx="2">
                  <c:v>Organismo Judicial (4%)</c:v>
                </c:pt>
                <c:pt idx="3">
                  <c:v>Corte de Constitucionalidad (5%)</c:v>
                </c:pt>
                <c:pt idx="4">
                  <c:v>Deporte Federado (1.50%)</c:v>
                </c:pt>
                <c:pt idx="5">
                  <c:v>Deporte no Federado (0.75%)</c:v>
                </c:pt>
                <c:pt idx="6">
                  <c:v>Educación Física, Recreación y Deportes (0.75%)</c:v>
                </c:pt>
              </c:strCache>
            </c:strRef>
          </c:cat>
          <c:val>
            <c:numRef>
              <c:f>'Aportes constitucionales'!$D$13:$D$19</c:f>
              <c:numCache>
                <c:formatCode>"Q"#,##0.0</c:formatCode>
                <c:ptCount val="7"/>
                <c:pt idx="0">
                  <c:v>3051.7</c:v>
                </c:pt>
                <c:pt idx="1">
                  <c:v>1525.9</c:v>
                </c:pt>
                <c:pt idx="2">
                  <c:v>1220.7</c:v>
                </c:pt>
                <c:pt idx="3">
                  <c:v>61</c:v>
                </c:pt>
                <c:pt idx="4">
                  <c:v>457.8</c:v>
                </c:pt>
                <c:pt idx="5">
                  <c:v>228.9</c:v>
                </c:pt>
                <c:pt idx="6">
                  <c:v>228.9</c:v>
                </c:pt>
              </c:numCache>
            </c:numRef>
          </c:val>
        </c:ser>
        <c:ser>
          <c:idx val="3"/>
          <c:order val="1"/>
          <c:tx>
            <c:v>Aprobado 2019</c:v>
          </c:tx>
          <c:invertIfNegative val="0"/>
          <c:dLbls>
            <c:txPr>
              <a:bodyPr/>
              <a:lstStyle/>
              <a:p>
                <a:pPr>
                  <a:defRPr sz="700"/>
                </a:pPr>
                <a:endParaRPr lang="es-GT"/>
              </a:p>
            </c:txPr>
            <c:showLegendKey val="0"/>
            <c:showVal val="1"/>
            <c:showCatName val="0"/>
            <c:showSerName val="0"/>
            <c:showPercent val="0"/>
            <c:showBubbleSize val="0"/>
            <c:showLeaderLines val="0"/>
          </c:dLbls>
          <c:cat>
            <c:strRef>
              <c:f>'Aportes constitucionales'!$B$13:$B$19</c:f>
              <c:strCache>
                <c:ptCount val="7"/>
                <c:pt idx="0">
                  <c:v>Municipalidades (10.%)</c:v>
                </c:pt>
                <c:pt idx="1">
                  <c:v>Universidad de San Carlos de Guatemala (5%)</c:v>
                </c:pt>
                <c:pt idx="2">
                  <c:v>Organismo Judicial (4%)</c:v>
                </c:pt>
                <c:pt idx="3">
                  <c:v>Corte de Constitucionalidad (5%)</c:v>
                </c:pt>
                <c:pt idx="4">
                  <c:v>Deporte Federado (1.50%)</c:v>
                </c:pt>
                <c:pt idx="5">
                  <c:v>Deporte no Federado (0.75%)</c:v>
                </c:pt>
                <c:pt idx="6">
                  <c:v>Educación Física, Recreación y Deportes (0.75%)</c:v>
                </c:pt>
              </c:strCache>
            </c:strRef>
          </c:cat>
          <c:val>
            <c:numRef>
              <c:f>'Aportes constitucionales'!$E$13:$E$19</c:f>
              <c:numCache>
                <c:formatCode>"Q"#,##0.0</c:formatCode>
                <c:ptCount val="7"/>
                <c:pt idx="0">
                  <c:v>3124.5</c:v>
                </c:pt>
                <c:pt idx="1">
                  <c:v>1562.3</c:v>
                </c:pt>
                <c:pt idx="2">
                  <c:v>1249.8</c:v>
                </c:pt>
                <c:pt idx="3">
                  <c:v>62.5</c:v>
                </c:pt>
                <c:pt idx="4">
                  <c:v>468.7</c:v>
                </c:pt>
                <c:pt idx="5">
                  <c:v>234.3</c:v>
                </c:pt>
                <c:pt idx="6">
                  <c:v>234.3</c:v>
                </c:pt>
              </c:numCache>
            </c:numRef>
          </c:val>
        </c:ser>
        <c:dLbls>
          <c:showLegendKey val="0"/>
          <c:showVal val="0"/>
          <c:showCatName val="0"/>
          <c:showSerName val="0"/>
          <c:showPercent val="0"/>
          <c:showBubbleSize val="0"/>
        </c:dLbls>
        <c:gapWidth val="75"/>
        <c:overlap val="-25"/>
        <c:axId val="385177472"/>
        <c:axId val="385179008"/>
      </c:barChart>
      <c:catAx>
        <c:axId val="385177472"/>
        <c:scaling>
          <c:orientation val="minMax"/>
        </c:scaling>
        <c:delete val="0"/>
        <c:axPos val="l"/>
        <c:numFmt formatCode="General" sourceLinked="1"/>
        <c:majorTickMark val="none"/>
        <c:minorTickMark val="none"/>
        <c:tickLblPos val="nextTo"/>
        <c:crossAx val="385179008"/>
        <c:crosses val="autoZero"/>
        <c:auto val="1"/>
        <c:lblAlgn val="ctr"/>
        <c:lblOffset val="100"/>
        <c:noMultiLvlLbl val="0"/>
      </c:catAx>
      <c:valAx>
        <c:axId val="385179008"/>
        <c:scaling>
          <c:orientation val="minMax"/>
        </c:scaling>
        <c:delete val="1"/>
        <c:axPos val="b"/>
        <c:numFmt formatCode="&quot;Q&quot;#,##0.0" sourceLinked="1"/>
        <c:majorTickMark val="none"/>
        <c:minorTickMark val="none"/>
        <c:tickLblPos val="nextTo"/>
        <c:crossAx val="385177472"/>
        <c:crosses val="autoZero"/>
        <c:crossBetween val="between"/>
      </c:valAx>
    </c:plotArea>
    <c:legend>
      <c:legendPos val="b"/>
      <c:overlay val="0"/>
    </c:legend>
    <c:plotVisOnly val="1"/>
    <c:dispBlanksAs val="gap"/>
    <c:showDLblsOverMax val="0"/>
  </c:chart>
  <c:spPr>
    <a:noFill/>
    <a:ln>
      <a:noFill/>
    </a:ln>
  </c:spPr>
  <c:txPr>
    <a:bodyPr/>
    <a:lstStyle/>
    <a:p>
      <a:pPr>
        <a:defRPr sz="800">
          <a:latin typeface="Arial" pitchFamily="34" charset="0"/>
          <a:cs typeface="Arial" pitchFamily="34" charset="0"/>
        </a:defRPr>
      </a:pPr>
      <a:endParaRPr lang="es-GT"/>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t>Presupuesto 2018 y 2019</a:t>
            </a:r>
          </a:p>
          <a:p>
            <a:pPr>
              <a:defRPr sz="1100"/>
            </a:pPr>
            <a:r>
              <a:rPr lang="en-US" sz="1100"/>
              <a:t>Asignaciones en cumplimiento de los Acuerdos de Paz</a:t>
            </a:r>
          </a:p>
        </c:rich>
      </c:tx>
      <c:overlay val="1"/>
    </c:title>
    <c:autoTitleDeleted val="0"/>
    <c:plotArea>
      <c:layout>
        <c:manualLayout>
          <c:layoutTarget val="inner"/>
          <c:xMode val="edge"/>
          <c:yMode val="edge"/>
          <c:x val="0.36165855438212058"/>
          <c:y val="0.10326463550393841"/>
          <c:w val="0.51769596154869413"/>
          <c:h val="0.76715151128206138"/>
        </c:manualLayout>
      </c:layout>
      <c:barChart>
        <c:barDir val="bar"/>
        <c:grouping val="clustered"/>
        <c:varyColors val="0"/>
        <c:ser>
          <c:idx val="0"/>
          <c:order val="0"/>
          <c:tx>
            <c:strRef>
              <c:f>'Asig Cump Acdos Paz'!$B$8</c:f>
              <c:strCache>
                <c:ptCount val="1"/>
                <c:pt idx="0">
                  <c:v>Aprobado 2018</c:v>
                </c:pt>
              </c:strCache>
            </c:strRef>
          </c:tx>
          <c:invertIfNegative val="0"/>
          <c:dLbls>
            <c:txPr>
              <a:bodyPr/>
              <a:lstStyle/>
              <a:p>
                <a:pPr>
                  <a:defRPr sz="800"/>
                </a:pPr>
                <a:endParaRPr lang="es-GT"/>
              </a:p>
            </c:txPr>
            <c:showLegendKey val="0"/>
            <c:showVal val="1"/>
            <c:showCatName val="0"/>
            <c:showSerName val="0"/>
            <c:showPercent val="0"/>
            <c:showBubbleSize val="0"/>
            <c:showLeaderLines val="0"/>
          </c:dLbls>
          <c:cat>
            <c:strRef>
              <c:f>'Asig Cump Acdos Paz'!$A$13:$A$18</c:f>
              <c:strCache>
                <c:ptCount val="6"/>
                <c:pt idx="0">
                  <c:v>Educación, Ciencia y Cultura</c:v>
                </c:pt>
                <c:pt idx="1">
                  <c:v>Salud, Agua y Saneamiento</c:v>
                </c:pt>
                <c:pt idx="2">
                  <c:v>Seguridad Interna</c:v>
                </c:pt>
                <c:pt idx="3">
                  <c:v>Organismo Judicial y Corte de Constitucionalidad</c:v>
                </c:pt>
                <c:pt idx="4">
                  <c:v>Ministerio Público</c:v>
                </c:pt>
                <c:pt idx="5">
                  <c:v>Vivienda</c:v>
                </c:pt>
              </c:strCache>
            </c:strRef>
          </c:cat>
          <c:val>
            <c:numRef>
              <c:f>'Asig Cump Acdos Paz'!$B$13:$B$18</c:f>
              <c:numCache>
                <c:formatCode>"Q"#,##0.0</c:formatCode>
                <c:ptCount val="6"/>
                <c:pt idx="0">
                  <c:v>160.6</c:v>
                </c:pt>
                <c:pt idx="1">
                  <c:v>1842</c:v>
                </c:pt>
                <c:pt idx="2">
                  <c:v>2288.9</c:v>
                </c:pt>
                <c:pt idx="3">
                  <c:v>5421.1</c:v>
                </c:pt>
                <c:pt idx="4">
                  <c:v>10820.7</c:v>
                </c:pt>
                <c:pt idx="5">
                  <c:v>18414</c:v>
                </c:pt>
              </c:numCache>
            </c:numRef>
          </c:val>
        </c:ser>
        <c:ser>
          <c:idx val="1"/>
          <c:order val="1"/>
          <c:tx>
            <c:strRef>
              <c:f>'Asig Cump Acdos Paz'!$C$8</c:f>
              <c:strCache>
                <c:ptCount val="1"/>
                <c:pt idx="0">
                  <c:v>Aprobado 2019</c:v>
                </c:pt>
              </c:strCache>
            </c:strRef>
          </c:tx>
          <c:invertIfNegative val="0"/>
          <c:dLbls>
            <c:txPr>
              <a:bodyPr/>
              <a:lstStyle/>
              <a:p>
                <a:pPr>
                  <a:defRPr sz="800"/>
                </a:pPr>
                <a:endParaRPr lang="es-GT"/>
              </a:p>
            </c:txPr>
            <c:showLegendKey val="0"/>
            <c:showVal val="1"/>
            <c:showCatName val="0"/>
            <c:showSerName val="0"/>
            <c:showPercent val="0"/>
            <c:showBubbleSize val="0"/>
            <c:showLeaderLines val="0"/>
          </c:dLbls>
          <c:cat>
            <c:strRef>
              <c:f>'Asig Cump Acdos Paz'!$A$13:$A$18</c:f>
              <c:strCache>
                <c:ptCount val="6"/>
                <c:pt idx="0">
                  <c:v>Educación, Ciencia y Cultura</c:v>
                </c:pt>
                <c:pt idx="1">
                  <c:v>Salud, Agua y Saneamiento</c:v>
                </c:pt>
                <c:pt idx="2">
                  <c:v>Seguridad Interna</c:v>
                </c:pt>
                <c:pt idx="3">
                  <c:v>Organismo Judicial y Corte de Constitucionalidad</c:v>
                </c:pt>
                <c:pt idx="4">
                  <c:v>Ministerio Público</c:v>
                </c:pt>
                <c:pt idx="5">
                  <c:v>Vivienda</c:v>
                </c:pt>
              </c:strCache>
            </c:strRef>
          </c:cat>
          <c:val>
            <c:numRef>
              <c:f>'Asig Cump Acdos Paz'!$C$13:$C$18</c:f>
              <c:numCache>
                <c:formatCode>"Q"#,##0.0</c:formatCode>
                <c:ptCount val="6"/>
                <c:pt idx="0">
                  <c:v>729.7</c:v>
                </c:pt>
                <c:pt idx="1">
                  <c:v>1799.1</c:v>
                </c:pt>
                <c:pt idx="2">
                  <c:v>2153.1</c:v>
                </c:pt>
                <c:pt idx="3">
                  <c:v>5362.8</c:v>
                </c:pt>
                <c:pt idx="4">
                  <c:v>13074.6</c:v>
                </c:pt>
                <c:pt idx="5">
                  <c:v>21333.4</c:v>
                </c:pt>
              </c:numCache>
            </c:numRef>
          </c:val>
        </c:ser>
        <c:dLbls>
          <c:showLegendKey val="0"/>
          <c:showVal val="0"/>
          <c:showCatName val="0"/>
          <c:showSerName val="0"/>
          <c:showPercent val="0"/>
          <c:showBubbleSize val="0"/>
        </c:dLbls>
        <c:gapWidth val="150"/>
        <c:overlap val="-18"/>
        <c:axId val="385492480"/>
        <c:axId val="385494016"/>
      </c:barChart>
      <c:catAx>
        <c:axId val="385492480"/>
        <c:scaling>
          <c:orientation val="minMax"/>
        </c:scaling>
        <c:delete val="0"/>
        <c:axPos val="l"/>
        <c:majorTickMark val="out"/>
        <c:minorTickMark val="none"/>
        <c:tickLblPos val="nextTo"/>
        <c:txPr>
          <a:bodyPr/>
          <a:lstStyle/>
          <a:p>
            <a:pPr>
              <a:defRPr sz="1050"/>
            </a:pPr>
            <a:endParaRPr lang="es-GT"/>
          </a:p>
        </c:txPr>
        <c:crossAx val="385494016"/>
        <c:crosses val="autoZero"/>
        <c:auto val="1"/>
        <c:lblAlgn val="ctr"/>
        <c:lblOffset val="100"/>
        <c:noMultiLvlLbl val="0"/>
      </c:catAx>
      <c:valAx>
        <c:axId val="385494016"/>
        <c:scaling>
          <c:orientation val="minMax"/>
        </c:scaling>
        <c:delete val="1"/>
        <c:axPos val="b"/>
        <c:numFmt formatCode="&quot;Q&quot;#,##0.0" sourceLinked="1"/>
        <c:majorTickMark val="out"/>
        <c:minorTickMark val="none"/>
        <c:tickLblPos val="nextTo"/>
        <c:crossAx val="385492480"/>
        <c:crosses val="autoZero"/>
        <c:crossBetween val="between"/>
      </c:valAx>
    </c:plotArea>
    <c:legend>
      <c:legendPos val="b"/>
      <c:overlay val="0"/>
      <c:txPr>
        <a:bodyPr/>
        <a:lstStyle/>
        <a:p>
          <a:pPr>
            <a:defRPr sz="900"/>
          </a:pPr>
          <a:endParaRPr lang="es-GT"/>
        </a:p>
      </c:txPr>
    </c:legend>
    <c:plotVisOnly val="1"/>
    <c:dispBlanksAs val="gap"/>
    <c:showDLblsOverMax val="0"/>
  </c:chart>
  <c:spPr>
    <a:noFill/>
    <a:ln>
      <a:noFill/>
    </a:ln>
  </c:spPr>
  <c:txPr>
    <a:bodyPr/>
    <a:lstStyle/>
    <a:p>
      <a:pPr>
        <a:defRPr sz="1400">
          <a:latin typeface="Arial" pitchFamily="34" charset="0"/>
          <a:cs typeface="Arial" pitchFamily="34" charset="0"/>
        </a:defRPr>
      </a:pPr>
      <a:endParaRPr lang="es-GT"/>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50"/>
            </a:pPr>
            <a:r>
              <a:rPr lang="es-ES" sz="1050"/>
              <a:t>Carga Tributaria</a:t>
            </a:r>
          </a:p>
        </c:rich>
      </c:tx>
      <c:layout>
        <c:manualLayout>
          <c:xMode val="edge"/>
          <c:yMode val="edge"/>
          <c:x val="0.40144829146865807"/>
          <c:y val="0"/>
        </c:manualLayout>
      </c:layout>
      <c:overlay val="0"/>
    </c:title>
    <c:autoTitleDeleted val="0"/>
    <c:plotArea>
      <c:layout>
        <c:manualLayout>
          <c:layoutTarget val="inner"/>
          <c:xMode val="edge"/>
          <c:yMode val="edge"/>
          <c:x val="0.11110998221996445"/>
          <c:y val="0.11466565691146315"/>
          <c:w val="0.85947011206083967"/>
          <c:h val="0.67257338880070816"/>
        </c:manualLayout>
      </c:layout>
      <c:barChart>
        <c:barDir val="col"/>
        <c:grouping val="clustered"/>
        <c:varyColors val="1"/>
        <c:ser>
          <c:idx val="0"/>
          <c:order val="0"/>
          <c:invertIfNegative val="0"/>
          <c:dLbls>
            <c:txPr>
              <a:bodyPr/>
              <a:lstStyle/>
              <a:p>
                <a:pPr>
                  <a:defRPr sz="700"/>
                </a:pPr>
                <a:endParaRPr lang="es-GT"/>
              </a:p>
            </c:txPr>
            <c:dLblPos val="outEnd"/>
            <c:showLegendKey val="0"/>
            <c:showVal val="1"/>
            <c:showCatName val="0"/>
            <c:showSerName val="0"/>
            <c:showPercent val="0"/>
            <c:showBubbleSize val="0"/>
            <c:separator>
</c:separator>
            <c:showLeaderLines val="0"/>
          </c:dLbls>
          <c:cat>
            <c:strRef>
              <c:f>'Escenario Macro'!$A$6:$M$6</c:f>
              <c:strCach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strCache>
            </c:strRef>
          </c:cat>
          <c:val>
            <c:numRef>
              <c:f>'Escenario Macro'!$A$7:$M$7</c:f>
              <c:numCache>
                <c:formatCode>0.0</c:formatCode>
                <c:ptCount val="13"/>
                <c:pt idx="0">
                  <c:v>12.1</c:v>
                </c:pt>
                <c:pt idx="1">
                  <c:v>11.3</c:v>
                </c:pt>
                <c:pt idx="2">
                  <c:v>10.3</c:v>
                </c:pt>
                <c:pt idx="3">
                  <c:v>10.4</c:v>
                </c:pt>
                <c:pt idx="4">
                  <c:v>10.9</c:v>
                </c:pt>
                <c:pt idx="5">
                  <c:v>10.8</c:v>
                </c:pt>
                <c:pt idx="6">
                  <c:v>11</c:v>
                </c:pt>
                <c:pt idx="7">
                  <c:v>10.8</c:v>
                </c:pt>
                <c:pt idx="8">
                  <c:v>10.199999999999999</c:v>
                </c:pt>
                <c:pt idx="9">
                  <c:v>10.4</c:v>
                </c:pt>
                <c:pt idx="10">
                  <c:v>10.199999999999999</c:v>
                </c:pt>
                <c:pt idx="11">
                  <c:v>10.4</c:v>
                </c:pt>
                <c:pt idx="12">
                  <c:v>10</c:v>
                </c:pt>
              </c:numCache>
            </c:numRef>
          </c:val>
        </c:ser>
        <c:dLbls>
          <c:showLegendKey val="0"/>
          <c:showVal val="1"/>
          <c:showCatName val="0"/>
          <c:showSerName val="0"/>
          <c:showPercent val="0"/>
          <c:showBubbleSize val="0"/>
        </c:dLbls>
        <c:gapWidth val="70"/>
        <c:axId val="349897088"/>
        <c:axId val="349900160"/>
      </c:barChart>
      <c:catAx>
        <c:axId val="349897088"/>
        <c:scaling>
          <c:orientation val="minMax"/>
        </c:scaling>
        <c:delete val="0"/>
        <c:axPos val="b"/>
        <c:title>
          <c:tx>
            <c:rich>
              <a:bodyPr/>
              <a:lstStyle/>
              <a:p>
                <a:pPr>
                  <a:defRPr/>
                </a:pPr>
                <a:r>
                  <a:rPr lang="es-ES"/>
                  <a:t>Ejercicio Fiscal</a:t>
                </a:r>
              </a:p>
            </c:rich>
          </c:tx>
          <c:overlay val="0"/>
        </c:title>
        <c:numFmt formatCode="General" sourceLinked="1"/>
        <c:majorTickMark val="none"/>
        <c:minorTickMark val="none"/>
        <c:tickLblPos val="nextTo"/>
        <c:txPr>
          <a:bodyPr rot="0" vert="horz"/>
          <a:lstStyle/>
          <a:p>
            <a:pPr>
              <a:defRPr sz="900"/>
            </a:pPr>
            <a:endParaRPr lang="es-GT"/>
          </a:p>
        </c:txPr>
        <c:crossAx val="349900160"/>
        <c:crosses val="autoZero"/>
        <c:auto val="1"/>
        <c:lblAlgn val="ctr"/>
        <c:lblOffset val="100"/>
        <c:noMultiLvlLbl val="0"/>
      </c:catAx>
      <c:valAx>
        <c:axId val="349900160"/>
        <c:scaling>
          <c:orientation val="minMax"/>
        </c:scaling>
        <c:delete val="0"/>
        <c:axPos val="l"/>
        <c:title>
          <c:tx>
            <c:rich>
              <a:bodyPr/>
              <a:lstStyle/>
              <a:p>
                <a:pPr>
                  <a:defRPr sz="900"/>
                </a:pPr>
                <a:r>
                  <a:rPr lang="en-US" sz="900"/>
                  <a:t>Porcentaje</a:t>
                </a:r>
              </a:p>
            </c:rich>
          </c:tx>
          <c:layout>
            <c:manualLayout>
              <c:xMode val="edge"/>
              <c:yMode val="edge"/>
              <c:x val="1.5423780068346963E-2"/>
              <c:y val="0.43673288429786478"/>
            </c:manualLayout>
          </c:layout>
          <c:overlay val="0"/>
        </c:title>
        <c:numFmt formatCode="0.0" sourceLinked="1"/>
        <c:majorTickMark val="out"/>
        <c:minorTickMark val="none"/>
        <c:tickLblPos val="nextTo"/>
        <c:txPr>
          <a:bodyPr rot="0" vert="horz"/>
          <a:lstStyle/>
          <a:p>
            <a:pPr>
              <a:defRPr sz="900"/>
            </a:pPr>
            <a:endParaRPr lang="es-GT"/>
          </a:p>
        </c:txPr>
        <c:crossAx val="349897088"/>
        <c:crosses val="autoZero"/>
        <c:crossBetween val="between"/>
      </c:valAx>
      <c:spPr>
        <a:noFill/>
        <a:ln w="25400">
          <a:noFill/>
        </a:ln>
        <a:effectLst>
          <a:innerShdw blurRad="63500" dist="50800" dir="8100000">
            <a:prstClr val="black">
              <a:alpha val="50000"/>
            </a:prstClr>
          </a:innerShdw>
        </a:effectLst>
      </c:spPr>
    </c:plotArea>
    <c:plotVisOnly val="1"/>
    <c:dispBlanksAs val="zero"/>
    <c:showDLblsOverMax val="0"/>
  </c:chart>
  <c:spPr>
    <a:noFill/>
    <a:ln>
      <a:noFill/>
    </a:ln>
    <a:effectLst>
      <a:innerShdw blurRad="63500" dist="50800" dir="8100000">
        <a:prstClr val="black">
          <a:alpha val="50000"/>
        </a:prstClr>
      </a:innerShdw>
    </a:effectLst>
  </c:spPr>
  <c:txPr>
    <a:bodyPr/>
    <a:lstStyle/>
    <a:p>
      <a:pPr>
        <a:defRPr>
          <a:latin typeface="Arial" pitchFamily="34" charset="0"/>
          <a:cs typeface="Arial" pitchFamily="34" charset="0"/>
        </a:defRPr>
      </a:pPr>
      <a:endParaRPr lang="es-GT"/>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50"/>
            </a:pPr>
            <a:r>
              <a:rPr lang="en-US" sz="1050"/>
              <a:t>Endeudamiento Neto</a:t>
            </a:r>
          </a:p>
          <a:p>
            <a:pPr>
              <a:defRPr sz="1050"/>
            </a:pPr>
            <a:r>
              <a:rPr lang="en-US" sz="1050"/>
              <a:t>(% en relación al PIB)</a:t>
            </a:r>
          </a:p>
        </c:rich>
      </c:tx>
      <c:overlay val="0"/>
    </c:title>
    <c:autoTitleDeleted val="0"/>
    <c:plotArea>
      <c:layout>
        <c:manualLayout>
          <c:layoutTarget val="inner"/>
          <c:xMode val="edge"/>
          <c:yMode val="edge"/>
          <c:x val="0.11252173139374518"/>
          <c:y val="0.1686521103772039"/>
          <c:w val="0.85100369233507289"/>
          <c:h val="0.66891456877749433"/>
        </c:manualLayout>
      </c:layout>
      <c:barChart>
        <c:barDir val="col"/>
        <c:grouping val="clustered"/>
        <c:varyColors val="1"/>
        <c:ser>
          <c:idx val="0"/>
          <c:order val="0"/>
          <c:spPr>
            <a:ln>
              <a:solidFill>
                <a:schemeClr val="accent4">
                  <a:lumMod val="50000"/>
                </a:schemeClr>
              </a:solidFill>
            </a:ln>
          </c:spPr>
          <c:invertIfNegative val="0"/>
          <c:dPt>
            <c:idx val="9"/>
            <c:invertIfNegative val="0"/>
            <c:bubble3D val="0"/>
          </c:dPt>
          <c:dLbls>
            <c:txPr>
              <a:bodyPr/>
              <a:lstStyle/>
              <a:p>
                <a:pPr>
                  <a:defRPr sz="700"/>
                </a:pPr>
                <a:endParaRPr lang="es-GT"/>
              </a:p>
            </c:txPr>
            <c:dLblPos val="outEnd"/>
            <c:showLegendKey val="0"/>
            <c:showVal val="1"/>
            <c:showCatName val="0"/>
            <c:showSerName val="0"/>
            <c:showPercent val="0"/>
            <c:showBubbleSize val="0"/>
            <c:separator>
</c:separator>
            <c:showLeaderLines val="0"/>
          </c:dLbls>
          <c:cat>
            <c:strRef>
              <c:f>'Escenario Macro'!$A$66:$A$78</c:f>
              <c:strCach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strCache>
            </c:strRef>
          </c:cat>
          <c:val>
            <c:numRef>
              <c:f>'Escenario Macro'!$B$66:$B$78</c:f>
              <c:numCache>
                <c:formatCode>General</c:formatCode>
                <c:ptCount val="13"/>
                <c:pt idx="0">
                  <c:v>1.4</c:v>
                </c:pt>
                <c:pt idx="1">
                  <c:v>1.6</c:v>
                </c:pt>
                <c:pt idx="2">
                  <c:v>3.1</c:v>
                </c:pt>
                <c:pt idx="3">
                  <c:v>3.3</c:v>
                </c:pt>
                <c:pt idx="4">
                  <c:v>2.4</c:v>
                </c:pt>
                <c:pt idx="5">
                  <c:v>2.6</c:v>
                </c:pt>
                <c:pt idx="6">
                  <c:v>2.1</c:v>
                </c:pt>
                <c:pt idx="7">
                  <c:v>1.8</c:v>
                </c:pt>
                <c:pt idx="8" formatCode="#,##0.0">
                  <c:v>2</c:v>
                </c:pt>
                <c:pt idx="9" formatCode="#,##0.0">
                  <c:v>1.5</c:v>
                </c:pt>
                <c:pt idx="10" formatCode="#,##0.0">
                  <c:v>1.5</c:v>
                </c:pt>
                <c:pt idx="11" formatCode="#,##0.0">
                  <c:v>1.6</c:v>
                </c:pt>
                <c:pt idx="12">
                  <c:v>1.8</c:v>
                </c:pt>
              </c:numCache>
            </c:numRef>
          </c:val>
        </c:ser>
        <c:dLbls>
          <c:showLegendKey val="0"/>
          <c:showVal val="1"/>
          <c:showCatName val="0"/>
          <c:showSerName val="0"/>
          <c:showPercent val="0"/>
          <c:showBubbleSize val="0"/>
        </c:dLbls>
        <c:gapWidth val="82"/>
        <c:axId val="349916160"/>
        <c:axId val="349931776"/>
      </c:barChart>
      <c:catAx>
        <c:axId val="349916160"/>
        <c:scaling>
          <c:orientation val="minMax"/>
        </c:scaling>
        <c:delete val="0"/>
        <c:axPos val="b"/>
        <c:title>
          <c:tx>
            <c:rich>
              <a:bodyPr/>
              <a:lstStyle/>
              <a:p>
                <a:pPr>
                  <a:defRPr/>
                </a:pPr>
                <a:r>
                  <a:rPr lang="en-US"/>
                  <a:t>Ejercicio Fiscal</a:t>
                </a:r>
              </a:p>
            </c:rich>
          </c:tx>
          <c:layout>
            <c:manualLayout>
              <c:xMode val="edge"/>
              <c:yMode val="edge"/>
              <c:x val="0.52296619247176446"/>
              <c:y val="0.91279511948999603"/>
            </c:manualLayout>
          </c:layout>
          <c:overlay val="0"/>
        </c:title>
        <c:numFmt formatCode="General" sourceLinked="1"/>
        <c:majorTickMark val="out"/>
        <c:minorTickMark val="none"/>
        <c:tickLblPos val="nextTo"/>
        <c:txPr>
          <a:bodyPr rot="0" vert="horz"/>
          <a:lstStyle/>
          <a:p>
            <a:pPr>
              <a:defRPr sz="900"/>
            </a:pPr>
            <a:endParaRPr lang="es-GT"/>
          </a:p>
        </c:txPr>
        <c:crossAx val="349931776"/>
        <c:crosses val="autoZero"/>
        <c:auto val="1"/>
        <c:lblAlgn val="ctr"/>
        <c:lblOffset val="100"/>
        <c:noMultiLvlLbl val="0"/>
      </c:catAx>
      <c:valAx>
        <c:axId val="349931776"/>
        <c:scaling>
          <c:orientation val="minMax"/>
        </c:scaling>
        <c:delete val="0"/>
        <c:axPos val="l"/>
        <c:title>
          <c:tx>
            <c:rich>
              <a:bodyPr rot="-5400000" vert="horz"/>
              <a:lstStyle/>
              <a:p>
                <a:pPr>
                  <a:defRPr sz="900"/>
                </a:pPr>
                <a:r>
                  <a:rPr lang="en-US" sz="900"/>
                  <a:t>Porcentaje</a:t>
                </a:r>
              </a:p>
            </c:rich>
          </c:tx>
          <c:layout>
            <c:manualLayout>
              <c:xMode val="edge"/>
              <c:yMode val="edge"/>
              <c:x val="3.3753531405233059E-2"/>
              <c:y val="0.42087954912181419"/>
            </c:manualLayout>
          </c:layout>
          <c:overlay val="0"/>
        </c:title>
        <c:numFmt formatCode="General" sourceLinked="1"/>
        <c:majorTickMark val="out"/>
        <c:minorTickMark val="none"/>
        <c:tickLblPos val="nextTo"/>
        <c:txPr>
          <a:bodyPr rot="0" vert="horz"/>
          <a:lstStyle/>
          <a:p>
            <a:pPr>
              <a:defRPr sz="900"/>
            </a:pPr>
            <a:endParaRPr lang="es-GT"/>
          </a:p>
        </c:txPr>
        <c:crossAx val="349916160"/>
        <c:crosses val="autoZero"/>
        <c:crossBetween val="between"/>
      </c:valAx>
      <c:spPr>
        <a:noFill/>
        <a:ln w="25400">
          <a:noFill/>
        </a:ln>
        <a:effectLst>
          <a:innerShdw blurRad="63500" dist="50800" dir="8100000">
            <a:prstClr val="black">
              <a:alpha val="50000"/>
            </a:prstClr>
          </a:innerShdw>
        </a:effectLst>
      </c:spPr>
    </c:plotArea>
    <c:plotVisOnly val="1"/>
    <c:dispBlanksAs val="zero"/>
    <c:showDLblsOverMax val="0"/>
  </c:chart>
  <c:spPr>
    <a:noFill/>
    <a:ln>
      <a:noFill/>
    </a:ln>
  </c:spPr>
  <c:txPr>
    <a:bodyPr/>
    <a:lstStyle/>
    <a:p>
      <a:pPr>
        <a:defRPr>
          <a:latin typeface="Arial" pitchFamily="34" charset="0"/>
          <a:cs typeface="Arial" pitchFamily="34" charset="0"/>
        </a:defRPr>
      </a:pPr>
      <a:endParaRPr lang="es-GT"/>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pPr>
            <a:r>
              <a:rPr lang="es-ES" sz="1050"/>
              <a:t>Déficit  Fiscal</a:t>
            </a:r>
          </a:p>
          <a:p>
            <a:pPr>
              <a:defRPr sz="1050"/>
            </a:pPr>
            <a:r>
              <a:rPr lang="es-ES" sz="1050"/>
              <a:t>(% en relación al PIB)</a:t>
            </a:r>
          </a:p>
        </c:rich>
      </c:tx>
      <c:layout>
        <c:manualLayout>
          <c:xMode val="edge"/>
          <c:yMode val="edge"/>
          <c:x val="0.35210027318013831"/>
          <c:y val="3.1858243746928895E-2"/>
        </c:manualLayout>
      </c:layout>
      <c:overlay val="0"/>
    </c:title>
    <c:autoTitleDeleted val="0"/>
    <c:plotArea>
      <c:layout>
        <c:manualLayout>
          <c:layoutTarget val="inner"/>
          <c:xMode val="edge"/>
          <c:yMode val="edge"/>
          <c:x val="9.6025343770804156E-2"/>
          <c:y val="0.27064705952851786"/>
          <c:w val="0.88934888241010812"/>
          <c:h val="0.56711495570095627"/>
        </c:manualLayout>
      </c:layout>
      <c:barChart>
        <c:barDir val="col"/>
        <c:grouping val="clustered"/>
        <c:varyColors val="1"/>
        <c:ser>
          <c:idx val="0"/>
          <c:order val="0"/>
          <c:spPr>
            <a:effectLst>
              <a:outerShdw blurRad="40000" dist="23000" dir="5400000" rotWithShape="0">
                <a:srgbClr val="000000">
                  <a:alpha val="35000"/>
                </a:srgbClr>
              </a:outerShdw>
            </a:effectLst>
          </c:spPr>
          <c:invertIfNegative val="0"/>
          <c:dLbls>
            <c:dLbl>
              <c:idx val="2"/>
              <c:layout>
                <c:manualLayout>
                  <c:x val="-1.639463434417638E-2"/>
                  <c:y val="-4.2930044703316302E-2"/>
                </c:manualLayout>
              </c:layout>
              <c:showLegendKey val="0"/>
              <c:showVal val="1"/>
              <c:showCatName val="0"/>
              <c:showSerName val="0"/>
              <c:showPercent val="0"/>
              <c:showBubbleSize val="0"/>
            </c:dLbl>
            <c:dLbl>
              <c:idx val="3"/>
              <c:layout>
                <c:manualLayout>
                  <c:x val="-3.3887345714438827E-2"/>
                  <c:y val="-3.6841764642433411E-2"/>
                </c:manualLayout>
              </c:layout>
              <c:showLegendKey val="0"/>
              <c:showVal val="1"/>
              <c:showCatName val="0"/>
              <c:showSerName val="0"/>
              <c:showPercent val="0"/>
              <c:showBubbleSize val="0"/>
            </c:dLbl>
            <c:dLbl>
              <c:idx val="10"/>
              <c:layout>
                <c:manualLayout>
                  <c:x val="-3.3887345714438827E-2"/>
                  <c:y val="-3.3797624611991997E-2"/>
                </c:manualLayout>
              </c:layout>
              <c:showLegendKey val="0"/>
              <c:showVal val="1"/>
              <c:showCatName val="0"/>
              <c:showSerName val="0"/>
              <c:showPercent val="0"/>
              <c:showBubbleSize val="0"/>
            </c:dLbl>
            <c:txPr>
              <a:bodyPr/>
              <a:lstStyle/>
              <a:p>
                <a:pPr>
                  <a:defRPr sz="900" b="1"/>
                </a:pPr>
                <a:endParaRPr lang="es-GT"/>
              </a:p>
            </c:txPr>
            <c:showLegendKey val="0"/>
            <c:showVal val="1"/>
            <c:showCatName val="0"/>
            <c:showSerName val="0"/>
            <c:showPercent val="0"/>
            <c:showBubbleSize val="0"/>
            <c:showLeaderLines val="0"/>
          </c:dLbls>
          <c:cat>
            <c:strRef>
              <c:f>'Escenario Macro'!$A$93:$M$93</c:f>
              <c:strCach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strCache>
            </c:strRef>
          </c:cat>
          <c:val>
            <c:numRef>
              <c:f>'Escenario Macro'!$A$94:$M$94</c:f>
              <c:numCache>
                <c:formatCode>General</c:formatCode>
                <c:ptCount val="13"/>
                <c:pt idx="0">
                  <c:v>-1.4</c:v>
                </c:pt>
                <c:pt idx="1">
                  <c:v>-1.6</c:v>
                </c:pt>
                <c:pt idx="2">
                  <c:v>-3.1</c:v>
                </c:pt>
                <c:pt idx="3">
                  <c:v>-3.3</c:v>
                </c:pt>
                <c:pt idx="4">
                  <c:v>-2.8</c:v>
                </c:pt>
                <c:pt idx="5">
                  <c:v>-2.4</c:v>
                </c:pt>
                <c:pt idx="6">
                  <c:v>-2.1</c:v>
                </c:pt>
                <c:pt idx="7">
                  <c:v>-1.9</c:v>
                </c:pt>
                <c:pt idx="8" formatCode="0.0">
                  <c:v>-1.4</c:v>
                </c:pt>
                <c:pt idx="9">
                  <c:v>-1.1000000000000001</c:v>
                </c:pt>
                <c:pt idx="10">
                  <c:v>-1.3</c:v>
                </c:pt>
                <c:pt idx="11">
                  <c:v>-1.8</c:v>
                </c:pt>
                <c:pt idx="12">
                  <c:v>-2.4</c:v>
                </c:pt>
              </c:numCache>
            </c:numRef>
          </c:val>
        </c:ser>
        <c:dLbls>
          <c:showLegendKey val="0"/>
          <c:showVal val="1"/>
          <c:showCatName val="0"/>
          <c:showSerName val="0"/>
          <c:showPercent val="0"/>
          <c:showBubbleSize val="0"/>
        </c:dLbls>
        <c:gapWidth val="150"/>
        <c:axId val="349951872"/>
        <c:axId val="349955200"/>
      </c:barChart>
      <c:catAx>
        <c:axId val="349951872"/>
        <c:scaling>
          <c:orientation val="minMax"/>
        </c:scaling>
        <c:delete val="0"/>
        <c:axPos val="b"/>
        <c:title>
          <c:tx>
            <c:rich>
              <a:bodyPr/>
              <a:lstStyle/>
              <a:p>
                <a:pPr>
                  <a:defRPr/>
                </a:pPr>
                <a:r>
                  <a:rPr lang="en-US"/>
                  <a:t>Ejercicio Fiscal</a:t>
                </a:r>
              </a:p>
            </c:rich>
          </c:tx>
          <c:layout>
            <c:manualLayout>
              <c:xMode val="edge"/>
              <c:yMode val="edge"/>
              <c:x val="0.83729237926891786"/>
              <c:y val="0.14654849650642984"/>
            </c:manualLayout>
          </c:layout>
          <c:overlay val="0"/>
        </c:title>
        <c:numFmt formatCode="General" sourceLinked="1"/>
        <c:majorTickMark val="out"/>
        <c:minorTickMark val="none"/>
        <c:tickLblPos val="high"/>
        <c:spPr>
          <a:noFill/>
          <a:ln>
            <a:solidFill>
              <a:srgbClr val="66FF33"/>
            </a:solidFill>
          </a:ln>
          <a:effectLst>
            <a:innerShdw blurRad="63500" dist="50800" dir="8100000">
              <a:prstClr val="black">
                <a:alpha val="50000"/>
              </a:prstClr>
            </a:innerShdw>
          </a:effectLst>
        </c:spPr>
        <c:txPr>
          <a:bodyPr rot="0" vert="horz"/>
          <a:lstStyle/>
          <a:p>
            <a:pPr>
              <a:defRPr sz="900" b="1"/>
            </a:pPr>
            <a:endParaRPr lang="es-GT"/>
          </a:p>
        </c:txPr>
        <c:crossAx val="349955200"/>
        <c:crosses val="autoZero"/>
        <c:auto val="1"/>
        <c:lblAlgn val="ctr"/>
        <c:lblOffset val="100"/>
        <c:noMultiLvlLbl val="0"/>
      </c:catAx>
      <c:valAx>
        <c:axId val="349955200"/>
        <c:scaling>
          <c:orientation val="minMax"/>
        </c:scaling>
        <c:delete val="0"/>
        <c:axPos val="l"/>
        <c:title>
          <c:tx>
            <c:rich>
              <a:bodyPr rot="-5400000" vert="horz"/>
              <a:lstStyle/>
              <a:p>
                <a:pPr>
                  <a:defRPr sz="900"/>
                </a:pPr>
                <a:r>
                  <a:rPr lang="en-US" sz="900"/>
                  <a:t>Porcentaje</a:t>
                </a:r>
              </a:p>
            </c:rich>
          </c:tx>
          <c:layout>
            <c:manualLayout>
              <c:xMode val="edge"/>
              <c:yMode val="edge"/>
              <c:x val="6.9590108867552142E-3"/>
              <c:y val="0.47625251068968538"/>
            </c:manualLayout>
          </c:layout>
          <c:overlay val="0"/>
        </c:title>
        <c:numFmt formatCode="General" sourceLinked="1"/>
        <c:majorTickMark val="out"/>
        <c:minorTickMark val="none"/>
        <c:tickLblPos val="nextTo"/>
        <c:spPr>
          <a:ln>
            <a:solidFill>
              <a:srgbClr val="4BACC6"/>
            </a:solidFill>
          </a:ln>
          <a:effectLst>
            <a:innerShdw blurRad="63500" dist="50800" dir="8100000">
              <a:prstClr val="black">
                <a:alpha val="50000"/>
              </a:prstClr>
            </a:innerShdw>
          </a:effectLst>
        </c:spPr>
        <c:txPr>
          <a:bodyPr rot="0" vert="horz"/>
          <a:lstStyle/>
          <a:p>
            <a:pPr>
              <a:defRPr b="0">
                <a:solidFill>
                  <a:sysClr val="windowText" lastClr="000000"/>
                </a:solidFill>
              </a:defRPr>
            </a:pPr>
            <a:endParaRPr lang="es-GT"/>
          </a:p>
        </c:txPr>
        <c:crossAx val="349951872"/>
        <c:crosses val="autoZero"/>
        <c:crossBetween val="between"/>
      </c:valAx>
      <c:spPr>
        <a:noFill/>
        <a:ln w="25400">
          <a:noFill/>
        </a:ln>
        <a:effectLst>
          <a:innerShdw blurRad="63500" dist="50800" dir="8100000">
            <a:schemeClr val="tx2">
              <a:lumMod val="60000"/>
              <a:lumOff val="40000"/>
              <a:alpha val="50000"/>
            </a:schemeClr>
          </a:innerShdw>
        </a:effectLst>
      </c:spPr>
    </c:plotArea>
    <c:plotVisOnly val="1"/>
    <c:dispBlanksAs val="zero"/>
    <c:showDLblsOverMax val="0"/>
  </c:chart>
  <c:spPr>
    <a:noFill/>
    <a:ln w="9525" cap="flat" cmpd="sng" algn="ctr">
      <a:noFill/>
      <a:prstDash val="solid"/>
    </a:ln>
    <a:effectLst/>
  </c:spPr>
  <c:txPr>
    <a:bodyPr/>
    <a:lstStyle/>
    <a:p>
      <a:pPr>
        <a:defRPr>
          <a:solidFill>
            <a:schemeClr val="dk1"/>
          </a:solidFill>
          <a:latin typeface="+mn-lt"/>
          <a:ea typeface="+mn-ea"/>
          <a:cs typeface="+mn-cs"/>
        </a:defRPr>
      </a:pPr>
      <a:endParaRPr lang="es-GT"/>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pPr>
            <a:r>
              <a:rPr lang="es-ES" sz="1050"/>
              <a:t>Presupuesto Aprobado</a:t>
            </a:r>
          </a:p>
          <a:p>
            <a:pPr>
              <a:defRPr sz="1050"/>
            </a:pPr>
            <a:r>
              <a:rPr lang="es-ES" sz="1050"/>
              <a:t>(% en relación al PIB)</a:t>
            </a:r>
          </a:p>
        </c:rich>
      </c:tx>
      <c:layout>
        <c:manualLayout>
          <c:xMode val="edge"/>
          <c:yMode val="edge"/>
          <c:x val="0.36403602351064346"/>
          <c:y val="1.5076377952755907E-2"/>
        </c:manualLayout>
      </c:layout>
      <c:overlay val="0"/>
    </c:title>
    <c:autoTitleDeleted val="0"/>
    <c:plotArea>
      <c:layout>
        <c:manualLayout>
          <c:layoutTarget val="inner"/>
          <c:xMode val="edge"/>
          <c:yMode val="edge"/>
          <c:x val="9.8867870718197581E-2"/>
          <c:y val="0.12601991530659237"/>
          <c:w val="0.88284462744364089"/>
          <c:h val="0.74947185053984589"/>
        </c:manualLayout>
      </c:layout>
      <c:barChart>
        <c:barDir val="col"/>
        <c:grouping val="clustered"/>
        <c:varyColors val="1"/>
        <c:ser>
          <c:idx val="0"/>
          <c:order val="0"/>
          <c:invertIfNegative val="0"/>
          <c:dLbls>
            <c:txPr>
              <a:bodyPr/>
              <a:lstStyle/>
              <a:p>
                <a:pPr>
                  <a:defRPr sz="700"/>
                </a:pPr>
                <a:endParaRPr lang="es-GT"/>
              </a:p>
            </c:txPr>
            <c:dLblPos val="outEnd"/>
            <c:showLegendKey val="0"/>
            <c:showVal val="1"/>
            <c:showCatName val="0"/>
            <c:showSerName val="0"/>
            <c:showPercent val="0"/>
            <c:showBubbleSize val="0"/>
            <c:separator>
</c:separator>
            <c:showLeaderLines val="0"/>
          </c:dLbls>
          <c:cat>
            <c:strRef>
              <c:f>'Escenario Macro'!$A$124:$M$124</c:f>
              <c:strCach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strCache>
            </c:strRef>
          </c:cat>
          <c:val>
            <c:numRef>
              <c:f>'Escenario Macro'!$A$125:$M$125</c:f>
              <c:numCache>
                <c:formatCode>General</c:formatCode>
                <c:ptCount val="13"/>
                <c:pt idx="0">
                  <c:v>14.4</c:v>
                </c:pt>
                <c:pt idx="1">
                  <c:v>14.4</c:v>
                </c:pt>
                <c:pt idx="2">
                  <c:v>16.100000000000001</c:v>
                </c:pt>
                <c:pt idx="3" formatCode="0.0">
                  <c:v>15</c:v>
                </c:pt>
                <c:pt idx="4">
                  <c:v>14.9</c:v>
                </c:pt>
                <c:pt idx="5">
                  <c:v>15.2</c:v>
                </c:pt>
                <c:pt idx="6">
                  <c:v>15.8</c:v>
                </c:pt>
                <c:pt idx="7" formatCode="0.0">
                  <c:v>14.67</c:v>
                </c:pt>
                <c:pt idx="8">
                  <c:v>14.5</c:v>
                </c:pt>
                <c:pt idx="9">
                  <c:v>13.5</c:v>
                </c:pt>
                <c:pt idx="10">
                  <c:v>13.8</c:v>
                </c:pt>
                <c:pt idx="11">
                  <c:v>13.8</c:v>
                </c:pt>
                <c:pt idx="12">
                  <c:v>13.7</c:v>
                </c:pt>
              </c:numCache>
            </c:numRef>
          </c:val>
        </c:ser>
        <c:dLbls>
          <c:showLegendKey val="0"/>
          <c:showVal val="0"/>
          <c:showCatName val="0"/>
          <c:showSerName val="0"/>
          <c:showPercent val="0"/>
          <c:showBubbleSize val="0"/>
        </c:dLbls>
        <c:gapWidth val="83"/>
        <c:axId val="355542912"/>
        <c:axId val="355565568"/>
      </c:barChart>
      <c:catAx>
        <c:axId val="355542912"/>
        <c:scaling>
          <c:orientation val="minMax"/>
        </c:scaling>
        <c:delete val="0"/>
        <c:axPos val="b"/>
        <c:title>
          <c:tx>
            <c:rich>
              <a:bodyPr/>
              <a:lstStyle/>
              <a:p>
                <a:pPr>
                  <a:defRPr sz="800"/>
                </a:pPr>
                <a:r>
                  <a:rPr lang="en-US" sz="800"/>
                  <a:t>Ejercicio Fiscal</a:t>
                </a:r>
              </a:p>
            </c:rich>
          </c:tx>
          <c:layout>
            <c:manualLayout>
              <c:xMode val="edge"/>
              <c:yMode val="edge"/>
              <c:x val="0.82827974383825453"/>
              <c:y val="0.95106487543271212"/>
            </c:manualLayout>
          </c:layout>
          <c:overlay val="0"/>
        </c:title>
        <c:majorTickMark val="out"/>
        <c:minorTickMark val="none"/>
        <c:tickLblPos val="nextTo"/>
        <c:spPr>
          <a:noFill/>
        </c:spPr>
        <c:txPr>
          <a:bodyPr/>
          <a:lstStyle/>
          <a:p>
            <a:pPr>
              <a:defRPr sz="900"/>
            </a:pPr>
            <a:endParaRPr lang="es-GT"/>
          </a:p>
        </c:txPr>
        <c:crossAx val="355565568"/>
        <c:crosses val="autoZero"/>
        <c:auto val="1"/>
        <c:lblAlgn val="ctr"/>
        <c:lblOffset val="100"/>
        <c:noMultiLvlLbl val="0"/>
      </c:catAx>
      <c:valAx>
        <c:axId val="355565568"/>
        <c:scaling>
          <c:orientation val="minMax"/>
        </c:scaling>
        <c:delete val="0"/>
        <c:axPos val="l"/>
        <c:title>
          <c:tx>
            <c:rich>
              <a:bodyPr rot="-5400000" vert="horz"/>
              <a:lstStyle/>
              <a:p>
                <a:pPr>
                  <a:defRPr/>
                </a:pPr>
                <a:r>
                  <a:rPr lang="es-ES"/>
                  <a:t>Porcentaje</a:t>
                </a:r>
              </a:p>
            </c:rich>
          </c:tx>
          <c:layout>
            <c:manualLayout>
              <c:xMode val="edge"/>
              <c:yMode val="edge"/>
              <c:x val="1.2120725995837958E-3"/>
              <c:y val="0.41209606299212592"/>
            </c:manualLayout>
          </c:layout>
          <c:overlay val="0"/>
        </c:title>
        <c:numFmt formatCode="General" sourceLinked="1"/>
        <c:majorTickMark val="out"/>
        <c:minorTickMark val="none"/>
        <c:tickLblPos val="nextTo"/>
        <c:spPr>
          <a:noFill/>
          <a:ln w="9525">
            <a:solidFill>
              <a:schemeClr val="tx1"/>
            </a:solidFill>
          </a:ln>
        </c:spPr>
        <c:txPr>
          <a:bodyPr/>
          <a:lstStyle/>
          <a:p>
            <a:pPr>
              <a:defRPr sz="900"/>
            </a:pPr>
            <a:endParaRPr lang="es-GT"/>
          </a:p>
        </c:txPr>
        <c:crossAx val="355542912"/>
        <c:crosses val="autoZero"/>
        <c:crossBetween val="between"/>
      </c:valAx>
      <c:spPr>
        <a:noFill/>
        <a:ln w="25400">
          <a:noFill/>
        </a:ln>
        <a:effectLst>
          <a:innerShdw blurRad="63500" dist="50800" dir="8100000">
            <a:prstClr val="black">
              <a:alpha val="50000"/>
            </a:prstClr>
          </a:innerShdw>
        </a:effectLst>
      </c:spPr>
    </c:plotArea>
    <c:plotVisOnly val="1"/>
    <c:dispBlanksAs val="gap"/>
    <c:showDLblsOverMax val="0"/>
  </c:chart>
  <c:spPr>
    <a:noFill/>
    <a:ln>
      <a:noFill/>
    </a:ln>
  </c:spPr>
  <c:txPr>
    <a:bodyPr/>
    <a:lstStyle/>
    <a:p>
      <a:pPr>
        <a:defRPr>
          <a:latin typeface="Arial" pitchFamily="34" charset="0"/>
          <a:cs typeface="Arial" pitchFamily="34" charset="0"/>
        </a:defRPr>
      </a:pPr>
      <a:endParaRPr lang="es-GT"/>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pPr>
            <a:r>
              <a:rPr lang="es-ES" sz="1050"/>
              <a:t>Presupuesto Ejecutado</a:t>
            </a:r>
          </a:p>
          <a:p>
            <a:pPr>
              <a:defRPr sz="1050"/>
            </a:pPr>
            <a:r>
              <a:rPr lang="es-ES" sz="1050"/>
              <a:t>(% en relación al PIB)</a:t>
            </a:r>
          </a:p>
        </c:rich>
      </c:tx>
      <c:overlay val="0"/>
    </c:title>
    <c:autoTitleDeleted val="0"/>
    <c:plotArea>
      <c:layout>
        <c:manualLayout>
          <c:layoutTarget val="inner"/>
          <c:xMode val="edge"/>
          <c:yMode val="edge"/>
          <c:x val="0.10335218284471655"/>
          <c:y val="0.19170288263323304"/>
          <c:w val="0.86011131460859958"/>
          <c:h val="0.61398623455330192"/>
        </c:manualLayout>
      </c:layout>
      <c:barChart>
        <c:barDir val="col"/>
        <c:grouping val="clustered"/>
        <c:varyColors val="1"/>
        <c:ser>
          <c:idx val="0"/>
          <c:order val="0"/>
          <c:invertIfNegative val="0"/>
          <c:dLbls>
            <c:spPr>
              <a:ln>
                <a:noFill/>
              </a:ln>
            </c:spPr>
            <c:txPr>
              <a:bodyPr/>
              <a:lstStyle/>
              <a:p>
                <a:pPr>
                  <a:defRPr sz="700"/>
                </a:pPr>
                <a:endParaRPr lang="es-GT"/>
              </a:p>
            </c:txPr>
            <c:dLblPos val="outEnd"/>
            <c:showLegendKey val="0"/>
            <c:showVal val="1"/>
            <c:showCatName val="0"/>
            <c:showSerName val="0"/>
            <c:showPercent val="0"/>
            <c:showBubbleSize val="0"/>
            <c:showLeaderLines val="0"/>
          </c:dLbls>
          <c:cat>
            <c:strRef>
              <c:f>'Escenario Macro'!$A$169:$M$169</c:f>
              <c:strCach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strCache>
            </c:strRef>
          </c:cat>
          <c:val>
            <c:numRef>
              <c:f>'Escenario Macro'!$A$170:$M$170</c:f>
              <c:numCache>
                <c:formatCode>General</c:formatCode>
                <c:ptCount val="13"/>
                <c:pt idx="0">
                  <c:v>15.1</c:v>
                </c:pt>
                <c:pt idx="1">
                  <c:v>14.4</c:v>
                </c:pt>
                <c:pt idx="2">
                  <c:v>14.9</c:v>
                </c:pt>
                <c:pt idx="3" formatCode="0.0">
                  <c:v>15.1</c:v>
                </c:pt>
                <c:pt idx="4" formatCode="0.0">
                  <c:v>15</c:v>
                </c:pt>
                <c:pt idx="5">
                  <c:v>14.7</c:v>
                </c:pt>
                <c:pt idx="6">
                  <c:v>14.3</c:v>
                </c:pt>
                <c:pt idx="7" formatCode="0.0">
                  <c:v>13.9</c:v>
                </c:pt>
                <c:pt idx="8" formatCode="0.0">
                  <c:v>12.3</c:v>
                </c:pt>
                <c:pt idx="9" formatCode="0.0">
                  <c:v>12.6</c:v>
                </c:pt>
                <c:pt idx="10" formatCode="0.0">
                  <c:v>13.6</c:v>
                </c:pt>
                <c:pt idx="11" formatCode="0.0">
                  <c:v>13.8</c:v>
                </c:pt>
                <c:pt idx="12" formatCode="0.0">
                  <c:v>13.7</c:v>
                </c:pt>
              </c:numCache>
            </c:numRef>
          </c:val>
        </c:ser>
        <c:dLbls>
          <c:showLegendKey val="0"/>
          <c:showVal val="1"/>
          <c:showCatName val="0"/>
          <c:showSerName val="0"/>
          <c:showPercent val="0"/>
          <c:showBubbleSize val="0"/>
        </c:dLbls>
        <c:gapWidth val="62"/>
        <c:axId val="355572736"/>
        <c:axId val="355588352"/>
      </c:barChart>
      <c:catAx>
        <c:axId val="355572736"/>
        <c:scaling>
          <c:orientation val="minMax"/>
        </c:scaling>
        <c:delete val="0"/>
        <c:axPos val="b"/>
        <c:title>
          <c:tx>
            <c:rich>
              <a:bodyPr/>
              <a:lstStyle/>
              <a:p>
                <a:pPr>
                  <a:defRPr sz="900"/>
                </a:pPr>
                <a:r>
                  <a:rPr lang="es-ES" sz="900"/>
                  <a:t>Ejercicio Fiscal</a:t>
                </a:r>
              </a:p>
            </c:rich>
          </c:tx>
          <c:layout>
            <c:manualLayout>
              <c:xMode val="edge"/>
              <c:yMode val="edge"/>
              <c:x val="0.45921420263893159"/>
              <c:y val="0.87164520743920493"/>
            </c:manualLayout>
          </c:layout>
          <c:overlay val="0"/>
        </c:title>
        <c:numFmt formatCode="General" sourceLinked="1"/>
        <c:majorTickMark val="out"/>
        <c:minorTickMark val="none"/>
        <c:tickLblPos val="nextTo"/>
        <c:spPr>
          <a:ln>
            <a:solidFill>
              <a:srgbClr val="CC9900"/>
            </a:solidFill>
          </a:ln>
        </c:spPr>
        <c:txPr>
          <a:bodyPr rot="0" vert="horz"/>
          <a:lstStyle/>
          <a:p>
            <a:pPr>
              <a:defRPr sz="900"/>
            </a:pPr>
            <a:endParaRPr lang="es-GT"/>
          </a:p>
        </c:txPr>
        <c:crossAx val="355588352"/>
        <c:crosses val="autoZero"/>
        <c:auto val="1"/>
        <c:lblAlgn val="ctr"/>
        <c:lblOffset val="100"/>
        <c:noMultiLvlLbl val="0"/>
      </c:catAx>
      <c:valAx>
        <c:axId val="355588352"/>
        <c:scaling>
          <c:orientation val="minMax"/>
          <c:min val="12"/>
        </c:scaling>
        <c:delete val="0"/>
        <c:axPos val="l"/>
        <c:title>
          <c:tx>
            <c:rich>
              <a:bodyPr rot="-5400000" vert="horz"/>
              <a:lstStyle/>
              <a:p>
                <a:pPr>
                  <a:defRPr sz="900"/>
                </a:pPr>
                <a:r>
                  <a:rPr lang="es-ES" sz="900"/>
                  <a:t>Porcentaje</a:t>
                </a:r>
              </a:p>
            </c:rich>
          </c:tx>
          <c:layout>
            <c:manualLayout>
              <c:xMode val="edge"/>
              <c:yMode val="edge"/>
              <c:x val="1.2925573712654563E-3"/>
              <c:y val="0.40714490685395816"/>
            </c:manualLayout>
          </c:layout>
          <c:overlay val="0"/>
        </c:title>
        <c:numFmt formatCode="General" sourceLinked="0"/>
        <c:majorTickMark val="out"/>
        <c:minorTickMark val="none"/>
        <c:tickLblPos val="low"/>
        <c:spPr>
          <a:ln>
            <a:solidFill>
              <a:srgbClr val="996600"/>
            </a:solidFill>
          </a:ln>
        </c:spPr>
        <c:txPr>
          <a:bodyPr rot="0" vert="horz"/>
          <a:lstStyle/>
          <a:p>
            <a:pPr>
              <a:defRPr sz="900"/>
            </a:pPr>
            <a:endParaRPr lang="es-GT"/>
          </a:p>
        </c:txPr>
        <c:crossAx val="355572736"/>
        <c:crosses val="autoZero"/>
        <c:crossBetween val="between"/>
      </c:valAx>
      <c:spPr>
        <a:noFill/>
        <a:ln w="25400">
          <a:noFill/>
        </a:ln>
        <a:effectLst>
          <a:innerShdw blurRad="63500" dist="50800" dir="8100000">
            <a:prstClr val="black">
              <a:alpha val="50000"/>
            </a:prstClr>
          </a:innerShdw>
        </a:effectLst>
      </c:spPr>
    </c:plotArea>
    <c:plotVisOnly val="1"/>
    <c:dispBlanksAs val="zero"/>
    <c:showDLblsOverMax val="0"/>
  </c:chart>
  <c:spPr>
    <a:noFill/>
    <a:ln w="9525" cap="flat" cmpd="sng" algn="ctr">
      <a:noFill/>
      <a:prstDash val="solid"/>
    </a:ln>
    <a:effectLst>
      <a:innerShdw blurRad="63500" dist="50800" dir="8100000">
        <a:prstClr val="black">
          <a:alpha val="50000"/>
        </a:prstClr>
      </a:innerShdw>
    </a:effectLst>
  </c:spPr>
  <c:txPr>
    <a:bodyPr/>
    <a:lstStyle/>
    <a:p>
      <a:pPr>
        <a:defRPr>
          <a:solidFill>
            <a:schemeClr val="dk1"/>
          </a:solidFill>
          <a:latin typeface="Arial" pitchFamily="34" charset="0"/>
          <a:ea typeface="+mn-ea"/>
          <a:cs typeface="Arial" pitchFamily="34" charset="0"/>
        </a:defRPr>
      </a:pPr>
      <a:endParaRPr lang="es-GT"/>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pPr>
            <a:r>
              <a:rPr lang="es-GT" sz="1050"/>
              <a:t>Presupuestos aprobados </a:t>
            </a:r>
          </a:p>
          <a:p>
            <a:pPr>
              <a:defRPr sz="1050"/>
            </a:pPr>
            <a:r>
              <a:rPr lang="es-GT" sz="1050"/>
              <a:t>2018-2019</a:t>
            </a:r>
          </a:p>
          <a:p>
            <a:pPr>
              <a:defRPr sz="1050"/>
            </a:pPr>
            <a:r>
              <a:rPr lang="es-GT" sz="1050"/>
              <a:t>Cifras</a:t>
            </a:r>
            <a:r>
              <a:rPr lang="es-GT" sz="1050" baseline="0"/>
              <a:t> en millones de Quetzales</a:t>
            </a:r>
            <a:endParaRPr lang="es-GT" sz="1050"/>
          </a:p>
        </c:rich>
      </c:tx>
      <c:layout>
        <c:manualLayout>
          <c:xMode val="edge"/>
          <c:yMode val="edge"/>
          <c:x val="0.29705555555555557"/>
          <c:y val="0"/>
        </c:manualLayout>
      </c:layout>
      <c:overlay val="1"/>
    </c:title>
    <c:autoTitleDeleted val="0"/>
    <c:plotArea>
      <c:layout>
        <c:manualLayout>
          <c:layoutTarget val="inner"/>
          <c:xMode val="edge"/>
          <c:yMode val="edge"/>
          <c:x val="0.13089129483814524"/>
          <c:y val="0.23658573928258966"/>
          <c:w val="0.83855314960629923"/>
          <c:h val="0.58999846557641833"/>
        </c:manualLayout>
      </c:layout>
      <c:barChart>
        <c:barDir val="col"/>
        <c:grouping val="clustered"/>
        <c:varyColors val="0"/>
        <c:ser>
          <c:idx val="0"/>
          <c:order val="0"/>
          <c:spPr>
            <a:solidFill>
              <a:srgbClr val="00B050"/>
            </a:solidFill>
          </c:spPr>
          <c:invertIfNegative val="0"/>
          <c:dPt>
            <c:idx val="1"/>
            <c:invertIfNegative val="0"/>
            <c:bubble3D val="0"/>
            <c:spPr>
              <a:solidFill>
                <a:schemeClr val="tx2"/>
              </a:solidFill>
            </c:spPr>
          </c:dPt>
          <c:dLbls>
            <c:txPr>
              <a:bodyPr/>
              <a:lstStyle/>
              <a:p>
                <a:pPr>
                  <a:defRPr sz="900"/>
                </a:pPr>
                <a:endParaRPr lang="es-GT"/>
              </a:p>
            </c:txPr>
            <c:showLegendKey val="0"/>
            <c:showVal val="1"/>
            <c:showCatName val="0"/>
            <c:showSerName val="0"/>
            <c:showPercent val="0"/>
            <c:showBubbleSize val="0"/>
            <c:showLeaderLines val="0"/>
          </c:dLbls>
          <c:cat>
            <c:strRef>
              <c:f>'Total Ppto 2019'!$B$23:$C$23</c:f>
              <c:strCache>
                <c:ptCount val="2"/>
                <c:pt idx="0">
                  <c:v>Aprobado 2018</c:v>
                </c:pt>
                <c:pt idx="1">
                  <c:v>Aprobado 2019</c:v>
                </c:pt>
              </c:strCache>
            </c:strRef>
          </c:cat>
          <c:val>
            <c:numRef>
              <c:f>'Total Ppto 2019'!$B$24:$C$24</c:f>
              <c:numCache>
                <c:formatCode>General</c:formatCode>
                <c:ptCount val="2"/>
                <c:pt idx="0">
                  <c:v>76.099999999999994</c:v>
                </c:pt>
                <c:pt idx="1">
                  <c:v>87.7</c:v>
                </c:pt>
              </c:numCache>
            </c:numRef>
          </c:val>
        </c:ser>
        <c:dLbls>
          <c:showLegendKey val="0"/>
          <c:showVal val="0"/>
          <c:showCatName val="0"/>
          <c:showSerName val="0"/>
          <c:showPercent val="0"/>
          <c:showBubbleSize val="0"/>
        </c:dLbls>
        <c:gapWidth val="150"/>
        <c:axId val="384580224"/>
        <c:axId val="384868736"/>
      </c:barChart>
      <c:catAx>
        <c:axId val="384580224"/>
        <c:scaling>
          <c:orientation val="minMax"/>
        </c:scaling>
        <c:delete val="0"/>
        <c:axPos val="b"/>
        <c:majorTickMark val="out"/>
        <c:minorTickMark val="none"/>
        <c:tickLblPos val="nextTo"/>
        <c:crossAx val="384868736"/>
        <c:crosses val="autoZero"/>
        <c:auto val="1"/>
        <c:lblAlgn val="ctr"/>
        <c:lblOffset val="100"/>
        <c:noMultiLvlLbl val="0"/>
      </c:catAx>
      <c:valAx>
        <c:axId val="384868736"/>
        <c:scaling>
          <c:orientation val="minMax"/>
        </c:scaling>
        <c:delete val="0"/>
        <c:axPos val="l"/>
        <c:title>
          <c:tx>
            <c:rich>
              <a:bodyPr rot="-5400000" vert="horz"/>
              <a:lstStyle/>
              <a:p>
                <a:pPr>
                  <a:defRPr b="0"/>
                </a:pPr>
                <a:r>
                  <a:rPr lang="es-GT" b="0"/>
                  <a:t>Millones de Quetzales </a:t>
                </a:r>
              </a:p>
            </c:rich>
          </c:tx>
          <c:layout>
            <c:manualLayout>
              <c:xMode val="edge"/>
              <c:yMode val="edge"/>
              <c:x val="1.9444444444444445E-2"/>
              <c:y val="0.24107830271216099"/>
            </c:manualLayout>
          </c:layout>
          <c:overlay val="0"/>
        </c:title>
        <c:numFmt formatCode="General" sourceLinked="1"/>
        <c:majorTickMark val="out"/>
        <c:minorTickMark val="none"/>
        <c:tickLblPos val="nextTo"/>
        <c:crossAx val="384580224"/>
        <c:crosses val="autoZero"/>
        <c:crossBetween val="between"/>
      </c:valAx>
      <c:spPr>
        <a:ln>
          <a:noFill/>
        </a:ln>
      </c:spPr>
    </c:plotArea>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pPr>
            <a:r>
              <a:rPr lang="es-ES" sz="1050"/>
              <a:t>Presupuesto  de Ingresos 2018 y  2019</a:t>
            </a:r>
          </a:p>
          <a:p>
            <a:pPr>
              <a:defRPr sz="1050"/>
            </a:pPr>
            <a:r>
              <a:rPr lang="es-ES" sz="1050"/>
              <a:t>(En millones Q.)</a:t>
            </a:r>
          </a:p>
        </c:rich>
      </c:tx>
      <c:overlay val="0"/>
    </c:title>
    <c:autoTitleDeleted val="0"/>
    <c:plotArea>
      <c:layout>
        <c:manualLayout>
          <c:layoutTarget val="inner"/>
          <c:xMode val="edge"/>
          <c:yMode val="edge"/>
          <c:x val="0"/>
          <c:y val="2.4640967498110351E-2"/>
          <c:w val="0.95019807583474813"/>
          <c:h val="0.67702703828688082"/>
        </c:manualLayout>
      </c:layout>
      <c:barChart>
        <c:barDir val="col"/>
        <c:grouping val="clustered"/>
        <c:varyColors val="0"/>
        <c:ser>
          <c:idx val="1"/>
          <c:order val="0"/>
          <c:tx>
            <c:strRef>
              <c:f>Ingresos!$B$6</c:f>
              <c:strCache>
                <c:ptCount val="1"/>
                <c:pt idx="0">
                  <c:v>Aprobado 2019</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txPr>
              <a:bodyPr/>
              <a:lstStyle/>
              <a:p>
                <a:pPr>
                  <a:defRPr sz="700"/>
                </a:pPr>
                <a:endParaRPr lang="es-GT"/>
              </a:p>
            </c:txPr>
            <c:showLegendKey val="0"/>
            <c:showVal val="1"/>
            <c:showCatName val="0"/>
            <c:showSerName val="0"/>
            <c:showPercent val="0"/>
            <c:showBubbleSize val="0"/>
            <c:showLeaderLines val="0"/>
          </c:dLbls>
          <c:cat>
            <c:strRef>
              <c:f>Ingresos!$A$8:$A$16</c:f>
              <c:strCache>
                <c:ptCount val="9"/>
                <c:pt idx="0">
                  <c:v>Ingresos Tributarios</c:v>
                </c:pt>
                <c:pt idx="1">
                  <c:v>Colocación de Bonos</c:v>
                </c:pt>
                <c:pt idx="2">
                  <c:v>Saldos de Caja</c:v>
                </c:pt>
                <c:pt idx="3">
                  <c:v>Contribuciones a la Seguridad y Previsión Social </c:v>
                </c:pt>
                <c:pt idx="4">
                  <c:v>Préstamos Externos</c:v>
                </c:pt>
                <c:pt idx="5">
                  <c:v>Ingresos no Tributarios</c:v>
                </c:pt>
                <c:pt idx="6">
                  <c:v>Rentas de la Propiedad</c:v>
                </c:pt>
                <c:pt idx="7">
                  <c:v>Vta. De Bienes y Servicios de la Adm. Pública</c:v>
                </c:pt>
                <c:pt idx="8">
                  <c:v>Donaciones</c:v>
                </c:pt>
              </c:strCache>
            </c:strRef>
          </c:cat>
          <c:val>
            <c:numRef>
              <c:f>Ingresos!$B$8:$B$16</c:f>
              <c:numCache>
                <c:formatCode>#,##0.0</c:formatCode>
                <c:ptCount val="9"/>
                <c:pt idx="0">
                  <c:v>64027.7</c:v>
                </c:pt>
                <c:pt idx="1">
                  <c:v>14207.6</c:v>
                </c:pt>
                <c:pt idx="2">
                  <c:v>3367.4</c:v>
                </c:pt>
                <c:pt idx="3">
                  <c:v>2587.1999999999998</c:v>
                </c:pt>
                <c:pt idx="4">
                  <c:v>1592.6</c:v>
                </c:pt>
                <c:pt idx="5">
                  <c:v>817.2</c:v>
                </c:pt>
                <c:pt idx="6">
                  <c:v>423.5</c:v>
                </c:pt>
                <c:pt idx="7">
                  <c:v>415.7</c:v>
                </c:pt>
                <c:pt idx="8">
                  <c:v>254.5</c:v>
                </c:pt>
              </c:numCache>
            </c:numRef>
          </c:val>
        </c:ser>
        <c:ser>
          <c:idx val="8"/>
          <c:order val="1"/>
          <c:tx>
            <c:strRef>
              <c:f>Ingresos!$D$6</c:f>
              <c:strCache>
                <c:ptCount val="1"/>
                <c:pt idx="0">
                  <c:v>Aprobado 2018</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1.091617933723197E-2"/>
                  <c:y val="0"/>
                </c:manualLayout>
              </c:layout>
              <c:showLegendKey val="0"/>
              <c:showVal val="1"/>
              <c:showCatName val="0"/>
              <c:showSerName val="0"/>
              <c:showPercent val="0"/>
              <c:showBubbleSize val="0"/>
              <c:separator>
</c:separator>
            </c:dLbl>
            <c:dLbl>
              <c:idx val="1"/>
              <c:layout>
                <c:manualLayout>
                  <c:x val="1.091617933723197E-2"/>
                  <c:y val="0"/>
                </c:manualLayout>
              </c:layout>
              <c:showLegendKey val="0"/>
              <c:showVal val="1"/>
              <c:showCatName val="0"/>
              <c:showSerName val="0"/>
              <c:showPercent val="0"/>
              <c:showBubbleSize val="0"/>
              <c:separator>
</c:separator>
            </c:dLbl>
            <c:dLbl>
              <c:idx val="4"/>
              <c:layout>
                <c:manualLayout>
                  <c:x val="9.3567251461988306E-3"/>
                  <c:y val="0"/>
                </c:manualLayout>
              </c:layout>
              <c:showLegendKey val="0"/>
              <c:showVal val="1"/>
              <c:showCatName val="0"/>
              <c:showSerName val="0"/>
              <c:showPercent val="0"/>
              <c:showBubbleSize val="0"/>
              <c:separator>
</c:separator>
            </c:dLbl>
            <c:txPr>
              <a:bodyPr/>
              <a:lstStyle/>
              <a:p>
                <a:pPr>
                  <a:defRPr sz="700"/>
                </a:pPr>
                <a:endParaRPr lang="es-GT"/>
              </a:p>
            </c:txPr>
            <c:showLegendKey val="0"/>
            <c:showVal val="1"/>
            <c:showCatName val="0"/>
            <c:showSerName val="0"/>
            <c:showPercent val="0"/>
            <c:showBubbleSize val="0"/>
            <c:separator>
</c:separator>
            <c:showLeaderLines val="0"/>
          </c:dLbls>
          <c:cat>
            <c:strRef>
              <c:f>Ingresos!$A$8:$A$16</c:f>
              <c:strCache>
                <c:ptCount val="9"/>
                <c:pt idx="0">
                  <c:v>Ingresos Tributarios</c:v>
                </c:pt>
                <c:pt idx="1">
                  <c:v>Colocación de Bonos</c:v>
                </c:pt>
                <c:pt idx="2">
                  <c:v>Saldos de Caja</c:v>
                </c:pt>
                <c:pt idx="3">
                  <c:v>Contribuciones a la Seguridad y Previsión Social </c:v>
                </c:pt>
                <c:pt idx="4">
                  <c:v>Préstamos Externos</c:v>
                </c:pt>
                <c:pt idx="5">
                  <c:v>Ingresos no Tributarios</c:v>
                </c:pt>
                <c:pt idx="6">
                  <c:v>Rentas de la Propiedad</c:v>
                </c:pt>
                <c:pt idx="7">
                  <c:v>Vta. De Bienes y Servicios de la Adm. Pública</c:v>
                </c:pt>
                <c:pt idx="8">
                  <c:v>Donaciones</c:v>
                </c:pt>
              </c:strCache>
            </c:strRef>
          </c:cat>
          <c:val>
            <c:numRef>
              <c:f>Ingresos!$D$8:$D$16</c:f>
              <c:numCache>
                <c:formatCode>#,##0.0</c:formatCode>
                <c:ptCount val="9"/>
                <c:pt idx="0">
                  <c:v>57994.8</c:v>
                </c:pt>
                <c:pt idx="1">
                  <c:v>10543.5</c:v>
                </c:pt>
                <c:pt idx="2">
                  <c:v>1485</c:v>
                </c:pt>
                <c:pt idx="3">
                  <c:v>2490.6</c:v>
                </c:pt>
                <c:pt idx="4">
                  <c:v>2580.6999999999998</c:v>
                </c:pt>
                <c:pt idx="5">
                  <c:v>603.1</c:v>
                </c:pt>
                <c:pt idx="6">
                  <c:v>251.8</c:v>
                </c:pt>
                <c:pt idx="7">
                  <c:v>443.3</c:v>
                </c:pt>
                <c:pt idx="8">
                  <c:v>573.79999999999995</c:v>
                </c:pt>
              </c:numCache>
            </c:numRef>
          </c:val>
        </c:ser>
        <c:dLbls>
          <c:showLegendKey val="0"/>
          <c:showVal val="1"/>
          <c:showCatName val="0"/>
          <c:showSerName val="0"/>
          <c:showPercent val="0"/>
          <c:showBubbleSize val="0"/>
        </c:dLbls>
        <c:gapWidth val="150"/>
        <c:overlap val="-25"/>
        <c:axId val="384723968"/>
        <c:axId val="384726144"/>
      </c:barChart>
      <c:catAx>
        <c:axId val="384723968"/>
        <c:scaling>
          <c:orientation val="minMax"/>
        </c:scaling>
        <c:delete val="0"/>
        <c:axPos val="b"/>
        <c:majorTickMark val="none"/>
        <c:minorTickMark val="none"/>
        <c:tickLblPos val="nextTo"/>
        <c:txPr>
          <a:bodyPr/>
          <a:lstStyle/>
          <a:p>
            <a:pPr>
              <a:defRPr sz="700"/>
            </a:pPr>
            <a:endParaRPr lang="es-GT"/>
          </a:p>
        </c:txPr>
        <c:crossAx val="384726144"/>
        <c:crosses val="autoZero"/>
        <c:auto val="1"/>
        <c:lblAlgn val="ctr"/>
        <c:lblOffset val="100"/>
        <c:noMultiLvlLbl val="0"/>
      </c:catAx>
      <c:valAx>
        <c:axId val="384726144"/>
        <c:scaling>
          <c:orientation val="minMax"/>
        </c:scaling>
        <c:delete val="1"/>
        <c:axPos val="l"/>
        <c:numFmt formatCode="#,##0.0" sourceLinked="1"/>
        <c:majorTickMark val="out"/>
        <c:minorTickMark val="none"/>
        <c:tickLblPos val="nextTo"/>
        <c:crossAx val="384723968"/>
        <c:crosses val="autoZero"/>
        <c:crossBetween val="between"/>
      </c:valAx>
      <c:spPr>
        <a:noFill/>
      </c:spPr>
    </c:plotArea>
    <c:legend>
      <c:legendPos val="b"/>
      <c:layout>
        <c:manualLayout>
          <c:xMode val="edge"/>
          <c:yMode val="edge"/>
          <c:x val="0.31182795698924731"/>
          <c:y val="0.94841049630700924"/>
          <c:w val="0.4261458319407867"/>
          <c:h val="5.1589503692990757E-2"/>
        </c:manualLayout>
      </c:layout>
      <c:overlay val="0"/>
      <c:txPr>
        <a:bodyPr/>
        <a:lstStyle/>
        <a:p>
          <a:pPr>
            <a:defRPr sz="800"/>
          </a:pPr>
          <a:endParaRPr lang="es-GT"/>
        </a:p>
      </c:txPr>
    </c:legend>
    <c:plotVisOnly val="1"/>
    <c:dispBlanksAs val="gap"/>
    <c:showDLblsOverMax val="0"/>
  </c:chart>
  <c:spPr>
    <a:noFill/>
    <a:ln>
      <a:noFill/>
    </a:ln>
  </c:spPr>
  <c:txPr>
    <a:bodyPr/>
    <a:lstStyle/>
    <a:p>
      <a:pPr>
        <a:defRPr>
          <a:latin typeface="Arial" pitchFamily="34" charset="0"/>
          <a:cs typeface="Arial" pitchFamily="34" charset="0"/>
        </a:defRPr>
      </a:pPr>
      <a:endParaRPr lang="es-GT"/>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9.8348864110107043E-2"/>
          <c:y val="0.15056426295458031"/>
          <c:w val="0.59652909158167311"/>
          <c:h val="0.76513189030876383"/>
        </c:manualLayout>
      </c:layout>
      <c:pieChart>
        <c:varyColors val="1"/>
        <c:ser>
          <c:idx val="1"/>
          <c:order val="0"/>
          <c:tx>
            <c:v>Aprobado 2017</c:v>
          </c:tx>
          <c:explosion val="4"/>
          <c:dLbls>
            <c:dLbl>
              <c:idx val="0"/>
              <c:layout>
                <c:manualLayout>
                  <c:x val="-0.25761569277524521"/>
                  <c:y val="-9.414491238387733E-2"/>
                </c:manualLayout>
              </c:layout>
              <c:dLblPos val="bestFit"/>
              <c:showLegendKey val="0"/>
              <c:showVal val="1"/>
              <c:showCatName val="1"/>
              <c:showSerName val="0"/>
              <c:showPercent val="1"/>
              <c:showBubbleSize val="0"/>
              <c:separator>
</c:separator>
            </c:dLbl>
            <c:dLbl>
              <c:idx val="1"/>
              <c:layout>
                <c:manualLayout>
                  <c:x val="-2.799970081208325E-2"/>
                  <c:y val="3.0230793354228024E-4"/>
                </c:manualLayout>
              </c:layout>
              <c:dLblPos val="bestFit"/>
              <c:showLegendKey val="0"/>
              <c:showVal val="1"/>
              <c:showCatName val="1"/>
              <c:showSerName val="0"/>
              <c:showPercent val="1"/>
              <c:showBubbleSize val="0"/>
              <c:separator>
</c:separator>
            </c:dLbl>
            <c:dLbl>
              <c:idx val="2"/>
              <c:layout>
                <c:manualLayout>
                  <c:x val="-5.2299670594866919E-3"/>
                  <c:y val="-4.9182653941315206E-2"/>
                </c:manualLayout>
              </c:layout>
              <c:dLblPos val="bestFit"/>
              <c:showLegendKey val="0"/>
              <c:showVal val="1"/>
              <c:showCatName val="1"/>
              <c:showSerName val="0"/>
              <c:showPercent val="1"/>
              <c:showBubbleSize val="0"/>
              <c:separator>
</c:separator>
            </c:dLbl>
            <c:dLbl>
              <c:idx val="3"/>
              <c:layout>
                <c:manualLayout>
                  <c:x val="8.8818184653913168E-2"/>
                  <c:y val="-8.6640093224861409E-2"/>
                </c:manualLayout>
              </c:layout>
              <c:dLblPos val="bestFit"/>
              <c:showLegendKey val="0"/>
              <c:showVal val="1"/>
              <c:showCatName val="1"/>
              <c:showSerName val="0"/>
              <c:showPercent val="1"/>
              <c:showBubbleSize val="0"/>
              <c:separator>
</c:separator>
            </c:dLbl>
            <c:dLbl>
              <c:idx val="4"/>
              <c:layout>
                <c:manualLayout>
                  <c:x val="8.3288192541297365E-2"/>
                  <c:y val="-1.5305866849631347E-2"/>
                </c:manualLayout>
              </c:layout>
              <c:dLblPos val="bestFit"/>
              <c:showLegendKey val="0"/>
              <c:showVal val="1"/>
              <c:showCatName val="1"/>
              <c:showSerName val="0"/>
              <c:showPercent val="1"/>
              <c:showBubbleSize val="0"/>
              <c:separator>
</c:separator>
            </c:dLbl>
            <c:dLbl>
              <c:idx val="5"/>
              <c:layout>
                <c:manualLayout>
                  <c:x val="5.0312420624841252E-2"/>
                  <c:y val="0.12735844741399027"/>
                </c:manualLayout>
              </c:layout>
              <c:dLblPos val="bestFit"/>
              <c:showLegendKey val="0"/>
              <c:showVal val="1"/>
              <c:showCatName val="1"/>
              <c:showSerName val="0"/>
              <c:showPercent val="1"/>
              <c:showBubbleSize val="0"/>
              <c:separator>
</c:separator>
            </c:dLbl>
            <c:dLbl>
              <c:idx val="6"/>
              <c:delete val="1"/>
            </c:dLbl>
            <c:dLbl>
              <c:idx val="7"/>
              <c:delete val="1"/>
            </c:dLbl>
            <c:dLbl>
              <c:idx val="8"/>
              <c:delete val="1"/>
            </c:dLbl>
            <c:dLbl>
              <c:idx val="9"/>
              <c:delete val="1"/>
            </c:dLbl>
            <c:numFmt formatCode="0.0%" sourceLinked="0"/>
            <c:txPr>
              <a:bodyPr/>
              <a:lstStyle/>
              <a:p>
                <a:pPr>
                  <a:defRPr sz="800"/>
                </a:pPr>
                <a:endParaRPr lang="es-GT"/>
              </a:p>
            </c:txPr>
            <c:dLblPos val="bestFit"/>
            <c:showLegendKey val="0"/>
            <c:showVal val="1"/>
            <c:showCatName val="1"/>
            <c:showSerName val="0"/>
            <c:showPercent val="1"/>
            <c:showBubbleSize val="0"/>
            <c:separator>
</c:separator>
            <c:showLeaderLines val="1"/>
          </c:dLbls>
          <c:cat>
            <c:strRef>
              <c:f>Tributarios!$A$10:$A$19</c:f>
              <c:strCache>
                <c:ptCount val="10"/>
                <c:pt idx="0">
                  <c:v>Impuesto al Valor Agregado</c:v>
                </c:pt>
                <c:pt idx="1">
                  <c:v>Impuesto Sobre la Renta</c:v>
                </c:pt>
                <c:pt idx="2">
                  <c:v>Impuestos sobre Productos Industriales Primarios</c:v>
                </c:pt>
                <c:pt idx="3">
                  <c:v>Impuestos a las Importaciones</c:v>
                </c:pt>
                <c:pt idx="4">
                  <c:v>Impuestos Sobre Circulación de Vehículos</c:v>
                </c:pt>
                <c:pt idx="5">
                  <c:v>Otros Impuestos Directos</c:v>
                </c:pt>
                <c:pt idx="6">
                  <c:v>Impuestos Internos Sobre Servicios</c:v>
                </c:pt>
                <c:pt idx="7">
                  <c:v>Impuesto por Salida del País</c:v>
                </c:pt>
                <c:pt idx="8">
                  <c:v>Otros Impuestos Indirectos</c:v>
                </c:pt>
                <c:pt idx="9">
                  <c:v>Impuesto Sobre el Patrimonio</c:v>
                </c:pt>
              </c:strCache>
            </c:strRef>
          </c:cat>
          <c:val>
            <c:numRef>
              <c:f>Tributarios!$C$10:$C$19</c:f>
              <c:numCache>
                <c:formatCode>#,##0.00</c:formatCode>
                <c:ptCount val="10"/>
                <c:pt idx="0">
                  <c:v>31070</c:v>
                </c:pt>
                <c:pt idx="1">
                  <c:v>21276.400000000001</c:v>
                </c:pt>
                <c:pt idx="2">
                  <c:v>5042</c:v>
                </c:pt>
                <c:pt idx="3">
                  <c:v>2708.5</c:v>
                </c:pt>
                <c:pt idx="4">
                  <c:v>1962.7</c:v>
                </c:pt>
                <c:pt idx="5">
                  <c:v>940</c:v>
                </c:pt>
                <c:pt idx="6">
                  <c:v>506.8</c:v>
                </c:pt>
                <c:pt idx="7">
                  <c:v>333.4</c:v>
                </c:pt>
                <c:pt idx="8">
                  <c:v>160</c:v>
                </c:pt>
                <c:pt idx="9">
                  <c:v>27.9</c:v>
                </c:pt>
              </c:numCache>
            </c:numRef>
          </c:val>
        </c:ser>
        <c:dLbls>
          <c:showLegendKey val="0"/>
          <c:showVal val="1"/>
          <c:showCatName val="0"/>
          <c:showSerName val="0"/>
          <c:showPercent val="0"/>
          <c:showBubbleSize val="0"/>
          <c:showLeaderLines val="1"/>
        </c:dLbls>
        <c:firstSliceAng val="96"/>
      </c:pieChart>
    </c:plotArea>
    <c:plotVisOnly val="1"/>
    <c:dispBlanksAs val="gap"/>
    <c:showDLblsOverMax val="0"/>
  </c:chart>
  <c:spPr>
    <a:ln>
      <a:noFill/>
    </a:ln>
  </c:spPr>
  <c:txPr>
    <a:bodyPr/>
    <a:lstStyle/>
    <a:p>
      <a:pPr>
        <a:defRPr>
          <a:latin typeface="Arial" pitchFamily="34" charset="0"/>
          <a:cs typeface="Arial" pitchFamily="34" charset="0"/>
        </a:defRPr>
      </a:pPr>
      <a:endParaRPr lang="es-GT"/>
    </a:p>
  </c:txPr>
  <c:externalData r:id="rId1">
    <c:autoUpdate val="0"/>
  </c:externalData>
  <c:userShapes r:id="rId2"/>
</c:chartSpace>
</file>

<file path=word/diagrams/_rels/data1.xml.rels><?xml version="1.0" encoding="UTF-8" standalone="yes"?>
<Relationships xmlns="http://schemas.openxmlformats.org/package/2006/relationships"><Relationship Id="rId1" Type="http://schemas.openxmlformats.org/officeDocument/2006/relationships/image" Target="../media/image8.png"/></Relationships>
</file>

<file path=word/diagrams/_rels/data10.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6.png"/><Relationship Id="rId1" Type="http://schemas.openxmlformats.org/officeDocument/2006/relationships/image" Target="../media/image35.png"/><Relationship Id="rId4" Type="http://schemas.openxmlformats.org/officeDocument/2006/relationships/image" Target="../media/image38.png"/></Relationships>
</file>

<file path=word/diagrams/_rels/data12.xml.rels><?xml version="1.0" encoding="UTF-8" standalone="yes"?>
<Relationships xmlns="http://schemas.openxmlformats.org/package/2006/relationships"><Relationship Id="rId1" Type="http://schemas.openxmlformats.org/officeDocument/2006/relationships/image" Target="../media/image39.png"/></Relationships>
</file>

<file path=word/diagrams/_rels/data13.xml.rels><?xml version="1.0" encoding="UTF-8" standalone="yes"?>
<Relationships xmlns="http://schemas.openxmlformats.org/package/2006/relationships"><Relationship Id="rId1" Type="http://schemas.openxmlformats.org/officeDocument/2006/relationships/image" Target="../media/image40.png"/></Relationships>
</file>

<file path=word/diagrams/_rels/data14.xml.rels><?xml version="1.0" encoding="UTF-8" standalone="yes"?>
<Relationships xmlns="http://schemas.openxmlformats.org/package/2006/relationships"><Relationship Id="rId1" Type="http://schemas.openxmlformats.org/officeDocument/2006/relationships/image" Target="../media/image41.png"/></Relationships>
</file>

<file path=word/diagrams/_rels/data15.xml.rels><?xml version="1.0" encoding="UTF-8" standalone="yes"?>
<Relationships xmlns="http://schemas.openxmlformats.org/package/2006/relationships"><Relationship Id="rId1" Type="http://schemas.openxmlformats.org/officeDocument/2006/relationships/image" Target="../media/image42.png"/></Relationships>
</file>

<file path=word/diagrams/_rels/data16.xml.rels><?xml version="1.0" encoding="UTF-8" standalone="yes"?>
<Relationships xmlns="http://schemas.openxmlformats.org/package/2006/relationships"><Relationship Id="rId1" Type="http://schemas.openxmlformats.org/officeDocument/2006/relationships/image" Target="../media/image43.png"/></Relationships>
</file>

<file path=word/diagrams/_rels/data17.xml.rels><?xml version="1.0" encoding="UTF-8" standalone="yes"?>
<Relationships xmlns="http://schemas.openxmlformats.org/package/2006/relationships"><Relationship Id="rId1" Type="http://schemas.openxmlformats.org/officeDocument/2006/relationships/image" Target="../media/image44.png"/></Relationships>
</file>

<file path=word/diagrams/_rels/data18.xml.rels><?xml version="1.0" encoding="UTF-8" standalone="yes"?>
<Relationships xmlns="http://schemas.openxmlformats.org/package/2006/relationships"><Relationship Id="rId1" Type="http://schemas.openxmlformats.org/officeDocument/2006/relationships/image" Target="../media/image45.png"/></Relationships>
</file>

<file path=word/diagrams/_rels/data19.xml.rels><?xml version="1.0" encoding="UTF-8" standalone="yes"?>
<Relationships xmlns="http://schemas.openxmlformats.org/package/2006/relationships"><Relationship Id="rId1" Type="http://schemas.openxmlformats.org/officeDocument/2006/relationships/image" Target="../media/image46.png"/></Relationships>
</file>

<file path=word/diagrams/_rels/data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0.png"/></Relationships>
</file>

<file path=word/diagrams/_rels/data20.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7.jpeg"/></Relationships>
</file>

<file path=word/diagrams/_rels/data21.xml.rels><?xml version="1.0" encoding="UTF-8" standalone="yes"?>
<Relationships xmlns="http://schemas.openxmlformats.org/package/2006/relationships"><Relationship Id="rId1" Type="http://schemas.openxmlformats.org/officeDocument/2006/relationships/image" Target="../media/image51.png"/></Relationships>
</file>

<file path=word/diagrams/_rels/data22.xml.rels><?xml version="1.0" encoding="UTF-8" standalone="yes"?>
<Relationships xmlns="http://schemas.openxmlformats.org/package/2006/relationships"><Relationship Id="rId3" Type="http://schemas.openxmlformats.org/officeDocument/2006/relationships/image" Target="../media/image47.jpeg"/><Relationship Id="rId2" Type="http://schemas.openxmlformats.org/officeDocument/2006/relationships/image" Target="../media/image53.jpeg"/><Relationship Id="rId1" Type="http://schemas.openxmlformats.org/officeDocument/2006/relationships/image" Target="../media/image52.jpeg"/><Relationship Id="rId6" Type="http://schemas.openxmlformats.org/officeDocument/2006/relationships/image" Target="../media/image56.png"/><Relationship Id="rId5" Type="http://schemas.openxmlformats.org/officeDocument/2006/relationships/image" Target="../media/image55.png"/><Relationship Id="rId4" Type="http://schemas.openxmlformats.org/officeDocument/2006/relationships/image" Target="../media/image54.png"/></Relationships>
</file>

<file path=word/diagrams/_rels/data3.xml.rels><?xml version="1.0" encoding="UTF-8" standalone="yes"?>
<Relationships xmlns="http://schemas.openxmlformats.org/package/2006/relationships"><Relationship Id="rId1" Type="http://schemas.openxmlformats.org/officeDocument/2006/relationships/image" Target="../media/image12.png"/></Relationships>
</file>

<file path=word/diagrams/_rels/data4.xml.rels><?xml version="1.0" encoding="UTF-8" standalone="yes"?>
<Relationships xmlns="http://schemas.openxmlformats.org/package/2006/relationships"><Relationship Id="rId1" Type="http://schemas.openxmlformats.org/officeDocument/2006/relationships/image" Target="../media/image13.png"/></Relationships>
</file>

<file path=word/diagrams/_rels/data5.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diagrams/_rels/data8.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29.png"/><Relationship Id="rId1" Type="http://schemas.openxmlformats.org/officeDocument/2006/relationships/image" Target="../media/image28.png"/><Relationship Id="rId4" Type="http://schemas.openxmlformats.org/officeDocument/2006/relationships/image" Target="../media/image31.png"/></Relationships>
</file>

<file path=word/diagrams/_rels/data9.xml.rels><?xml version="1.0" encoding="UTF-8" standalone="yes"?>
<Relationships xmlns="http://schemas.openxmlformats.org/package/2006/relationships"><Relationship Id="rId1" Type="http://schemas.openxmlformats.org/officeDocument/2006/relationships/image" Target="../media/image32.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8.png"/></Relationships>
</file>

<file path=word/diagrams/_rels/drawing10.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6.png"/><Relationship Id="rId1" Type="http://schemas.openxmlformats.org/officeDocument/2006/relationships/image" Target="../media/image35.png"/><Relationship Id="rId4" Type="http://schemas.openxmlformats.org/officeDocument/2006/relationships/image" Target="../media/image38.png"/></Relationships>
</file>

<file path=word/diagrams/_rels/drawing12.xml.rels><?xml version="1.0" encoding="UTF-8" standalone="yes"?>
<Relationships xmlns="http://schemas.openxmlformats.org/package/2006/relationships"><Relationship Id="rId1" Type="http://schemas.openxmlformats.org/officeDocument/2006/relationships/image" Target="../media/image39.png"/></Relationships>
</file>

<file path=word/diagrams/_rels/drawing13.xml.rels><?xml version="1.0" encoding="UTF-8" standalone="yes"?>
<Relationships xmlns="http://schemas.openxmlformats.org/package/2006/relationships"><Relationship Id="rId1" Type="http://schemas.openxmlformats.org/officeDocument/2006/relationships/image" Target="../media/image40.png"/></Relationships>
</file>

<file path=word/diagrams/_rels/drawing14.xml.rels><?xml version="1.0" encoding="UTF-8" standalone="yes"?>
<Relationships xmlns="http://schemas.openxmlformats.org/package/2006/relationships"><Relationship Id="rId1" Type="http://schemas.openxmlformats.org/officeDocument/2006/relationships/image" Target="../media/image41.png"/></Relationships>
</file>

<file path=word/diagrams/_rels/drawing15.xml.rels><?xml version="1.0" encoding="UTF-8" standalone="yes"?>
<Relationships xmlns="http://schemas.openxmlformats.org/package/2006/relationships"><Relationship Id="rId1" Type="http://schemas.openxmlformats.org/officeDocument/2006/relationships/image" Target="../media/image42.png"/></Relationships>
</file>

<file path=word/diagrams/_rels/drawing16.xml.rels><?xml version="1.0" encoding="UTF-8" standalone="yes"?>
<Relationships xmlns="http://schemas.openxmlformats.org/package/2006/relationships"><Relationship Id="rId1" Type="http://schemas.openxmlformats.org/officeDocument/2006/relationships/image" Target="../media/image43.png"/></Relationships>
</file>

<file path=word/diagrams/_rels/drawing17.xml.rels><?xml version="1.0" encoding="UTF-8" standalone="yes"?>
<Relationships xmlns="http://schemas.openxmlformats.org/package/2006/relationships"><Relationship Id="rId1" Type="http://schemas.openxmlformats.org/officeDocument/2006/relationships/image" Target="../media/image44.png"/></Relationships>
</file>

<file path=word/diagrams/_rels/drawing18.xml.rels><?xml version="1.0" encoding="UTF-8" standalone="yes"?>
<Relationships xmlns="http://schemas.openxmlformats.org/package/2006/relationships"><Relationship Id="rId1" Type="http://schemas.openxmlformats.org/officeDocument/2006/relationships/image" Target="../media/image45.png"/></Relationships>
</file>

<file path=word/diagrams/_rels/drawing19.xml.rels><?xml version="1.0" encoding="UTF-8" standalone="yes"?>
<Relationships xmlns="http://schemas.openxmlformats.org/package/2006/relationships"><Relationship Id="rId1" Type="http://schemas.openxmlformats.org/officeDocument/2006/relationships/image" Target="../media/image46.png"/></Relationships>
</file>

<file path=word/diagrams/_rels/drawing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0.png"/></Relationships>
</file>

<file path=word/diagrams/_rels/drawing20.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7.jpeg"/></Relationships>
</file>

<file path=word/diagrams/_rels/drawing21.xml.rels><?xml version="1.0" encoding="UTF-8" standalone="yes"?>
<Relationships xmlns="http://schemas.openxmlformats.org/package/2006/relationships"><Relationship Id="rId1" Type="http://schemas.openxmlformats.org/officeDocument/2006/relationships/image" Target="../media/image51.png"/></Relationships>
</file>

<file path=word/diagrams/_rels/drawing22.xml.rels><?xml version="1.0" encoding="UTF-8" standalone="yes"?>
<Relationships xmlns="http://schemas.openxmlformats.org/package/2006/relationships"><Relationship Id="rId3" Type="http://schemas.openxmlformats.org/officeDocument/2006/relationships/image" Target="../media/image52.jpeg"/><Relationship Id="rId2" Type="http://schemas.openxmlformats.org/officeDocument/2006/relationships/image" Target="../media/image54.png"/><Relationship Id="rId1" Type="http://schemas.openxmlformats.org/officeDocument/2006/relationships/image" Target="../media/image47.jpeg"/><Relationship Id="rId6" Type="http://schemas.openxmlformats.org/officeDocument/2006/relationships/image" Target="../media/image56.png"/><Relationship Id="rId5" Type="http://schemas.openxmlformats.org/officeDocument/2006/relationships/image" Target="../media/image53.jpeg"/><Relationship Id="rId4" Type="http://schemas.openxmlformats.org/officeDocument/2006/relationships/image" Target="../media/image55.png"/></Relationships>
</file>

<file path=word/diagrams/_rels/drawing3.xml.rels><?xml version="1.0" encoding="UTF-8" standalone="yes"?>
<Relationships xmlns="http://schemas.openxmlformats.org/package/2006/relationships"><Relationship Id="rId1" Type="http://schemas.openxmlformats.org/officeDocument/2006/relationships/image" Target="../media/image12.png"/></Relationships>
</file>

<file path=word/diagrams/_rels/drawing4.xml.rels><?xml version="1.0" encoding="UTF-8" standalone="yes"?>
<Relationships xmlns="http://schemas.openxmlformats.org/package/2006/relationships"><Relationship Id="rId1" Type="http://schemas.openxmlformats.org/officeDocument/2006/relationships/image" Target="../media/image13.png"/></Relationships>
</file>

<file path=word/diagrams/_rels/drawing5.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diagrams/_rels/drawing8.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29.png"/><Relationship Id="rId1" Type="http://schemas.openxmlformats.org/officeDocument/2006/relationships/image" Target="../media/image28.png"/><Relationship Id="rId4" Type="http://schemas.openxmlformats.org/officeDocument/2006/relationships/image" Target="../media/image31.png"/></Relationships>
</file>

<file path=word/diagrams/_rels/drawing9.xml.rels><?xml version="1.0" encoding="UTF-8" standalone="yes"?>
<Relationships xmlns="http://schemas.openxmlformats.org/package/2006/relationships"><Relationship Id="rId1" Type="http://schemas.openxmlformats.org/officeDocument/2006/relationships/image" Target="../media/image3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4">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07AE713-EFDC-45B4-8655-CF68C6298A42}"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es-ES"/>
        </a:p>
      </dgm:t>
    </dgm:pt>
    <dgm:pt modelId="{F375BD88-1E2B-4B79-BB15-7994395892CB}">
      <dgm:prSet phldrT="[Texto]"/>
      <dgm:spPr>
        <a:blipFill rotWithShape="0">
          <a:blip xmlns:r="http://schemas.openxmlformats.org/officeDocument/2006/relationships" r:embed="rId1"/>
          <a:stretch>
            <a:fillRect/>
          </a:stretch>
        </a:blipFill>
      </dgm:spPr>
      <dgm:t>
        <a:bodyPr/>
        <a:lstStyle/>
        <a:p>
          <a:endParaRPr lang="es-ES"/>
        </a:p>
      </dgm:t>
    </dgm:pt>
    <dgm:pt modelId="{7C166D90-8977-4147-98C1-5F01872E32AC}" type="sibTrans" cxnId="{27CA8811-0756-41A5-9C32-EBA7F62DE36E}">
      <dgm:prSet/>
      <dgm:spPr/>
      <dgm:t>
        <a:bodyPr/>
        <a:lstStyle/>
        <a:p>
          <a:endParaRPr lang="es-ES"/>
        </a:p>
      </dgm:t>
    </dgm:pt>
    <dgm:pt modelId="{94E944AE-B687-4A96-8D1E-8894008DB59F}" type="parTrans" cxnId="{27CA8811-0756-41A5-9C32-EBA7F62DE36E}">
      <dgm:prSet/>
      <dgm:spPr/>
      <dgm:t>
        <a:bodyPr/>
        <a:lstStyle/>
        <a:p>
          <a:endParaRPr lang="es-ES"/>
        </a:p>
      </dgm:t>
    </dgm:pt>
    <dgm:pt modelId="{632A7526-B174-47DF-8E10-2BBC2FB7C79F}">
      <dgm:prSet phldrT="[Texto]" custT="1"/>
      <dgm:spPr>
        <a:noFill/>
        <a:ln>
          <a:solidFill>
            <a:schemeClr val="tx1">
              <a:alpha val="90000"/>
            </a:schemeClr>
          </a:solidFill>
        </a:ln>
      </dgm:spPr>
      <dgm:t>
        <a:bodyPr/>
        <a:lstStyle/>
        <a:p>
          <a:r>
            <a:rPr lang="es-GT" sz="1200" b="1"/>
            <a:t>¿Qué variables macroeconómicas o aspectos importantes se toman en cuenta para la elaboración del presupuesto?</a:t>
          </a:r>
          <a:endParaRPr lang="es-ES" sz="1200"/>
        </a:p>
      </dgm:t>
    </dgm:pt>
    <dgm:pt modelId="{B9095E3A-3129-4048-A5E2-A888EA4B1B85}" type="parTrans" cxnId="{975E0021-5F4E-4BF9-B98B-B11EFDBCF8B1}">
      <dgm:prSet/>
      <dgm:spPr/>
      <dgm:t>
        <a:bodyPr/>
        <a:lstStyle/>
        <a:p>
          <a:endParaRPr lang="es-ES"/>
        </a:p>
      </dgm:t>
    </dgm:pt>
    <dgm:pt modelId="{C7D23E24-1B7F-43FD-A639-42489662BB3B}" type="sibTrans" cxnId="{975E0021-5F4E-4BF9-B98B-B11EFDBCF8B1}">
      <dgm:prSet/>
      <dgm:spPr/>
      <dgm:t>
        <a:bodyPr/>
        <a:lstStyle/>
        <a:p>
          <a:endParaRPr lang="es-ES"/>
        </a:p>
      </dgm:t>
    </dgm:pt>
    <dgm:pt modelId="{132AFCDB-CC71-4145-A8A9-809395A095A0}">
      <dgm:prSet phldrT="[Texto]" custT="1"/>
      <dgm:spPr>
        <a:noFill/>
        <a:ln>
          <a:solidFill>
            <a:schemeClr val="tx1">
              <a:alpha val="90000"/>
            </a:schemeClr>
          </a:solidFill>
        </a:ln>
      </dgm:spPr>
      <dgm:t>
        <a:bodyPr/>
        <a:lstStyle/>
        <a:p>
          <a:endParaRPr lang="es-ES" sz="1200"/>
        </a:p>
      </dgm:t>
    </dgm:pt>
    <dgm:pt modelId="{7B42ED91-64E1-4C72-8009-D9120EC37E8E}" type="parTrans" cxnId="{201AD0FC-9ABA-4692-ACD4-03AC7FC84669}">
      <dgm:prSet/>
      <dgm:spPr/>
      <dgm:t>
        <a:bodyPr/>
        <a:lstStyle/>
        <a:p>
          <a:endParaRPr lang="es-GT"/>
        </a:p>
      </dgm:t>
    </dgm:pt>
    <dgm:pt modelId="{24554966-80A3-47D4-9CB2-7E424249EE6B}" type="sibTrans" cxnId="{201AD0FC-9ABA-4692-ACD4-03AC7FC84669}">
      <dgm:prSet/>
      <dgm:spPr/>
      <dgm:t>
        <a:bodyPr/>
        <a:lstStyle/>
        <a:p>
          <a:endParaRPr lang="es-GT"/>
        </a:p>
      </dgm:t>
    </dgm:pt>
    <dgm:pt modelId="{8BBC9F01-9CDD-47B0-A37A-0CBBED96DE04}" type="pres">
      <dgm:prSet presAssocID="{407AE713-EFDC-45B4-8655-CF68C6298A42}" presName="Name0" presStyleCnt="0">
        <dgm:presLayoutVars>
          <dgm:dir/>
          <dgm:animLvl val="lvl"/>
          <dgm:resizeHandles/>
        </dgm:presLayoutVars>
      </dgm:prSet>
      <dgm:spPr/>
      <dgm:t>
        <a:bodyPr/>
        <a:lstStyle/>
        <a:p>
          <a:endParaRPr lang="es-ES"/>
        </a:p>
      </dgm:t>
    </dgm:pt>
    <dgm:pt modelId="{750EA5B9-8CAE-4B5C-8C55-94994730F203}" type="pres">
      <dgm:prSet presAssocID="{F375BD88-1E2B-4B79-BB15-7994395892CB}" presName="linNode" presStyleCnt="0"/>
      <dgm:spPr/>
    </dgm:pt>
    <dgm:pt modelId="{8D521D9D-9159-4855-9001-8F24A903B26F}" type="pres">
      <dgm:prSet presAssocID="{F375BD88-1E2B-4B79-BB15-7994395892CB}" presName="parentShp" presStyleLbl="node1" presStyleIdx="0" presStyleCnt="1" custScaleX="57465" custScaleY="88235" custLinFactNeighborX="-1176" custLinFactNeighborY="-5882">
        <dgm:presLayoutVars>
          <dgm:bulletEnabled val="1"/>
        </dgm:presLayoutVars>
      </dgm:prSet>
      <dgm:spPr/>
      <dgm:t>
        <a:bodyPr/>
        <a:lstStyle/>
        <a:p>
          <a:endParaRPr lang="es-ES"/>
        </a:p>
      </dgm:t>
    </dgm:pt>
    <dgm:pt modelId="{D2075C91-1D0F-4FC2-A062-ABCF4C9647D5}" type="pres">
      <dgm:prSet presAssocID="{F375BD88-1E2B-4B79-BB15-7994395892CB}" presName="childShp" presStyleLbl="bgAccFollowNode1" presStyleIdx="0" presStyleCnt="1" custScaleX="124885">
        <dgm:presLayoutVars>
          <dgm:bulletEnabled val="1"/>
        </dgm:presLayoutVars>
      </dgm:prSet>
      <dgm:spPr/>
      <dgm:t>
        <a:bodyPr/>
        <a:lstStyle/>
        <a:p>
          <a:endParaRPr lang="es-ES"/>
        </a:p>
      </dgm:t>
    </dgm:pt>
  </dgm:ptLst>
  <dgm:cxnLst>
    <dgm:cxn modelId="{BA6F1870-5BA3-4F59-B89C-655039B73F3C}" type="presOf" srcId="{407AE713-EFDC-45B4-8655-CF68C6298A42}" destId="{8BBC9F01-9CDD-47B0-A37A-0CBBED96DE04}" srcOrd="0" destOrd="0" presId="urn:microsoft.com/office/officeart/2005/8/layout/vList6"/>
    <dgm:cxn modelId="{3E72F1D1-27FA-4D6C-9EB7-FAC5B26D675C}" type="presOf" srcId="{F375BD88-1E2B-4B79-BB15-7994395892CB}" destId="{8D521D9D-9159-4855-9001-8F24A903B26F}" srcOrd="0" destOrd="0" presId="urn:microsoft.com/office/officeart/2005/8/layout/vList6"/>
    <dgm:cxn modelId="{975E0021-5F4E-4BF9-B98B-B11EFDBCF8B1}" srcId="{F375BD88-1E2B-4B79-BB15-7994395892CB}" destId="{632A7526-B174-47DF-8E10-2BBC2FB7C79F}" srcOrd="1" destOrd="0" parTransId="{B9095E3A-3129-4048-A5E2-A888EA4B1B85}" sibTransId="{C7D23E24-1B7F-43FD-A639-42489662BB3B}"/>
    <dgm:cxn modelId="{27CA8811-0756-41A5-9C32-EBA7F62DE36E}" srcId="{407AE713-EFDC-45B4-8655-CF68C6298A42}" destId="{F375BD88-1E2B-4B79-BB15-7994395892CB}" srcOrd="0" destOrd="0" parTransId="{94E944AE-B687-4A96-8D1E-8894008DB59F}" sibTransId="{7C166D90-8977-4147-98C1-5F01872E32AC}"/>
    <dgm:cxn modelId="{3726CF66-C8B1-4896-AF49-B6562E71CB53}" type="presOf" srcId="{132AFCDB-CC71-4145-A8A9-809395A095A0}" destId="{D2075C91-1D0F-4FC2-A062-ABCF4C9647D5}" srcOrd="0" destOrd="0" presId="urn:microsoft.com/office/officeart/2005/8/layout/vList6"/>
    <dgm:cxn modelId="{201AD0FC-9ABA-4692-ACD4-03AC7FC84669}" srcId="{F375BD88-1E2B-4B79-BB15-7994395892CB}" destId="{132AFCDB-CC71-4145-A8A9-809395A095A0}" srcOrd="0" destOrd="0" parTransId="{7B42ED91-64E1-4C72-8009-D9120EC37E8E}" sibTransId="{24554966-80A3-47D4-9CB2-7E424249EE6B}"/>
    <dgm:cxn modelId="{91ECD40B-0CB3-4117-A8FD-A65714B392BA}" type="presOf" srcId="{632A7526-B174-47DF-8E10-2BBC2FB7C79F}" destId="{D2075C91-1D0F-4FC2-A062-ABCF4C9647D5}" srcOrd="0" destOrd="1" presId="urn:microsoft.com/office/officeart/2005/8/layout/vList6"/>
    <dgm:cxn modelId="{0DB3050B-9B9F-4BBF-8C90-7EB24122E0EF}" type="presParOf" srcId="{8BBC9F01-9CDD-47B0-A37A-0CBBED96DE04}" destId="{750EA5B9-8CAE-4B5C-8C55-94994730F203}" srcOrd="0" destOrd="0" presId="urn:microsoft.com/office/officeart/2005/8/layout/vList6"/>
    <dgm:cxn modelId="{A5CD4F05-A577-4B1B-A1B3-B9FC07971A83}" type="presParOf" srcId="{750EA5B9-8CAE-4B5C-8C55-94994730F203}" destId="{8D521D9D-9159-4855-9001-8F24A903B26F}" srcOrd="0" destOrd="0" presId="urn:microsoft.com/office/officeart/2005/8/layout/vList6"/>
    <dgm:cxn modelId="{20F07ABE-41CB-46F7-B9E3-5E4527867D4D}" type="presParOf" srcId="{750EA5B9-8CAE-4B5C-8C55-94994730F203}" destId="{D2075C91-1D0F-4FC2-A062-ABCF4C9647D5}" srcOrd="1" destOrd="0" presId="urn:microsoft.com/office/officeart/2005/8/layout/vList6"/>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999B2F8C-0ECE-44CC-BDC1-8C3D546710F0}" type="doc">
      <dgm:prSet loTypeId="urn:microsoft.com/office/officeart/2005/8/layout/hProcess4" loCatId="process" qsTypeId="urn:microsoft.com/office/officeart/2005/8/quickstyle/3d3" qsCatId="3D" csTypeId="urn:microsoft.com/office/officeart/2005/8/colors/colorful5" csCatId="colorful" phldr="1"/>
      <dgm:spPr/>
    </dgm:pt>
    <dgm:pt modelId="{D720C17C-6BC9-46D7-8618-FA3684C616CE}">
      <dgm:prSet phldrT="[Texto]" custT="1"/>
      <dgm:spPr/>
      <dgm:t>
        <a:bodyPr/>
        <a:lstStyle/>
        <a:p>
          <a:endParaRPr lang="es-ES" sz="1200" b="1">
            <a:solidFill>
              <a:sysClr val="windowText" lastClr="000000"/>
            </a:solidFill>
          </a:endParaRPr>
        </a:p>
        <a:p>
          <a:r>
            <a:rPr lang="es-ES" sz="1200" b="1">
              <a:solidFill>
                <a:sysClr val="windowText" lastClr="000000"/>
              </a:solidFill>
            </a:rPr>
            <a:t>Diagnóstico</a:t>
          </a:r>
          <a:r>
            <a:rPr lang="es-ES" sz="1200">
              <a:solidFill>
                <a:sysClr val="windowText" lastClr="000000"/>
              </a:solidFill>
            </a:rPr>
            <a:t>	</a:t>
          </a:r>
        </a:p>
      </dgm:t>
    </dgm:pt>
    <dgm:pt modelId="{200BF9EF-4DBF-4E24-A8CE-1F8FAB250236}" type="parTrans" cxnId="{FFF5EC0C-1AFB-412A-8FE8-86825801E136}">
      <dgm:prSet/>
      <dgm:spPr/>
      <dgm:t>
        <a:bodyPr/>
        <a:lstStyle/>
        <a:p>
          <a:endParaRPr lang="es-ES">
            <a:solidFill>
              <a:sysClr val="windowText" lastClr="000000"/>
            </a:solidFill>
          </a:endParaRPr>
        </a:p>
      </dgm:t>
    </dgm:pt>
    <dgm:pt modelId="{B63282AA-0981-46E5-8360-5F5C709703B5}" type="sibTrans" cxnId="{FFF5EC0C-1AFB-412A-8FE8-86825801E136}">
      <dgm:prSet/>
      <dgm:spPr/>
      <dgm:t>
        <a:bodyPr/>
        <a:lstStyle/>
        <a:p>
          <a:endParaRPr lang="es-ES">
            <a:solidFill>
              <a:sysClr val="windowText" lastClr="000000"/>
            </a:solidFill>
          </a:endParaRPr>
        </a:p>
      </dgm:t>
    </dgm:pt>
    <dgm:pt modelId="{44AD5023-9094-4CFD-9E7A-63099D92192D}">
      <dgm:prSet phldrT="[Texto]" custT="1"/>
      <dgm:spPr/>
      <dgm:t>
        <a:bodyPr/>
        <a:lstStyle/>
        <a:p>
          <a:r>
            <a:rPr lang="es-ES" sz="1200" b="1">
              <a:solidFill>
                <a:sysClr val="windowText" lastClr="000000"/>
              </a:solidFill>
            </a:rPr>
            <a:t>Implementación</a:t>
          </a:r>
        </a:p>
      </dgm:t>
    </dgm:pt>
    <dgm:pt modelId="{18D90298-3075-465D-80E0-B8E9B76BAB12}" type="parTrans" cxnId="{09C00F55-E814-4CC9-943E-00149B71B405}">
      <dgm:prSet/>
      <dgm:spPr/>
      <dgm:t>
        <a:bodyPr/>
        <a:lstStyle/>
        <a:p>
          <a:endParaRPr lang="es-ES">
            <a:solidFill>
              <a:sysClr val="windowText" lastClr="000000"/>
            </a:solidFill>
          </a:endParaRPr>
        </a:p>
      </dgm:t>
    </dgm:pt>
    <dgm:pt modelId="{F0AE3722-E10F-4ACD-91A6-8430BDEF0BC1}" type="sibTrans" cxnId="{09C00F55-E814-4CC9-943E-00149B71B405}">
      <dgm:prSet/>
      <dgm:spPr/>
      <dgm:t>
        <a:bodyPr/>
        <a:lstStyle/>
        <a:p>
          <a:endParaRPr lang="es-ES">
            <a:solidFill>
              <a:sysClr val="windowText" lastClr="000000"/>
            </a:solidFill>
          </a:endParaRPr>
        </a:p>
      </dgm:t>
    </dgm:pt>
    <dgm:pt modelId="{6E0329CE-740B-4089-B410-84F5D530BCE5}">
      <dgm:prSet phldrT="[Texto]" custT="1"/>
      <dgm:spPr/>
      <dgm:t>
        <a:bodyPr/>
        <a:lstStyle/>
        <a:p>
          <a:r>
            <a:rPr lang="es-ES" sz="1200" b="1">
              <a:solidFill>
                <a:sysClr val="windowText" lastClr="000000"/>
              </a:solidFill>
            </a:rPr>
            <a:t>Seguimiento y Evaluación</a:t>
          </a:r>
        </a:p>
      </dgm:t>
    </dgm:pt>
    <dgm:pt modelId="{99D4F9EF-620E-4E39-BA54-A6C1710B26DC}" type="parTrans" cxnId="{ABCA8688-6EFE-448E-975F-2E45C4C4C3B1}">
      <dgm:prSet/>
      <dgm:spPr/>
      <dgm:t>
        <a:bodyPr/>
        <a:lstStyle/>
        <a:p>
          <a:endParaRPr lang="es-ES">
            <a:solidFill>
              <a:sysClr val="windowText" lastClr="000000"/>
            </a:solidFill>
          </a:endParaRPr>
        </a:p>
      </dgm:t>
    </dgm:pt>
    <dgm:pt modelId="{08B921DF-E147-4FE6-98A7-D01D3F2D8505}" type="sibTrans" cxnId="{ABCA8688-6EFE-448E-975F-2E45C4C4C3B1}">
      <dgm:prSet/>
      <dgm:spPr/>
      <dgm:t>
        <a:bodyPr/>
        <a:lstStyle/>
        <a:p>
          <a:endParaRPr lang="es-ES">
            <a:solidFill>
              <a:sysClr val="windowText" lastClr="000000"/>
            </a:solidFill>
          </a:endParaRPr>
        </a:p>
      </dgm:t>
    </dgm:pt>
    <dgm:pt modelId="{0B4D68F3-80A4-4827-AC3A-329B22DAE4D9}">
      <dgm:prSet custT="1"/>
      <dgm:spPr/>
      <dgm:t>
        <a:bodyPr/>
        <a:lstStyle/>
        <a:p>
          <a:r>
            <a:rPr lang="es-ES" sz="1200" b="1">
              <a:solidFill>
                <a:sysClr val="windowText" lastClr="000000"/>
              </a:solidFill>
            </a:rPr>
            <a:t>Diseño</a:t>
          </a:r>
        </a:p>
      </dgm:t>
    </dgm:pt>
    <dgm:pt modelId="{C53E469E-192D-442D-8F95-1112831389D2}" type="parTrans" cxnId="{876BBC57-5E47-4A8E-BA52-80C718B9294F}">
      <dgm:prSet/>
      <dgm:spPr/>
      <dgm:t>
        <a:bodyPr/>
        <a:lstStyle/>
        <a:p>
          <a:endParaRPr lang="es-ES">
            <a:solidFill>
              <a:sysClr val="windowText" lastClr="000000"/>
            </a:solidFill>
          </a:endParaRPr>
        </a:p>
      </dgm:t>
    </dgm:pt>
    <dgm:pt modelId="{D6A4ED90-1F80-4F86-92B2-4601AE076972}" type="sibTrans" cxnId="{876BBC57-5E47-4A8E-BA52-80C718B9294F}">
      <dgm:prSet/>
      <dgm:spPr/>
      <dgm:t>
        <a:bodyPr/>
        <a:lstStyle/>
        <a:p>
          <a:endParaRPr lang="es-ES">
            <a:solidFill>
              <a:sysClr val="windowText" lastClr="000000"/>
            </a:solidFill>
          </a:endParaRPr>
        </a:p>
      </dgm:t>
    </dgm:pt>
    <dgm:pt modelId="{9F71B2BD-02FD-40F3-9819-371A6F81D00A}" type="pres">
      <dgm:prSet presAssocID="{999B2F8C-0ECE-44CC-BDC1-8C3D546710F0}" presName="Name0" presStyleCnt="0">
        <dgm:presLayoutVars>
          <dgm:dir/>
          <dgm:animLvl val="lvl"/>
          <dgm:resizeHandles val="exact"/>
        </dgm:presLayoutVars>
      </dgm:prSet>
      <dgm:spPr/>
    </dgm:pt>
    <dgm:pt modelId="{270A1B75-4B3A-47FF-BFCC-54419283E76F}" type="pres">
      <dgm:prSet presAssocID="{999B2F8C-0ECE-44CC-BDC1-8C3D546710F0}" presName="tSp" presStyleCnt="0"/>
      <dgm:spPr/>
    </dgm:pt>
    <dgm:pt modelId="{BB3C38C1-2ED0-42FE-838D-86C0396048FF}" type="pres">
      <dgm:prSet presAssocID="{999B2F8C-0ECE-44CC-BDC1-8C3D546710F0}" presName="bSp" presStyleCnt="0"/>
      <dgm:spPr/>
    </dgm:pt>
    <dgm:pt modelId="{E9A46D8A-C347-4127-992E-4AB32F5A3339}" type="pres">
      <dgm:prSet presAssocID="{999B2F8C-0ECE-44CC-BDC1-8C3D546710F0}" presName="process" presStyleCnt="0"/>
      <dgm:spPr/>
    </dgm:pt>
    <dgm:pt modelId="{59BB90A2-25F1-4FA4-AC8D-05C3425E2C3C}" type="pres">
      <dgm:prSet presAssocID="{D720C17C-6BC9-46D7-8618-FA3684C616CE}" presName="composite1" presStyleCnt="0"/>
      <dgm:spPr/>
    </dgm:pt>
    <dgm:pt modelId="{333E505F-7977-4779-9D43-E6B8D159409E}" type="pres">
      <dgm:prSet presAssocID="{D720C17C-6BC9-46D7-8618-FA3684C616CE}" presName="dummyNode1" presStyleLbl="node1" presStyleIdx="0" presStyleCnt="4"/>
      <dgm:spPr/>
    </dgm:pt>
    <dgm:pt modelId="{6C08D063-6DC2-4469-BDF9-464B541EB498}" type="pres">
      <dgm:prSet presAssocID="{D720C17C-6BC9-46D7-8618-FA3684C616CE}" presName="childNode1" presStyleLbl="bgAcc1" presStyleIdx="0" presStyleCnt="4">
        <dgm:presLayoutVars>
          <dgm:bulletEnabled val="1"/>
        </dgm:presLayoutVars>
      </dgm:prSet>
      <dgm:spPr>
        <a:blipFill rotWithShape="0">
          <a:blip xmlns:r="http://schemas.openxmlformats.org/officeDocument/2006/relationships" r:embed="rId1"/>
          <a:stretch>
            <a:fillRect/>
          </a:stretch>
        </a:blipFill>
      </dgm:spPr>
    </dgm:pt>
    <dgm:pt modelId="{93BAA498-C4AE-4F61-8DF4-9758A36B0FE2}" type="pres">
      <dgm:prSet presAssocID="{D720C17C-6BC9-46D7-8618-FA3684C616CE}" presName="childNode1tx" presStyleLbl="bgAcc1" presStyleIdx="0" presStyleCnt="4">
        <dgm:presLayoutVars>
          <dgm:bulletEnabled val="1"/>
        </dgm:presLayoutVars>
      </dgm:prSet>
      <dgm:spPr/>
    </dgm:pt>
    <dgm:pt modelId="{A3F96706-CF3D-40F6-9469-572DA9BC8BDF}" type="pres">
      <dgm:prSet presAssocID="{D720C17C-6BC9-46D7-8618-FA3684C616CE}" presName="parentNode1" presStyleLbl="node1" presStyleIdx="0" presStyleCnt="4" custLinFactNeighborX="-25156" custLinFactNeighborY="49312">
        <dgm:presLayoutVars>
          <dgm:chMax val="1"/>
          <dgm:bulletEnabled val="1"/>
        </dgm:presLayoutVars>
      </dgm:prSet>
      <dgm:spPr/>
      <dgm:t>
        <a:bodyPr/>
        <a:lstStyle/>
        <a:p>
          <a:endParaRPr lang="es-ES"/>
        </a:p>
      </dgm:t>
    </dgm:pt>
    <dgm:pt modelId="{11B8E1F0-B641-44B1-A62E-8BF14FCAF757}" type="pres">
      <dgm:prSet presAssocID="{D720C17C-6BC9-46D7-8618-FA3684C616CE}" presName="connSite1" presStyleCnt="0"/>
      <dgm:spPr/>
    </dgm:pt>
    <dgm:pt modelId="{838265FC-729F-4E22-8A45-F5F8E55925AE}" type="pres">
      <dgm:prSet presAssocID="{B63282AA-0981-46E5-8360-5F5C709703B5}" presName="Name9" presStyleLbl="sibTrans2D1" presStyleIdx="0" presStyleCnt="3" custLinFactNeighborX="14788" custLinFactNeighborY="-8292"/>
      <dgm:spPr/>
      <dgm:t>
        <a:bodyPr/>
        <a:lstStyle/>
        <a:p>
          <a:endParaRPr lang="es-ES"/>
        </a:p>
      </dgm:t>
    </dgm:pt>
    <dgm:pt modelId="{65B84725-8457-4902-9B2A-1713522B8A7C}" type="pres">
      <dgm:prSet presAssocID="{0B4D68F3-80A4-4827-AC3A-329B22DAE4D9}" presName="composite2" presStyleCnt="0"/>
      <dgm:spPr/>
    </dgm:pt>
    <dgm:pt modelId="{58A30DEB-D909-4F33-800C-8FEE49C3BD82}" type="pres">
      <dgm:prSet presAssocID="{0B4D68F3-80A4-4827-AC3A-329B22DAE4D9}" presName="dummyNode2" presStyleLbl="node1" presStyleIdx="0" presStyleCnt="4"/>
      <dgm:spPr/>
    </dgm:pt>
    <dgm:pt modelId="{52B4C6F2-136D-42F5-B959-95D2AD9AA799}" type="pres">
      <dgm:prSet presAssocID="{0B4D68F3-80A4-4827-AC3A-329B22DAE4D9}" presName="childNode2" presStyleLbl="bgAcc1" presStyleIdx="1" presStyleCnt="4">
        <dgm:presLayoutVars>
          <dgm:bulletEnabled val="1"/>
        </dgm:presLayoutVars>
      </dgm:prSet>
      <dgm:spPr>
        <a:blipFill rotWithShape="0">
          <a:blip xmlns:r="http://schemas.openxmlformats.org/officeDocument/2006/relationships" r:embed="rId2"/>
          <a:stretch>
            <a:fillRect/>
          </a:stretch>
        </a:blipFill>
      </dgm:spPr>
    </dgm:pt>
    <dgm:pt modelId="{3FECE876-7ECA-4E35-982B-6740DDCD699A}" type="pres">
      <dgm:prSet presAssocID="{0B4D68F3-80A4-4827-AC3A-329B22DAE4D9}" presName="childNode2tx" presStyleLbl="bgAcc1" presStyleIdx="1" presStyleCnt="4">
        <dgm:presLayoutVars>
          <dgm:bulletEnabled val="1"/>
        </dgm:presLayoutVars>
      </dgm:prSet>
      <dgm:spPr/>
    </dgm:pt>
    <dgm:pt modelId="{AD3AE925-4F65-4709-9BF3-37ECFA6ECDDF}" type="pres">
      <dgm:prSet presAssocID="{0B4D68F3-80A4-4827-AC3A-329B22DAE4D9}" presName="parentNode2" presStyleLbl="node1" presStyleIdx="1" presStyleCnt="4" custLinFactNeighborX="-1032" custLinFactNeighborY="-28541">
        <dgm:presLayoutVars>
          <dgm:chMax val="0"/>
          <dgm:bulletEnabled val="1"/>
        </dgm:presLayoutVars>
      </dgm:prSet>
      <dgm:spPr/>
      <dgm:t>
        <a:bodyPr/>
        <a:lstStyle/>
        <a:p>
          <a:endParaRPr lang="es-ES"/>
        </a:p>
      </dgm:t>
    </dgm:pt>
    <dgm:pt modelId="{6E239D3E-E50A-48A5-81ED-FB9EEC8C350D}" type="pres">
      <dgm:prSet presAssocID="{0B4D68F3-80A4-4827-AC3A-329B22DAE4D9}" presName="connSite2" presStyleCnt="0"/>
      <dgm:spPr/>
    </dgm:pt>
    <dgm:pt modelId="{ED64778D-1113-4DA0-A8BA-BD66E67BD860}" type="pres">
      <dgm:prSet presAssocID="{D6A4ED90-1F80-4F86-92B2-4601AE076972}" presName="Name18" presStyleLbl="sibTrans2D1" presStyleIdx="1" presStyleCnt="3" custLinFactNeighborX="10058" custLinFactNeighborY="1341"/>
      <dgm:spPr/>
      <dgm:t>
        <a:bodyPr/>
        <a:lstStyle/>
        <a:p>
          <a:endParaRPr lang="es-ES"/>
        </a:p>
      </dgm:t>
    </dgm:pt>
    <dgm:pt modelId="{3E2DC793-9F30-4380-8C9F-20555BCFEF9A}" type="pres">
      <dgm:prSet presAssocID="{44AD5023-9094-4CFD-9E7A-63099D92192D}" presName="composite1" presStyleCnt="0"/>
      <dgm:spPr/>
    </dgm:pt>
    <dgm:pt modelId="{27BB161F-4266-4090-A683-7F026F5B4E5A}" type="pres">
      <dgm:prSet presAssocID="{44AD5023-9094-4CFD-9E7A-63099D92192D}" presName="dummyNode1" presStyleLbl="node1" presStyleIdx="1" presStyleCnt="4"/>
      <dgm:spPr/>
    </dgm:pt>
    <dgm:pt modelId="{61CA45D1-7E8C-47BA-AF23-51496063DFAF}" type="pres">
      <dgm:prSet presAssocID="{44AD5023-9094-4CFD-9E7A-63099D92192D}" presName="childNode1" presStyleLbl="bgAcc1" presStyleIdx="2" presStyleCnt="4">
        <dgm:presLayoutVars>
          <dgm:bulletEnabled val="1"/>
        </dgm:presLayoutVars>
      </dgm:prSet>
      <dgm:spPr>
        <a:blipFill rotWithShape="0">
          <a:blip xmlns:r="http://schemas.openxmlformats.org/officeDocument/2006/relationships" r:embed="rId3"/>
          <a:stretch>
            <a:fillRect/>
          </a:stretch>
        </a:blipFill>
      </dgm:spPr>
    </dgm:pt>
    <dgm:pt modelId="{145319A1-A974-4CA7-AB58-CA5EDBC398D6}" type="pres">
      <dgm:prSet presAssocID="{44AD5023-9094-4CFD-9E7A-63099D92192D}" presName="childNode1tx" presStyleLbl="bgAcc1" presStyleIdx="2" presStyleCnt="4">
        <dgm:presLayoutVars>
          <dgm:bulletEnabled val="1"/>
        </dgm:presLayoutVars>
      </dgm:prSet>
      <dgm:spPr/>
    </dgm:pt>
    <dgm:pt modelId="{EDC89D0B-E609-4925-80B5-BEB6ED6A2A22}" type="pres">
      <dgm:prSet presAssocID="{44AD5023-9094-4CFD-9E7A-63099D92192D}" presName="parentNode1" presStyleLbl="node1" presStyleIdx="2" presStyleCnt="4" custScaleX="125205" custLinFactNeighborX="-1010" custLinFactNeighborY="27943">
        <dgm:presLayoutVars>
          <dgm:chMax val="1"/>
          <dgm:bulletEnabled val="1"/>
        </dgm:presLayoutVars>
      </dgm:prSet>
      <dgm:spPr/>
      <dgm:t>
        <a:bodyPr/>
        <a:lstStyle/>
        <a:p>
          <a:endParaRPr lang="es-ES"/>
        </a:p>
      </dgm:t>
    </dgm:pt>
    <dgm:pt modelId="{F9E23B85-7D18-48F4-A07B-2CC18A4A62DC}" type="pres">
      <dgm:prSet presAssocID="{44AD5023-9094-4CFD-9E7A-63099D92192D}" presName="connSite1" presStyleCnt="0"/>
      <dgm:spPr/>
    </dgm:pt>
    <dgm:pt modelId="{4F5C6F41-E8B6-47E8-957C-9139E8A41A77}" type="pres">
      <dgm:prSet presAssocID="{F0AE3722-E10F-4ACD-91A6-8430BDEF0BC1}" presName="Name9" presStyleLbl="sibTrans2D1" presStyleIdx="2" presStyleCnt="3" custLinFactNeighborX="21589" custLinFactNeighborY="-3720"/>
      <dgm:spPr/>
      <dgm:t>
        <a:bodyPr/>
        <a:lstStyle/>
        <a:p>
          <a:endParaRPr lang="es-ES"/>
        </a:p>
      </dgm:t>
    </dgm:pt>
    <dgm:pt modelId="{E67E53F4-41F4-49DD-A142-D41FDF180624}" type="pres">
      <dgm:prSet presAssocID="{6E0329CE-740B-4089-B410-84F5D530BCE5}" presName="composite2" presStyleCnt="0"/>
      <dgm:spPr/>
    </dgm:pt>
    <dgm:pt modelId="{49A9709B-DF24-4A98-90B5-332CA2643835}" type="pres">
      <dgm:prSet presAssocID="{6E0329CE-740B-4089-B410-84F5D530BCE5}" presName="dummyNode2" presStyleLbl="node1" presStyleIdx="2" presStyleCnt="4"/>
      <dgm:spPr/>
    </dgm:pt>
    <dgm:pt modelId="{CE83AE7C-08AD-4669-9739-C5DAF86894A7}" type="pres">
      <dgm:prSet presAssocID="{6E0329CE-740B-4089-B410-84F5D530BCE5}" presName="childNode2" presStyleLbl="bgAcc1" presStyleIdx="3" presStyleCnt="4">
        <dgm:presLayoutVars>
          <dgm:bulletEnabled val="1"/>
        </dgm:presLayoutVars>
      </dgm:prSet>
      <dgm:spPr>
        <a:blipFill rotWithShape="0">
          <a:blip xmlns:r="http://schemas.openxmlformats.org/officeDocument/2006/relationships" r:embed="rId4"/>
          <a:stretch>
            <a:fillRect/>
          </a:stretch>
        </a:blipFill>
      </dgm:spPr>
    </dgm:pt>
    <dgm:pt modelId="{1FFF87FF-0FAF-4AE0-977B-6CA7D8151EF7}" type="pres">
      <dgm:prSet presAssocID="{6E0329CE-740B-4089-B410-84F5D530BCE5}" presName="childNode2tx" presStyleLbl="bgAcc1" presStyleIdx="3" presStyleCnt="4">
        <dgm:presLayoutVars>
          <dgm:bulletEnabled val="1"/>
        </dgm:presLayoutVars>
      </dgm:prSet>
      <dgm:spPr/>
    </dgm:pt>
    <dgm:pt modelId="{B4FC8661-A0ED-4932-BA95-46B8646E5426}" type="pres">
      <dgm:prSet presAssocID="{6E0329CE-740B-4089-B410-84F5D530BCE5}" presName="parentNode2" presStyleLbl="node1" presStyleIdx="3" presStyleCnt="4" custLinFactNeighborX="-3032" custLinFactNeighborY="-53347">
        <dgm:presLayoutVars>
          <dgm:chMax val="0"/>
          <dgm:bulletEnabled val="1"/>
        </dgm:presLayoutVars>
      </dgm:prSet>
      <dgm:spPr/>
      <dgm:t>
        <a:bodyPr/>
        <a:lstStyle/>
        <a:p>
          <a:endParaRPr lang="es-ES"/>
        </a:p>
      </dgm:t>
    </dgm:pt>
    <dgm:pt modelId="{8D1E82D9-E901-43A9-942D-33880FA99D10}" type="pres">
      <dgm:prSet presAssocID="{6E0329CE-740B-4089-B410-84F5D530BCE5}" presName="connSite2" presStyleCnt="0"/>
      <dgm:spPr/>
    </dgm:pt>
  </dgm:ptLst>
  <dgm:cxnLst>
    <dgm:cxn modelId="{DB5E31D1-1A05-4584-A2BD-486A99015972}" type="presOf" srcId="{999B2F8C-0ECE-44CC-BDC1-8C3D546710F0}" destId="{9F71B2BD-02FD-40F3-9819-371A6F81D00A}" srcOrd="0" destOrd="0" presId="urn:microsoft.com/office/officeart/2005/8/layout/hProcess4"/>
    <dgm:cxn modelId="{FFF5EC0C-1AFB-412A-8FE8-86825801E136}" srcId="{999B2F8C-0ECE-44CC-BDC1-8C3D546710F0}" destId="{D720C17C-6BC9-46D7-8618-FA3684C616CE}" srcOrd="0" destOrd="0" parTransId="{200BF9EF-4DBF-4E24-A8CE-1F8FAB250236}" sibTransId="{B63282AA-0981-46E5-8360-5F5C709703B5}"/>
    <dgm:cxn modelId="{3CCABC95-9905-42C8-8271-69A869D44E3C}" type="presOf" srcId="{44AD5023-9094-4CFD-9E7A-63099D92192D}" destId="{EDC89D0B-E609-4925-80B5-BEB6ED6A2A22}" srcOrd="0" destOrd="0" presId="urn:microsoft.com/office/officeart/2005/8/layout/hProcess4"/>
    <dgm:cxn modelId="{876BBC57-5E47-4A8E-BA52-80C718B9294F}" srcId="{999B2F8C-0ECE-44CC-BDC1-8C3D546710F0}" destId="{0B4D68F3-80A4-4827-AC3A-329B22DAE4D9}" srcOrd="1" destOrd="0" parTransId="{C53E469E-192D-442D-8F95-1112831389D2}" sibTransId="{D6A4ED90-1F80-4F86-92B2-4601AE076972}"/>
    <dgm:cxn modelId="{373D34F2-F252-4E4A-8F97-6FA7BE8437CF}" type="presOf" srcId="{0B4D68F3-80A4-4827-AC3A-329B22DAE4D9}" destId="{AD3AE925-4F65-4709-9BF3-37ECFA6ECDDF}" srcOrd="0" destOrd="0" presId="urn:microsoft.com/office/officeart/2005/8/layout/hProcess4"/>
    <dgm:cxn modelId="{ABCA8688-6EFE-448E-975F-2E45C4C4C3B1}" srcId="{999B2F8C-0ECE-44CC-BDC1-8C3D546710F0}" destId="{6E0329CE-740B-4089-B410-84F5D530BCE5}" srcOrd="3" destOrd="0" parTransId="{99D4F9EF-620E-4E39-BA54-A6C1710B26DC}" sibTransId="{08B921DF-E147-4FE6-98A7-D01D3F2D8505}"/>
    <dgm:cxn modelId="{8374F4F4-CFF4-439A-B891-52900AC64C3C}" type="presOf" srcId="{D720C17C-6BC9-46D7-8618-FA3684C616CE}" destId="{A3F96706-CF3D-40F6-9469-572DA9BC8BDF}" srcOrd="0" destOrd="0" presId="urn:microsoft.com/office/officeart/2005/8/layout/hProcess4"/>
    <dgm:cxn modelId="{1A92D8CA-5001-4D63-8265-C54B94E2C913}" type="presOf" srcId="{B63282AA-0981-46E5-8360-5F5C709703B5}" destId="{838265FC-729F-4E22-8A45-F5F8E55925AE}" srcOrd="0" destOrd="0" presId="urn:microsoft.com/office/officeart/2005/8/layout/hProcess4"/>
    <dgm:cxn modelId="{09C00F55-E814-4CC9-943E-00149B71B405}" srcId="{999B2F8C-0ECE-44CC-BDC1-8C3D546710F0}" destId="{44AD5023-9094-4CFD-9E7A-63099D92192D}" srcOrd="2" destOrd="0" parTransId="{18D90298-3075-465D-80E0-B8E9B76BAB12}" sibTransId="{F0AE3722-E10F-4ACD-91A6-8430BDEF0BC1}"/>
    <dgm:cxn modelId="{2F8C3C8C-29EE-49CB-AE7A-B314FCA5A485}" type="presOf" srcId="{D6A4ED90-1F80-4F86-92B2-4601AE076972}" destId="{ED64778D-1113-4DA0-A8BA-BD66E67BD860}" srcOrd="0" destOrd="0" presId="urn:microsoft.com/office/officeart/2005/8/layout/hProcess4"/>
    <dgm:cxn modelId="{5B4AC6DD-C388-4D54-AD58-EA268B2FC794}" type="presOf" srcId="{F0AE3722-E10F-4ACD-91A6-8430BDEF0BC1}" destId="{4F5C6F41-E8B6-47E8-957C-9139E8A41A77}" srcOrd="0" destOrd="0" presId="urn:microsoft.com/office/officeart/2005/8/layout/hProcess4"/>
    <dgm:cxn modelId="{1E4D3A29-B80F-4730-864A-53B7328ABF58}" type="presOf" srcId="{6E0329CE-740B-4089-B410-84F5D530BCE5}" destId="{B4FC8661-A0ED-4932-BA95-46B8646E5426}" srcOrd="0" destOrd="0" presId="urn:microsoft.com/office/officeart/2005/8/layout/hProcess4"/>
    <dgm:cxn modelId="{EF756F0F-212B-4AB2-856E-26438FE05B0C}" type="presParOf" srcId="{9F71B2BD-02FD-40F3-9819-371A6F81D00A}" destId="{270A1B75-4B3A-47FF-BFCC-54419283E76F}" srcOrd="0" destOrd="0" presId="urn:microsoft.com/office/officeart/2005/8/layout/hProcess4"/>
    <dgm:cxn modelId="{1AEB9960-7394-4F6E-A488-2035BEADDA64}" type="presParOf" srcId="{9F71B2BD-02FD-40F3-9819-371A6F81D00A}" destId="{BB3C38C1-2ED0-42FE-838D-86C0396048FF}" srcOrd="1" destOrd="0" presId="urn:microsoft.com/office/officeart/2005/8/layout/hProcess4"/>
    <dgm:cxn modelId="{33A4BA5A-A8C0-40C2-A727-B73D4D1A31C9}" type="presParOf" srcId="{9F71B2BD-02FD-40F3-9819-371A6F81D00A}" destId="{E9A46D8A-C347-4127-992E-4AB32F5A3339}" srcOrd="2" destOrd="0" presId="urn:microsoft.com/office/officeart/2005/8/layout/hProcess4"/>
    <dgm:cxn modelId="{F63ADB01-D35C-4D3A-8104-3543B9B28F28}" type="presParOf" srcId="{E9A46D8A-C347-4127-992E-4AB32F5A3339}" destId="{59BB90A2-25F1-4FA4-AC8D-05C3425E2C3C}" srcOrd="0" destOrd="0" presId="urn:microsoft.com/office/officeart/2005/8/layout/hProcess4"/>
    <dgm:cxn modelId="{55ED5EF6-6BBB-45AA-87CB-30FC7872B13C}" type="presParOf" srcId="{59BB90A2-25F1-4FA4-AC8D-05C3425E2C3C}" destId="{333E505F-7977-4779-9D43-E6B8D159409E}" srcOrd="0" destOrd="0" presId="urn:microsoft.com/office/officeart/2005/8/layout/hProcess4"/>
    <dgm:cxn modelId="{60640E23-30B2-4AA9-922D-31BFF71D534D}" type="presParOf" srcId="{59BB90A2-25F1-4FA4-AC8D-05C3425E2C3C}" destId="{6C08D063-6DC2-4469-BDF9-464B541EB498}" srcOrd="1" destOrd="0" presId="urn:microsoft.com/office/officeart/2005/8/layout/hProcess4"/>
    <dgm:cxn modelId="{03071B29-332C-4CE2-A4E5-15A62BCAC004}" type="presParOf" srcId="{59BB90A2-25F1-4FA4-AC8D-05C3425E2C3C}" destId="{93BAA498-C4AE-4F61-8DF4-9758A36B0FE2}" srcOrd="2" destOrd="0" presId="urn:microsoft.com/office/officeart/2005/8/layout/hProcess4"/>
    <dgm:cxn modelId="{B29FDD37-B482-4B97-B60E-3772FAFD8D4C}" type="presParOf" srcId="{59BB90A2-25F1-4FA4-AC8D-05C3425E2C3C}" destId="{A3F96706-CF3D-40F6-9469-572DA9BC8BDF}" srcOrd="3" destOrd="0" presId="urn:microsoft.com/office/officeart/2005/8/layout/hProcess4"/>
    <dgm:cxn modelId="{3BF81807-4C0A-4386-B288-FD7C3995599A}" type="presParOf" srcId="{59BB90A2-25F1-4FA4-AC8D-05C3425E2C3C}" destId="{11B8E1F0-B641-44B1-A62E-8BF14FCAF757}" srcOrd="4" destOrd="0" presId="urn:microsoft.com/office/officeart/2005/8/layout/hProcess4"/>
    <dgm:cxn modelId="{0DDB9C26-23BD-4DFC-B726-92091C74BD6A}" type="presParOf" srcId="{E9A46D8A-C347-4127-992E-4AB32F5A3339}" destId="{838265FC-729F-4E22-8A45-F5F8E55925AE}" srcOrd="1" destOrd="0" presId="urn:microsoft.com/office/officeart/2005/8/layout/hProcess4"/>
    <dgm:cxn modelId="{62E22795-E03D-4D71-9F8E-6766C5E48D55}" type="presParOf" srcId="{E9A46D8A-C347-4127-992E-4AB32F5A3339}" destId="{65B84725-8457-4902-9B2A-1713522B8A7C}" srcOrd="2" destOrd="0" presId="urn:microsoft.com/office/officeart/2005/8/layout/hProcess4"/>
    <dgm:cxn modelId="{460E20DF-970E-4E49-AAE4-49EABE54B111}" type="presParOf" srcId="{65B84725-8457-4902-9B2A-1713522B8A7C}" destId="{58A30DEB-D909-4F33-800C-8FEE49C3BD82}" srcOrd="0" destOrd="0" presId="urn:microsoft.com/office/officeart/2005/8/layout/hProcess4"/>
    <dgm:cxn modelId="{B502B0B6-745D-4E5D-934C-BB2CDF9D3C8D}" type="presParOf" srcId="{65B84725-8457-4902-9B2A-1713522B8A7C}" destId="{52B4C6F2-136D-42F5-B959-95D2AD9AA799}" srcOrd="1" destOrd="0" presId="urn:microsoft.com/office/officeart/2005/8/layout/hProcess4"/>
    <dgm:cxn modelId="{A7C89319-2D69-4B63-B1F9-238CF6D8755D}" type="presParOf" srcId="{65B84725-8457-4902-9B2A-1713522B8A7C}" destId="{3FECE876-7ECA-4E35-982B-6740DDCD699A}" srcOrd="2" destOrd="0" presId="urn:microsoft.com/office/officeart/2005/8/layout/hProcess4"/>
    <dgm:cxn modelId="{89729A66-136F-4413-A635-D934E03CA5CE}" type="presParOf" srcId="{65B84725-8457-4902-9B2A-1713522B8A7C}" destId="{AD3AE925-4F65-4709-9BF3-37ECFA6ECDDF}" srcOrd="3" destOrd="0" presId="urn:microsoft.com/office/officeart/2005/8/layout/hProcess4"/>
    <dgm:cxn modelId="{1B0ED0FF-AE4F-4973-B527-4D8FE1999F51}" type="presParOf" srcId="{65B84725-8457-4902-9B2A-1713522B8A7C}" destId="{6E239D3E-E50A-48A5-81ED-FB9EEC8C350D}" srcOrd="4" destOrd="0" presId="urn:microsoft.com/office/officeart/2005/8/layout/hProcess4"/>
    <dgm:cxn modelId="{685D8A13-0605-44C5-896C-F8EA9899428A}" type="presParOf" srcId="{E9A46D8A-C347-4127-992E-4AB32F5A3339}" destId="{ED64778D-1113-4DA0-A8BA-BD66E67BD860}" srcOrd="3" destOrd="0" presId="urn:microsoft.com/office/officeart/2005/8/layout/hProcess4"/>
    <dgm:cxn modelId="{60EC3065-A6DD-41D5-B92B-52FB5EE45A0E}" type="presParOf" srcId="{E9A46D8A-C347-4127-992E-4AB32F5A3339}" destId="{3E2DC793-9F30-4380-8C9F-20555BCFEF9A}" srcOrd="4" destOrd="0" presId="urn:microsoft.com/office/officeart/2005/8/layout/hProcess4"/>
    <dgm:cxn modelId="{E950023E-09EB-4A6A-BAF3-0C836B79A7F7}" type="presParOf" srcId="{3E2DC793-9F30-4380-8C9F-20555BCFEF9A}" destId="{27BB161F-4266-4090-A683-7F026F5B4E5A}" srcOrd="0" destOrd="0" presId="urn:microsoft.com/office/officeart/2005/8/layout/hProcess4"/>
    <dgm:cxn modelId="{13268942-56C8-499B-89AC-750672D92C78}" type="presParOf" srcId="{3E2DC793-9F30-4380-8C9F-20555BCFEF9A}" destId="{61CA45D1-7E8C-47BA-AF23-51496063DFAF}" srcOrd="1" destOrd="0" presId="urn:microsoft.com/office/officeart/2005/8/layout/hProcess4"/>
    <dgm:cxn modelId="{85F3DCD4-884B-439D-9A3C-AE29C331481D}" type="presParOf" srcId="{3E2DC793-9F30-4380-8C9F-20555BCFEF9A}" destId="{145319A1-A974-4CA7-AB58-CA5EDBC398D6}" srcOrd="2" destOrd="0" presId="urn:microsoft.com/office/officeart/2005/8/layout/hProcess4"/>
    <dgm:cxn modelId="{757D8713-8961-4CC1-A1C7-D60057C9907D}" type="presParOf" srcId="{3E2DC793-9F30-4380-8C9F-20555BCFEF9A}" destId="{EDC89D0B-E609-4925-80B5-BEB6ED6A2A22}" srcOrd="3" destOrd="0" presId="urn:microsoft.com/office/officeart/2005/8/layout/hProcess4"/>
    <dgm:cxn modelId="{1EFEBF0F-B7EB-4B9A-96D1-80A6C99ADA6C}" type="presParOf" srcId="{3E2DC793-9F30-4380-8C9F-20555BCFEF9A}" destId="{F9E23B85-7D18-48F4-A07B-2CC18A4A62DC}" srcOrd="4" destOrd="0" presId="urn:microsoft.com/office/officeart/2005/8/layout/hProcess4"/>
    <dgm:cxn modelId="{E1DE0E82-B934-4EFE-BC3B-1B30BE513A9F}" type="presParOf" srcId="{E9A46D8A-C347-4127-992E-4AB32F5A3339}" destId="{4F5C6F41-E8B6-47E8-957C-9139E8A41A77}" srcOrd="5" destOrd="0" presId="urn:microsoft.com/office/officeart/2005/8/layout/hProcess4"/>
    <dgm:cxn modelId="{DD3D3FA2-66ED-44CB-882A-F2E59DC92084}" type="presParOf" srcId="{E9A46D8A-C347-4127-992E-4AB32F5A3339}" destId="{E67E53F4-41F4-49DD-A142-D41FDF180624}" srcOrd="6" destOrd="0" presId="urn:microsoft.com/office/officeart/2005/8/layout/hProcess4"/>
    <dgm:cxn modelId="{0ACCE95F-595F-446D-86C8-5BE42C6CD0CE}" type="presParOf" srcId="{E67E53F4-41F4-49DD-A142-D41FDF180624}" destId="{49A9709B-DF24-4A98-90B5-332CA2643835}" srcOrd="0" destOrd="0" presId="urn:microsoft.com/office/officeart/2005/8/layout/hProcess4"/>
    <dgm:cxn modelId="{D4A2EA0D-C44C-4792-B7F0-5A4BC5FDA2F4}" type="presParOf" srcId="{E67E53F4-41F4-49DD-A142-D41FDF180624}" destId="{CE83AE7C-08AD-4669-9739-C5DAF86894A7}" srcOrd="1" destOrd="0" presId="urn:microsoft.com/office/officeart/2005/8/layout/hProcess4"/>
    <dgm:cxn modelId="{179D7CA5-80BB-4C4A-870F-A97351B7B9C5}" type="presParOf" srcId="{E67E53F4-41F4-49DD-A142-D41FDF180624}" destId="{1FFF87FF-0FAF-4AE0-977B-6CA7D8151EF7}" srcOrd="2" destOrd="0" presId="urn:microsoft.com/office/officeart/2005/8/layout/hProcess4"/>
    <dgm:cxn modelId="{2FF0AB23-5D04-48DE-BF10-4BFE6439C782}" type="presParOf" srcId="{E67E53F4-41F4-49DD-A142-D41FDF180624}" destId="{B4FC8661-A0ED-4932-BA95-46B8646E5426}" srcOrd="3" destOrd="0" presId="urn:microsoft.com/office/officeart/2005/8/layout/hProcess4"/>
    <dgm:cxn modelId="{25BC7A8A-EAE3-42DC-8FA9-C05E6EDC8250}" type="presParOf" srcId="{E67E53F4-41F4-49DD-A142-D41FDF180624}" destId="{8D1E82D9-E901-43A9-942D-33880FA99D10}" srcOrd="4" destOrd="0" presId="urn:microsoft.com/office/officeart/2005/8/layout/hProcess4"/>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68D0FCD3-45B0-4F3F-8178-60C874691684}" type="doc">
      <dgm:prSet loTypeId="urn:microsoft.com/office/officeart/2005/8/layout/lProcess2" loCatId="list" qsTypeId="urn:microsoft.com/office/officeart/2005/8/quickstyle/3d1" qsCatId="3D" csTypeId="urn:microsoft.com/office/officeart/2005/8/colors/accent0_2" csCatId="mainScheme" phldr="1"/>
      <dgm:spPr/>
      <dgm:t>
        <a:bodyPr/>
        <a:lstStyle/>
        <a:p>
          <a:endParaRPr lang="es-ES"/>
        </a:p>
      </dgm:t>
    </dgm:pt>
    <dgm:pt modelId="{1EA81B2B-53A7-4965-8E39-04AD0B600739}">
      <dgm:prSet phldrT="[Texto]" custT="1"/>
      <dgm:spPr/>
      <dgm:t>
        <a:bodyPr/>
        <a:lstStyle/>
        <a:p>
          <a:r>
            <a:rPr lang="es-ES" sz="2400" b="1">
              <a:latin typeface="Arial Black" pitchFamily="34" charset="0"/>
            </a:rPr>
            <a:t>1</a:t>
          </a:r>
        </a:p>
      </dgm:t>
    </dgm:pt>
    <dgm:pt modelId="{157643AD-584A-478B-BD2B-A649787FB115}" type="parTrans" cxnId="{0AA9A4E0-D423-4F7C-AFAD-0CB1A4653E0A}">
      <dgm:prSet/>
      <dgm:spPr/>
      <dgm:t>
        <a:bodyPr/>
        <a:lstStyle/>
        <a:p>
          <a:endParaRPr lang="es-ES"/>
        </a:p>
      </dgm:t>
    </dgm:pt>
    <dgm:pt modelId="{EF6223ED-9CD5-4D68-8812-F8751609EBFD}" type="sibTrans" cxnId="{0AA9A4E0-D423-4F7C-AFAD-0CB1A4653E0A}">
      <dgm:prSet/>
      <dgm:spPr/>
      <dgm:t>
        <a:bodyPr/>
        <a:lstStyle/>
        <a:p>
          <a:endParaRPr lang="es-ES"/>
        </a:p>
      </dgm:t>
    </dgm:pt>
    <dgm:pt modelId="{28BB46CD-196C-4C96-8986-6C7601118E1C}">
      <dgm:prSet phldrT="[Texto]" custT="1"/>
      <dgm:spPr/>
      <dgm:t>
        <a:bodyPr/>
        <a:lstStyle/>
        <a:p>
          <a:r>
            <a:rPr lang="es-ES" sz="1200" b="1">
              <a:latin typeface="Arial" pitchFamily="34" charset="0"/>
              <a:cs typeface="Arial" pitchFamily="34" charset="0"/>
            </a:rPr>
            <a:t>¿Qué se desea cambiar?</a:t>
          </a:r>
        </a:p>
      </dgm:t>
    </dgm:pt>
    <dgm:pt modelId="{53B6C579-B8E3-4E74-A7B6-D2677877F653}" type="parTrans" cxnId="{33A6DD23-66B3-4482-AAA9-6BF0ADB63E1C}">
      <dgm:prSet/>
      <dgm:spPr/>
      <dgm:t>
        <a:bodyPr/>
        <a:lstStyle/>
        <a:p>
          <a:endParaRPr lang="es-ES"/>
        </a:p>
      </dgm:t>
    </dgm:pt>
    <dgm:pt modelId="{11D92FF4-24A6-4E50-85E7-B3853A8D6E43}" type="sibTrans" cxnId="{33A6DD23-66B3-4482-AAA9-6BF0ADB63E1C}">
      <dgm:prSet/>
      <dgm:spPr/>
      <dgm:t>
        <a:bodyPr/>
        <a:lstStyle/>
        <a:p>
          <a:endParaRPr lang="es-ES"/>
        </a:p>
      </dgm:t>
    </dgm:pt>
    <dgm:pt modelId="{20D7BBB4-BC6F-49F1-BDCA-1AC501EE0E3E}">
      <dgm:prSet phldrT="[Texto]" custT="1"/>
      <dgm:spPr/>
      <dgm:t>
        <a:bodyPr/>
        <a:lstStyle/>
        <a:p>
          <a:r>
            <a:rPr lang="es-ES" sz="1200" b="1">
              <a:latin typeface="Arial" pitchFamily="34" charset="0"/>
              <a:cs typeface="Arial" pitchFamily="34" charset="0"/>
            </a:rPr>
            <a:t>¿En quiénes?</a:t>
          </a:r>
        </a:p>
      </dgm:t>
    </dgm:pt>
    <dgm:pt modelId="{DD892316-F674-45E8-9160-E820A57E37CC}" type="parTrans" cxnId="{38AEAA23-F2DC-4635-B285-F3C1BEF2031D}">
      <dgm:prSet/>
      <dgm:spPr/>
      <dgm:t>
        <a:bodyPr/>
        <a:lstStyle/>
        <a:p>
          <a:endParaRPr lang="es-ES"/>
        </a:p>
      </dgm:t>
    </dgm:pt>
    <dgm:pt modelId="{A32DC6B7-1841-4DE2-9B8E-DD6D29F821C8}" type="sibTrans" cxnId="{38AEAA23-F2DC-4635-B285-F3C1BEF2031D}">
      <dgm:prSet/>
      <dgm:spPr/>
      <dgm:t>
        <a:bodyPr/>
        <a:lstStyle/>
        <a:p>
          <a:endParaRPr lang="es-ES"/>
        </a:p>
      </dgm:t>
    </dgm:pt>
    <dgm:pt modelId="{D9B3DA4E-4DD9-492A-B470-0639DE54048D}">
      <dgm:prSet phldrT="[Texto]" custT="1"/>
      <dgm:spPr/>
      <dgm:t>
        <a:bodyPr/>
        <a:lstStyle/>
        <a:p>
          <a:r>
            <a:rPr lang="es-ES" sz="2400">
              <a:latin typeface="Arial Black" pitchFamily="34" charset="0"/>
            </a:rPr>
            <a:t>3</a:t>
          </a:r>
        </a:p>
      </dgm:t>
    </dgm:pt>
    <dgm:pt modelId="{14571C22-4B3D-40CA-9662-8BEF0F7ABB01}" type="parTrans" cxnId="{87D80601-7ECD-41D0-8728-C23C3A83C6B9}">
      <dgm:prSet/>
      <dgm:spPr/>
      <dgm:t>
        <a:bodyPr/>
        <a:lstStyle/>
        <a:p>
          <a:endParaRPr lang="es-ES"/>
        </a:p>
      </dgm:t>
    </dgm:pt>
    <dgm:pt modelId="{983FF2BE-1586-43E7-8239-E718104C6CB7}" type="sibTrans" cxnId="{87D80601-7ECD-41D0-8728-C23C3A83C6B9}">
      <dgm:prSet/>
      <dgm:spPr/>
      <dgm:t>
        <a:bodyPr/>
        <a:lstStyle/>
        <a:p>
          <a:endParaRPr lang="es-ES"/>
        </a:p>
      </dgm:t>
    </dgm:pt>
    <dgm:pt modelId="{A2029C45-6B6E-4CBF-83DB-B3D07C4F8323}">
      <dgm:prSet phldrT="[Texto]" custT="1"/>
      <dgm:spPr/>
      <dgm:t>
        <a:bodyPr/>
        <a:lstStyle/>
        <a:p>
          <a:r>
            <a:rPr lang="es-ES" sz="1200" b="1">
              <a:latin typeface="Arial" pitchFamily="34" charset="0"/>
              <a:cs typeface="Arial" pitchFamily="34" charset="0"/>
            </a:rPr>
            <a:t>¿Cuál es el cambio?</a:t>
          </a:r>
        </a:p>
      </dgm:t>
    </dgm:pt>
    <dgm:pt modelId="{EEE574DF-47D0-422E-A1F1-4465BF95CD8A}" type="parTrans" cxnId="{86E23454-E2A0-4610-A410-B5532DFA6255}">
      <dgm:prSet/>
      <dgm:spPr/>
      <dgm:t>
        <a:bodyPr/>
        <a:lstStyle/>
        <a:p>
          <a:endParaRPr lang="es-ES"/>
        </a:p>
      </dgm:t>
    </dgm:pt>
    <dgm:pt modelId="{FB29CA25-CBCC-4B62-9566-CBA77B91B455}" type="sibTrans" cxnId="{86E23454-E2A0-4610-A410-B5532DFA6255}">
      <dgm:prSet/>
      <dgm:spPr/>
      <dgm:t>
        <a:bodyPr/>
        <a:lstStyle/>
        <a:p>
          <a:endParaRPr lang="es-ES"/>
        </a:p>
      </dgm:t>
    </dgm:pt>
    <dgm:pt modelId="{DF4179DD-9B97-4377-A0E6-30F2658C416C}">
      <dgm:prSet phldrT="[Texto]" custT="1"/>
      <dgm:spPr/>
      <dgm:t>
        <a:bodyPr/>
        <a:lstStyle/>
        <a:p>
          <a:r>
            <a:rPr lang="es-ES" sz="1100">
              <a:latin typeface="Arial" pitchFamily="34" charset="0"/>
              <a:cs typeface="Arial" pitchFamily="34" charset="0"/>
            </a:rPr>
            <a:t>Se refiere a incrementar, disminuir o mantener una situación</a:t>
          </a:r>
        </a:p>
      </dgm:t>
    </dgm:pt>
    <dgm:pt modelId="{BF4EE3FE-20C1-485A-B3E8-82F9377BED88}" type="parTrans" cxnId="{ADB2870D-F56D-4696-9396-2C1AE3F5FCC8}">
      <dgm:prSet/>
      <dgm:spPr/>
      <dgm:t>
        <a:bodyPr/>
        <a:lstStyle/>
        <a:p>
          <a:endParaRPr lang="es-ES"/>
        </a:p>
      </dgm:t>
    </dgm:pt>
    <dgm:pt modelId="{7E79615B-2CC8-4C19-A6D4-7ECD14B8410D}" type="sibTrans" cxnId="{ADB2870D-F56D-4696-9396-2C1AE3F5FCC8}">
      <dgm:prSet/>
      <dgm:spPr/>
      <dgm:t>
        <a:bodyPr/>
        <a:lstStyle/>
        <a:p>
          <a:endParaRPr lang="es-ES"/>
        </a:p>
      </dgm:t>
    </dgm:pt>
    <dgm:pt modelId="{B2BE499C-6ADB-40D3-8202-643144423474}">
      <dgm:prSet phldrT="[Texto]" custT="1"/>
      <dgm:spPr/>
      <dgm:t>
        <a:bodyPr/>
        <a:lstStyle/>
        <a:p>
          <a:r>
            <a:rPr lang="es-ES" sz="1100">
              <a:latin typeface="Arial" pitchFamily="34" charset="0"/>
              <a:cs typeface="Arial" pitchFamily="34" charset="0"/>
            </a:rPr>
            <a:t>Puede ser su nivel educativo, ingresos, empleabilidad, salud, etc.</a:t>
          </a:r>
        </a:p>
      </dgm:t>
    </dgm:pt>
    <dgm:pt modelId="{85C59B99-4DFE-4DD8-9102-A6A71AFADBD7}" type="parTrans" cxnId="{3AFB132E-5915-4442-A200-9109E5815230}">
      <dgm:prSet/>
      <dgm:spPr/>
      <dgm:t>
        <a:bodyPr/>
        <a:lstStyle/>
        <a:p>
          <a:endParaRPr lang="es-ES"/>
        </a:p>
      </dgm:t>
    </dgm:pt>
    <dgm:pt modelId="{A1F62433-032A-424B-B282-14EAF89763B5}" type="sibTrans" cxnId="{3AFB132E-5915-4442-A200-9109E5815230}">
      <dgm:prSet/>
      <dgm:spPr/>
      <dgm:t>
        <a:bodyPr/>
        <a:lstStyle/>
        <a:p>
          <a:endParaRPr lang="es-ES"/>
        </a:p>
      </dgm:t>
    </dgm:pt>
    <dgm:pt modelId="{BBF9E05A-907D-4F54-8ED6-F2F2C86B2EBF}">
      <dgm:prSet phldrT="[Texto]" custT="1"/>
      <dgm:spPr/>
      <dgm:t>
        <a:bodyPr/>
        <a:lstStyle/>
        <a:p>
          <a:r>
            <a:rPr lang="es-ES" sz="1100">
              <a:latin typeface="Arial" pitchFamily="34" charset="0"/>
              <a:cs typeface="Arial" pitchFamily="34" charset="0"/>
            </a:rPr>
            <a:t>Puede ser niños, mujeres, hogares, comunidades, etc.</a:t>
          </a:r>
        </a:p>
      </dgm:t>
    </dgm:pt>
    <dgm:pt modelId="{8C0EE4DB-E3C0-4B68-9D81-7110C210ECB7}" type="parTrans" cxnId="{089D4FBA-0A9E-4898-9A26-289FC824B649}">
      <dgm:prSet/>
      <dgm:spPr/>
      <dgm:t>
        <a:bodyPr/>
        <a:lstStyle/>
        <a:p>
          <a:endParaRPr lang="es-ES"/>
        </a:p>
      </dgm:t>
    </dgm:pt>
    <dgm:pt modelId="{AB276EC8-7202-4061-AB34-908DB7EC1139}" type="sibTrans" cxnId="{089D4FBA-0A9E-4898-9A26-289FC824B649}">
      <dgm:prSet/>
      <dgm:spPr/>
      <dgm:t>
        <a:bodyPr/>
        <a:lstStyle/>
        <a:p>
          <a:endParaRPr lang="es-ES"/>
        </a:p>
      </dgm:t>
    </dgm:pt>
    <dgm:pt modelId="{8B8E103B-CDBF-4B46-854F-06B6FA455147}">
      <dgm:prSet custT="1"/>
      <dgm:spPr/>
      <dgm:t>
        <a:bodyPr/>
        <a:lstStyle/>
        <a:p>
          <a:r>
            <a:rPr lang="es-ES" sz="2400">
              <a:latin typeface="Arial Black" pitchFamily="34" charset="0"/>
            </a:rPr>
            <a:t>4</a:t>
          </a:r>
        </a:p>
      </dgm:t>
    </dgm:pt>
    <dgm:pt modelId="{C4F2E38A-7D10-4093-A247-64A25386A23E}" type="parTrans" cxnId="{99475CF5-20C0-404B-B375-6672FD06F0C9}">
      <dgm:prSet/>
      <dgm:spPr/>
      <dgm:t>
        <a:bodyPr/>
        <a:lstStyle/>
        <a:p>
          <a:endParaRPr lang="es-ES"/>
        </a:p>
      </dgm:t>
    </dgm:pt>
    <dgm:pt modelId="{5B4CE749-3392-42E9-8CED-D2A442CC2B23}" type="sibTrans" cxnId="{99475CF5-20C0-404B-B375-6672FD06F0C9}">
      <dgm:prSet/>
      <dgm:spPr/>
      <dgm:t>
        <a:bodyPr/>
        <a:lstStyle/>
        <a:p>
          <a:endParaRPr lang="es-ES"/>
        </a:p>
      </dgm:t>
    </dgm:pt>
    <dgm:pt modelId="{A73D836A-F83D-4F28-987F-6394C03B04BF}">
      <dgm:prSet custT="1"/>
      <dgm:spPr/>
      <dgm:t>
        <a:bodyPr/>
        <a:lstStyle/>
        <a:p>
          <a:r>
            <a:rPr lang="es-ES" sz="1200" b="1">
              <a:latin typeface="Arial" pitchFamily="34" charset="0"/>
              <a:cs typeface="Arial" pitchFamily="34" charset="0"/>
            </a:rPr>
            <a:t>¿En qué tiempo?</a:t>
          </a:r>
        </a:p>
      </dgm:t>
    </dgm:pt>
    <dgm:pt modelId="{B80339B5-AD27-4235-9B3E-8706BAA8637E}" type="parTrans" cxnId="{BA9DF355-CB0F-435D-8CD9-407B7C991A28}">
      <dgm:prSet/>
      <dgm:spPr/>
      <dgm:t>
        <a:bodyPr/>
        <a:lstStyle/>
        <a:p>
          <a:endParaRPr lang="es-ES"/>
        </a:p>
      </dgm:t>
    </dgm:pt>
    <dgm:pt modelId="{AB2DCCF4-6A81-4D78-B003-F7D0C747DCB2}" type="sibTrans" cxnId="{BA9DF355-CB0F-435D-8CD9-407B7C991A28}">
      <dgm:prSet/>
      <dgm:spPr/>
      <dgm:t>
        <a:bodyPr/>
        <a:lstStyle/>
        <a:p>
          <a:endParaRPr lang="es-ES"/>
        </a:p>
      </dgm:t>
    </dgm:pt>
    <dgm:pt modelId="{1D47CD63-9A69-4AE7-A443-1B2890CF44ED}">
      <dgm:prSet custT="1"/>
      <dgm:spPr/>
      <dgm:t>
        <a:bodyPr/>
        <a:lstStyle/>
        <a:p>
          <a:r>
            <a:rPr lang="es-ES" sz="1100">
              <a:latin typeface="Arial" pitchFamily="34" charset="0"/>
              <a:cs typeface="Arial" pitchFamily="34" charset="0"/>
            </a:rPr>
            <a:t>Implica delimitar el tiempo en que se espera el cambio</a:t>
          </a:r>
        </a:p>
      </dgm:t>
    </dgm:pt>
    <dgm:pt modelId="{3656D541-D72E-49B3-BFD5-7D14A4A1FBEB}" type="parTrans" cxnId="{A134E5FF-2131-4351-BF05-F45B4D2DB1CB}">
      <dgm:prSet/>
      <dgm:spPr/>
      <dgm:t>
        <a:bodyPr/>
        <a:lstStyle/>
        <a:p>
          <a:endParaRPr lang="es-ES"/>
        </a:p>
      </dgm:t>
    </dgm:pt>
    <dgm:pt modelId="{2A7A688F-3F24-46B8-AE0B-E33D48D1F5C4}" type="sibTrans" cxnId="{A134E5FF-2131-4351-BF05-F45B4D2DB1CB}">
      <dgm:prSet/>
      <dgm:spPr/>
      <dgm:t>
        <a:bodyPr/>
        <a:lstStyle/>
        <a:p>
          <a:endParaRPr lang="es-ES"/>
        </a:p>
      </dgm:t>
    </dgm:pt>
    <dgm:pt modelId="{6E1A33D1-FF70-44D8-8DD8-B09942CD40F4}">
      <dgm:prSet phldrT="[Texto]" custT="1"/>
      <dgm:spPr/>
      <dgm:t>
        <a:bodyPr/>
        <a:lstStyle/>
        <a:p>
          <a:r>
            <a:rPr lang="es-ES" sz="2400">
              <a:latin typeface="Arial Black" pitchFamily="34" charset="0"/>
            </a:rPr>
            <a:t>2</a:t>
          </a:r>
        </a:p>
      </dgm:t>
    </dgm:pt>
    <dgm:pt modelId="{8BD4FF88-BC1E-4653-BF12-F7B13F082942}" type="sibTrans" cxnId="{780D66C1-99E3-4EF0-9A46-8129488F0AF6}">
      <dgm:prSet/>
      <dgm:spPr/>
      <dgm:t>
        <a:bodyPr/>
        <a:lstStyle/>
        <a:p>
          <a:endParaRPr lang="es-ES"/>
        </a:p>
      </dgm:t>
    </dgm:pt>
    <dgm:pt modelId="{3AB822FD-9EF2-4F40-B5DF-DAB0F2AB201E}" type="parTrans" cxnId="{780D66C1-99E3-4EF0-9A46-8129488F0AF6}">
      <dgm:prSet/>
      <dgm:spPr/>
      <dgm:t>
        <a:bodyPr/>
        <a:lstStyle/>
        <a:p>
          <a:endParaRPr lang="es-ES"/>
        </a:p>
      </dgm:t>
    </dgm:pt>
    <dgm:pt modelId="{2B1D4619-8BED-40BE-B6B9-FE5691866B38}" type="pres">
      <dgm:prSet presAssocID="{68D0FCD3-45B0-4F3F-8178-60C874691684}" presName="theList" presStyleCnt="0">
        <dgm:presLayoutVars>
          <dgm:dir/>
          <dgm:animLvl val="lvl"/>
          <dgm:resizeHandles val="exact"/>
        </dgm:presLayoutVars>
      </dgm:prSet>
      <dgm:spPr/>
      <dgm:t>
        <a:bodyPr/>
        <a:lstStyle/>
        <a:p>
          <a:endParaRPr lang="es-ES"/>
        </a:p>
      </dgm:t>
    </dgm:pt>
    <dgm:pt modelId="{B42243FC-674D-4CE6-922A-D053E66B491C}" type="pres">
      <dgm:prSet presAssocID="{1EA81B2B-53A7-4965-8E39-04AD0B600739}" presName="compNode" presStyleCnt="0"/>
      <dgm:spPr/>
      <dgm:t>
        <a:bodyPr/>
        <a:lstStyle/>
        <a:p>
          <a:endParaRPr lang="es-ES"/>
        </a:p>
      </dgm:t>
    </dgm:pt>
    <dgm:pt modelId="{97DC514A-7CA9-451A-9955-6A10D1D92A2E}" type="pres">
      <dgm:prSet presAssocID="{1EA81B2B-53A7-4965-8E39-04AD0B600739}" presName="aNode" presStyleLbl="bgShp" presStyleIdx="0" presStyleCnt="4" custLinFactNeighborX="-102"/>
      <dgm:spPr/>
      <dgm:t>
        <a:bodyPr/>
        <a:lstStyle/>
        <a:p>
          <a:endParaRPr lang="es-ES"/>
        </a:p>
      </dgm:t>
    </dgm:pt>
    <dgm:pt modelId="{C39A8285-3286-4DA2-8A3E-D9253653342B}" type="pres">
      <dgm:prSet presAssocID="{1EA81B2B-53A7-4965-8E39-04AD0B600739}" presName="textNode" presStyleLbl="bgShp" presStyleIdx="0" presStyleCnt="4"/>
      <dgm:spPr/>
      <dgm:t>
        <a:bodyPr/>
        <a:lstStyle/>
        <a:p>
          <a:endParaRPr lang="es-ES"/>
        </a:p>
      </dgm:t>
    </dgm:pt>
    <dgm:pt modelId="{DA6D5059-3DAC-41E7-984A-6CC9F27589E2}" type="pres">
      <dgm:prSet presAssocID="{1EA81B2B-53A7-4965-8E39-04AD0B600739}" presName="compChildNode" presStyleCnt="0"/>
      <dgm:spPr/>
      <dgm:t>
        <a:bodyPr/>
        <a:lstStyle/>
        <a:p>
          <a:endParaRPr lang="es-ES"/>
        </a:p>
      </dgm:t>
    </dgm:pt>
    <dgm:pt modelId="{DB073A55-B40D-464D-A2BE-3DD6A7C04233}" type="pres">
      <dgm:prSet presAssocID="{1EA81B2B-53A7-4965-8E39-04AD0B600739}" presName="theInnerList" presStyleCnt="0"/>
      <dgm:spPr/>
      <dgm:t>
        <a:bodyPr/>
        <a:lstStyle/>
        <a:p>
          <a:endParaRPr lang="es-ES"/>
        </a:p>
      </dgm:t>
    </dgm:pt>
    <dgm:pt modelId="{FE09E83E-410A-47E2-9A5E-FCF1E84AD43B}" type="pres">
      <dgm:prSet presAssocID="{28BB46CD-196C-4C96-8986-6C7601118E1C}" presName="childNode" presStyleLbl="node1" presStyleIdx="0" presStyleCnt="8" custLinFactY="-9293" custLinFactNeighborX="1835" custLinFactNeighborY="-100000">
        <dgm:presLayoutVars>
          <dgm:bulletEnabled val="1"/>
        </dgm:presLayoutVars>
      </dgm:prSet>
      <dgm:spPr/>
      <dgm:t>
        <a:bodyPr/>
        <a:lstStyle/>
        <a:p>
          <a:endParaRPr lang="es-ES"/>
        </a:p>
      </dgm:t>
    </dgm:pt>
    <dgm:pt modelId="{12967F5E-C878-4311-AB3D-17D91B2A01AF}" type="pres">
      <dgm:prSet presAssocID="{28BB46CD-196C-4C96-8986-6C7601118E1C}" presName="aSpace2" presStyleCnt="0"/>
      <dgm:spPr/>
      <dgm:t>
        <a:bodyPr/>
        <a:lstStyle/>
        <a:p>
          <a:endParaRPr lang="es-ES"/>
        </a:p>
      </dgm:t>
    </dgm:pt>
    <dgm:pt modelId="{BFE8884E-7398-4FD8-8EDF-EF1736573B98}" type="pres">
      <dgm:prSet presAssocID="{B2BE499C-6ADB-40D3-8202-643144423474}" presName="childNode" presStyleLbl="node1" presStyleIdx="1" presStyleCnt="8">
        <dgm:presLayoutVars>
          <dgm:bulletEnabled val="1"/>
        </dgm:presLayoutVars>
      </dgm:prSet>
      <dgm:spPr/>
      <dgm:t>
        <a:bodyPr/>
        <a:lstStyle/>
        <a:p>
          <a:endParaRPr lang="es-ES"/>
        </a:p>
      </dgm:t>
    </dgm:pt>
    <dgm:pt modelId="{26476DAA-528D-471C-8C45-73C8F90380BD}" type="pres">
      <dgm:prSet presAssocID="{1EA81B2B-53A7-4965-8E39-04AD0B600739}" presName="aSpace" presStyleCnt="0"/>
      <dgm:spPr/>
      <dgm:t>
        <a:bodyPr/>
        <a:lstStyle/>
        <a:p>
          <a:endParaRPr lang="es-ES"/>
        </a:p>
      </dgm:t>
    </dgm:pt>
    <dgm:pt modelId="{6CB180F0-4D35-4ED3-AB11-64E746D41C69}" type="pres">
      <dgm:prSet presAssocID="{6E1A33D1-FF70-44D8-8DD8-B09942CD40F4}" presName="compNode" presStyleCnt="0"/>
      <dgm:spPr/>
      <dgm:t>
        <a:bodyPr/>
        <a:lstStyle/>
        <a:p>
          <a:endParaRPr lang="es-ES"/>
        </a:p>
      </dgm:t>
    </dgm:pt>
    <dgm:pt modelId="{245B636B-7CD9-49F5-A923-9AADF7A3ED23}" type="pres">
      <dgm:prSet presAssocID="{6E1A33D1-FF70-44D8-8DD8-B09942CD40F4}" presName="aNode" presStyleLbl="bgShp" presStyleIdx="1" presStyleCnt="4"/>
      <dgm:spPr/>
      <dgm:t>
        <a:bodyPr/>
        <a:lstStyle/>
        <a:p>
          <a:endParaRPr lang="es-ES"/>
        </a:p>
      </dgm:t>
    </dgm:pt>
    <dgm:pt modelId="{EDBF4CFD-4482-45F2-B013-3034025DC640}" type="pres">
      <dgm:prSet presAssocID="{6E1A33D1-FF70-44D8-8DD8-B09942CD40F4}" presName="textNode" presStyleLbl="bgShp" presStyleIdx="1" presStyleCnt="4"/>
      <dgm:spPr/>
      <dgm:t>
        <a:bodyPr/>
        <a:lstStyle/>
        <a:p>
          <a:endParaRPr lang="es-ES"/>
        </a:p>
      </dgm:t>
    </dgm:pt>
    <dgm:pt modelId="{06EA3BFE-044B-4E32-9BCF-17672859B88B}" type="pres">
      <dgm:prSet presAssocID="{6E1A33D1-FF70-44D8-8DD8-B09942CD40F4}" presName="compChildNode" presStyleCnt="0"/>
      <dgm:spPr/>
      <dgm:t>
        <a:bodyPr/>
        <a:lstStyle/>
        <a:p>
          <a:endParaRPr lang="es-ES"/>
        </a:p>
      </dgm:t>
    </dgm:pt>
    <dgm:pt modelId="{E44FC26C-0158-4BC5-AA44-0519B50D3343}" type="pres">
      <dgm:prSet presAssocID="{6E1A33D1-FF70-44D8-8DD8-B09942CD40F4}" presName="theInnerList" presStyleCnt="0"/>
      <dgm:spPr/>
      <dgm:t>
        <a:bodyPr/>
        <a:lstStyle/>
        <a:p>
          <a:endParaRPr lang="es-ES"/>
        </a:p>
      </dgm:t>
    </dgm:pt>
    <dgm:pt modelId="{04CA781A-DED0-4B99-8AE7-FE332F9C6D67}" type="pres">
      <dgm:prSet presAssocID="{20D7BBB4-BC6F-49F1-BDCA-1AC501EE0E3E}" presName="childNode" presStyleLbl="node1" presStyleIdx="2" presStyleCnt="8" custLinFactY="-8305" custLinFactNeighborX="-917" custLinFactNeighborY="-100000">
        <dgm:presLayoutVars>
          <dgm:bulletEnabled val="1"/>
        </dgm:presLayoutVars>
      </dgm:prSet>
      <dgm:spPr/>
      <dgm:t>
        <a:bodyPr/>
        <a:lstStyle/>
        <a:p>
          <a:endParaRPr lang="es-ES"/>
        </a:p>
      </dgm:t>
    </dgm:pt>
    <dgm:pt modelId="{AADD2E54-91C3-4388-9105-677CC5516C9A}" type="pres">
      <dgm:prSet presAssocID="{20D7BBB4-BC6F-49F1-BDCA-1AC501EE0E3E}" presName="aSpace2" presStyleCnt="0"/>
      <dgm:spPr/>
      <dgm:t>
        <a:bodyPr/>
        <a:lstStyle/>
        <a:p>
          <a:endParaRPr lang="es-ES"/>
        </a:p>
      </dgm:t>
    </dgm:pt>
    <dgm:pt modelId="{B9072C3D-26F4-4227-BFFE-D48CDF6D7FAB}" type="pres">
      <dgm:prSet presAssocID="{BBF9E05A-907D-4F54-8ED6-F2F2C86B2EBF}" presName="childNode" presStyleLbl="node1" presStyleIdx="3" presStyleCnt="8">
        <dgm:presLayoutVars>
          <dgm:bulletEnabled val="1"/>
        </dgm:presLayoutVars>
      </dgm:prSet>
      <dgm:spPr/>
      <dgm:t>
        <a:bodyPr/>
        <a:lstStyle/>
        <a:p>
          <a:endParaRPr lang="es-ES"/>
        </a:p>
      </dgm:t>
    </dgm:pt>
    <dgm:pt modelId="{52E21F49-EFE7-4118-80B8-04E4F71EA520}" type="pres">
      <dgm:prSet presAssocID="{6E1A33D1-FF70-44D8-8DD8-B09942CD40F4}" presName="aSpace" presStyleCnt="0"/>
      <dgm:spPr/>
      <dgm:t>
        <a:bodyPr/>
        <a:lstStyle/>
        <a:p>
          <a:endParaRPr lang="es-ES"/>
        </a:p>
      </dgm:t>
    </dgm:pt>
    <dgm:pt modelId="{C74D56D6-517C-4C6A-ADA7-3E1C4855D448}" type="pres">
      <dgm:prSet presAssocID="{D9B3DA4E-4DD9-492A-B470-0639DE54048D}" presName="compNode" presStyleCnt="0"/>
      <dgm:spPr/>
      <dgm:t>
        <a:bodyPr/>
        <a:lstStyle/>
        <a:p>
          <a:endParaRPr lang="es-ES"/>
        </a:p>
      </dgm:t>
    </dgm:pt>
    <dgm:pt modelId="{90B301F2-565E-4142-8800-ACA9AEF82425}" type="pres">
      <dgm:prSet presAssocID="{D9B3DA4E-4DD9-492A-B470-0639DE54048D}" presName="aNode" presStyleLbl="bgShp" presStyleIdx="2" presStyleCnt="4" custLinFactNeighborX="0"/>
      <dgm:spPr/>
      <dgm:t>
        <a:bodyPr/>
        <a:lstStyle/>
        <a:p>
          <a:endParaRPr lang="es-ES"/>
        </a:p>
      </dgm:t>
    </dgm:pt>
    <dgm:pt modelId="{FEEDBBF8-343E-4C16-BD9E-6792E515A366}" type="pres">
      <dgm:prSet presAssocID="{D9B3DA4E-4DD9-492A-B470-0639DE54048D}" presName="textNode" presStyleLbl="bgShp" presStyleIdx="2" presStyleCnt="4"/>
      <dgm:spPr/>
      <dgm:t>
        <a:bodyPr/>
        <a:lstStyle/>
        <a:p>
          <a:endParaRPr lang="es-ES"/>
        </a:p>
      </dgm:t>
    </dgm:pt>
    <dgm:pt modelId="{6D4AC0CF-9098-4755-93EB-26A3446ED5A6}" type="pres">
      <dgm:prSet presAssocID="{D9B3DA4E-4DD9-492A-B470-0639DE54048D}" presName="compChildNode" presStyleCnt="0"/>
      <dgm:spPr/>
      <dgm:t>
        <a:bodyPr/>
        <a:lstStyle/>
        <a:p>
          <a:endParaRPr lang="es-ES"/>
        </a:p>
      </dgm:t>
    </dgm:pt>
    <dgm:pt modelId="{8A9E1F4F-E112-45F7-AB10-DAE6A519C9F0}" type="pres">
      <dgm:prSet presAssocID="{D9B3DA4E-4DD9-492A-B470-0639DE54048D}" presName="theInnerList" presStyleCnt="0"/>
      <dgm:spPr/>
      <dgm:t>
        <a:bodyPr/>
        <a:lstStyle/>
        <a:p>
          <a:endParaRPr lang="es-ES"/>
        </a:p>
      </dgm:t>
    </dgm:pt>
    <dgm:pt modelId="{C8E14FA7-78BF-4E63-9DB8-29B292230438}" type="pres">
      <dgm:prSet presAssocID="{A2029C45-6B6E-4CBF-83DB-B3D07C4F8323}" presName="childNode" presStyleLbl="node1" presStyleIdx="4" presStyleCnt="8" custLinFactY="-7318" custLinFactNeighborX="917" custLinFactNeighborY="-100000">
        <dgm:presLayoutVars>
          <dgm:bulletEnabled val="1"/>
        </dgm:presLayoutVars>
      </dgm:prSet>
      <dgm:spPr/>
      <dgm:t>
        <a:bodyPr/>
        <a:lstStyle/>
        <a:p>
          <a:endParaRPr lang="es-ES"/>
        </a:p>
      </dgm:t>
    </dgm:pt>
    <dgm:pt modelId="{9C8F3E26-3FD5-4BDD-8C8A-130F2FA7ADEC}" type="pres">
      <dgm:prSet presAssocID="{A2029C45-6B6E-4CBF-83DB-B3D07C4F8323}" presName="aSpace2" presStyleCnt="0"/>
      <dgm:spPr/>
      <dgm:t>
        <a:bodyPr/>
        <a:lstStyle/>
        <a:p>
          <a:endParaRPr lang="es-ES"/>
        </a:p>
      </dgm:t>
    </dgm:pt>
    <dgm:pt modelId="{21974830-4518-4297-AA8A-4D486FD5A4B6}" type="pres">
      <dgm:prSet presAssocID="{DF4179DD-9B97-4377-A0E6-30F2658C416C}" presName="childNode" presStyleLbl="node1" presStyleIdx="5" presStyleCnt="8">
        <dgm:presLayoutVars>
          <dgm:bulletEnabled val="1"/>
        </dgm:presLayoutVars>
      </dgm:prSet>
      <dgm:spPr/>
      <dgm:t>
        <a:bodyPr/>
        <a:lstStyle/>
        <a:p>
          <a:endParaRPr lang="es-ES"/>
        </a:p>
      </dgm:t>
    </dgm:pt>
    <dgm:pt modelId="{3F38DB6B-1042-4E89-8F0C-94A503BB995C}" type="pres">
      <dgm:prSet presAssocID="{D9B3DA4E-4DD9-492A-B470-0639DE54048D}" presName="aSpace" presStyleCnt="0"/>
      <dgm:spPr/>
      <dgm:t>
        <a:bodyPr/>
        <a:lstStyle/>
        <a:p>
          <a:endParaRPr lang="es-ES"/>
        </a:p>
      </dgm:t>
    </dgm:pt>
    <dgm:pt modelId="{12F8D4B0-9F7C-4B0A-A306-F6E1C7E1798C}" type="pres">
      <dgm:prSet presAssocID="{8B8E103B-CDBF-4B46-854F-06B6FA455147}" presName="compNode" presStyleCnt="0"/>
      <dgm:spPr/>
      <dgm:t>
        <a:bodyPr/>
        <a:lstStyle/>
        <a:p>
          <a:endParaRPr lang="es-ES"/>
        </a:p>
      </dgm:t>
    </dgm:pt>
    <dgm:pt modelId="{21FCED0E-654A-4534-9FA6-C29BCCB71D47}" type="pres">
      <dgm:prSet presAssocID="{8B8E103B-CDBF-4B46-854F-06B6FA455147}" presName="aNode" presStyleLbl="bgShp" presStyleIdx="3" presStyleCnt="4" custLinFactNeighborX="102"/>
      <dgm:spPr/>
      <dgm:t>
        <a:bodyPr/>
        <a:lstStyle/>
        <a:p>
          <a:endParaRPr lang="es-ES"/>
        </a:p>
      </dgm:t>
    </dgm:pt>
    <dgm:pt modelId="{09C063BB-B502-4F99-A288-01DE93A18B9E}" type="pres">
      <dgm:prSet presAssocID="{8B8E103B-CDBF-4B46-854F-06B6FA455147}" presName="textNode" presStyleLbl="bgShp" presStyleIdx="3" presStyleCnt="4"/>
      <dgm:spPr/>
      <dgm:t>
        <a:bodyPr/>
        <a:lstStyle/>
        <a:p>
          <a:endParaRPr lang="es-ES"/>
        </a:p>
      </dgm:t>
    </dgm:pt>
    <dgm:pt modelId="{82FF099A-4E83-41BD-93F8-488208236524}" type="pres">
      <dgm:prSet presAssocID="{8B8E103B-CDBF-4B46-854F-06B6FA455147}" presName="compChildNode" presStyleCnt="0"/>
      <dgm:spPr/>
      <dgm:t>
        <a:bodyPr/>
        <a:lstStyle/>
        <a:p>
          <a:endParaRPr lang="es-ES"/>
        </a:p>
      </dgm:t>
    </dgm:pt>
    <dgm:pt modelId="{5B45F0C1-8A28-4939-A145-3A8EBBC28150}" type="pres">
      <dgm:prSet presAssocID="{8B8E103B-CDBF-4B46-854F-06B6FA455147}" presName="theInnerList" presStyleCnt="0"/>
      <dgm:spPr/>
      <dgm:t>
        <a:bodyPr/>
        <a:lstStyle/>
        <a:p>
          <a:endParaRPr lang="es-ES"/>
        </a:p>
      </dgm:t>
    </dgm:pt>
    <dgm:pt modelId="{4BAB3961-8002-4248-80C7-DFA11FB7D9FF}" type="pres">
      <dgm:prSet presAssocID="{A73D836A-F83D-4F28-987F-6394C03B04BF}" presName="childNode" presStyleLbl="node1" presStyleIdx="6" presStyleCnt="8" custLinFactY="-4357" custLinFactNeighborY="-100000">
        <dgm:presLayoutVars>
          <dgm:bulletEnabled val="1"/>
        </dgm:presLayoutVars>
      </dgm:prSet>
      <dgm:spPr/>
      <dgm:t>
        <a:bodyPr/>
        <a:lstStyle/>
        <a:p>
          <a:endParaRPr lang="es-ES"/>
        </a:p>
      </dgm:t>
    </dgm:pt>
    <dgm:pt modelId="{C4A98C42-88CE-4572-8C72-E07710B109D6}" type="pres">
      <dgm:prSet presAssocID="{A73D836A-F83D-4F28-987F-6394C03B04BF}" presName="aSpace2" presStyleCnt="0"/>
      <dgm:spPr/>
      <dgm:t>
        <a:bodyPr/>
        <a:lstStyle/>
        <a:p>
          <a:endParaRPr lang="es-ES"/>
        </a:p>
      </dgm:t>
    </dgm:pt>
    <dgm:pt modelId="{F0C38962-A936-4A1F-B285-4F4DEF25A906}" type="pres">
      <dgm:prSet presAssocID="{1D47CD63-9A69-4AE7-A443-1B2890CF44ED}" presName="childNode" presStyleLbl="node1" presStyleIdx="7" presStyleCnt="8">
        <dgm:presLayoutVars>
          <dgm:bulletEnabled val="1"/>
        </dgm:presLayoutVars>
      </dgm:prSet>
      <dgm:spPr/>
      <dgm:t>
        <a:bodyPr/>
        <a:lstStyle/>
        <a:p>
          <a:endParaRPr lang="es-ES"/>
        </a:p>
      </dgm:t>
    </dgm:pt>
  </dgm:ptLst>
  <dgm:cxnLst>
    <dgm:cxn modelId="{FBCBC263-A225-47F6-B482-DDF912C2C277}" type="presOf" srcId="{D9B3DA4E-4DD9-492A-B470-0639DE54048D}" destId="{FEEDBBF8-343E-4C16-BD9E-6792E515A366}" srcOrd="1" destOrd="0" presId="urn:microsoft.com/office/officeart/2005/8/layout/lProcess2"/>
    <dgm:cxn modelId="{33A6DD23-66B3-4482-AAA9-6BF0ADB63E1C}" srcId="{1EA81B2B-53A7-4965-8E39-04AD0B600739}" destId="{28BB46CD-196C-4C96-8986-6C7601118E1C}" srcOrd="0" destOrd="0" parTransId="{53B6C579-B8E3-4E74-A7B6-D2677877F653}" sibTransId="{11D92FF4-24A6-4E50-85E7-B3853A8D6E43}"/>
    <dgm:cxn modelId="{780D66C1-99E3-4EF0-9A46-8129488F0AF6}" srcId="{68D0FCD3-45B0-4F3F-8178-60C874691684}" destId="{6E1A33D1-FF70-44D8-8DD8-B09942CD40F4}" srcOrd="1" destOrd="0" parTransId="{3AB822FD-9EF2-4F40-B5DF-DAB0F2AB201E}" sibTransId="{8BD4FF88-BC1E-4653-BF12-F7B13F082942}"/>
    <dgm:cxn modelId="{BEDA4151-5A79-4DEB-9F12-DFE6A5B84275}" type="presOf" srcId="{DF4179DD-9B97-4377-A0E6-30F2658C416C}" destId="{21974830-4518-4297-AA8A-4D486FD5A4B6}" srcOrd="0" destOrd="0" presId="urn:microsoft.com/office/officeart/2005/8/layout/lProcess2"/>
    <dgm:cxn modelId="{9A82FF5C-C0F3-4F4E-92EF-3F632B36B67C}" type="presOf" srcId="{28BB46CD-196C-4C96-8986-6C7601118E1C}" destId="{FE09E83E-410A-47E2-9A5E-FCF1E84AD43B}" srcOrd="0" destOrd="0" presId="urn:microsoft.com/office/officeart/2005/8/layout/lProcess2"/>
    <dgm:cxn modelId="{66574070-3043-46CE-8D48-7E49AE23F480}" type="presOf" srcId="{6E1A33D1-FF70-44D8-8DD8-B09942CD40F4}" destId="{245B636B-7CD9-49F5-A923-9AADF7A3ED23}" srcOrd="0" destOrd="0" presId="urn:microsoft.com/office/officeart/2005/8/layout/lProcess2"/>
    <dgm:cxn modelId="{642F12E6-B2C7-46D6-9198-85A47ED4D3F8}" type="presOf" srcId="{A73D836A-F83D-4F28-987F-6394C03B04BF}" destId="{4BAB3961-8002-4248-80C7-DFA11FB7D9FF}" srcOrd="0" destOrd="0" presId="urn:microsoft.com/office/officeart/2005/8/layout/lProcess2"/>
    <dgm:cxn modelId="{E5F4798E-43A1-41CF-B01D-E1B484CCA6E6}" type="presOf" srcId="{A2029C45-6B6E-4CBF-83DB-B3D07C4F8323}" destId="{C8E14FA7-78BF-4E63-9DB8-29B292230438}" srcOrd="0" destOrd="0" presId="urn:microsoft.com/office/officeart/2005/8/layout/lProcess2"/>
    <dgm:cxn modelId="{089D4FBA-0A9E-4898-9A26-289FC824B649}" srcId="{6E1A33D1-FF70-44D8-8DD8-B09942CD40F4}" destId="{BBF9E05A-907D-4F54-8ED6-F2F2C86B2EBF}" srcOrd="1" destOrd="0" parTransId="{8C0EE4DB-E3C0-4B68-9D81-7110C210ECB7}" sibTransId="{AB276EC8-7202-4061-AB34-908DB7EC1139}"/>
    <dgm:cxn modelId="{ADB2870D-F56D-4696-9396-2C1AE3F5FCC8}" srcId="{D9B3DA4E-4DD9-492A-B470-0639DE54048D}" destId="{DF4179DD-9B97-4377-A0E6-30F2658C416C}" srcOrd="1" destOrd="0" parTransId="{BF4EE3FE-20C1-485A-B3E8-82F9377BED88}" sibTransId="{7E79615B-2CC8-4C19-A6D4-7ECD14B8410D}"/>
    <dgm:cxn modelId="{A134E5FF-2131-4351-BF05-F45B4D2DB1CB}" srcId="{8B8E103B-CDBF-4B46-854F-06B6FA455147}" destId="{1D47CD63-9A69-4AE7-A443-1B2890CF44ED}" srcOrd="1" destOrd="0" parTransId="{3656D541-D72E-49B3-BFD5-7D14A4A1FBEB}" sibTransId="{2A7A688F-3F24-46B8-AE0B-E33D48D1F5C4}"/>
    <dgm:cxn modelId="{110FE805-2778-42A0-BB69-E996B468A19E}" type="presOf" srcId="{D9B3DA4E-4DD9-492A-B470-0639DE54048D}" destId="{90B301F2-565E-4142-8800-ACA9AEF82425}" srcOrd="0" destOrd="0" presId="urn:microsoft.com/office/officeart/2005/8/layout/lProcess2"/>
    <dgm:cxn modelId="{E421C985-EDF4-4E77-9D6E-8D86CB4AB6EA}" type="presOf" srcId="{BBF9E05A-907D-4F54-8ED6-F2F2C86B2EBF}" destId="{B9072C3D-26F4-4227-BFFE-D48CDF6D7FAB}" srcOrd="0" destOrd="0" presId="urn:microsoft.com/office/officeart/2005/8/layout/lProcess2"/>
    <dgm:cxn modelId="{73FBFC11-B0DC-443B-A52E-CCB594DDD3F6}" type="presOf" srcId="{8B8E103B-CDBF-4B46-854F-06B6FA455147}" destId="{21FCED0E-654A-4534-9FA6-C29BCCB71D47}" srcOrd="0" destOrd="0" presId="urn:microsoft.com/office/officeart/2005/8/layout/lProcess2"/>
    <dgm:cxn modelId="{B1B88C1C-5033-46BA-B9B1-754762E3EEC1}" type="presOf" srcId="{B2BE499C-6ADB-40D3-8202-643144423474}" destId="{BFE8884E-7398-4FD8-8EDF-EF1736573B98}" srcOrd="0" destOrd="0" presId="urn:microsoft.com/office/officeart/2005/8/layout/lProcess2"/>
    <dgm:cxn modelId="{38AEAA23-F2DC-4635-B285-F3C1BEF2031D}" srcId="{6E1A33D1-FF70-44D8-8DD8-B09942CD40F4}" destId="{20D7BBB4-BC6F-49F1-BDCA-1AC501EE0E3E}" srcOrd="0" destOrd="0" parTransId="{DD892316-F674-45E8-9160-E820A57E37CC}" sibTransId="{A32DC6B7-1841-4DE2-9B8E-DD6D29F821C8}"/>
    <dgm:cxn modelId="{86E23454-E2A0-4610-A410-B5532DFA6255}" srcId="{D9B3DA4E-4DD9-492A-B470-0639DE54048D}" destId="{A2029C45-6B6E-4CBF-83DB-B3D07C4F8323}" srcOrd="0" destOrd="0" parTransId="{EEE574DF-47D0-422E-A1F1-4465BF95CD8A}" sibTransId="{FB29CA25-CBCC-4B62-9566-CBA77B91B455}"/>
    <dgm:cxn modelId="{1CD4A72F-C14F-46D6-AE30-E829512510A7}" type="presOf" srcId="{1EA81B2B-53A7-4965-8E39-04AD0B600739}" destId="{C39A8285-3286-4DA2-8A3E-D9253653342B}" srcOrd="1" destOrd="0" presId="urn:microsoft.com/office/officeart/2005/8/layout/lProcess2"/>
    <dgm:cxn modelId="{99475CF5-20C0-404B-B375-6672FD06F0C9}" srcId="{68D0FCD3-45B0-4F3F-8178-60C874691684}" destId="{8B8E103B-CDBF-4B46-854F-06B6FA455147}" srcOrd="3" destOrd="0" parTransId="{C4F2E38A-7D10-4093-A247-64A25386A23E}" sibTransId="{5B4CE749-3392-42E9-8CED-D2A442CC2B23}"/>
    <dgm:cxn modelId="{87D80601-7ECD-41D0-8728-C23C3A83C6B9}" srcId="{68D0FCD3-45B0-4F3F-8178-60C874691684}" destId="{D9B3DA4E-4DD9-492A-B470-0639DE54048D}" srcOrd="2" destOrd="0" parTransId="{14571C22-4B3D-40CA-9662-8BEF0F7ABB01}" sibTransId="{983FF2BE-1586-43E7-8239-E718104C6CB7}"/>
    <dgm:cxn modelId="{EC235869-D1B5-49C8-96DF-456108E1E24F}" type="presOf" srcId="{20D7BBB4-BC6F-49F1-BDCA-1AC501EE0E3E}" destId="{04CA781A-DED0-4B99-8AE7-FE332F9C6D67}" srcOrd="0" destOrd="0" presId="urn:microsoft.com/office/officeart/2005/8/layout/lProcess2"/>
    <dgm:cxn modelId="{1ABCA25E-E055-4B3D-AD5E-495FD92B28E1}" type="presOf" srcId="{1D47CD63-9A69-4AE7-A443-1B2890CF44ED}" destId="{F0C38962-A936-4A1F-B285-4F4DEF25A906}" srcOrd="0" destOrd="0" presId="urn:microsoft.com/office/officeart/2005/8/layout/lProcess2"/>
    <dgm:cxn modelId="{9AAC3B40-3B79-406C-9011-AC9256FF7452}" type="presOf" srcId="{6E1A33D1-FF70-44D8-8DD8-B09942CD40F4}" destId="{EDBF4CFD-4482-45F2-B013-3034025DC640}" srcOrd="1" destOrd="0" presId="urn:microsoft.com/office/officeart/2005/8/layout/lProcess2"/>
    <dgm:cxn modelId="{7810D7FB-FB27-4486-B79E-369DE431EF50}" type="presOf" srcId="{8B8E103B-CDBF-4B46-854F-06B6FA455147}" destId="{09C063BB-B502-4F99-A288-01DE93A18B9E}" srcOrd="1" destOrd="0" presId="urn:microsoft.com/office/officeart/2005/8/layout/lProcess2"/>
    <dgm:cxn modelId="{0AA9A4E0-D423-4F7C-AFAD-0CB1A4653E0A}" srcId="{68D0FCD3-45B0-4F3F-8178-60C874691684}" destId="{1EA81B2B-53A7-4965-8E39-04AD0B600739}" srcOrd="0" destOrd="0" parTransId="{157643AD-584A-478B-BD2B-A649787FB115}" sibTransId="{EF6223ED-9CD5-4D68-8812-F8751609EBFD}"/>
    <dgm:cxn modelId="{3AFB132E-5915-4442-A200-9109E5815230}" srcId="{1EA81B2B-53A7-4965-8E39-04AD0B600739}" destId="{B2BE499C-6ADB-40D3-8202-643144423474}" srcOrd="1" destOrd="0" parTransId="{85C59B99-4DFE-4DD8-9102-A6A71AFADBD7}" sibTransId="{A1F62433-032A-424B-B282-14EAF89763B5}"/>
    <dgm:cxn modelId="{73574AE7-294A-4A32-9064-4FBCAAC42754}" type="presOf" srcId="{68D0FCD3-45B0-4F3F-8178-60C874691684}" destId="{2B1D4619-8BED-40BE-B6B9-FE5691866B38}" srcOrd="0" destOrd="0" presId="urn:microsoft.com/office/officeart/2005/8/layout/lProcess2"/>
    <dgm:cxn modelId="{7569093A-0A43-452B-8DCE-3E5CC67F33C2}" type="presOf" srcId="{1EA81B2B-53A7-4965-8E39-04AD0B600739}" destId="{97DC514A-7CA9-451A-9955-6A10D1D92A2E}" srcOrd="0" destOrd="0" presId="urn:microsoft.com/office/officeart/2005/8/layout/lProcess2"/>
    <dgm:cxn modelId="{BA9DF355-CB0F-435D-8CD9-407B7C991A28}" srcId="{8B8E103B-CDBF-4B46-854F-06B6FA455147}" destId="{A73D836A-F83D-4F28-987F-6394C03B04BF}" srcOrd="0" destOrd="0" parTransId="{B80339B5-AD27-4235-9B3E-8706BAA8637E}" sibTransId="{AB2DCCF4-6A81-4D78-B003-F7D0C747DCB2}"/>
    <dgm:cxn modelId="{2E752B42-0E19-4380-98B2-F25CFC613378}" type="presParOf" srcId="{2B1D4619-8BED-40BE-B6B9-FE5691866B38}" destId="{B42243FC-674D-4CE6-922A-D053E66B491C}" srcOrd="0" destOrd="0" presId="urn:microsoft.com/office/officeart/2005/8/layout/lProcess2"/>
    <dgm:cxn modelId="{D2753F78-34F5-492E-9454-BD3429B4C147}" type="presParOf" srcId="{B42243FC-674D-4CE6-922A-D053E66B491C}" destId="{97DC514A-7CA9-451A-9955-6A10D1D92A2E}" srcOrd="0" destOrd="0" presId="urn:microsoft.com/office/officeart/2005/8/layout/lProcess2"/>
    <dgm:cxn modelId="{0C66307F-539F-4D97-934A-85485E1835AB}" type="presParOf" srcId="{B42243FC-674D-4CE6-922A-D053E66B491C}" destId="{C39A8285-3286-4DA2-8A3E-D9253653342B}" srcOrd="1" destOrd="0" presId="urn:microsoft.com/office/officeart/2005/8/layout/lProcess2"/>
    <dgm:cxn modelId="{AD169290-68CC-422E-AAF7-1798078F2856}" type="presParOf" srcId="{B42243FC-674D-4CE6-922A-D053E66B491C}" destId="{DA6D5059-3DAC-41E7-984A-6CC9F27589E2}" srcOrd="2" destOrd="0" presId="urn:microsoft.com/office/officeart/2005/8/layout/lProcess2"/>
    <dgm:cxn modelId="{4F54980C-9F0D-4D88-ADDB-E9F3712C4FB4}" type="presParOf" srcId="{DA6D5059-3DAC-41E7-984A-6CC9F27589E2}" destId="{DB073A55-B40D-464D-A2BE-3DD6A7C04233}" srcOrd="0" destOrd="0" presId="urn:microsoft.com/office/officeart/2005/8/layout/lProcess2"/>
    <dgm:cxn modelId="{04E96820-019B-4077-9C16-84F18631CC7D}" type="presParOf" srcId="{DB073A55-B40D-464D-A2BE-3DD6A7C04233}" destId="{FE09E83E-410A-47E2-9A5E-FCF1E84AD43B}" srcOrd="0" destOrd="0" presId="urn:microsoft.com/office/officeart/2005/8/layout/lProcess2"/>
    <dgm:cxn modelId="{A99632FA-B410-48FC-A5F0-2EB6A865C5EC}" type="presParOf" srcId="{DB073A55-B40D-464D-A2BE-3DD6A7C04233}" destId="{12967F5E-C878-4311-AB3D-17D91B2A01AF}" srcOrd="1" destOrd="0" presId="urn:microsoft.com/office/officeart/2005/8/layout/lProcess2"/>
    <dgm:cxn modelId="{73754117-725F-41D6-8EEE-588E8816A0F1}" type="presParOf" srcId="{DB073A55-B40D-464D-A2BE-3DD6A7C04233}" destId="{BFE8884E-7398-4FD8-8EDF-EF1736573B98}" srcOrd="2" destOrd="0" presId="urn:microsoft.com/office/officeart/2005/8/layout/lProcess2"/>
    <dgm:cxn modelId="{CB4563E0-0276-4C37-8657-B27AB1A1D952}" type="presParOf" srcId="{2B1D4619-8BED-40BE-B6B9-FE5691866B38}" destId="{26476DAA-528D-471C-8C45-73C8F90380BD}" srcOrd="1" destOrd="0" presId="urn:microsoft.com/office/officeart/2005/8/layout/lProcess2"/>
    <dgm:cxn modelId="{6896F497-09DA-4294-883D-AC3560BE86D3}" type="presParOf" srcId="{2B1D4619-8BED-40BE-B6B9-FE5691866B38}" destId="{6CB180F0-4D35-4ED3-AB11-64E746D41C69}" srcOrd="2" destOrd="0" presId="urn:microsoft.com/office/officeart/2005/8/layout/lProcess2"/>
    <dgm:cxn modelId="{172146DD-42EE-4FD9-BD07-DC183E60EC6D}" type="presParOf" srcId="{6CB180F0-4D35-4ED3-AB11-64E746D41C69}" destId="{245B636B-7CD9-49F5-A923-9AADF7A3ED23}" srcOrd="0" destOrd="0" presId="urn:microsoft.com/office/officeart/2005/8/layout/lProcess2"/>
    <dgm:cxn modelId="{FC2E8008-E056-4AB5-A261-8DB6A1CC06B1}" type="presParOf" srcId="{6CB180F0-4D35-4ED3-AB11-64E746D41C69}" destId="{EDBF4CFD-4482-45F2-B013-3034025DC640}" srcOrd="1" destOrd="0" presId="urn:microsoft.com/office/officeart/2005/8/layout/lProcess2"/>
    <dgm:cxn modelId="{91148100-C9EB-4755-B365-468AAC3685F2}" type="presParOf" srcId="{6CB180F0-4D35-4ED3-AB11-64E746D41C69}" destId="{06EA3BFE-044B-4E32-9BCF-17672859B88B}" srcOrd="2" destOrd="0" presId="urn:microsoft.com/office/officeart/2005/8/layout/lProcess2"/>
    <dgm:cxn modelId="{7A452360-523E-4FD4-A551-F80AF84390D3}" type="presParOf" srcId="{06EA3BFE-044B-4E32-9BCF-17672859B88B}" destId="{E44FC26C-0158-4BC5-AA44-0519B50D3343}" srcOrd="0" destOrd="0" presId="urn:microsoft.com/office/officeart/2005/8/layout/lProcess2"/>
    <dgm:cxn modelId="{FA516AD6-5CAF-4778-966F-E5F72B93B50A}" type="presParOf" srcId="{E44FC26C-0158-4BC5-AA44-0519B50D3343}" destId="{04CA781A-DED0-4B99-8AE7-FE332F9C6D67}" srcOrd="0" destOrd="0" presId="urn:microsoft.com/office/officeart/2005/8/layout/lProcess2"/>
    <dgm:cxn modelId="{0CE24B34-A77C-4F90-8624-93A3B7FA9D08}" type="presParOf" srcId="{E44FC26C-0158-4BC5-AA44-0519B50D3343}" destId="{AADD2E54-91C3-4388-9105-677CC5516C9A}" srcOrd="1" destOrd="0" presId="urn:microsoft.com/office/officeart/2005/8/layout/lProcess2"/>
    <dgm:cxn modelId="{C87CBF81-EAF5-4AEB-898C-E99465AC9624}" type="presParOf" srcId="{E44FC26C-0158-4BC5-AA44-0519B50D3343}" destId="{B9072C3D-26F4-4227-BFFE-D48CDF6D7FAB}" srcOrd="2" destOrd="0" presId="urn:microsoft.com/office/officeart/2005/8/layout/lProcess2"/>
    <dgm:cxn modelId="{3199EB39-BD3F-4C8C-A6C5-4632780756A8}" type="presParOf" srcId="{2B1D4619-8BED-40BE-B6B9-FE5691866B38}" destId="{52E21F49-EFE7-4118-80B8-04E4F71EA520}" srcOrd="3" destOrd="0" presId="urn:microsoft.com/office/officeart/2005/8/layout/lProcess2"/>
    <dgm:cxn modelId="{608C7A3A-DBFD-47B9-8F80-9FE6FA877C01}" type="presParOf" srcId="{2B1D4619-8BED-40BE-B6B9-FE5691866B38}" destId="{C74D56D6-517C-4C6A-ADA7-3E1C4855D448}" srcOrd="4" destOrd="0" presId="urn:microsoft.com/office/officeart/2005/8/layout/lProcess2"/>
    <dgm:cxn modelId="{12F4729D-D8A0-47AA-B23E-E9455AC8260E}" type="presParOf" srcId="{C74D56D6-517C-4C6A-ADA7-3E1C4855D448}" destId="{90B301F2-565E-4142-8800-ACA9AEF82425}" srcOrd="0" destOrd="0" presId="urn:microsoft.com/office/officeart/2005/8/layout/lProcess2"/>
    <dgm:cxn modelId="{92E85A7B-3691-4A2B-95C4-F7D3301C73FF}" type="presParOf" srcId="{C74D56D6-517C-4C6A-ADA7-3E1C4855D448}" destId="{FEEDBBF8-343E-4C16-BD9E-6792E515A366}" srcOrd="1" destOrd="0" presId="urn:microsoft.com/office/officeart/2005/8/layout/lProcess2"/>
    <dgm:cxn modelId="{79680DEB-74E8-4E91-865A-832A4E434C66}" type="presParOf" srcId="{C74D56D6-517C-4C6A-ADA7-3E1C4855D448}" destId="{6D4AC0CF-9098-4755-93EB-26A3446ED5A6}" srcOrd="2" destOrd="0" presId="urn:microsoft.com/office/officeart/2005/8/layout/lProcess2"/>
    <dgm:cxn modelId="{9893C9C7-137D-4853-955E-06CF10925BF1}" type="presParOf" srcId="{6D4AC0CF-9098-4755-93EB-26A3446ED5A6}" destId="{8A9E1F4F-E112-45F7-AB10-DAE6A519C9F0}" srcOrd="0" destOrd="0" presId="urn:microsoft.com/office/officeart/2005/8/layout/lProcess2"/>
    <dgm:cxn modelId="{E33E7CA6-2A0F-410D-8778-4C5FC7EA168F}" type="presParOf" srcId="{8A9E1F4F-E112-45F7-AB10-DAE6A519C9F0}" destId="{C8E14FA7-78BF-4E63-9DB8-29B292230438}" srcOrd="0" destOrd="0" presId="urn:microsoft.com/office/officeart/2005/8/layout/lProcess2"/>
    <dgm:cxn modelId="{C22F6010-3BFF-418F-B713-8A8BF1AA976A}" type="presParOf" srcId="{8A9E1F4F-E112-45F7-AB10-DAE6A519C9F0}" destId="{9C8F3E26-3FD5-4BDD-8C8A-130F2FA7ADEC}" srcOrd="1" destOrd="0" presId="urn:microsoft.com/office/officeart/2005/8/layout/lProcess2"/>
    <dgm:cxn modelId="{A52C7ED2-D7CD-4E27-AB6A-53E22F13A24B}" type="presParOf" srcId="{8A9E1F4F-E112-45F7-AB10-DAE6A519C9F0}" destId="{21974830-4518-4297-AA8A-4D486FD5A4B6}" srcOrd="2" destOrd="0" presId="urn:microsoft.com/office/officeart/2005/8/layout/lProcess2"/>
    <dgm:cxn modelId="{532C00B9-35C4-4192-BBD1-B126368DCA61}" type="presParOf" srcId="{2B1D4619-8BED-40BE-B6B9-FE5691866B38}" destId="{3F38DB6B-1042-4E89-8F0C-94A503BB995C}" srcOrd="5" destOrd="0" presId="urn:microsoft.com/office/officeart/2005/8/layout/lProcess2"/>
    <dgm:cxn modelId="{E399644D-14BF-45E0-877A-88A937F60E35}" type="presParOf" srcId="{2B1D4619-8BED-40BE-B6B9-FE5691866B38}" destId="{12F8D4B0-9F7C-4B0A-A306-F6E1C7E1798C}" srcOrd="6" destOrd="0" presId="urn:microsoft.com/office/officeart/2005/8/layout/lProcess2"/>
    <dgm:cxn modelId="{84D3C62E-24A3-42D1-811C-E475A3E1EC28}" type="presParOf" srcId="{12F8D4B0-9F7C-4B0A-A306-F6E1C7E1798C}" destId="{21FCED0E-654A-4534-9FA6-C29BCCB71D47}" srcOrd="0" destOrd="0" presId="urn:microsoft.com/office/officeart/2005/8/layout/lProcess2"/>
    <dgm:cxn modelId="{EBBDC349-3F88-40B1-8E7A-BDAB60B8E271}" type="presParOf" srcId="{12F8D4B0-9F7C-4B0A-A306-F6E1C7E1798C}" destId="{09C063BB-B502-4F99-A288-01DE93A18B9E}" srcOrd="1" destOrd="0" presId="urn:microsoft.com/office/officeart/2005/8/layout/lProcess2"/>
    <dgm:cxn modelId="{80865526-4606-4DF8-9D68-1A72337BD7AF}" type="presParOf" srcId="{12F8D4B0-9F7C-4B0A-A306-F6E1C7E1798C}" destId="{82FF099A-4E83-41BD-93F8-488208236524}" srcOrd="2" destOrd="0" presId="urn:microsoft.com/office/officeart/2005/8/layout/lProcess2"/>
    <dgm:cxn modelId="{DFCE28FA-C1D9-4A22-8D30-97A648078A5D}" type="presParOf" srcId="{82FF099A-4E83-41BD-93F8-488208236524}" destId="{5B45F0C1-8A28-4939-A145-3A8EBBC28150}" srcOrd="0" destOrd="0" presId="urn:microsoft.com/office/officeart/2005/8/layout/lProcess2"/>
    <dgm:cxn modelId="{F1C89F13-5C07-4AC9-BB9E-A5BC55B6C556}" type="presParOf" srcId="{5B45F0C1-8A28-4939-A145-3A8EBBC28150}" destId="{4BAB3961-8002-4248-80C7-DFA11FB7D9FF}" srcOrd="0" destOrd="0" presId="urn:microsoft.com/office/officeart/2005/8/layout/lProcess2"/>
    <dgm:cxn modelId="{5BF9F283-0763-4070-839D-734FEB2AD737}" type="presParOf" srcId="{5B45F0C1-8A28-4939-A145-3A8EBBC28150}" destId="{C4A98C42-88CE-4572-8C72-E07710B109D6}" srcOrd="1" destOrd="0" presId="urn:microsoft.com/office/officeart/2005/8/layout/lProcess2"/>
    <dgm:cxn modelId="{266A662E-8CF6-41D1-A709-89DB7057A013}" type="presParOf" srcId="{5B45F0C1-8A28-4939-A145-3A8EBBC28150}" destId="{F0C38962-A936-4A1F-B285-4F4DEF25A906}" srcOrd="2" destOrd="0" presId="urn:microsoft.com/office/officeart/2005/8/layout/lProcess2"/>
  </dgm:cxnLst>
  <dgm:bg>
    <a:noFill/>
  </dgm:bg>
  <dgm:whole>
    <a:ln w="38100"/>
  </dgm:whole>
  <dgm:extLst>
    <a:ext uri="http://schemas.microsoft.com/office/drawing/2008/diagram">
      <dsp:dataModelExt xmlns:dsp="http://schemas.microsoft.com/office/drawing/2008/diagram" relId="rId104"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EAE466D9-F367-49F0-A594-B71C4E3679C5}" type="doc">
      <dgm:prSet loTypeId="urn:microsoft.com/office/officeart/2005/8/layout/vList3#1" loCatId="list" qsTypeId="urn:microsoft.com/office/officeart/2005/8/quickstyle/simple3" qsCatId="simple" csTypeId="urn:microsoft.com/office/officeart/2005/8/colors/accent0_1" csCatId="mainScheme" phldr="1"/>
      <dgm:spPr/>
      <dgm:t>
        <a:bodyPr/>
        <a:lstStyle/>
        <a:p>
          <a:endParaRPr lang="es-ES"/>
        </a:p>
      </dgm:t>
    </dgm:pt>
    <dgm:pt modelId="{E257E647-7D31-4C4B-AF7A-3CDEBC5E5AEB}">
      <dgm:prSet phldrT="[Texto]" custT="1"/>
      <dgm:spPr/>
      <dgm:t>
        <a:bodyPr/>
        <a:lstStyle/>
        <a:p>
          <a:endParaRPr lang="es-ES" sz="1800"/>
        </a:p>
        <a:p>
          <a:r>
            <a:rPr lang="es-ES" sz="1800"/>
            <a:t>1  Planificación</a:t>
          </a:r>
          <a:endParaRPr lang="es-ES" sz="2600"/>
        </a:p>
      </dgm:t>
    </dgm:pt>
    <dgm:pt modelId="{C26204EC-9293-43B9-9007-206DEC140180}" type="parTrans" cxnId="{5EE5FBBB-AAE1-4FD1-A276-41FCA5A86B57}">
      <dgm:prSet/>
      <dgm:spPr/>
      <dgm:t>
        <a:bodyPr/>
        <a:lstStyle/>
        <a:p>
          <a:endParaRPr lang="es-ES"/>
        </a:p>
      </dgm:t>
    </dgm:pt>
    <dgm:pt modelId="{C2CEA5C6-7E19-4BBA-9CE7-B249BD6A3FC7}" type="sibTrans" cxnId="{5EE5FBBB-AAE1-4FD1-A276-41FCA5A86B57}">
      <dgm:prSet/>
      <dgm:spPr/>
      <dgm:t>
        <a:bodyPr/>
        <a:lstStyle/>
        <a:p>
          <a:endParaRPr lang="es-ES"/>
        </a:p>
      </dgm:t>
    </dgm:pt>
    <dgm:pt modelId="{0C588B40-7701-4B2B-84A0-E0595B37073B}">
      <dgm:prSet phldrT="[Texto]" custT="1"/>
      <dgm:spPr/>
      <dgm:t>
        <a:bodyPr/>
        <a:lstStyle/>
        <a:p>
          <a:pPr algn="just"/>
          <a:r>
            <a:rPr lang="es-MX" sz="1100">
              <a:latin typeface="Arial" pitchFamily="34" charset="0"/>
              <a:cs typeface="Arial" pitchFamily="34" charset="0"/>
            </a:rPr>
            <a:t>Es la etapa inicial en la cual la Secretaría de Planificación y Programación de la Presidencia de la República, en coordinación con el Ministerio de Finanzas Públicas, orienta el proceso de planificación y proporciona a las instituciones del sector público la metodología que se utilizará en el proceso de articulación de las políticas, planes y presupuesto. La vinculación plan-presupuesto se encuentra normada en la Ley Orgánica del Presupuesto y su Reglamento(*). Esta etapa se desarrolla en el primer cuatrimestre del año, de acuerdo a la programación que se realice. </a:t>
          </a:r>
          <a:endParaRPr lang="es-ES" sz="1100">
            <a:latin typeface="Arial" pitchFamily="34" charset="0"/>
            <a:cs typeface="Arial" pitchFamily="34" charset="0"/>
          </a:endParaRPr>
        </a:p>
      </dgm:t>
    </dgm:pt>
    <dgm:pt modelId="{3BEDDBB0-8383-4D5C-8CE6-1BCB9A555E16}" type="parTrans" cxnId="{601796DD-3360-42CE-A45F-395183BEBD4E}">
      <dgm:prSet/>
      <dgm:spPr/>
      <dgm:t>
        <a:bodyPr/>
        <a:lstStyle/>
        <a:p>
          <a:endParaRPr lang="es-ES"/>
        </a:p>
      </dgm:t>
    </dgm:pt>
    <dgm:pt modelId="{BE9FDA82-7607-4975-976A-8DA056DE9014}" type="sibTrans" cxnId="{601796DD-3360-42CE-A45F-395183BEBD4E}">
      <dgm:prSet/>
      <dgm:spPr/>
      <dgm:t>
        <a:bodyPr/>
        <a:lstStyle/>
        <a:p>
          <a:endParaRPr lang="es-ES"/>
        </a:p>
      </dgm:t>
    </dgm:pt>
    <dgm:pt modelId="{1A51C11F-E8CB-4F61-8312-D537C4A15F7A}">
      <dgm:prSet custT="1"/>
      <dgm:spPr/>
      <dgm:t>
        <a:bodyPr/>
        <a:lstStyle/>
        <a:p>
          <a:pPr algn="just"/>
          <a:r>
            <a:rPr lang="es-MX" sz="1100">
              <a:latin typeface="Arial" pitchFamily="34" charset="0"/>
              <a:cs typeface="Arial" pitchFamily="34" charset="0"/>
            </a:rPr>
            <a:t>(*) Decreto No. 101-97, Ley Orgánica del Presupuesto, artículo 8, y su Reglamento contenido en el Acuerdo Gubernativo No. 540-2013, artículo 16, relacionados con la Vinculación Plan-Presupuesto.</a:t>
          </a:r>
          <a:endParaRPr lang="es-ES" sz="1100">
            <a:latin typeface="Arial" pitchFamily="34" charset="0"/>
            <a:cs typeface="Arial" pitchFamily="34" charset="0"/>
          </a:endParaRPr>
        </a:p>
      </dgm:t>
    </dgm:pt>
    <dgm:pt modelId="{AF895078-B886-4DF9-9920-D53100739225}" type="parTrans" cxnId="{A2C09372-1D1C-4E1E-BE83-0FD48F2B7A88}">
      <dgm:prSet/>
      <dgm:spPr/>
      <dgm:t>
        <a:bodyPr/>
        <a:lstStyle/>
        <a:p>
          <a:endParaRPr lang="es-ES"/>
        </a:p>
      </dgm:t>
    </dgm:pt>
    <dgm:pt modelId="{0F6B3300-8B53-4462-81DB-90D130DC3718}" type="sibTrans" cxnId="{A2C09372-1D1C-4E1E-BE83-0FD48F2B7A88}">
      <dgm:prSet/>
      <dgm:spPr/>
      <dgm:t>
        <a:bodyPr/>
        <a:lstStyle/>
        <a:p>
          <a:endParaRPr lang="es-ES"/>
        </a:p>
      </dgm:t>
    </dgm:pt>
    <dgm:pt modelId="{65EEA220-042F-4425-AE49-11CDA1198267}">
      <dgm:prSet phldrT="[Texto]" custT="1"/>
      <dgm:spPr/>
      <dgm:t>
        <a:bodyPr/>
        <a:lstStyle/>
        <a:p>
          <a:pPr algn="l"/>
          <a:endParaRPr lang="es-ES" sz="1100">
            <a:latin typeface="Arial" pitchFamily="34" charset="0"/>
            <a:cs typeface="Arial" pitchFamily="34" charset="0"/>
          </a:endParaRPr>
        </a:p>
      </dgm:t>
    </dgm:pt>
    <dgm:pt modelId="{9495AD90-372A-46A7-8309-0D21245CA29D}" type="parTrans" cxnId="{B665257B-B1D4-41A2-8917-6FD64F06BC68}">
      <dgm:prSet/>
      <dgm:spPr/>
      <dgm:t>
        <a:bodyPr/>
        <a:lstStyle/>
        <a:p>
          <a:endParaRPr lang="es-ES"/>
        </a:p>
      </dgm:t>
    </dgm:pt>
    <dgm:pt modelId="{89BAAA3C-EBE8-4AAB-8FDC-10BA42B6B123}" type="sibTrans" cxnId="{B665257B-B1D4-41A2-8917-6FD64F06BC68}">
      <dgm:prSet/>
      <dgm:spPr/>
      <dgm:t>
        <a:bodyPr/>
        <a:lstStyle/>
        <a:p>
          <a:endParaRPr lang="es-ES"/>
        </a:p>
      </dgm:t>
    </dgm:pt>
    <dgm:pt modelId="{4A6D452C-DE57-4421-AE0C-217941B2E7F2}" type="pres">
      <dgm:prSet presAssocID="{EAE466D9-F367-49F0-A594-B71C4E3679C5}" presName="linearFlow" presStyleCnt="0">
        <dgm:presLayoutVars>
          <dgm:dir/>
          <dgm:resizeHandles val="exact"/>
        </dgm:presLayoutVars>
      </dgm:prSet>
      <dgm:spPr/>
      <dgm:t>
        <a:bodyPr/>
        <a:lstStyle/>
        <a:p>
          <a:endParaRPr lang="es-ES"/>
        </a:p>
      </dgm:t>
    </dgm:pt>
    <dgm:pt modelId="{445AAA14-7071-4EB3-A26F-A481D1C77BFB}" type="pres">
      <dgm:prSet presAssocID="{E257E647-7D31-4C4B-AF7A-3CDEBC5E5AEB}" presName="composite" presStyleCnt="0"/>
      <dgm:spPr/>
      <dgm:t>
        <a:bodyPr/>
        <a:lstStyle/>
        <a:p>
          <a:endParaRPr lang="es-GT"/>
        </a:p>
      </dgm:t>
    </dgm:pt>
    <dgm:pt modelId="{B481B69C-953C-4B7B-8A70-F59EFD1920D1}" type="pres">
      <dgm:prSet presAssocID="{E257E647-7D31-4C4B-AF7A-3CDEBC5E5AEB}" presName="imgShp" presStyleLbl="fgImgPlace1" presStyleIdx="0" presStyleCnt="1" custScaleX="70059" custScaleY="71753" custLinFactNeighborX="20501" custLinFactNeighborY="-5125"/>
      <dgm:spPr>
        <a:blipFill rotWithShape="0">
          <a:blip xmlns:r="http://schemas.openxmlformats.org/officeDocument/2006/relationships" r:embed="rId1"/>
          <a:stretch>
            <a:fillRect/>
          </a:stretch>
        </a:blipFill>
      </dgm:spPr>
      <dgm:t>
        <a:bodyPr/>
        <a:lstStyle/>
        <a:p>
          <a:endParaRPr lang="es-ES"/>
        </a:p>
      </dgm:t>
    </dgm:pt>
    <dgm:pt modelId="{C040F9B0-8101-48A5-B73F-AF78233180FF}" type="pres">
      <dgm:prSet presAssocID="{E257E647-7D31-4C4B-AF7A-3CDEBC5E5AEB}" presName="txShp" presStyleLbl="node1" presStyleIdx="0" presStyleCnt="1" custScaleX="139689" custScaleY="236784">
        <dgm:presLayoutVars>
          <dgm:bulletEnabled val="1"/>
        </dgm:presLayoutVars>
      </dgm:prSet>
      <dgm:spPr/>
      <dgm:t>
        <a:bodyPr/>
        <a:lstStyle/>
        <a:p>
          <a:endParaRPr lang="es-ES"/>
        </a:p>
      </dgm:t>
    </dgm:pt>
  </dgm:ptLst>
  <dgm:cxnLst>
    <dgm:cxn modelId="{4A73719F-36FA-418C-9F0A-B2A7716FE2DC}" type="presOf" srcId="{0C588B40-7701-4B2B-84A0-E0595B37073B}" destId="{C040F9B0-8101-48A5-B73F-AF78233180FF}" srcOrd="0" destOrd="1" presId="urn:microsoft.com/office/officeart/2005/8/layout/vList3#1"/>
    <dgm:cxn modelId="{025AACE7-BF43-4793-816E-FCEADD29B49B}" type="presOf" srcId="{EAE466D9-F367-49F0-A594-B71C4E3679C5}" destId="{4A6D452C-DE57-4421-AE0C-217941B2E7F2}" srcOrd="0" destOrd="0" presId="urn:microsoft.com/office/officeart/2005/8/layout/vList3#1"/>
    <dgm:cxn modelId="{DD7D7064-0065-4595-8F13-6FF18577F6B1}" type="presOf" srcId="{65EEA220-042F-4425-AE49-11CDA1198267}" destId="{C040F9B0-8101-48A5-B73F-AF78233180FF}" srcOrd="0" destOrd="2" presId="urn:microsoft.com/office/officeart/2005/8/layout/vList3#1"/>
    <dgm:cxn modelId="{5EE5FBBB-AAE1-4FD1-A276-41FCA5A86B57}" srcId="{EAE466D9-F367-49F0-A594-B71C4E3679C5}" destId="{E257E647-7D31-4C4B-AF7A-3CDEBC5E5AEB}" srcOrd="0" destOrd="0" parTransId="{C26204EC-9293-43B9-9007-206DEC140180}" sibTransId="{C2CEA5C6-7E19-4BBA-9CE7-B249BD6A3FC7}"/>
    <dgm:cxn modelId="{E3F3C440-3D02-4B79-991C-647A4E5AE687}" type="presOf" srcId="{E257E647-7D31-4C4B-AF7A-3CDEBC5E5AEB}" destId="{C040F9B0-8101-48A5-B73F-AF78233180FF}" srcOrd="0" destOrd="0" presId="urn:microsoft.com/office/officeart/2005/8/layout/vList3#1"/>
    <dgm:cxn modelId="{B665257B-B1D4-41A2-8917-6FD64F06BC68}" srcId="{E257E647-7D31-4C4B-AF7A-3CDEBC5E5AEB}" destId="{65EEA220-042F-4425-AE49-11CDA1198267}" srcOrd="1" destOrd="0" parTransId="{9495AD90-372A-46A7-8309-0D21245CA29D}" sibTransId="{89BAAA3C-EBE8-4AAB-8FDC-10BA42B6B123}"/>
    <dgm:cxn modelId="{601796DD-3360-42CE-A45F-395183BEBD4E}" srcId="{E257E647-7D31-4C4B-AF7A-3CDEBC5E5AEB}" destId="{0C588B40-7701-4B2B-84A0-E0595B37073B}" srcOrd="0" destOrd="0" parTransId="{3BEDDBB0-8383-4D5C-8CE6-1BCB9A555E16}" sibTransId="{BE9FDA82-7607-4975-976A-8DA056DE9014}"/>
    <dgm:cxn modelId="{A2C09372-1D1C-4E1E-BE83-0FD48F2B7A88}" srcId="{E257E647-7D31-4C4B-AF7A-3CDEBC5E5AEB}" destId="{1A51C11F-E8CB-4F61-8312-D537C4A15F7A}" srcOrd="2" destOrd="0" parTransId="{AF895078-B886-4DF9-9920-D53100739225}" sibTransId="{0F6B3300-8B53-4462-81DB-90D130DC3718}"/>
    <dgm:cxn modelId="{F545DC61-6622-48A0-ACF3-B7DF6B02396F}" type="presOf" srcId="{1A51C11F-E8CB-4F61-8312-D537C4A15F7A}" destId="{C040F9B0-8101-48A5-B73F-AF78233180FF}" srcOrd="0" destOrd="3" presId="urn:microsoft.com/office/officeart/2005/8/layout/vList3#1"/>
    <dgm:cxn modelId="{2107E213-114C-47C6-B9B9-51EA3CF5E983}" type="presParOf" srcId="{4A6D452C-DE57-4421-AE0C-217941B2E7F2}" destId="{445AAA14-7071-4EB3-A26F-A481D1C77BFB}" srcOrd="0" destOrd="0" presId="urn:microsoft.com/office/officeart/2005/8/layout/vList3#1"/>
    <dgm:cxn modelId="{CDAA9ECC-E21C-465D-B7C2-DE826FA51FBB}" type="presParOf" srcId="{445AAA14-7071-4EB3-A26F-A481D1C77BFB}" destId="{B481B69C-953C-4B7B-8A70-F59EFD1920D1}" srcOrd="0" destOrd="0" presId="urn:microsoft.com/office/officeart/2005/8/layout/vList3#1"/>
    <dgm:cxn modelId="{501F4881-E1B3-43A5-B386-E09E10B14A88}" type="presParOf" srcId="{445AAA14-7071-4EB3-A26F-A481D1C77BFB}" destId="{C040F9B0-8101-48A5-B73F-AF78233180FF}" srcOrd="1" destOrd="0" presId="urn:microsoft.com/office/officeart/2005/8/layout/vList3#1"/>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C3EB4FBF-9CB4-4D5D-AA25-F38F982CD521}" type="doc">
      <dgm:prSet loTypeId="urn:microsoft.com/office/officeart/2005/8/layout/vList3#2" loCatId="list" qsTypeId="urn:microsoft.com/office/officeart/2005/8/quickstyle/simple3" qsCatId="simple" csTypeId="urn:microsoft.com/office/officeart/2005/8/colors/accent0_1" csCatId="mainScheme" phldr="1"/>
      <dgm:spPr/>
      <dgm:t>
        <a:bodyPr/>
        <a:lstStyle/>
        <a:p>
          <a:endParaRPr lang="es-ES"/>
        </a:p>
      </dgm:t>
    </dgm:pt>
    <dgm:pt modelId="{4E34757D-D9B0-4559-A45B-86D1B14A26A0}">
      <dgm:prSet phldrT="[Texto]" custT="1"/>
      <dgm:spPr/>
      <dgm:t>
        <a:bodyPr/>
        <a:lstStyle/>
        <a:p>
          <a:endParaRPr lang="es-ES" sz="1800"/>
        </a:p>
        <a:p>
          <a:r>
            <a:rPr lang="es-ES" sz="1800"/>
            <a:t>       2  Formulación</a:t>
          </a:r>
        </a:p>
      </dgm:t>
    </dgm:pt>
    <dgm:pt modelId="{F137C848-175E-4E40-AC4E-A291DF2D5801}" type="parTrans" cxnId="{88EAFE6E-1F6D-443D-8D9E-4B96B85124D7}">
      <dgm:prSet/>
      <dgm:spPr/>
      <dgm:t>
        <a:bodyPr/>
        <a:lstStyle/>
        <a:p>
          <a:endParaRPr lang="es-ES"/>
        </a:p>
      </dgm:t>
    </dgm:pt>
    <dgm:pt modelId="{3A860F4E-5E69-495E-A66A-8BE87EDE4602}" type="sibTrans" cxnId="{88EAFE6E-1F6D-443D-8D9E-4B96B85124D7}">
      <dgm:prSet/>
      <dgm:spPr/>
      <dgm:t>
        <a:bodyPr/>
        <a:lstStyle/>
        <a:p>
          <a:endParaRPr lang="es-ES"/>
        </a:p>
      </dgm:t>
    </dgm:pt>
    <dgm:pt modelId="{FF0E0050-F4A7-4B89-9A59-EB2416113A9A}">
      <dgm:prSet custT="1"/>
      <dgm:spPr/>
      <dgm:t>
        <a:bodyPr/>
        <a:lstStyle/>
        <a:p>
          <a:pPr algn="just"/>
          <a:r>
            <a:rPr lang="es-MX" sz="1100">
              <a:latin typeface="Arial" pitchFamily="34" charset="0"/>
              <a:cs typeface="Arial" pitchFamily="34" charset="0"/>
            </a:rPr>
            <a:t>El Ministerio de Finanzas Públicas, tomando en consideración las distintas variables proporcionadas por el Banco de Guatemala, Superintendencia de Administración Tributaria (SAT) y sus propias proyecciones, elabora las estimaciones de ingresos, a partir de los cuales proyecta el presupuesto de ingresos y egresos del siguiente ejercicio fiscal, dando a conocer a las  instituciones, sus estimaciones máximas de gasto, así como sus correspondientes fuentes de financiamiento, es decir, los montos por ingresos ordinarios, préstamos, donaciones u otra fuente que podrán utilizar.</a:t>
          </a:r>
        </a:p>
      </dgm:t>
    </dgm:pt>
    <dgm:pt modelId="{6DAB3A67-D6A2-47ED-BABA-2CE87B4C3165}" type="parTrans" cxnId="{AC24A326-4C12-4F72-B0B3-556F29924593}">
      <dgm:prSet/>
      <dgm:spPr/>
      <dgm:t>
        <a:bodyPr/>
        <a:lstStyle/>
        <a:p>
          <a:endParaRPr lang="es-ES"/>
        </a:p>
      </dgm:t>
    </dgm:pt>
    <dgm:pt modelId="{A3E846F5-B7BF-4592-AA20-93FBF18B7B3C}" type="sibTrans" cxnId="{AC24A326-4C12-4F72-B0B3-556F29924593}">
      <dgm:prSet/>
      <dgm:spPr/>
      <dgm:t>
        <a:bodyPr/>
        <a:lstStyle/>
        <a:p>
          <a:endParaRPr lang="es-ES"/>
        </a:p>
      </dgm:t>
    </dgm:pt>
    <dgm:pt modelId="{B00C4757-141F-4458-B8A7-BE55BECBDCB5}">
      <dgm:prSet custT="1"/>
      <dgm:spPr/>
      <dgm:t>
        <a:bodyPr/>
        <a:lstStyle/>
        <a:p>
          <a:pPr algn="just"/>
          <a:r>
            <a:rPr lang="es-MX" sz="1100">
              <a:latin typeface="Arial" pitchFamily="34" charset="0"/>
              <a:cs typeface="Arial" pitchFamily="34" charset="0"/>
            </a:rPr>
            <a:t>El resultado de esta etapa es la conformación del Proyecto de Presupuesto de Ingresos y Egresos del Estado para el siguiente ejercicio fiscal. </a:t>
          </a:r>
          <a:endParaRPr lang="es-ES" sz="1100">
            <a:latin typeface="Arial" pitchFamily="34" charset="0"/>
            <a:cs typeface="Arial" pitchFamily="34" charset="0"/>
          </a:endParaRPr>
        </a:p>
      </dgm:t>
    </dgm:pt>
    <dgm:pt modelId="{F7FA3F54-11A1-4A35-AB78-ABD2E333E6FD}" type="parTrans" cxnId="{675FD88C-7113-404B-8411-D06ED69F5707}">
      <dgm:prSet/>
      <dgm:spPr/>
      <dgm:t>
        <a:bodyPr/>
        <a:lstStyle/>
        <a:p>
          <a:endParaRPr lang="es-ES"/>
        </a:p>
      </dgm:t>
    </dgm:pt>
    <dgm:pt modelId="{1634A8C3-9C3D-4C0A-8591-BA32CB2F4CEC}" type="sibTrans" cxnId="{675FD88C-7113-404B-8411-D06ED69F5707}">
      <dgm:prSet/>
      <dgm:spPr/>
      <dgm:t>
        <a:bodyPr/>
        <a:lstStyle/>
        <a:p>
          <a:endParaRPr lang="es-ES"/>
        </a:p>
      </dgm:t>
    </dgm:pt>
    <dgm:pt modelId="{DACB4D75-9270-4A99-B2A4-48965EF1BF1A}">
      <dgm:prSet custT="1"/>
      <dgm:spPr/>
      <dgm:t>
        <a:bodyPr/>
        <a:lstStyle/>
        <a:p>
          <a:pPr algn="just"/>
          <a:endParaRPr lang="es-ES" sz="1100"/>
        </a:p>
      </dgm:t>
    </dgm:pt>
    <dgm:pt modelId="{A5AD398F-0007-44A1-B40B-5A10E6A95B48}" type="parTrans" cxnId="{142D5246-8DD3-4744-B3C5-0E77B1BE423B}">
      <dgm:prSet/>
      <dgm:spPr/>
      <dgm:t>
        <a:bodyPr/>
        <a:lstStyle/>
        <a:p>
          <a:endParaRPr lang="es-ES"/>
        </a:p>
      </dgm:t>
    </dgm:pt>
    <dgm:pt modelId="{BAF03AFB-584D-4A6C-951F-BA00AD451A41}" type="sibTrans" cxnId="{142D5246-8DD3-4744-B3C5-0E77B1BE423B}">
      <dgm:prSet/>
      <dgm:spPr/>
      <dgm:t>
        <a:bodyPr/>
        <a:lstStyle/>
        <a:p>
          <a:endParaRPr lang="es-ES"/>
        </a:p>
      </dgm:t>
    </dgm:pt>
    <dgm:pt modelId="{208C99C4-3005-4C04-AA39-B33CF486CF46}">
      <dgm:prSet custT="1"/>
      <dgm:spPr/>
      <dgm:t>
        <a:bodyPr/>
        <a:lstStyle/>
        <a:p>
          <a:pPr algn="just"/>
          <a:endParaRPr lang="es-MX" sz="1100">
            <a:latin typeface="Arial" pitchFamily="34" charset="0"/>
            <a:cs typeface="Arial" pitchFamily="34" charset="0"/>
          </a:endParaRPr>
        </a:p>
      </dgm:t>
    </dgm:pt>
    <dgm:pt modelId="{A7918A44-AB4B-4337-8D64-BDCB4E5FE904}" type="parTrans" cxnId="{D9EA40FB-D6FE-4B9F-A828-1E706D9F6F8E}">
      <dgm:prSet/>
      <dgm:spPr/>
      <dgm:t>
        <a:bodyPr/>
        <a:lstStyle/>
        <a:p>
          <a:endParaRPr lang="es-ES"/>
        </a:p>
      </dgm:t>
    </dgm:pt>
    <dgm:pt modelId="{160AF608-2107-4FD8-8B3B-60732A8F1B45}" type="sibTrans" cxnId="{D9EA40FB-D6FE-4B9F-A828-1E706D9F6F8E}">
      <dgm:prSet/>
      <dgm:spPr/>
      <dgm:t>
        <a:bodyPr/>
        <a:lstStyle/>
        <a:p>
          <a:endParaRPr lang="es-ES"/>
        </a:p>
      </dgm:t>
    </dgm:pt>
    <dgm:pt modelId="{4B4694CA-A399-4F6F-830D-C09BF865B2FE}">
      <dgm:prSet custT="1"/>
      <dgm:spPr/>
      <dgm:t>
        <a:bodyPr/>
        <a:lstStyle/>
        <a:p>
          <a:pPr algn="just"/>
          <a:endParaRPr lang="es-ES" sz="1100">
            <a:latin typeface="Arial" pitchFamily="34" charset="0"/>
            <a:cs typeface="Arial" pitchFamily="34" charset="0"/>
          </a:endParaRPr>
        </a:p>
      </dgm:t>
    </dgm:pt>
    <dgm:pt modelId="{3CB4F7B4-B5C2-4123-9E48-7F42CD5D0FFF}" type="parTrans" cxnId="{ADEA1927-7041-48FE-AD37-A39291C0B7A1}">
      <dgm:prSet/>
      <dgm:spPr/>
      <dgm:t>
        <a:bodyPr/>
        <a:lstStyle/>
        <a:p>
          <a:endParaRPr lang="es-ES"/>
        </a:p>
      </dgm:t>
    </dgm:pt>
    <dgm:pt modelId="{4452927E-D72B-4DEB-8B57-A085079F6552}" type="sibTrans" cxnId="{ADEA1927-7041-48FE-AD37-A39291C0B7A1}">
      <dgm:prSet/>
      <dgm:spPr/>
      <dgm:t>
        <a:bodyPr/>
        <a:lstStyle/>
        <a:p>
          <a:endParaRPr lang="es-ES"/>
        </a:p>
      </dgm:t>
    </dgm:pt>
    <dgm:pt modelId="{1DB04322-E423-4EB7-B48D-A54D10FDAA3B}">
      <dgm:prSet custT="1"/>
      <dgm:spPr/>
      <dgm:t>
        <a:bodyPr/>
        <a:lstStyle/>
        <a:p>
          <a:pPr algn="just"/>
          <a:endParaRPr lang="es-ES" sz="1100">
            <a:latin typeface="Arial" pitchFamily="34" charset="0"/>
            <a:cs typeface="Arial" pitchFamily="34" charset="0"/>
          </a:endParaRPr>
        </a:p>
      </dgm:t>
    </dgm:pt>
    <dgm:pt modelId="{FEF6FF06-D44C-40A0-954E-C0AF9F28FA77}" type="parTrans" cxnId="{07FE1FEE-2329-44CF-A81D-85D8D5919563}">
      <dgm:prSet/>
      <dgm:spPr/>
      <dgm:t>
        <a:bodyPr/>
        <a:lstStyle/>
        <a:p>
          <a:endParaRPr lang="es-ES"/>
        </a:p>
      </dgm:t>
    </dgm:pt>
    <dgm:pt modelId="{5685BAAE-2555-43B2-B767-3F14E300AAD4}" type="sibTrans" cxnId="{07FE1FEE-2329-44CF-A81D-85D8D5919563}">
      <dgm:prSet/>
      <dgm:spPr/>
      <dgm:t>
        <a:bodyPr/>
        <a:lstStyle/>
        <a:p>
          <a:endParaRPr lang="es-ES"/>
        </a:p>
      </dgm:t>
    </dgm:pt>
    <dgm:pt modelId="{4250F9C4-48C9-4ED3-AA2F-1AB0B6466C83}">
      <dgm:prSet custT="1"/>
      <dgm:spPr/>
      <dgm:t>
        <a:bodyPr/>
        <a:lstStyle/>
        <a:p>
          <a:pPr algn="just"/>
          <a:r>
            <a:rPr lang="es-MX" sz="1100">
              <a:latin typeface="Arial" pitchFamily="34" charset="0"/>
              <a:cs typeface="Arial" pitchFamily="34" charset="0"/>
            </a:rPr>
            <a:t>Fase en que las instituciones con base a su marco legal, política de gobierno, políticas públicas sectoriales y metodología de planificación y del presupuesto por programas, elaboran sus anteproyectos de presupuesto, los cuales son presentados al Ministerio de Finanzas Públicas a más tardar el 15 de julio de cada año (*). Los anteproyectos de presupuesto contienen los requerimientos financieros solicitados para generar los productos y resultados finales que la población recibe a través de la prestación de los servicios públicos esenciales (educación, salud, seguridad, etc).</a:t>
          </a:r>
          <a:endParaRPr lang="es-ES" sz="1100"/>
        </a:p>
      </dgm:t>
    </dgm:pt>
    <dgm:pt modelId="{9C41FE76-8C80-46D3-8D32-0D43601CC6A1}" type="parTrans" cxnId="{A4C72FA9-43B6-4B9D-A2FD-FCFF812551F5}">
      <dgm:prSet/>
      <dgm:spPr/>
      <dgm:t>
        <a:bodyPr/>
        <a:lstStyle/>
        <a:p>
          <a:endParaRPr lang="es-ES"/>
        </a:p>
      </dgm:t>
    </dgm:pt>
    <dgm:pt modelId="{C66B7C6D-114E-4A16-ACCE-8CB084692386}" type="sibTrans" cxnId="{A4C72FA9-43B6-4B9D-A2FD-FCFF812551F5}">
      <dgm:prSet/>
      <dgm:spPr/>
      <dgm:t>
        <a:bodyPr/>
        <a:lstStyle/>
        <a:p>
          <a:endParaRPr lang="es-ES"/>
        </a:p>
      </dgm:t>
    </dgm:pt>
    <dgm:pt modelId="{EEF40360-309A-42C1-B7D7-4A9DC7217E98}">
      <dgm:prSet custT="1"/>
      <dgm:spPr/>
      <dgm:t>
        <a:bodyPr/>
        <a:lstStyle/>
        <a:p>
          <a:pPr algn="just"/>
          <a:endParaRPr lang="es-ES" sz="1100">
            <a:latin typeface="Arial" pitchFamily="34" charset="0"/>
            <a:cs typeface="Arial" pitchFamily="34" charset="0"/>
          </a:endParaRPr>
        </a:p>
      </dgm:t>
    </dgm:pt>
    <dgm:pt modelId="{13B2E977-B37B-480D-A2C1-DF407730143C}" type="parTrans" cxnId="{623CEFC4-04BC-4716-8FD1-0AED9ECBE86A}">
      <dgm:prSet/>
      <dgm:spPr/>
      <dgm:t>
        <a:bodyPr/>
        <a:lstStyle/>
        <a:p>
          <a:endParaRPr lang="es-ES"/>
        </a:p>
      </dgm:t>
    </dgm:pt>
    <dgm:pt modelId="{94F0A8A4-392B-46C0-B609-44FEB2A2D75C}" type="sibTrans" cxnId="{623CEFC4-04BC-4716-8FD1-0AED9ECBE86A}">
      <dgm:prSet/>
      <dgm:spPr/>
      <dgm:t>
        <a:bodyPr/>
        <a:lstStyle/>
        <a:p>
          <a:endParaRPr lang="es-ES"/>
        </a:p>
      </dgm:t>
    </dgm:pt>
    <dgm:pt modelId="{9E6F775C-B32D-4263-AAFE-04431C3436FF}">
      <dgm:prSet custT="1"/>
      <dgm:spPr/>
      <dgm:t>
        <a:bodyPr/>
        <a:lstStyle/>
        <a:p>
          <a:pPr algn="just"/>
          <a:r>
            <a:rPr lang="es-MX" sz="1100" i="0">
              <a:latin typeface="Arial" pitchFamily="34" charset="0"/>
              <a:cs typeface="Arial" pitchFamily="34" charset="0"/>
            </a:rPr>
            <a:t>(*) Fecha establecidad en el Artículo 24 del Acuerdo Gubernativo No. 540-2013, Reglamento de la Ley orgánica del Presupuesto, salvo que sea día inhábil, se presentará el día hábil inmediato posterior a dicha fecha.</a:t>
          </a:r>
          <a:endParaRPr lang="es-ES" sz="1100" i="0">
            <a:latin typeface="Arial" pitchFamily="34" charset="0"/>
            <a:cs typeface="Arial" pitchFamily="34" charset="0"/>
          </a:endParaRPr>
        </a:p>
      </dgm:t>
    </dgm:pt>
    <dgm:pt modelId="{0B048CC8-8EC8-4828-8D0B-96D1648855CF}" type="sibTrans" cxnId="{26FE33B9-E08E-4CCB-ADA1-E947E7D05668}">
      <dgm:prSet/>
      <dgm:spPr/>
      <dgm:t>
        <a:bodyPr/>
        <a:lstStyle/>
        <a:p>
          <a:endParaRPr lang="es-ES"/>
        </a:p>
      </dgm:t>
    </dgm:pt>
    <dgm:pt modelId="{FC5799B4-0D07-4D4A-A085-9D05EE97CAB6}" type="parTrans" cxnId="{26FE33B9-E08E-4CCB-ADA1-E947E7D05668}">
      <dgm:prSet/>
      <dgm:spPr/>
      <dgm:t>
        <a:bodyPr/>
        <a:lstStyle/>
        <a:p>
          <a:endParaRPr lang="es-ES"/>
        </a:p>
      </dgm:t>
    </dgm:pt>
    <dgm:pt modelId="{5A5A1140-3EA3-4998-833B-8FE1D475849B}" type="pres">
      <dgm:prSet presAssocID="{C3EB4FBF-9CB4-4D5D-AA25-F38F982CD521}" presName="linearFlow" presStyleCnt="0">
        <dgm:presLayoutVars>
          <dgm:dir/>
          <dgm:resizeHandles val="exact"/>
        </dgm:presLayoutVars>
      </dgm:prSet>
      <dgm:spPr/>
      <dgm:t>
        <a:bodyPr/>
        <a:lstStyle/>
        <a:p>
          <a:endParaRPr lang="es-ES"/>
        </a:p>
      </dgm:t>
    </dgm:pt>
    <dgm:pt modelId="{FE89A026-D36D-4A36-91A9-61FE6D1DC956}" type="pres">
      <dgm:prSet presAssocID="{4E34757D-D9B0-4559-A45B-86D1B14A26A0}" presName="composite" presStyleCnt="0"/>
      <dgm:spPr/>
      <dgm:t>
        <a:bodyPr/>
        <a:lstStyle/>
        <a:p>
          <a:endParaRPr lang="es-GT"/>
        </a:p>
      </dgm:t>
    </dgm:pt>
    <dgm:pt modelId="{4842ED5B-4E86-48F3-80F3-92FA2A263DEF}" type="pres">
      <dgm:prSet presAssocID="{4E34757D-D9B0-4559-A45B-86D1B14A26A0}" presName="imgShp" presStyleLbl="fgImgPlace1" presStyleIdx="0" presStyleCnt="1" custScaleX="123380" custScaleY="120837" custLinFactNeighborX="2586" custLinFactNeighborY="-15888"/>
      <dgm:spPr>
        <a:blipFill rotWithShape="0">
          <a:blip xmlns:r="http://schemas.openxmlformats.org/officeDocument/2006/relationships" r:embed="rId1"/>
          <a:stretch>
            <a:fillRect/>
          </a:stretch>
        </a:blipFill>
      </dgm:spPr>
      <dgm:t>
        <a:bodyPr/>
        <a:lstStyle/>
        <a:p>
          <a:endParaRPr lang="es-ES"/>
        </a:p>
      </dgm:t>
    </dgm:pt>
    <dgm:pt modelId="{8B5AD1B7-AE41-41F2-803E-1D524A64142F}" type="pres">
      <dgm:prSet presAssocID="{4E34757D-D9B0-4559-A45B-86D1B14A26A0}" presName="txShp" presStyleLbl="node1" presStyleIdx="0" presStyleCnt="1" custScaleX="150376" custScaleY="402147" custLinFactNeighborX="0" custLinFactNeighborY="0">
        <dgm:presLayoutVars>
          <dgm:bulletEnabled val="1"/>
        </dgm:presLayoutVars>
      </dgm:prSet>
      <dgm:spPr/>
      <dgm:t>
        <a:bodyPr/>
        <a:lstStyle/>
        <a:p>
          <a:endParaRPr lang="es-ES"/>
        </a:p>
      </dgm:t>
    </dgm:pt>
  </dgm:ptLst>
  <dgm:cxnLst>
    <dgm:cxn modelId="{1C51B7EB-73C7-4FC0-ACD7-B44C649A4182}" type="presOf" srcId="{9E6F775C-B32D-4263-AAFE-04431C3436FF}" destId="{8B5AD1B7-AE41-41F2-803E-1D524A64142F}" srcOrd="0" destOrd="7" presId="urn:microsoft.com/office/officeart/2005/8/layout/vList3#2"/>
    <dgm:cxn modelId="{6C95C934-1C6D-48D8-941A-8841BF49AF37}" type="presOf" srcId="{DACB4D75-9270-4A99-B2A4-48965EF1BF1A}" destId="{8B5AD1B7-AE41-41F2-803E-1D524A64142F}" srcOrd="0" destOrd="2" presId="urn:microsoft.com/office/officeart/2005/8/layout/vList3#2"/>
    <dgm:cxn modelId="{51AF977F-6B95-41D6-A790-C94F37E7AFE6}" type="presOf" srcId="{4250F9C4-48C9-4ED3-AA2F-1AB0B6466C83}" destId="{8B5AD1B7-AE41-41F2-803E-1D524A64142F}" srcOrd="0" destOrd="1" presId="urn:microsoft.com/office/officeart/2005/8/layout/vList3#2"/>
    <dgm:cxn modelId="{142D5246-8DD3-4744-B3C5-0E77B1BE423B}" srcId="{4E34757D-D9B0-4559-A45B-86D1B14A26A0}" destId="{DACB4D75-9270-4A99-B2A4-48965EF1BF1A}" srcOrd="1" destOrd="0" parTransId="{A5AD398F-0007-44A1-B40B-5A10E6A95B48}" sibTransId="{BAF03AFB-584D-4A6C-951F-BA00AD451A41}"/>
    <dgm:cxn modelId="{68392C9C-1C91-4EA9-88E6-10FFF7E374DF}" type="presOf" srcId="{1DB04322-E423-4EB7-B48D-A54D10FDAA3B}" destId="{8B5AD1B7-AE41-41F2-803E-1D524A64142F}" srcOrd="0" destOrd="6" presId="urn:microsoft.com/office/officeart/2005/8/layout/vList3#2"/>
    <dgm:cxn modelId="{07FE1FEE-2329-44CF-A81D-85D8D5919563}" srcId="{4E34757D-D9B0-4559-A45B-86D1B14A26A0}" destId="{1DB04322-E423-4EB7-B48D-A54D10FDAA3B}" srcOrd="5" destOrd="0" parTransId="{FEF6FF06-D44C-40A0-954E-C0AF9F28FA77}" sibTransId="{5685BAAE-2555-43B2-B767-3F14E300AAD4}"/>
    <dgm:cxn modelId="{AC24A326-4C12-4F72-B0B3-556F29924593}" srcId="{4E34757D-D9B0-4559-A45B-86D1B14A26A0}" destId="{FF0E0050-F4A7-4B89-9A59-EB2416113A9A}" srcOrd="2" destOrd="0" parTransId="{6DAB3A67-D6A2-47ED-BABA-2CE87B4C3165}" sibTransId="{A3E846F5-B7BF-4592-AA20-93FBF18B7B3C}"/>
    <dgm:cxn modelId="{26FE33B9-E08E-4CCB-ADA1-E947E7D05668}" srcId="{4E34757D-D9B0-4559-A45B-86D1B14A26A0}" destId="{9E6F775C-B32D-4263-AAFE-04431C3436FF}" srcOrd="6" destOrd="0" parTransId="{FC5799B4-0D07-4D4A-A085-9D05EE97CAB6}" sibTransId="{0B048CC8-8EC8-4828-8D0B-96D1648855CF}"/>
    <dgm:cxn modelId="{20252CEA-9CA1-40DD-A135-5E2A1D345870}" type="presOf" srcId="{4B4694CA-A399-4F6F-830D-C09BF865B2FE}" destId="{8B5AD1B7-AE41-41F2-803E-1D524A64142F}" srcOrd="0" destOrd="9" presId="urn:microsoft.com/office/officeart/2005/8/layout/vList3#2"/>
    <dgm:cxn modelId="{675FD88C-7113-404B-8411-D06ED69F5707}" srcId="{4E34757D-D9B0-4559-A45B-86D1B14A26A0}" destId="{B00C4757-141F-4458-B8A7-BE55BECBDCB5}" srcOrd="4" destOrd="0" parTransId="{F7FA3F54-11A1-4A35-AB78-ABD2E333E6FD}" sibTransId="{1634A8C3-9C3D-4C0A-8591-BA32CB2F4CEC}"/>
    <dgm:cxn modelId="{ADEA1927-7041-48FE-AD37-A39291C0B7A1}" srcId="{4E34757D-D9B0-4559-A45B-86D1B14A26A0}" destId="{4B4694CA-A399-4F6F-830D-C09BF865B2FE}" srcOrd="8" destOrd="0" parTransId="{3CB4F7B4-B5C2-4123-9E48-7F42CD5D0FFF}" sibTransId="{4452927E-D72B-4DEB-8B57-A085079F6552}"/>
    <dgm:cxn modelId="{56E59066-2908-454F-BA32-79AB912AC059}" type="presOf" srcId="{4E34757D-D9B0-4559-A45B-86D1B14A26A0}" destId="{8B5AD1B7-AE41-41F2-803E-1D524A64142F}" srcOrd="0" destOrd="0" presId="urn:microsoft.com/office/officeart/2005/8/layout/vList3#2"/>
    <dgm:cxn modelId="{A4C72FA9-43B6-4B9D-A2FD-FCFF812551F5}" srcId="{4E34757D-D9B0-4559-A45B-86D1B14A26A0}" destId="{4250F9C4-48C9-4ED3-AA2F-1AB0B6466C83}" srcOrd="0" destOrd="0" parTransId="{9C41FE76-8C80-46D3-8D32-0D43601CC6A1}" sibTransId="{C66B7C6D-114E-4A16-ACCE-8CB084692386}"/>
    <dgm:cxn modelId="{AC0212E8-F38D-4E4D-B29D-A86583BA0BE2}" type="presOf" srcId="{C3EB4FBF-9CB4-4D5D-AA25-F38F982CD521}" destId="{5A5A1140-3EA3-4998-833B-8FE1D475849B}" srcOrd="0" destOrd="0" presId="urn:microsoft.com/office/officeart/2005/8/layout/vList3#2"/>
    <dgm:cxn modelId="{5C0D9444-19BC-4F04-A5D4-462C1904E618}" type="presOf" srcId="{EEF40360-309A-42C1-B7D7-4A9DC7217E98}" destId="{8B5AD1B7-AE41-41F2-803E-1D524A64142F}" srcOrd="0" destOrd="8" presId="urn:microsoft.com/office/officeart/2005/8/layout/vList3#2"/>
    <dgm:cxn modelId="{92423920-581D-465F-82B7-C71C0F295842}" type="presOf" srcId="{FF0E0050-F4A7-4B89-9A59-EB2416113A9A}" destId="{8B5AD1B7-AE41-41F2-803E-1D524A64142F}" srcOrd="0" destOrd="3" presId="urn:microsoft.com/office/officeart/2005/8/layout/vList3#2"/>
    <dgm:cxn modelId="{D9EA40FB-D6FE-4B9F-A828-1E706D9F6F8E}" srcId="{4E34757D-D9B0-4559-A45B-86D1B14A26A0}" destId="{208C99C4-3005-4C04-AA39-B33CF486CF46}" srcOrd="3" destOrd="0" parTransId="{A7918A44-AB4B-4337-8D64-BDCB4E5FE904}" sibTransId="{160AF608-2107-4FD8-8B3B-60732A8F1B45}"/>
    <dgm:cxn modelId="{623CEFC4-04BC-4716-8FD1-0AED9ECBE86A}" srcId="{4E34757D-D9B0-4559-A45B-86D1B14A26A0}" destId="{EEF40360-309A-42C1-B7D7-4A9DC7217E98}" srcOrd="7" destOrd="0" parTransId="{13B2E977-B37B-480D-A2C1-DF407730143C}" sibTransId="{94F0A8A4-392B-46C0-B609-44FEB2A2D75C}"/>
    <dgm:cxn modelId="{88EAFE6E-1F6D-443D-8D9E-4B96B85124D7}" srcId="{C3EB4FBF-9CB4-4D5D-AA25-F38F982CD521}" destId="{4E34757D-D9B0-4559-A45B-86D1B14A26A0}" srcOrd="0" destOrd="0" parTransId="{F137C848-175E-4E40-AC4E-A291DF2D5801}" sibTransId="{3A860F4E-5E69-495E-A66A-8BE87EDE4602}"/>
    <dgm:cxn modelId="{414B2C96-C4F9-434B-94C8-A0E8056156B3}" type="presOf" srcId="{B00C4757-141F-4458-B8A7-BE55BECBDCB5}" destId="{8B5AD1B7-AE41-41F2-803E-1D524A64142F}" srcOrd="0" destOrd="5" presId="urn:microsoft.com/office/officeart/2005/8/layout/vList3#2"/>
    <dgm:cxn modelId="{B80DB37E-FB14-4EE8-B1B3-BF52DBA6F01D}" type="presOf" srcId="{208C99C4-3005-4C04-AA39-B33CF486CF46}" destId="{8B5AD1B7-AE41-41F2-803E-1D524A64142F}" srcOrd="0" destOrd="4" presId="urn:microsoft.com/office/officeart/2005/8/layout/vList3#2"/>
    <dgm:cxn modelId="{9B6FFCB3-7122-420D-9E56-53AD2A46D1B0}" type="presParOf" srcId="{5A5A1140-3EA3-4998-833B-8FE1D475849B}" destId="{FE89A026-D36D-4A36-91A9-61FE6D1DC956}" srcOrd="0" destOrd="0" presId="urn:microsoft.com/office/officeart/2005/8/layout/vList3#2"/>
    <dgm:cxn modelId="{42DD7F97-DD85-47EE-BF28-EC8B01EE6EA7}" type="presParOf" srcId="{FE89A026-D36D-4A36-91A9-61FE6D1DC956}" destId="{4842ED5B-4E86-48F3-80F3-92FA2A263DEF}" srcOrd="0" destOrd="0" presId="urn:microsoft.com/office/officeart/2005/8/layout/vList3#2"/>
    <dgm:cxn modelId="{2C486021-304F-4C50-969D-46B8E14C4507}" type="presParOf" srcId="{FE89A026-D36D-4A36-91A9-61FE6D1DC956}" destId="{8B5AD1B7-AE41-41F2-803E-1D524A64142F}" srcOrd="1" destOrd="0" presId="urn:microsoft.com/office/officeart/2005/8/layout/vList3#2"/>
  </dgm:cxnLst>
  <dgm:bg/>
  <dgm:whole/>
  <dgm:extLst>
    <a:ext uri="http://schemas.microsoft.com/office/drawing/2008/diagram">
      <dsp:dataModelExt xmlns:dsp="http://schemas.microsoft.com/office/drawing/2008/diagram" relId="rId114"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FC83F0F7-2574-492F-B69D-13A8A7761B64}" type="doc">
      <dgm:prSet loTypeId="urn:microsoft.com/office/officeart/2005/8/layout/vList3#3" loCatId="list" qsTypeId="urn:microsoft.com/office/officeart/2005/8/quickstyle/simple1" qsCatId="simple" csTypeId="urn:microsoft.com/office/officeart/2005/8/colors/accent0_1" csCatId="mainScheme" phldr="1"/>
      <dgm:spPr/>
      <dgm:t>
        <a:bodyPr/>
        <a:lstStyle/>
        <a:p>
          <a:endParaRPr lang="es-ES"/>
        </a:p>
      </dgm:t>
    </dgm:pt>
    <dgm:pt modelId="{2F16636E-91D7-40D9-BAD0-956445F96930}">
      <dgm:prSet phldrT="[Texto]" custT="1"/>
      <dgm:spPr/>
      <dgm:t>
        <a:bodyPr/>
        <a:lstStyle/>
        <a:p>
          <a:r>
            <a:rPr lang="es-ES" sz="1800"/>
            <a:t>3  Presentación</a:t>
          </a:r>
        </a:p>
      </dgm:t>
    </dgm:pt>
    <dgm:pt modelId="{935B870E-9D96-487B-BEC5-EFFF10997A44}" type="parTrans" cxnId="{A5259FA8-B784-4AC0-9915-A2D57E164E9D}">
      <dgm:prSet/>
      <dgm:spPr/>
      <dgm:t>
        <a:bodyPr/>
        <a:lstStyle/>
        <a:p>
          <a:endParaRPr lang="es-ES"/>
        </a:p>
      </dgm:t>
    </dgm:pt>
    <dgm:pt modelId="{08959362-96EB-4BB2-8F9E-65B2C2CE9A50}" type="sibTrans" cxnId="{A5259FA8-B784-4AC0-9915-A2D57E164E9D}">
      <dgm:prSet/>
      <dgm:spPr/>
      <dgm:t>
        <a:bodyPr/>
        <a:lstStyle/>
        <a:p>
          <a:endParaRPr lang="es-ES"/>
        </a:p>
      </dgm:t>
    </dgm:pt>
    <dgm:pt modelId="{99F04475-38BE-4667-AE77-D2A75045A89D}">
      <dgm:prSet phldrT="[Texto]" custT="1"/>
      <dgm:spPr/>
      <dgm:t>
        <a:bodyPr/>
        <a:lstStyle/>
        <a:p>
          <a:pPr algn="just"/>
          <a:endParaRPr lang="es-ES" sz="1100">
            <a:solidFill>
              <a:sysClr val="windowText" lastClr="000000"/>
            </a:solidFill>
          </a:endParaRPr>
        </a:p>
      </dgm:t>
    </dgm:pt>
    <dgm:pt modelId="{D2709E88-DE41-4940-9A71-414C20712FC9}" type="parTrans" cxnId="{D95FAAA6-6C0E-405F-89A6-EDCF896357DB}">
      <dgm:prSet/>
      <dgm:spPr/>
      <dgm:t>
        <a:bodyPr/>
        <a:lstStyle/>
        <a:p>
          <a:endParaRPr lang="es-ES"/>
        </a:p>
      </dgm:t>
    </dgm:pt>
    <dgm:pt modelId="{2BFB5DA7-5576-4863-AE80-D2C1E4DAE298}" type="sibTrans" cxnId="{D95FAAA6-6C0E-405F-89A6-EDCF896357DB}">
      <dgm:prSet/>
      <dgm:spPr/>
      <dgm:t>
        <a:bodyPr/>
        <a:lstStyle/>
        <a:p>
          <a:endParaRPr lang="es-ES"/>
        </a:p>
      </dgm:t>
    </dgm:pt>
    <dgm:pt modelId="{6F013B10-9E90-4625-9803-F55243A297A3}">
      <dgm:prSet phldrT="[Texto]" custT="1"/>
      <dgm:spPr/>
      <dgm:t>
        <a:bodyPr/>
        <a:lstStyle/>
        <a:p>
          <a:pPr algn="just"/>
          <a:r>
            <a:rPr lang="es-MX" sz="1100">
              <a:latin typeface="Arial" pitchFamily="34" charset="0"/>
              <a:cs typeface="Arial" pitchFamily="34" charset="0"/>
            </a:rPr>
            <a:t>De acuerdo a lo que establece la Constitución Política de la República de Guatemala en el artículo 183, literal j), corresponde dentro de las funciones del Presidente, someter al Congreso de la República, con 120 días de anticipación a la fecha en que principia el ejercicio fiscal, el proyecto de presupuesto que contenga en forma programática, el detalle de los ingresos y egresos del Estado.  Asimismo, en función del precepto constitucional indicado, la Ley Orgánica del Presupuesto, precisa en el artículo 23, que el Organismo Ejecutivo presentará el proyecto de presupuesto al Congreso de la República  más tardar el 2 de septiembre de cada año.</a:t>
          </a:r>
          <a:endParaRPr lang="es-ES" sz="1100"/>
        </a:p>
      </dgm:t>
    </dgm:pt>
    <dgm:pt modelId="{B4493F2C-F220-4D2B-9E73-1781E4C350EF}" type="parTrans" cxnId="{940FE5D5-5E2C-4D4D-8B87-B039887E9386}">
      <dgm:prSet/>
      <dgm:spPr/>
      <dgm:t>
        <a:bodyPr/>
        <a:lstStyle/>
        <a:p>
          <a:endParaRPr lang="es-ES"/>
        </a:p>
      </dgm:t>
    </dgm:pt>
    <dgm:pt modelId="{D3A23F39-535D-4101-B411-1F8332E27F86}" type="sibTrans" cxnId="{940FE5D5-5E2C-4D4D-8B87-B039887E9386}">
      <dgm:prSet/>
      <dgm:spPr/>
      <dgm:t>
        <a:bodyPr/>
        <a:lstStyle/>
        <a:p>
          <a:endParaRPr lang="es-ES"/>
        </a:p>
      </dgm:t>
    </dgm:pt>
    <dgm:pt modelId="{6F46F109-C91C-4ED4-BE23-C9FC6EB93A93}" type="pres">
      <dgm:prSet presAssocID="{FC83F0F7-2574-492F-B69D-13A8A7761B64}" presName="linearFlow" presStyleCnt="0">
        <dgm:presLayoutVars>
          <dgm:dir/>
          <dgm:resizeHandles val="exact"/>
        </dgm:presLayoutVars>
      </dgm:prSet>
      <dgm:spPr/>
      <dgm:t>
        <a:bodyPr/>
        <a:lstStyle/>
        <a:p>
          <a:endParaRPr lang="es-ES"/>
        </a:p>
      </dgm:t>
    </dgm:pt>
    <dgm:pt modelId="{DE5DDC22-D2D6-40B0-A8A2-AE4AACD071D7}" type="pres">
      <dgm:prSet presAssocID="{2F16636E-91D7-40D9-BAD0-956445F96930}" presName="composite" presStyleCnt="0"/>
      <dgm:spPr/>
      <dgm:t>
        <a:bodyPr/>
        <a:lstStyle/>
        <a:p>
          <a:endParaRPr lang="es-GT"/>
        </a:p>
      </dgm:t>
    </dgm:pt>
    <dgm:pt modelId="{13B76734-816D-4C18-A6D1-1021A6D3B998}" type="pres">
      <dgm:prSet presAssocID="{2F16636E-91D7-40D9-BAD0-956445F96930}" presName="imgShp" presStyleLbl="fgImgPlace1" presStyleIdx="0" presStyleCnt="1" custScaleX="71159" custScaleY="77889" custLinFactNeighborX="-17655" custLinFactNeighborY="-1558"/>
      <dgm:spPr>
        <a:blipFill rotWithShape="0">
          <a:blip xmlns:r="http://schemas.openxmlformats.org/officeDocument/2006/relationships" r:embed="rId1"/>
          <a:stretch>
            <a:fillRect/>
          </a:stretch>
        </a:blipFill>
      </dgm:spPr>
      <dgm:t>
        <a:bodyPr/>
        <a:lstStyle/>
        <a:p>
          <a:endParaRPr lang="es-ES"/>
        </a:p>
      </dgm:t>
    </dgm:pt>
    <dgm:pt modelId="{3987518D-88D2-475B-AA77-005F874FCDB2}" type="pres">
      <dgm:prSet presAssocID="{2F16636E-91D7-40D9-BAD0-956445F96930}" presName="txShp" presStyleLbl="node1" presStyleIdx="0" presStyleCnt="1" custScaleX="150376" custScaleY="145250" custLinFactNeighborX="261" custLinFactNeighborY="-9856">
        <dgm:presLayoutVars>
          <dgm:bulletEnabled val="1"/>
        </dgm:presLayoutVars>
      </dgm:prSet>
      <dgm:spPr/>
      <dgm:t>
        <a:bodyPr/>
        <a:lstStyle/>
        <a:p>
          <a:endParaRPr lang="es-ES"/>
        </a:p>
      </dgm:t>
    </dgm:pt>
  </dgm:ptLst>
  <dgm:cxnLst>
    <dgm:cxn modelId="{A5259FA8-B784-4AC0-9915-A2D57E164E9D}" srcId="{FC83F0F7-2574-492F-B69D-13A8A7761B64}" destId="{2F16636E-91D7-40D9-BAD0-956445F96930}" srcOrd="0" destOrd="0" parTransId="{935B870E-9D96-487B-BEC5-EFFF10997A44}" sibTransId="{08959362-96EB-4BB2-8F9E-65B2C2CE9A50}"/>
    <dgm:cxn modelId="{C2D1A30A-1E14-48C3-8396-E88AF28836E4}" type="presOf" srcId="{2F16636E-91D7-40D9-BAD0-956445F96930}" destId="{3987518D-88D2-475B-AA77-005F874FCDB2}" srcOrd="0" destOrd="0" presId="urn:microsoft.com/office/officeart/2005/8/layout/vList3#3"/>
    <dgm:cxn modelId="{9E2D28F6-FEEB-4FA8-9293-47B33D4A5468}" type="presOf" srcId="{FC83F0F7-2574-492F-B69D-13A8A7761B64}" destId="{6F46F109-C91C-4ED4-BE23-C9FC6EB93A93}" srcOrd="0" destOrd="0" presId="urn:microsoft.com/office/officeart/2005/8/layout/vList3#3"/>
    <dgm:cxn modelId="{228D839A-F156-410A-B925-9EAB456269C4}" type="presOf" srcId="{6F013B10-9E90-4625-9803-F55243A297A3}" destId="{3987518D-88D2-475B-AA77-005F874FCDB2}" srcOrd="0" destOrd="1" presId="urn:microsoft.com/office/officeart/2005/8/layout/vList3#3"/>
    <dgm:cxn modelId="{940FE5D5-5E2C-4D4D-8B87-B039887E9386}" srcId="{2F16636E-91D7-40D9-BAD0-956445F96930}" destId="{6F013B10-9E90-4625-9803-F55243A297A3}" srcOrd="0" destOrd="0" parTransId="{B4493F2C-F220-4D2B-9E73-1781E4C350EF}" sibTransId="{D3A23F39-535D-4101-B411-1F8332E27F86}"/>
    <dgm:cxn modelId="{1031D667-BADB-4267-9899-4BFC9256BCA7}" type="presOf" srcId="{99F04475-38BE-4667-AE77-D2A75045A89D}" destId="{3987518D-88D2-475B-AA77-005F874FCDB2}" srcOrd="0" destOrd="2" presId="urn:microsoft.com/office/officeart/2005/8/layout/vList3#3"/>
    <dgm:cxn modelId="{D95FAAA6-6C0E-405F-89A6-EDCF896357DB}" srcId="{2F16636E-91D7-40D9-BAD0-956445F96930}" destId="{99F04475-38BE-4667-AE77-D2A75045A89D}" srcOrd="1" destOrd="0" parTransId="{D2709E88-DE41-4940-9A71-414C20712FC9}" sibTransId="{2BFB5DA7-5576-4863-AE80-D2C1E4DAE298}"/>
    <dgm:cxn modelId="{1446CC30-B6BC-47DD-93BC-89C71D32D21A}" type="presParOf" srcId="{6F46F109-C91C-4ED4-BE23-C9FC6EB93A93}" destId="{DE5DDC22-D2D6-40B0-A8A2-AE4AACD071D7}" srcOrd="0" destOrd="0" presId="urn:microsoft.com/office/officeart/2005/8/layout/vList3#3"/>
    <dgm:cxn modelId="{4AAF678B-CA5F-4522-9DFA-A8A94BAE9CAD}" type="presParOf" srcId="{DE5DDC22-D2D6-40B0-A8A2-AE4AACD071D7}" destId="{13B76734-816D-4C18-A6D1-1021A6D3B998}" srcOrd="0" destOrd="0" presId="urn:microsoft.com/office/officeart/2005/8/layout/vList3#3"/>
    <dgm:cxn modelId="{6D864D42-3969-48D4-AFBC-51F19ED22E1A}" type="presParOf" srcId="{DE5DDC22-D2D6-40B0-A8A2-AE4AACD071D7}" destId="{3987518D-88D2-475B-AA77-005F874FCDB2}" srcOrd="1" destOrd="0" presId="urn:microsoft.com/office/officeart/2005/8/layout/vList3#3"/>
  </dgm:cxnLst>
  <dgm:bg/>
  <dgm:whole/>
  <dgm:extLst>
    <a:ext uri="http://schemas.microsoft.com/office/drawing/2008/diagram">
      <dsp:dataModelExt xmlns:dsp="http://schemas.microsoft.com/office/drawing/2008/diagram" relId="rId119"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7C44629C-C9AF-4609-977C-6FB7D750FE75}" type="doc">
      <dgm:prSet loTypeId="urn:microsoft.com/office/officeart/2005/8/layout/vList3#4" loCatId="list" qsTypeId="urn:microsoft.com/office/officeart/2005/8/quickstyle/simple1" qsCatId="simple" csTypeId="urn:microsoft.com/office/officeart/2005/8/colors/accent0_1" csCatId="mainScheme" phldr="1"/>
      <dgm:spPr/>
      <dgm:t>
        <a:bodyPr/>
        <a:lstStyle/>
        <a:p>
          <a:endParaRPr lang="es-ES"/>
        </a:p>
      </dgm:t>
    </dgm:pt>
    <dgm:pt modelId="{8A948AEA-32E3-4DCF-BAEE-0E79E56C1F2C}">
      <dgm:prSet phldrT="[Texto]" custT="1"/>
      <dgm:spPr/>
      <dgm:t>
        <a:bodyPr/>
        <a:lstStyle/>
        <a:p>
          <a:endParaRPr lang="es-ES" sz="1800"/>
        </a:p>
        <a:p>
          <a:r>
            <a:rPr lang="es-ES" sz="1800"/>
            <a:t>       4   Aprobación</a:t>
          </a:r>
        </a:p>
      </dgm:t>
    </dgm:pt>
    <dgm:pt modelId="{F69B4268-6884-453A-8F24-6195B14F48F9}" type="parTrans" cxnId="{77AD4AA3-E427-4B8B-A4FF-1EF96BF77FC6}">
      <dgm:prSet/>
      <dgm:spPr/>
      <dgm:t>
        <a:bodyPr/>
        <a:lstStyle/>
        <a:p>
          <a:endParaRPr lang="es-ES"/>
        </a:p>
      </dgm:t>
    </dgm:pt>
    <dgm:pt modelId="{67266CCC-EDC0-41F0-9E17-72844F59B183}" type="sibTrans" cxnId="{77AD4AA3-E427-4B8B-A4FF-1EF96BF77FC6}">
      <dgm:prSet/>
      <dgm:spPr/>
      <dgm:t>
        <a:bodyPr/>
        <a:lstStyle/>
        <a:p>
          <a:endParaRPr lang="es-ES"/>
        </a:p>
      </dgm:t>
    </dgm:pt>
    <dgm:pt modelId="{B7265415-746F-4BF2-A421-1E14BED40D6B}">
      <dgm:prSet phldrT="[Texto]" custT="1"/>
      <dgm:spPr/>
      <dgm:t>
        <a:bodyPr/>
        <a:lstStyle/>
        <a:p>
          <a:pPr algn="just"/>
          <a:r>
            <a:rPr lang="es-MX" sz="1100">
              <a:latin typeface="Arial" pitchFamily="34" charset="0"/>
              <a:cs typeface="Arial" pitchFamily="34" charset="0"/>
            </a:rPr>
            <a:t>Esta etapa inicia el 2 de septiembre y concluye el 30 de noviembre de cada año(*), período en que el Congreso de la República de acuerdo a la ley, debe aprobar o no, el presupuesto de la nación.</a:t>
          </a:r>
          <a:endParaRPr lang="es-ES" sz="1100">
            <a:latin typeface="Arial" pitchFamily="34" charset="0"/>
            <a:cs typeface="Arial" pitchFamily="34" charset="0"/>
          </a:endParaRPr>
        </a:p>
      </dgm:t>
    </dgm:pt>
    <dgm:pt modelId="{37B1B70D-A543-44AA-8B6F-8E05518FB4C8}" type="parTrans" cxnId="{94A1EDBC-609D-4DCB-96B1-73D8B82B5DF5}">
      <dgm:prSet/>
      <dgm:spPr/>
      <dgm:t>
        <a:bodyPr/>
        <a:lstStyle/>
        <a:p>
          <a:endParaRPr lang="es-ES"/>
        </a:p>
      </dgm:t>
    </dgm:pt>
    <dgm:pt modelId="{67AC1FE6-C3AE-4CD4-BFB9-4CB9AE6641CE}" type="sibTrans" cxnId="{94A1EDBC-609D-4DCB-96B1-73D8B82B5DF5}">
      <dgm:prSet/>
      <dgm:spPr/>
      <dgm:t>
        <a:bodyPr/>
        <a:lstStyle/>
        <a:p>
          <a:endParaRPr lang="es-ES"/>
        </a:p>
      </dgm:t>
    </dgm:pt>
    <dgm:pt modelId="{95022C3D-8F15-4213-9AC9-55FD1823CD95}">
      <dgm:prSet phldrT="[Texto]" custT="1"/>
      <dgm:spPr/>
      <dgm:t>
        <a:bodyPr/>
        <a:lstStyle/>
        <a:p>
          <a:pPr algn="just"/>
          <a:r>
            <a:rPr lang="es-MX" sz="1100">
              <a:latin typeface="Arial" pitchFamily="34" charset="0"/>
              <a:cs typeface="Arial" pitchFamily="34" charset="0"/>
            </a:rPr>
            <a:t>(*) La Constitución Política de la República indica en el artículo 171, literal b) como una de las funciones del Congreso, la de aprobar, modificar o improbar a más tardar 30 días antes de entrar en vigencia el presupuesto de ingresos y egresos del Estado, es decir, el último día de noviembre.</a:t>
          </a:r>
          <a:endParaRPr lang="es-ES" sz="1100">
            <a:latin typeface="Arial" pitchFamily="34" charset="0"/>
            <a:cs typeface="Arial" pitchFamily="34" charset="0"/>
          </a:endParaRPr>
        </a:p>
      </dgm:t>
    </dgm:pt>
    <dgm:pt modelId="{56326C13-E448-41E1-A85C-0C204484C368}" type="parTrans" cxnId="{F8C0F891-0D7E-461B-84CC-3F31546563BB}">
      <dgm:prSet/>
      <dgm:spPr/>
      <dgm:t>
        <a:bodyPr/>
        <a:lstStyle/>
        <a:p>
          <a:endParaRPr lang="es-ES"/>
        </a:p>
      </dgm:t>
    </dgm:pt>
    <dgm:pt modelId="{5F612A6B-7836-4205-8807-B61EC7448A29}" type="sibTrans" cxnId="{F8C0F891-0D7E-461B-84CC-3F31546563BB}">
      <dgm:prSet/>
      <dgm:spPr/>
      <dgm:t>
        <a:bodyPr/>
        <a:lstStyle/>
        <a:p>
          <a:endParaRPr lang="es-ES"/>
        </a:p>
      </dgm:t>
    </dgm:pt>
    <dgm:pt modelId="{566769B5-A335-4C64-AB87-75667DF909B4}">
      <dgm:prSet phldrT="[Texto]" custT="1"/>
      <dgm:spPr/>
      <dgm:t>
        <a:bodyPr/>
        <a:lstStyle/>
        <a:p>
          <a:pPr algn="just"/>
          <a:endParaRPr lang="es-ES" sz="1100">
            <a:latin typeface="Arial" pitchFamily="34" charset="0"/>
            <a:cs typeface="Arial" pitchFamily="34" charset="0"/>
          </a:endParaRPr>
        </a:p>
      </dgm:t>
    </dgm:pt>
    <dgm:pt modelId="{5776BD13-AD59-4F7A-B660-A9117164F709}" type="parTrans" cxnId="{C58B2430-A38F-474A-9798-F204230435B0}">
      <dgm:prSet/>
      <dgm:spPr/>
      <dgm:t>
        <a:bodyPr/>
        <a:lstStyle/>
        <a:p>
          <a:endParaRPr lang="es-ES"/>
        </a:p>
      </dgm:t>
    </dgm:pt>
    <dgm:pt modelId="{8C12F742-B25C-4F94-96A1-69D9B6C30165}" type="sibTrans" cxnId="{C58B2430-A38F-474A-9798-F204230435B0}">
      <dgm:prSet/>
      <dgm:spPr/>
      <dgm:t>
        <a:bodyPr/>
        <a:lstStyle/>
        <a:p>
          <a:endParaRPr lang="es-ES"/>
        </a:p>
      </dgm:t>
    </dgm:pt>
    <dgm:pt modelId="{4E86D5A6-E971-4AFB-97EF-2BD1491EBABF}">
      <dgm:prSet phldrT="[Texto]" custT="1"/>
      <dgm:spPr/>
      <dgm:t>
        <a:bodyPr/>
        <a:lstStyle/>
        <a:p>
          <a:pPr algn="just"/>
          <a:r>
            <a:rPr lang="es-MX" sz="1100">
              <a:latin typeface="Arial" pitchFamily="34" charset="0"/>
              <a:cs typeface="Arial" pitchFamily="34" charset="0"/>
            </a:rPr>
            <a:t>Una vez presentado el proyecto de presupuesto al Congreso de la República, la Comisión de Finanzas Públicas y Moneda de ese organismo, realiza las reuniones de discusión y análisis del proyecto de presupuesto que considere conveniente, y emite el dictamen correspondiente con el cual traslada el proyecto al pleno del Congreso, quien de acuerdo a sus atribuciones contenidas en la Constitución Política de la República de Guatemala, lo aprueba, imprueba o modifica.  Si lo aprueba emite el Decreto de aprobación del Presupuesto General de Ingresos y Egresos del Estado para el ejercicio fiscal correspondiente, de no aprobarlo, entra a regir el presupuesto en vigencia del año anterior.  El Decreto además, contempla normas o disposiciones legales relativas a la ejecución presupuestaria las cuales son complementarias a las que establece la Ley Orgánica del Presupuesto.</a:t>
          </a:r>
          <a:endParaRPr lang="es-ES" sz="1100">
            <a:latin typeface="Arial Narrow" pitchFamily="34" charset="0"/>
            <a:cs typeface="Arial" pitchFamily="34" charset="0"/>
          </a:endParaRPr>
        </a:p>
      </dgm:t>
    </dgm:pt>
    <dgm:pt modelId="{BF468D02-B054-4670-BD75-207ADE7BE4C0}" type="parTrans" cxnId="{A405E8A2-1658-4FCC-B238-191B9255C98B}">
      <dgm:prSet/>
      <dgm:spPr/>
      <dgm:t>
        <a:bodyPr/>
        <a:lstStyle/>
        <a:p>
          <a:endParaRPr lang="es-ES"/>
        </a:p>
      </dgm:t>
    </dgm:pt>
    <dgm:pt modelId="{F0685833-9A3B-47AD-8E7C-E32DC5DB3C72}" type="sibTrans" cxnId="{A405E8A2-1658-4FCC-B238-191B9255C98B}">
      <dgm:prSet/>
      <dgm:spPr/>
      <dgm:t>
        <a:bodyPr/>
        <a:lstStyle/>
        <a:p>
          <a:endParaRPr lang="es-ES"/>
        </a:p>
      </dgm:t>
    </dgm:pt>
    <dgm:pt modelId="{CEFC4AE7-21AA-40F1-B38C-826C5A95BBDD}">
      <dgm:prSet phldrT="[Texto]" custT="1"/>
      <dgm:spPr/>
      <dgm:t>
        <a:bodyPr/>
        <a:lstStyle/>
        <a:p>
          <a:pPr algn="just"/>
          <a:endParaRPr lang="es-ES" sz="1100">
            <a:latin typeface="Arial" pitchFamily="34" charset="0"/>
            <a:cs typeface="Arial" pitchFamily="34" charset="0"/>
          </a:endParaRPr>
        </a:p>
      </dgm:t>
    </dgm:pt>
    <dgm:pt modelId="{B00EB497-E9E4-4103-A750-8F4174091E63}" type="parTrans" cxnId="{DEBE7996-C95E-4B40-9D58-37DCF93C528F}">
      <dgm:prSet/>
      <dgm:spPr/>
      <dgm:t>
        <a:bodyPr/>
        <a:lstStyle/>
        <a:p>
          <a:endParaRPr lang="es-ES"/>
        </a:p>
      </dgm:t>
    </dgm:pt>
    <dgm:pt modelId="{F174E3F7-2396-4290-BCF7-7155CD85C2AF}" type="sibTrans" cxnId="{DEBE7996-C95E-4B40-9D58-37DCF93C528F}">
      <dgm:prSet/>
      <dgm:spPr/>
      <dgm:t>
        <a:bodyPr/>
        <a:lstStyle/>
        <a:p>
          <a:endParaRPr lang="es-ES"/>
        </a:p>
      </dgm:t>
    </dgm:pt>
    <dgm:pt modelId="{B6357163-CD8D-4ED6-965F-0A6C6CF990C5}">
      <dgm:prSet phldrT="[Texto]" custT="1"/>
      <dgm:spPr/>
      <dgm:t>
        <a:bodyPr/>
        <a:lstStyle/>
        <a:p>
          <a:pPr algn="just"/>
          <a:endParaRPr lang="es-ES" sz="1100">
            <a:latin typeface="Arial" pitchFamily="34" charset="0"/>
            <a:cs typeface="Arial" pitchFamily="34" charset="0"/>
          </a:endParaRPr>
        </a:p>
      </dgm:t>
    </dgm:pt>
    <dgm:pt modelId="{8C963BA3-D64D-49F0-90DF-07803DC5A9DD}" type="parTrans" cxnId="{DA1E58FC-EDF5-4C0F-91AA-97741DD2CEFC}">
      <dgm:prSet/>
      <dgm:spPr/>
      <dgm:t>
        <a:bodyPr/>
        <a:lstStyle/>
        <a:p>
          <a:endParaRPr lang="es-ES"/>
        </a:p>
      </dgm:t>
    </dgm:pt>
    <dgm:pt modelId="{ADAF48F3-8E35-4ECD-B378-B5D9AF0D239F}" type="sibTrans" cxnId="{DA1E58FC-EDF5-4C0F-91AA-97741DD2CEFC}">
      <dgm:prSet/>
      <dgm:spPr/>
      <dgm:t>
        <a:bodyPr/>
        <a:lstStyle/>
        <a:p>
          <a:endParaRPr lang="es-ES"/>
        </a:p>
      </dgm:t>
    </dgm:pt>
    <dgm:pt modelId="{D2808C51-E91D-4E52-9B6A-32847440087C}" type="pres">
      <dgm:prSet presAssocID="{7C44629C-C9AF-4609-977C-6FB7D750FE75}" presName="linearFlow" presStyleCnt="0">
        <dgm:presLayoutVars>
          <dgm:dir/>
          <dgm:resizeHandles val="exact"/>
        </dgm:presLayoutVars>
      </dgm:prSet>
      <dgm:spPr/>
      <dgm:t>
        <a:bodyPr/>
        <a:lstStyle/>
        <a:p>
          <a:endParaRPr lang="es-ES"/>
        </a:p>
      </dgm:t>
    </dgm:pt>
    <dgm:pt modelId="{E8D02655-DF72-4FE0-8E26-7921DCADCFD1}" type="pres">
      <dgm:prSet presAssocID="{8A948AEA-32E3-4DCF-BAEE-0E79E56C1F2C}" presName="composite" presStyleCnt="0"/>
      <dgm:spPr/>
      <dgm:t>
        <a:bodyPr/>
        <a:lstStyle/>
        <a:p>
          <a:endParaRPr lang="es-GT"/>
        </a:p>
      </dgm:t>
    </dgm:pt>
    <dgm:pt modelId="{DDEC06A1-AAA8-4BBB-9C48-00E85118E039}" type="pres">
      <dgm:prSet presAssocID="{8A948AEA-32E3-4DCF-BAEE-0E79E56C1F2C}" presName="imgShp" presStyleLbl="fgImgPlace1" presStyleIdx="0" presStyleCnt="1" custScaleX="128222" custScaleY="185440" custLinFactNeighborX="2633"/>
      <dgm:spPr>
        <a:blipFill rotWithShape="0">
          <a:blip xmlns:r="http://schemas.openxmlformats.org/officeDocument/2006/relationships" r:embed="rId1"/>
          <a:stretch>
            <a:fillRect/>
          </a:stretch>
        </a:blipFill>
      </dgm:spPr>
      <dgm:t>
        <a:bodyPr/>
        <a:lstStyle/>
        <a:p>
          <a:endParaRPr lang="es-ES"/>
        </a:p>
      </dgm:t>
    </dgm:pt>
    <dgm:pt modelId="{4FF4823B-6D31-45D8-ADA8-9A6AC027DE34}" type="pres">
      <dgm:prSet presAssocID="{8A948AEA-32E3-4DCF-BAEE-0E79E56C1F2C}" presName="txShp" presStyleLbl="node1" presStyleIdx="0" presStyleCnt="1" custScaleX="150376" custScaleY="391655" custLinFactNeighborX="647" custLinFactNeighborY="-47">
        <dgm:presLayoutVars>
          <dgm:bulletEnabled val="1"/>
        </dgm:presLayoutVars>
      </dgm:prSet>
      <dgm:spPr/>
      <dgm:t>
        <a:bodyPr/>
        <a:lstStyle/>
        <a:p>
          <a:endParaRPr lang="es-ES"/>
        </a:p>
      </dgm:t>
    </dgm:pt>
  </dgm:ptLst>
  <dgm:cxnLst>
    <dgm:cxn modelId="{DA1E58FC-EDF5-4C0F-91AA-97741DD2CEFC}" srcId="{8A948AEA-32E3-4DCF-BAEE-0E79E56C1F2C}" destId="{B6357163-CD8D-4ED6-965F-0A6C6CF990C5}" srcOrd="5" destOrd="0" parTransId="{8C963BA3-D64D-49F0-90DF-07803DC5A9DD}" sibTransId="{ADAF48F3-8E35-4ECD-B378-B5D9AF0D239F}"/>
    <dgm:cxn modelId="{DEBE7996-C95E-4B40-9D58-37DCF93C528F}" srcId="{8A948AEA-32E3-4DCF-BAEE-0E79E56C1F2C}" destId="{CEFC4AE7-21AA-40F1-B38C-826C5A95BBDD}" srcOrd="1" destOrd="0" parTransId="{B00EB497-E9E4-4103-A750-8F4174091E63}" sibTransId="{F174E3F7-2396-4290-BCF7-7155CD85C2AF}"/>
    <dgm:cxn modelId="{EBED3B9D-C4EF-4C6C-8D8E-91871B5E036C}" type="presOf" srcId="{95022C3D-8F15-4213-9AC9-55FD1823CD95}" destId="{4FF4823B-6D31-45D8-ADA8-9A6AC027DE34}" srcOrd="0" destOrd="5" presId="urn:microsoft.com/office/officeart/2005/8/layout/vList3#4"/>
    <dgm:cxn modelId="{77AD4AA3-E427-4B8B-A4FF-1EF96BF77FC6}" srcId="{7C44629C-C9AF-4609-977C-6FB7D750FE75}" destId="{8A948AEA-32E3-4DCF-BAEE-0E79E56C1F2C}" srcOrd="0" destOrd="0" parTransId="{F69B4268-6884-453A-8F24-6195B14F48F9}" sibTransId="{67266CCC-EDC0-41F0-9E17-72844F59B183}"/>
    <dgm:cxn modelId="{4FDFFB7E-0AE2-416F-8C5B-C9B2A8CDC09B}" type="presOf" srcId="{B7265415-746F-4BF2-A421-1E14BED40D6B}" destId="{4FF4823B-6D31-45D8-ADA8-9A6AC027DE34}" srcOrd="0" destOrd="3" presId="urn:microsoft.com/office/officeart/2005/8/layout/vList3#4"/>
    <dgm:cxn modelId="{5F74F346-940E-4900-AA69-77CF3E137A49}" type="presOf" srcId="{7C44629C-C9AF-4609-977C-6FB7D750FE75}" destId="{D2808C51-E91D-4E52-9B6A-32847440087C}" srcOrd="0" destOrd="0" presId="urn:microsoft.com/office/officeart/2005/8/layout/vList3#4"/>
    <dgm:cxn modelId="{C91278D1-B744-4D3B-B94E-81352A7BBB51}" type="presOf" srcId="{566769B5-A335-4C64-AB87-75667DF909B4}" destId="{4FF4823B-6D31-45D8-ADA8-9A6AC027DE34}" srcOrd="0" destOrd="4" presId="urn:microsoft.com/office/officeart/2005/8/layout/vList3#4"/>
    <dgm:cxn modelId="{F8C0F891-0D7E-461B-84CC-3F31546563BB}" srcId="{8A948AEA-32E3-4DCF-BAEE-0E79E56C1F2C}" destId="{95022C3D-8F15-4213-9AC9-55FD1823CD95}" srcOrd="4" destOrd="0" parTransId="{56326C13-E448-41E1-A85C-0C204484C368}" sibTransId="{5F612A6B-7836-4205-8807-B61EC7448A29}"/>
    <dgm:cxn modelId="{FA696EC0-1DEE-4B9F-9002-5165DF3083E3}" type="presOf" srcId="{8A948AEA-32E3-4DCF-BAEE-0E79E56C1F2C}" destId="{4FF4823B-6D31-45D8-ADA8-9A6AC027DE34}" srcOrd="0" destOrd="0" presId="urn:microsoft.com/office/officeart/2005/8/layout/vList3#4"/>
    <dgm:cxn modelId="{C58B2430-A38F-474A-9798-F204230435B0}" srcId="{8A948AEA-32E3-4DCF-BAEE-0E79E56C1F2C}" destId="{566769B5-A335-4C64-AB87-75667DF909B4}" srcOrd="3" destOrd="0" parTransId="{5776BD13-AD59-4F7A-B660-A9117164F709}" sibTransId="{8C12F742-B25C-4F94-96A1-69D9B6C30165}"/>
    <dgm:cxn modelId="{322377E4-31EE-4C0E-9EDB-358246A7582D}" type="presOf" srcId="{B6357163-CD8D-4ED6-965F-0A6C6CF990C5}" destId="{4FF4823B-6D31-45D8-ADA8-9A6AC027DE34}" srcOrd="0" destOrd="6" presId="urn:microsoft.com/office/officeart/2005/8/layout/vList3#4"/>
    <dgm:cxn modelId="{94A1EDBC-609D-4DCB-96B1-73D8B82B5DF5}" srcId="{8A948AEA-32E3-4DCF-BAEE-0E79E56C1F2C}" destId="{B7265415-746F-4BF2-A421-1E14BED40D6B}" srcOrd="2" destOrd="0" parTransId="{37B1B70D-A543-44AA-8B6F-8E05518FB4C8}" sibTransId="{67AC1FE6-C3AE-4CD4-BFB9-4CB9AE6641CE}"/>
    <dgm:cxn modelId="{74636801-F633-48ED-A5A0-E4B8592CC3CB}" type="presOf" srcId="{4E86D5A6-E971-4AFB-97EF-2BD1491EBABF}" destId="{4FF4823B-6D31-45D8-ADA8-9A6AC027DE34}" srcOrd="0" destOrd="1" presId="urn:microsoft.com/office/officeart/2005/8/layout/vList3#4"/>
    <dgm:cxn modelId="{185788F0-A5AD-4580-A521-182F408E1EB4}" type="presOf" srcId="{CEFC4AE7-21AA-40F1-B38C-826C5A95BBDD}" destId="{4FF4823B-6D31-45D8-ADA8-9A6AC027DE34}" srcOrd="0" destOrd="2" presId="urn:microsoft.com/office/officeart/2005/8/layout/vList3#4"/>
    <dgm:cxn modelId="{A405E8A2-1658-4FCC-B238-191B9255C98B}" srcId="{8A948AEA-32E3-4DCF-BAEE-0E79E56C1F2C}" destId="{4E86D5A6-E971-4AFB-97EF-2BD1491EBABF}" srcOrd="0" destOrd="0" parTransId="{BF468D02-B054-4670-BD75-207ADE7BE4C0}" sibTransId="{F0685833-9A3B-47AD-8E7C-E32DC5DB3C72}"/>
    <dgm:cxn modelId="{D0E95195-BA9E-4CD1-AF59-A77981F18B41}" type="presParOf" srcId="{D2808C51-E91D-4E52-9B6A-32847440087C}" destId="{E8D02655-DF72-4FE0-8E26-7921DCADCFD1}" srcOrd="0" destOrd="0" presId="urn:microsoft.com/office/officeart/2005/8/layout/vList3#4"/>
    <dgm:cxn modelId="{51D3E8A8-4BB1-430B-8616-033772D35616}" type="presParOf" srcId="{E8D02655-DF72-4FE0-8E26-7921DCADCFD1}" destId="{DDEC06A1-AAA8-4BBB-9C48-00E85118E039}" srcOrd="0" destOrd="0" presId="urn:microsoft.com/office/officeart/2005/8/layout/vList3#4"/>
    <dgm:cxn modelId="{F261C63C-A56E-43C4-A879-576D8E5C517B}" type="presParOf" srcId="{E8D02655-DF72-4FE0-8E26-7921DCADCFD1}" destId="{4FF4823B-6D31-45D8-ADA8-9A6AC027DE34}" srcOrd="1" destOrd="0" presId="urn:microsoft.com/office/officeart/2005/8/layout/vList3#4"/>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29F529EA-1C59-4D5F-B025-62A95276340A}" type="doc">
      <dgm:prSet loTypeId="urn:microsoft.com/office/officeart/2005/8/layout/vList3#5" loCatId="list" qsTypeId="urn:microsoft.com/office/officeart/2005/8/quickstyle/simple1" qsCatId="simple" csTypeId="urn:microsoft.com/office/officeart/2005/8/colors/accent0_1" csCatId="mainScheme" phldr="1"/>
      <dgm:spPr/>
      <dgm:t>
        <a:bodyPr/>
        <a:lstStyle/>
        <a:p>
          <a:endParaRPr lang="es-ES"/>
        </a:p>
      </dgm:t>
    </dgm:pt>
    <dgm:pt modelId="{3296249C-D6EC-45C1-AF09-11D4397DAD00}">
      <dgm:prSet phldrT="[Texto]" custT="1"/>
      <dgm:spPr/>
      <dgm:t>
        <a:bodyPr/>
        <a:lstStyle/>
        <a:p>
          <a:r>
            <a:rPr lang="es-ES" sz="1800"/>
            <a:t>            5  Ejecución</a:t>
          </a:r>
        </a:p>
      </dgm:t>
    </dgm:pt>
    <dgm:pt modelId="{A872EB6C-543B-4B95-9DBE-A2B9B565BF0C}" type="parTrans" cxnId="{45BF57B8-E058-473E-8FB0-E7DE3887344A}">
      <dgm:prSet/>
      <dgm:spPr/>
      <dgm:t>
        <a:bodyPr/>
        <a:lstStyle/>
        <a:p>
          <a:endParaRPr lang="es-ES"/>
        </a:p>
      </dgm:t>
    </dgm:pt>
    <dgm:pt modelId="{24F9CE0F-EC51-4198-BF62-25F0C845A6B0}" type="sibTrans" cxnId="{45BF57B8-E058-473E-8FB0-E7DE3887344A}">
      <dgm:prSet/>
      <dgm:spPr/>
      <dgm:t>
        <a:bodyPr/>
        <a:lstStyle/>
        <a:p>
          <a:endParaRPr lang="es-ES"/>
        </a:p>
      </dgm:t>
    </dgm:pt>
    <dgm:pt modelId="{82584DEB-0F35-42E4-BFA8-0D0DDD918279}">
      <dgm:prSet phldrT="[Texto]" custT="1"/>
      <dgm:spPr/>
      <dgm:t>
        <a:bodyPr/>
        <a:lstStyle/>
        <a:p>
          <a:pPr algn="just"/>
          <a:r>
            <a:rPr lang="es-MX" sz="1100">
              <a:latin typeface="Arial" pitchFamily="34" charset="0"/>
              <a:cs typeface="Arial" pitchFamily="34" charset="0"/>
            </a:rPr>
            <a:t>Una vez que el Congreso de la República ha emitido el Decreto que contiene la Ley del Presupuesto General de Ingresos y Egresos del Estado para el año correspondiente, inicia la etapa de ejecución presupuestaria, que no es más que el conjunto de acciones que las instituciones realizan para llevar a cabo sus planes de trabajo, traducidos éstos en resultados, programas, alcance de metas.  Para ello realizan la compra de los bienes y la contratación de servicios llamados insumos, que son necesarios en la prestación de los servicios que se brindan a la población.</a:t>
          </a:r>
          <a:endParaRPr lang="es-ES" sz="1100"/>
        </a:p>
      </dgm:t>
    </dgm:pt>
    <dgm:pt modelId="{9DD26C77-D2E0-47E5-AC9D-B4345B6E5A16}" type="parTrans" cxnId="{E56DE9B7-37BB-462E-ADA9-A4DBD0F426F9}">
      <dgm:prSet/>
      <dgm:spPr/>
      <dgm:t>
        <a:bodyPr/>
        <a:lstStyle/>
        <a:p>
          <a:endParaRPr lang="es-ES"/>
        </a:p>
      </dgm:t>
    </dgm:pt>
    <dgm:pt modelId="{651A5CE0-6B74-44B5-9DC8-E9023DAE35CF}" type="sibTrans" cxnId="{E56DE9B7-37BB-462E-ADA9-A4DBD0F426F9}">
      <dgm:prSet/>
      <dgm:spPr/>
      <dgm:t>
        <a:bodyPr/>
        <a:lstStyle/>
        <a:p>
          <a:endParaRPr lang="es-ES"/>
        </a:p>
      </dgm:t>
    </dgm:pt>
    <dgm:pt modelId="{6F758785-ED65-450D-AFAE-A19F72A125BA}">
      <dgm:prSet custT="1"/>
      <dgm:spPr/>
      <dgm:t>
        <a:bodyPr/>
        <a:lstStyle/>
        <a:p>
          <a:pPr algn="just"/>
          <a:r>
            <a:rPr lang="es-MX" sz="1100">
              <a:latin typeface="Arial" pitchFamily="34" charset="0"/>
              <a:cs typeface="Arial" pitchFamily="34" charset="0"/>
            </a:rPr>
            <a:t>En esta etapa se realiza la programación financiera de los recursos, así como de ser necesario, las modificaciones presupuestarias que bajo el principio de flexibilidad, han de realizarse en función del alcance de los resultados previstos a nivel institucional, y de los productos a nivel de los distintos programas que se llevan a cabo.</a:t>
          </a:r>
        </a:p>
      </dgm:t>
    </dgm:pt>
    <dgm:pt modelId="{3B1BF5F4-F5DE-4D90-B286-F55BABC02BCF}" type="parTrans" cxnId="{52351CDA-EC7D-4095-8FEB-C8D6D6378292}">
      <dgm:prSet/>
      <dgm:spPr/>
      <dgm:t>
        <a:bodyPr/>
        <a:lstStyle/>
        <a:p>
          <a:endParaRPr lang="es-ES"/>
        </a:p>
      </dgm:t>
    </dgm:pt>
    <dgm:pt modelId="{5B22AD47-7868-4C9D-831B-202752F86EF0}" type="sibTrans" cxnId="{52351CDA-EC7D-4095-8FEB-C8D6D6378292}">
      <dgm:prSet/>
      <dgm:spPr/>
      <dgm:t>
        <a:bodyPr/>
        <a:lstStyle/>
        <a:p>
          <a:endParaRPr lang="es-ES"/>
        </a:p>
      </dgm:t>
    </dgm:pt>
    <dgm:pt modelId="{3955F111-203B-4844-A6AD-A772924EC2A5}">
      <dgm:prSet custT="1"/>
      <dgm:spPr/>
      <dgm:t>
        <a:bodyPr/>
        <a:lstStyle/>
        <a:p>
          <a:pPr algn="just"/>
          <a:r>
            <a:rPr lang="es-MX" sz="1100">
              <a:latin typeface="Arial" pitchFamily="34" charset="0"/>
              <a:cs typeface="Arial" pitchFamily="34" charset="0"/>
            </a:rPr>
            <a:t>Esta etapa está comprendida del 1 de enero al 31 de diciembre de cada año, toda vez que bajo el principio de anualidad del presupuesto, un ejercicio fiscal es independiente de otro.</a:t>
          </a:r>
          <a:endParaRPr lang="es-ES" sz="1100">
            <a:latin typeface="Arial" pitchFamily="34" charset="0"/>
            <a:cs typeface="Arial" pitchFamily="34" charset="0"/>
          </a:endParaRPr>
        </a:p>
      </dgm:t>
    </dgm:pt>
    <dgm:pt modelId="{96E7363B-B2FC-478F-BF3B-1DDE1C3015DE}" type="parTrans" cxnId="{F0907041-EA64-47F4-B92F-32E4E36D8CEC}">
      <dgm:prSet/>
      <dgm:spPr/>
      <dgm:t>
        <a:bodyPr/>
        <a:lstStyle/>
        <a:p>
          <a:endParaRPr lang="es-ES"/>
        </a:p>
      </dgm:t>
    </dgm:pt>
    <dgm:pt modelId="{35030539-0B4C-4A55-B764-D75A625FB9F7}" type="sibTrans" cxnId="{F0907041-EA64-47F4-B92F-32E4E36D8CEC}">
      <dgm:prSet/>
      <dgm:spPr/>
      <dgm:t>
        <a:bodyPr/>
        <a:lstStyle/>
        <a:p>
          <a:endParaRPr lang="es-ES"/>
        </a:p>
      </dgm:t>
    </dgm:pt>
    <dgm:pt modelId="{F2AC0F13-78DF-4C9D-9DFE-4E4F5114E4BF}">
      <dgm:prSet phldrT="[Texto]" custT="1"/>
      <dgm:spPr/>
      <dgm:t>
        <a:bodyPr/>
        <a:lstStyle/>
        <a:p>
          <a:pPr algn="just"/>
          <a:endParaRPr lang="es-ES" sz="1100"/>
        </a:p>
      </dgm:t>
    </dgm:pt>
    <dgm:pt modelId="{3FDBEF74-2731-4EB4-8C0C-E970000E2157}" type="parTrans" cxnId="{F097C644-F3D0-4F53-97FE-58293CE6546A}">
      <dgm:prSet/>
      <dgm:spPr/>
      <dgm:t>
        <a:bodyPr/>
        <a:lstStyle/>
        <a:p>
          <a:endParaRPr lang="es-ES"/>
        </a:p>
      </dgm:t>
    </dgm:pt>
    <dgm:pt modelId="{ECF77ADA-5707-40C9-8F83-AE38CFC7866B}" type="sibTrans" cxnId="{F097C644-F3D0-4F53-97FE-58293CE6546A}">
      <dgm:prSet/>
      <dgm:spPr/>
      <dgm:t>
        <a:bodyPr/>
        <a:lstStyle/>
        <a:p>
          <a:endParaRPr lang="es-ES"/>
        </a:p>
      </dgm:t>
    </dgm:pt>
    <dgm:pt modelId="{7737865B-3227-4408-AC78-DA3AE7EB4C66}">
      <dgm:prSet custT="1"/>
      <dgm:spPr/>
      <dgm:t>
        <a:bodyPr/>
        <a:lstStyle/>
        <a:p>
          <a:pPr algn="just"/>
          <a:endParaRPr lang="es-MX" sz="1100">
            <a:solidFill>
              <a:sysClr val="windowText" lastClr="000000"/>
            </a:solidFill>
            <a:latin typeface="Arial" pitchFamily="34" charset="0"/>
            <a:cs typeface="Arial" pitchFamily="34" charset="0"/>
          </a:endParaRPr>
        </a:p>
      </dgm:t>
    </dgm:pt>
    <dgm:pt modelId="{FEAF70A0-B55E-432E-9BD6-6EB6E81FE21D}" type="parTrans" cxnId="{9B1D37B8-B46E-468B-A8C2-49EEDAB8767A}">
      <dgm:prSet/>
      <dgm:spPr/>
      <dgm:t>
        <a:bodyPr/>
        <a:lstStyle/>
        <a:p>
          <a:endParaRPr lang="es-ES"/>
        </a:p>
      </dgm:t>
    </dgm:pt>
    <dgm:pt modelId="{963225A1-3E5D-4DBC-BAF2-F821FC1AFBEC}" type="sibTrans" cxnId="{9B1D37B8-B46E-468B-A8C2-49EEDAB8767A}">
      <dgm:prSet/>
      <dgm:spPr/>
      <dgm:t>
        <a:bodyPr/>
        <a:lstStyle/>
        <a:p>
          <a:endParaRPr lang="es-ES"/>
        </a:p>
      </dgm:t>
    </dgm:pt>
    <dgm:pt modelId="{00AEB55A-8775-494F-89B1-BE0D1C5E62B8}">
      <dgm:prSet phldrT="[Texto]" custT="1"/>
      <dgm:spPr/>
      <dgm:t>
        <a:bodyPr/>
        <a:lstStyle/>
        <a:p>
          <a:pPr algn="just"/>
          <a:endParaRPr lang="es-ES" sz="1100"/>
        </a:p>
      </dgm:t>
    </dgm:pt>
    <dgm:pt modelId="{CD933617-508C-42C0-8F31-87CC5C5FF606}" type="parTrans" cxnId="{5E2CF967-F420-46F7-938F-0A5449F19288}">
      <dgm:prSet/>
      <dgm:spPr/>
      <dgm:t>
        <a:bodyPr/>
        <a:lstStyle/>
        <a:p>
          <a:endParaRPr lang="es-ES"/>
        </a:p>
      </dgm:t>
    </dgm:pt>
    <dgm:pt modelId="{8DBBDF1F-9D43-45BA-A021-0DFB45FE6C37}" type="sibTrans" cxnId="{5E2CF967-F420-46F7-938F-0A5449F19288}">
      <dgm:prSet/>
      <dgm:spPr/>
      <dgm:t>
        <a:bodyPr/>
        <a:lstStyle/>
        <a:p>
          <a:endParaRPr lang="es-ES"/>
        </a:p>
      </dgm:t>
    </dgm:pt>
    <dgm:pt modelId="{9A96BD71-9B10-4E44-AB78-03BC46E9A4B8}" type="pres">
      <dgm:prSet presAssocID="{29F529EA-1C59-4D5F-B025-62A95276340A}" presName="linearFlow" presStyleCnt="0">
        <dgm:presLayoutVars>
          <dgm:dir/>
          <dgm:resizeHandles val="exact"/>
        </dgm:presLayoutVars>
      </dgm:prSet>
      <dgm:spPr/>
      <dgm:t>
        <a:bodyPr/>
        <a:lstStyle/>
        <a:p>
          <a:endParaRPr lang="es-ES"/>
        </a:p>
      </dgm:t>
    </dgm:pt>
    <dgm:pt modelId="{33145B7A-760C-43B4-B3DF-BCA38B581C79}" type="pres">
      <dgm:prSet presAssocID="{3296249C-D6EC-45C1-AF09-11D4397DAD00}" presName="composite" presStyleCnt="0"/>
      <dgm:spPr/>
      <dgm:t>
        <a:bodyPr/>
        <a:lstStyle/>
        <a:p>
          <a:endParaRPr lang="es-GT"/>
        </a:p>
      </dgm:t>
    </dgm:pt>
    <dgm:pt modelId="{1E531468-DB60-4504-93B7-F3F2E8970C68}" type="pres">
      <dgm:prSet presAssocID="{3296249C-D6EC-45C1-AF09-11D4397DAD00}" presName="imgShp" presStyleLbl="fgImgPlace1" presStyleIdx="0" presStyleCnt="1" custScaleX="130127" custScaleY="145471" custLinFactNeighborX="-3213" custLinFactNeighborY="-13272"/>
      <dgm:spPr>
        <a:blipFill rotWithShape="0">
          <a:blip xmlns:r="http://schemas.openxmlformats.org/officeDocument/2006/relationships" r:embed="rId1"/>
          <a:stretch>
            <a:fillRect/>
          </a:stretch>
        </a:blipFill>
      </dgm:spPr>
      <dgm:t>
        <a:bodyPr/>
        <a:lstStyle/>
        <a:p>
          <a:endParaRPr lang="es-ES"/>
        </a:p>
      </dgm:t>
    </dgm:pt>
    <dgm:pt modelId="{062F10D2-30A7-4B16-9A94-B1D08AAE5214}" type="pres">
      <dgm:prSet presAssocID="{3296249C-D6EC-45C1-AF09-11D4397DAD00}" presName="txShp" presStyleLbl="node1" presStyleIdx="0" presStyleCnt="1" custScaleX="145252" custScaleY="363955">
        <dgm:presLayoutVars>
          <dgm:bulletEnabled val="1"/>
        </dgm:presLayoutVars>
      </dgm:prSet>
      <dgm:spPr/>
      <dgm:t>
        <a:bodyPr/>
        <a:lstStyle/>
        <a:p>
          <a:endParaRPr lang="es-ES"/>
        </a:p>
      </dgm:t>
    </dgm:pt>
  </dgm:ptLst>
  <dgm:cxnLst>
    <dgm:cxn modelId="{E56DE9B7-37BB-462E-ADA9-A4DBD0F426F9}" srcId="{3296249C-D6EC-45C1-AF09-11D4397DAD00}" destId="{82584DEB-0F35-42E4-BFA8-0D0DDD918279}" srcOrd="1" destOrd="0" parTransId="{9DD26C77-D2E0-47E5-AC9D-B4345B6E5A16}" sibTransId="{651A5CE0-6B74-44B5-9DC8-E9023DAE35CF}"/>
    <dgm:cxn modelId="{F9DD2A94-CD7E-4D6F-83D2-8215767FF103}" type="presOf" srcId="{00AEB55A-8775-494F-89B1-BE0D1C5E62B8}" destId="{062F10D2-30A7-4B16-9A94-B1D08AAE5214}" srcOrd="0" destOrd="1" presId="urn:microsoft.com/office/officeart/2005/8/layout/vList3#5"/>
    <dgm:cxn modelId="{5FAC0FC8-2BD8-42F2-AD30-73CAC3B2650E}" type="presOf" srcId="{7737865B-3227-4408-AC78-DA3AE7EB4C66}" destId="{062F10D2-30A7-4B16-9A94-B1D08AAE5214}" srcOrd="0" destOrd="5" presId="urn:microsoft.com/office/officeart/2005/8/layout/vList3#5"/>
    <dgm:cxn modelId="{A9B5FE0B-ECFE-4EFB-BF11-54018149F0B5}" type="presOf" srcId="{29F529EA-1C59-4D5F-B025-62A95276340A}" destId="{9A96BD71-9B10-4E44-AB78-03BC46E9A4B8}" srcOrd="0" destOrd="0" presId="urn:microsoft.com/office/officeart/2005/8/layout/vList3#5"/>
    <dgm:cxn modelId="{824418D1-727F-4A54-9AC9-0E2EB02A7D5A}" type="presOf" srcId="{82584DEB-0F35-42E4-BFA8-0D0DDD918279}" destId="{062F10D2-30A7-4B16-9A94-B1D08AAE5214}" srcOrd="0" destOrd="2" presId="urn:microsoft.com/office/officeart/2005/8/layout/vList3#5"/>
    <dgm:cxn modelId="{DC8BAEFF-F9F1-4E50-ADA1-8D351036FDB5}" type="presOf" srcId="{F2AC0F13-78DF-4C9D-9DFE-4E4F5114E4BF}" destId="{062F10D2-30A7-4B16-9A94-B1D08AAE5214}" srcOrd="0" destOrd="3" presId="urn:microsoft.com/office/officeart/2005/8/layout/vList3#5"/>
    <dgm:cxn modelId="{5E2CF967-F420-46F7-938F-0A5449F19288}" srcId="{3296249C-D6EC-45C1-AF09-11D4397DAD00}" destId="{00AEB55A-8775-494F-89B1-BE0D1C5E62B8}" srcOrd="0" destOrd="0" parTransId="{CD933617-508C-42C0-8F31-87CC5C5FF606}" sibTransId="{8DBBDF1F-9D43-45BA-A021-0DFB45FE6C37}"/>
    <dgm:cxn modelId="{5FC85FAD-C28A-4E9B-91A9-A957140387A4}" type="presOf" srcId="{3296249C-D6EC-45C1-AF09-11D4397DAD00}" destId="{062F10D2-30A7-4B16-9A94-B1D08AAE5214}" srcOrd="0" destOrd="0" presId="urn:microsoft.com/office/officeart/2005/8/layout/vList3#5"/>
    <dgm:cxn modelId="{45BF57B8-E058-473E-8FB0-E7DE3887344A}" srcId="{29F529EA-1C59-4D5F-B025-62A95276340A}" destId="{3296249C-D6EC-45C1-AF09-11D4397DAD00}" srcOrd="0" destOrd="0" parTransId="{A872EB6C-543B-4B95-9DBE-A2B9B565BF0C}" sibTransId="{24F9CE0F-EC51-4198-BF62-25F0C845A6B0}"/>
    <dgm:cxn modelId="{F0907041-EA64-47F4-B92F-32E4E36D8CEC}" srcId="{3296249C-D6EC-45C1-AF09-11D4397DAD00}" destId="{3955F111-203B-4844-A6AD-A772924EC2A5}" srcOrd="5" destOrd="0" parTransId="{96E7363B-B2FC-478F-BF3B-1DDE1C3015DE}" sibTransId="{35030539-0B4C-4A55-B764-D75A625FB9F7}"/>
    <dgm:cxn modelId="{9B1D37B8-B46E-468B-A8C2-49EEDAB8767A}" srcId="{3296249C-D6EC-45C1-AF09-11D4397DAD00}" destId="{7737865B-3227-4408-AC78-DA3AE7EB4C66}" srcOrd="4" destOrd="0" parTransId="{FEAF70A0-B55E-432E-9BD6-6EB6E81FE21D}" sibTransId="{963225A1-3E5D-4DBC-BAF2-F821FC1AFBEC}"/>
    <dgm:cxn modelId="{211CA441-0694-469F-8931-888948F178B6}" type="presOf" srcId="{3955F111-203B-4844-A6AD-A772924EC2A5}" destId="{062F10D2-30A7-4B16-9A94-B1D08AAE5214}" srcOrd="0" destOrd="6" presId="urn:microsoft.com/office/officeart/2005/8/layout/vList3#5"/>
    <dgm:cxn modelId="{F097C644-F3D0-4F53-97FE-58293CE6546A}" srcId="{3296249C-D6EC-45C1-AF09-11D4397DAD00}" destId="{F2AC0F13-78DF-4C9D-9DFE-4E4F5114E4BF}" srcOrd="2" destOrd="0" parTransId="{3FDBEF74-2731-4EB4-8C0C-E970000E2157}" sibTransId="{ECF77ADA-5707-40C9-8F83-AE38CFC7866B}"/>
    <dgm:cxn modelId="{52351CDA-EC7D-4095-8FEB-C8D6D6378292}" srcId="{3296249C-D6EC-45C1-AF09-11D4397DAD00}" destId="{6F758785-ED65-450D-AFAE-A19F72A125BA}" srcOrd="3" destOrd="0" parTransId="{3B1BF5F4-F5DE-4D90-B286-F55BABC02BCF}" sibTransId="{5B22AD47-7868-4C9D-831B-202752F86EF0}"/>
    <dgm:cxn modelId="{756C929B-8AF7-4956-93D9-B15F67BE5186}" type="presOf" srcId="{6F758785-ED65-450D-AFAE-A19F72A125BA}" destId="{062F10D2-30A7-4B16-9A94-B1D08AAE5214}" srcOrd="0" destOrd="4" presId="urn:microsoft.com/office/officeart/2005/8/layout/vList3#5"/>
    <dgm:cxn modelId="{74D063CA-B1F8-4C0C-996D-33767DD75114}" type="presParOf" srcId="{9A96BD71-9B10-4E44-AB78-03BC46E9A4B8}" destId="{33145B7A-760C-43B4-B3DF-BCA38B581C79}" srcOrd="0" destOrd="0" presId="urn:microsoft.com/office/officeart/2005/8/layout/vList3#5"/>
    <dgm:cxn modelId="{27BBD48F-21F2-4916-BD94-189C1ECF066F}" type="presParOf" srcId="{33145B7A-760C-43B4-B3DF-BCA38B581C79}" destId="{1E531468-DB60-4504-93B7-F3F2E8970C68}" srcOrd="0" destOrd="0" presId="urn:microsoft.com/office/officeart/2005/8/layout/vList3#5"/>
    <dgm:cxn modelId="{4B20092B-D739-44AD-84F1-38044C96C20C}" type="presParOf" srcId="{33145B7A-760C-43B4-B3DF-BCA38B581C79}" destId="{062F10D2-30A7-4B16-9A94-B1D08AAE5214}" srcOrd="1" destOrd="0" presId="urn:microsoft.com/office/officeart/2005/8/layout/vList3#5"/>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9371B932-C6BA-451F-8614-6FCB1D833B47}" type="doc">
      <dgm:prSet loTypeId="urn:microsoft.com/office/officeart/2005/8/layout/vList3#6" loCatId="list" qsTypeId="urn:microsoft.com/office/officeart/2005/8/quickstyle/simple1" qsCatId="simple" csTypeId="urn:microsoft.com/office/officeart/2005/8/colors/accent0_1" csCatId="mainScheme" phldr="1"/>
      <dgm:spPr/>
      <dgm:t>
        <a:bodyPr/>
        <a:lstStyle/>
        <a:p>
          <a:endParaRPr lang="es-ES"/>
        </a:p>
      </dgm:t>
    </dgm:pt>
    <dgm:pt modelId="{C19116D7-9F0F-4FEE-8544-A612CFD81E0B}">
      <dgm:prSet phldrT="[Texto]" custT="1"/>
      <dgm:spPr/>
      <dgm:t>
        <a:bodyPr/>
        <a:lstStyle/>
        <a:p>
          <a:r>
            <a:rPr lang="es-ES" sz="1800"/>
            <a:t>6  Seguimiento</a:t>
          </a:r>
        </a:p>
      </dgm:t>
    </dgm:pt>
    <dgm:pt modelId="{CAC06C79-042B-4147-8538-5409F54BBBCF}" type="parTrans" cxnId="{3FA61392-34FD-417E-AF07-3A2092EF6839}">
      <dgm:prSet/>
      <dgm:spPr/>
      <dgm:t>
        <a:bodyPr/>
        <a:lstStyle/>
        <a:p>
          <a:endParaRPr lang="es-ES"/>
        </a:p>
      </dgm:t>
    </dgm:pt>
    <dgm:pt modelId="{3277DED5-CB0A-4061-B8F3-D9433A69F5A3}" type="sibTrans" cxnId="{3FA61392-34FD-417E-AF07-3A2092EF6839}">
      <dgm:prSet/>
      <dgm:spPr/>
      <dgm:t>
        <a:bodyPr/>
        <a:lstStyle/>
        <a:p>
          <a:endParaRPr lang="es-ES"/>
        </a:p>
      </dgm:t>
    </dgm:pt>
    <dgm:pt modelId="{0328F967-44A7-4946-A4B7-96BD2315F9AC}">
      <dgm:prSet phldrT="[Texto]" custT="1"/>
      <dgm:spPr/>
      <dgm:t>
        <a:bodyPr/>
        <a:lstStyle/>
        <a:p>
          <a:pPr algn="just"/>
          <a:r>
            <a:rPr lang="es-MX" sz="1100">
              <a:latin typeface="Arial" pitchFamily="34" charset="0"/>
              <a:cs typeface="Arial" pitchFamily="34" charset="0"/>
            </a:rPr>
            <a:t>Consiste en el proceso continuo de medición de los avances de las metas previstas, así como del monitoreo de indicadores y resultados. Dicho proceso se encuentra a cargo de las instituciones del sector público responsables de los distintos programas de gobierno, con el propósito de mejorar la toma de decisiones en las situaciones que son de interés de los ciudadanos. Con el seguimiento puede introducirse, de ser necesario, los correctivos oportunos en el desempeño de los programas y propiciar su mejora, principalmente porque las situaciones varían a lo largo del tiempo, o bien, surgen nuevas contingencias o variables exógenas que deben considerarse como parte de la ejecución física de los programas.</a:t>
          </a:r>
          <a:endParaRPr lang="es-ES" sz="1100">
            <a:latin typeface="Arial" pitchFamily="34" charset="0"/>
            <a:cs typeface="Arial" pitchFamily="34" charset="0"/>
          </a:endParaRPr>
        </a:p>
      </dgm:t>
    </dgm:pt>
    <dgm:pt modelId="{9E2A6C4E-4479-445A-BB02-A2021AD73689}" type="parTrans" cxnId="{D0AF695E-4C79-4B6E-A1FD-4E0DD01659E3}">
      <dgm:prSet/>
      <dgm:spPr/>
      <dgm:t>
        <a:bodyPr/>
        <a:lstStyle/>
        <a:p>
          <a:endParaRPr lang="es-ES"/>
        </a:p>
      </dgm:t>
    </dgm:pt>
    <dgm:pt modelId="{DA4E8B7F-581B-43E9-9D79-4E7C48D2AA97}" type="sibTrans" cxnId="{D0AF695E-4C79-4B6E-A1FD-4E0DD01659E3}">
      <dgm:prSet/>
      <dgm:spPr/>
      <dgm:t>
        <a:bodyPr/>
        <a:lstStyle/>
        <a:p>
          <a:endParaRPr lang="es-ES"/>
        </a:p>
      </dgm:t>
    </dgm:pt>
    <dgm:pt modelId="{B7811A8F-119B-4669-80F4-1423ED49C9BA}" type="pres">
      <dgm:prSet presAssocID="{9371B932-C6BA-451F-8614-6FCB1D833B47}" presName="linearFlow" presStyleCnt="0">
        <dgm:presLayoutVars>
          <dgm:dir/>
          <dgm:resizeHandles val="exact"/>
        </dgm:presLayoutVars>
      </dgm:prSet>
      <dgm:spPr/>
      <dgm:t>
        <a:bodyPr/>
        <a:lstStyle/>
        <a:p>
          <a:endParaRPr lang="es-ES"/>
        </a:p>
      </dgm:t>
    </dgm:pt>
    <dgm:pt modelId="{EE2C32E9-8C50-4402-B0C8-B23D06E3041E}" type="pres">
      <dgm:prSet presAssocID="{C19116D7-9F0F-4FEE-8544-A612CFD81E0B}" presName="composite" presStyleCnt="0"/>
      <dgm:spPr/>
      <dgm:t>
        <a:bodyPr/>
        <a:lstStyle/>
        <a:p>
          <a:endParaRPr lang="es-GT"/>
        </a:p>
      </dgm:t>
    </dgm:pt>
    <dgm:pt modelId="{0ED8E537-F884-449D-A114-775D2FED5B05}" type="pres">
      <dgm:prSet presAssocID="{C19116D7-9F0F-4FEE-8544-A612CFD81E0B}" presName="imgShp" presStyleLbl="fgImgPlace1" presStyleIdx="0" presStyleCnt="1" custScaleX="76777" custScaleY="82762" custLinFactNeighborX="-7949" custLinFactNeighborY="-2570"/>
      <dgm:spPr>
        <a:blipFill rotWithShape="0">
          <a:blip xmlns:r="http://schemas.openxmlformats.org/officeDocument/2006/relationships" r:embed="rId1"/>
          <a:stretch>
            <a:fillRect/>
          </a:stretch>
        </a:blipFill>
      </dgm:spPr>
      <dgm:t>
        <a:bodyPr/>
        <a:lstStyle/>
        <a:p>
          <a:endParaRPr lang="es-ES"/>
        </a:p>
      </dgm:t>
    </dgm:pt>
    <dgm:pt modelId="{A1EAE68E-5A9F-4579-8D89-6DCB40AEA78A}" type="pres">
      <dgm:prSet presAssocID="{C19116D7-9F0F-4FEE-8544-A612CFD81E0B}" presName="txShp" presStyleLbl="node1" presStyleIdx="0" presStyleCnt="1" custScaleX="137423" custScaleY="159835">
        <dgm:presLayoutVars>
          <dgm:bulletEnabled val="1"/>
        </dgm:presLayoutVars>
      </dgm:prSet>
      <dgm:spPr/>
      <dgm:t>
        <a:bodyPr/>
        <a:lstStyle/>
        <a:p>
          <a:endParaRPr lang="es-ES"/>
        </a:p>
      </dgm:t>
    </dgm:pt>
  </dgm:ptLst>
  <dgm:cxnLst>
    <dgm:cxn modelId="{605BF36C-30F1-43A1-AD8D-88B0A778B99A}" type="presOf" srcId="{C19116D7-9F0F-4FEE-8544-A612CFD81E0B}" destId="{A1EAE68E-5A9F-4579-8D89-6DCB40AEA78A}" srcOrd="0" destOrd="0" presId="urn:microsoft.com/office/officeart/2005/8/layout/vList3#6"/>
    <dgm:cxn modelId="{D0AF695E-4C79-4B6E-A1FD-4E0DD01659E3}" srcId="{C19116D7-9F0F-4FEE-8544-A612CFD81E0B}" destId="{0328F967-44A7-4946-A4B7-96BD2315F9AC}" srcOrd="0" destOrd="0" parTransId="{9E2A6C4E-4479-445A-BB02-A2021AD73689}" sibTransId="{DA4E8B7F-581B-43E9-9D79-4E7C48D2AA97}"/>
    <dgm:cxn modelId="{CA0B5868-8CD9-49C4-978B-0D3B972B7783}" type="presOf" srcId="{9371B932-C6BA-451F-8614-6FCB1D833B47}" destId="{B7811A8F-119B-4669-80F4-1423ED49C9BA}" srcOrd="0" destOrd="0" presId="urn:microsoft.com/office/officeart/2005/8/layout/vList3#6"/>
    <dgm:cxn modelId="{3FA61392-34FD-417E-AF07-3A2092EF6839}" srcId="{9371B932-C6BA-451F-8614-6FCB1D833B47}" destId="{C19116D7-9F0F-4FEE-8544-A612CFD81E0B}" srcOrd="0" destOrd="0" parTransId="{CAC06C79-042B-4147-8538-5409F54BBBCF}" sibTransId="{3277DED5-CB0A-4061-B8F3-D9433A69F5A3}"/>
    <dgm:cxn modelId="{6777B805-EF74-4B58-BCA5-078EE29C76AC}" type="presOf" srcId="{0328F967-44A7-4946-A4B7-96BD2315F9AC}" destId="{A1EAE68E-5A9F-4579-8D89-6DCB40AEA78A}" srcOrd="0" destOrd="1" presId="urn:microsoft.com/office/officeart/2005/8/layout/vList3#6"/>
    <dgm:cxn modelId="{07ECB6BE-CCD9-4CC6-8B8D-6A58B5083EBE}" type="presParOf" srcId="{B7811A8F-119B-4669-80F4-1423ED49C9BA}" destId="{EE2C32E9-8C50-4402-B0C8-B23D06E3041E}" srcOrd="0" destOrd="0" presId="urn:microsoft.com/office/officeart/2005/8/layout/vList3#6"/>
    <dgm:cxn modelId="{F297ED50-CA5C-427A-BBCC-FD2846C191BB}" type="presParOf" srcId="{EE2C32E9-8C50-4402-B0C8-B23D06E3041E}" destId="{0ED8E537-F884-449D-A114-775D2FED5B05}" srcOrd="0" destOrd="0" presId="urn:microsoft.com/office/officeart/2005/8/layout/vList3#6"/>
    <dgm:cxn modelId="{1774DF3A-FF97-4FCD-9830-5409C5A74047}" type="presParOf" srcId="{EE2C32E9-8C50-4402-B0C8-B23D06E3041E}" destId="{A1EAE68E-5A9F-4579-8D89-6DCB40AEA78A}" srcOrd="1" destOrd="0" presId="urn:microsoft.com/office/officeart/2005/8/layout/vList3#6"/>
  </dgm:cxnLst>
  <dgm:bg/>
  <dgm:whole/>
  <dgm:extLst>
    <a:ext uri="http://schemas.microsoft.com/office/drawing/2008/diagram">
      <dsp:dataModelExt xmlns:dsp="http://schemas.microsoft.com/office/drawing/2008/diagram" relId="rId134"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7C1F6FA6-671A-4E42-B1AA-6A569D64A61A}" type="doc">
      <dgm:prSet loTypeId="urn:microsoft.com/office/officeart/2005/8/layout/vList3#7" loCatId="list" qsTypeId="urn:microsoft.com/office/officeart/2005/8/quickstyle/simple1" qsCatId="simple" csTypeId="urn:microsoft.com/office/officeart/2005/8/colors/accent0_1" csCatId="mainScheme" phldr="1"/>
      <dgm:spPr/>
      <dgm:t>
        <a:bodyPr/>
        <a:lstStyle/>
        <a:p>
          <a:endParaRPr lang="es-ES"/>
        </a:p>
      </dgm:t>
    </dgm:pt>
    <dgm:pt modelId="{5436A50C-39B3-41A5-80C8-D06398F57DAC}">
      <dgm:prSet phldrT="[Texto]" custT="1"/>
      <dgm:spPr/>
      <dgm:t>
        <a:bodyPr/>
        <a:lstStyle/>
        <a:p>
          <a:r>
            <a:rPr lang="es-ES" sz="1800"/>
            <a:t>7  Evaluación</a:t>
          </a:r>
        </a:p>
      </dgm:t>
    </dgm:pt>
    <dgm:pt modelId="{F1B04E3F-15C2-41AF-A879-9B61626C07C8}" type="parTrans" cxnId="{81516590-8786-4D2C-A2DF-D04011734463}">
      <dgm:prSet/>
      <dgm:spPr/>
      <dgm:t>
        <a:bodyPr/>
        <a:lstStyle/>
        <a:p>
          <a:endParaRPr lang="es-ES"/>
        </a:p>
      </dgm:t>
    </dgm:pt>
    <dgm:pt modelId="{4EEA9A84-86B5-44F5-BA52-8C531E36E718}" type="sibTrans" cxnId="{81516590-8786-4D2C-A2DF-D04011734463}">
      <dgm:prSet/>
      <dgm:spPr/>
      <dgm:t>
        <a:bodyPr/>
        <a:lstStyle/>
        <a:p>
          <a:endParaRPr lang="es-ES"/>
        </a:p>
      </dgm:t>
    </dgm:pt>
    <dgm:pt modelId="{F16F4347-4464-4408-874B-75FAA1F3C986}">
      <dgm:prSet phldrT="[Texto]" custT="1"/>
      <dgm:spPr/>
      <dgm:t>
        <a:bodyPr/>
        <a:lstStyle/>
        <a:p>
          <a:pPr algn="just"/>
          <a:r>
            <a:rPr lang="es-MX" sz="1100">
              <a:latin typeface="Arial" pitchFamily="34" charset="0"/>
              <a:cs typeface="Arial" pitchFamily="34" charset="0"/>
            </a:rPr>
            <a:t>Esta etapa tiene como propósito principal analizar en forma crítica el avance de la ejecución física y financiera. Esta etapa indica si las metas planteadas se están alcanzando o no, así como los motivos o situaciones que han influido positiva o negativamente en los programas o actividades que se realizan, analiza también si se han mejorado o no los servicios, y si se alcanzarán o no los resultados planteados y por qué. La evaluación puede realizarse en distintos niveles, no obstante en cada uno de ellos, se requiere de especialistas en la materia que se evalúa por cuanto ha de realizarse con metodologías y recursos apropiados.</a:t>
          </a:r>
          <a:endParaRPr lang="es-ES" sz="1100">
            <a:latin typeface="Arial" pitchFamily="34" charset="0"/>
            <a:cs typeface="Arial" pitchFamily="34" charset="0"/>
          </a:endParaRPr>
        </a:p>
      </dgm:t>
    </dgm:pt>
    <dgm:pt modelId="{B61752F4-764A-4C36-9486-6AE224835AD3}" type="parTrans" cxnId="{D86C65D3-FAF8-475A-B074-4284AC0B684D}">
      <dgm:prSet/>
      <dgm:spPr/>
      <dgm:t>
        <a:bodyPr/>
        <a:lstStyle/>
        <a:p>
          <a:endParaRPr lang="es-ES"/>
        </a:p>
      </dgm:t>
    </dgm:pt>
    <dgm:pt modelId="{E7EB6DE1-FE05-4D00-BFC7-2012FF170497}" type="sibTrans" cxnId="{D86C65D3-FAF8-475A-B074-4284AC0B684D}">
      <dgm:prSet/>
      <dgm:spPr/>
      <dgm:t>
        <a:bodyPr/>
        <a:lstStyle/>
        <a:p>
          <a:endParaRPr lang="es-ES"/>
        </a:p>
      </dgm:t>
    </dgm:pt>
    <dgm:pt modelId="{D348B9D5-DF2D-4591-96D6-D6C568C5F62C}">
      <dgm:prSet custT="1"/>
      <dgm:spPr/>
      <dgm:t>
        <a:bodyPr/>
        <a:lstStyle/>
        <a:p>
          <a:pPr algn="just"/>
          <a:r>
            <a:rPr lang="es-MX" sz="1100">
              <a:latin typeface="Arial" pitchFamily="34" charset="0"/>
              <a:cs typeface="Arial" pitchFamily="34" charset="0"/>
            </a:rPr>
            <a:t>En la metodología del presupuesto por resultados, la evaluación se realiza al final de cada intervención gubernamental, con lo que se verificará si éstas contribuyeron o no al logro de los resultados previstos con los que se pretende un cambio en la situación del ciudadano y su entorno.</a:t>
          </a:r>
          <a:endParaRPr lang="es-ES" sz="1100">
            <a:latin typeface="Arial" pitchFamily="34" charset="0"/>
            <a:cs typeface="Arial" pitchFamily="34" charset="0"/>
          </a:endParaRPr>
        </a:p>
      </dgm:t>
    </dgm:pt>
    <dgm:pt modelId="{06D5ED3B-93A5-4828-8ED9-EAA96C0E52B7}" type="parTrans" cxnId="{D92F2A5A-652E-495E-BDAF-6FBB2E1B5EA5}">
      <dgm:prSet/>
      <dgm:spPr/>
      <dgm:t>
        <a:bodyPr/>
        <a:lstStyle/>
        <a:p>
          <a:endParaRPr lang="es-ES"/>
        </a:p>
      </dgm:t>
    </dgm:pt>
    <dgm:pt modelId="{D3ECB2EC-9217-4A6D-9232-E26B9095E67A}" type="sibTrans" cxnId="{D92F2A5A-652E-495E-BDAF-6FBB2E1B5EA5}">
      <dgm:prSet/>
      <dgm:spPr/>
      <dgm:t>
        <a:bodyPr/>
        <a:lstStyle/>
        <a:p>
          <a:endParaRPr lang="es-ES"/>
        </a:p>
      </dgm:t>
    </dgm:pt>
    <dgm:pt modelId="{08D46BE6-0DFF-411C-A38D-D68361D5F99E}">
      <dgm:prSet phldrT="[Texto]" custT="1"/>
      <dgm:spPr/>
      <dgm:t>
        <a:bodyPr/>
        <a:lstStyle/>
        <a:p>
          <a:pPr algn="l"/>
          <a:endParaRPr lang="es-ES" sz="1100">
            <a:latin typeface="Arial" pitchFamily="34" charset="0"/>
            <a:cs typeface="Arial" pitchFamily="34" charset="0"/>
          </a:endParaRPr>
        </a:p>
      </dgm:t>
    </dgm:pt>
    <dgm:pt modelId="{42C0D468-8D1D-42EC-9BFE-476CAE8C2795}" type="parTrans" cxnId="{2968EEE5-D50E-4288-A18B-A10EA35D2DF6}">
      <dgm:prSet/>
      <dgm:spPr/>
      <dgm:t>
        <a:bodyPr/>
        <a:lstStyle/>
        <a:p>
          <a:endParaRPr lang="es-ES"/>
        </a:p>
      </dgm:t>
    </dgm:pt>
    <dgm:pt modelId="{42015EED-5A22-4A19-BCEF-8BFEEB827BE4}" type="sibTrans" cxnId="{2968EEE5-D50E-4288-A18B-A10EA35D2DF6}">
      <dgm:prSet/>
      <dgm:spPr/>
      <dgm:t>
        <a:bodyPr/>
        <a:lstStyle/>
        <a:p>
          <a:endParaRPr lang="es-ES"/>
        </a:p>
      </dgm:t>
    </dgm:pt>
    <dgm:pt modelId="{C699FC01-20FF-409F-AF32-7328C6E1A5BE}" type="pres">
      <dgm:prSet presAssocID="{7C1F6FA6-671A-4E42-B1AA-6A569D64A61A}" presName="linearFlow" presStyleCnt="0">
        <dgm:presLayoutVars>
          <dgm:dir/>
          <dgm:resizeHandles val="exact"/>
        </dgm:presLayoutVars>
      </dgm:prSet>
      <dgm:spPr/>
      <dgm:t>
        <a:bodyPr/>
        <a:lstStyle/>
        <a:p>
          <a:endParaRPr lang="es-ES"/>
        </a:p>
      </dgm:t>
    </dgm:pt>
    <dgm:pt modelId="{BC0EE7F6-E902-4AE9-AE69-83A59648DC66}" type="pres">
      <dgm:prSet presAssocID="{5436A50C-39B3-41A5-80C8-D06398F57DAC}" presName="composite" presStyleCnt="0"/>
      <dgm:spPr/>
      <dgm:t>
        <a:bodyPr/>
        <a:lstStyle/>
        <a:p>
          <a:endParaRPr lang="es-GT"/>
        </a:p>
      </dgm:t>
    </dgm:pt>
    <dgm:pt modelId="{ABA25058-6E1F-403B-89C9-5D33ED9F73BD}" type="pres">
      <dgm:prSet presAssocID="{5436A50C-39B3-41A5-80C8-D06398F57DAC}" presName="imgShp" presStyleLbl="fgImgPlace1" presStyleIdx="0" presStyleCnt="1" custScaleX="76079" custScaleY="84084" custLinFactNeighborX="-12009" custLinFactNeighborY="-501"/>
      <dgm:spPr>
        <a:blipFill rotWithShape="0">
          <a:blip xmlns:r="http://schemas.openxmlformats.org/officeDocument/2006/relationships" r:embed="rId1"/>
          <a:stretch>
            <a:fillRect/>
          </a:stretch>
        </a:blipFill>
      </dgm:spPr>
      <dgm:t>
        <a:bodyPr/>
        <a:lstStyle/>
        <a:p>
          <a:endParaRPr lang="es-ES"/>
        </a:p>
      </dgm:t>
    </dgm:pt>
    <dgm:pt modelId="{489C424A-06D6-47FF-A170-94D3C7C6F640}" type="pres">
      <dgm:prSet presAssocID="{5436A50C-39B3-41A5-80C8-D06398F57DAC}" presName="txShp" presStyleLbl="node1" presStyleIdx="0" presStyleCnt="1" custScaleX="150376" custScaleY="169380">
        <dgm:presLayoutVars>
          <dgm:bulletEnabled val="1"/>
        </dgm:presLayoutVars>
      </dgm:prSet>
      <dgm:spPr/>
      <dgm:t>
        <a:bodyPr/>
        <a:lstStyle/>
        <a:p>
          <a:endParaRPr lang="es-ES"/>
        </a:p>
      </dgm:t>
    </dgm:pt>
  </dgm:ptLst>
  <dgm:cxnLst>
    <dgm:cxn modelId="{96BDBFF8-9F3F-4830-9B13-D00957C04C74}" type="presOf" srcId="{08D46BE6-0DFF-411C-A38D-D68361D5F99E}" destId="{489C424A-06D6-47FF-A170-94D3C7C6F640}" srcOrd="0" destOrd="2" presId="urn:microsoft.com/office/officeart/2005/8/layout/vList3#7"/>
    <dgm:cxn modelId="{C5EC4C7F-A189-4D55-85DF-262B2D1DB897}" type="presOf" srcId="{5436A50C-39B3-41A5-80C8-D06398F57DAC}" destId="{489C424A-06D6-47FF-A170-94D3C7C6F640}" srcOrd="0" destOrd="0" presId="urn:microsoft.com/office/officeart/2005/8/layout/vList3#7"/>
    <dgm:cxn modelId="{D92F2A5A-652E-495E-BDAF-6FBB2E1B5EA5}" srcId="{5436A50C-39B3-41A5-80C8-D06398F57DAC}" destId="{D348B9D5-DF2D-4591-96D6-D6C568C5F62C}" srcOrd="2" destOrd="0" parTransId="{06D5ED3B-93A5-4828-8ED9-EAA96C0E52B7}" sibTransId="{D3ECB2EC-9217-4A6D-9232-E26B9095E67A}"/>
    <dgm:cxn modelId="{2968EEE5-D50E-4288-A18B-A10EA35D2DF6}" srcId="{5436A50C-39B3-41A5-80C8-D06398F57DAC}" destId="{08D46BE6-0DFF-411C-A38D-D68361D5F99E}" srcOrd="1" destOrd="0" parTransId="{42C0D468-8D1D-42EC-9BFE-476CAE8C2795}" sibTransId="{42015EED-5A22-4A19-BCEF-8BFEEB827BE4}"/>
    <dgm:cxn modelId="{26CA46B1-4AD0-466A-BCF6-A49751861356}" type="presOf" srcId="{F16F4347-4464-4408-874B-75FAA1F3C986}" destId="{489C424A-06D6-47FF-A170-94D3C7C6F640}" srcOrd="0" destOrd="1" presId="urn:microsoft.com/office/officeart/2005/8/layout/vList3#7"/>
    <dgm:cxn modelId="{D86C65D3-FAF8-475A-B074-4284AC0B684D}" srcId="{5436A50C-39B3-41A5-80C8-D06398F57DAC}" destId="{F16F4347-4464-4408-874B-75FAA1F3C986}" srcOrd="0" destOrd="0" parTransId="{B61752F4-764A-4C36-9486-6AE224835AD3}" sibTransId="{E7EB6DE1-FE05-4D00-BFC7-2012FF170497}"/>
    <dgm:cxn modelId="{CF6ED4EA-5774-4F1E-8E7B-8568A86FCFE8}" type="presOf" srcId="{D348B9D5-DF2D-4591-96D6-D6C568C5F62C}" destId="{489C424A-06D6-47FF-A170-94D3C7C6F640}" srcOrd="0" destOrd="3" presId="urn:microsoft.com/office/officeart/2005/8/layout/vList3#7"/>
    <dgm:cxn modelId="{60850D97-A3A3-4024-AD0F-F25A1F648FED}" type="presOf" srcId="{7C1F6FA6-671A-4E42-B1AA-6A569D64A61A}" destId="{C699FC01-20FF-409F-AF32-7328C6E1A5BE}" srcOrd="0" destOrd="0" presId="urn:microsoft.com/office/officeart/2005/8/layout/vList3#7"/>
    <dgm:cxn modelId="{81516590-8786-4D2C-A2DF-D04011734463}" srcId="{7C1F6FA6-671A-4E42-B1AA-6A569D64A61A}" destId="{5436A50C-39B3-41A5-80C8-D06398F57DAC}" srcOrd="0" destOrd="0" parTransId="{F1B04E3F-15C2-41AF-A879-9B61626C07C8}" sibTransId="{4EEA9A84-86B5-44F5-BA52-8C531E36E718}"/>
    <dgm:cxn modelId="{514E70EF-2110-4FAE-A1F5-4CF16762E15F}" type="presParOf" srcId="{C699FC01-20FF-409F-AF32-7328C6E1A5BE}" destId="{BC0EE7F6-E902-4AE9-AE69-83A59648DC66}" srcOrd="0" destOrd="0" presId="urn:microsoft.com/office/officeart/2005/8/layout/vList3#7"/>
    <dgm:cxn modelId="{7C817534-161A-4351-A10D-69E51F555DDA}" type="presParOf" srcId="{BC0EE7F6-E902-4AE9-AE69-83A59648DC66}" destId="{ABA25058-6E1F-403B-89C9-5D33ED9F73BD}" srcOrd="0" destOrd="0" presId="urn:microsoft.com/office/officeart/2005/8/layout/vList3#7"/>
    <dgm:cxn modelId="{D066CD07-6D79-4EAC-83A0-E1F30D161F1A}" type="presParOf" srcId="{BC0EE7F6-E902-4AE9-AE69-83A59648DC66}" destId="{489C424A-06D6-47FF-A170-94D3C7C6F640}" srcOrd="1" destOrd="0" presId="urn:microsoft.com/office/officeart/2005/8/layout/vList3#7"/>
  </dgm:cxnLst>
  <dgm:bg/>
  <dgm:whole/>
  <dgm:extLst>
    <a:ext uri="http://schemas.microsoft.com/office/drawing/2008/diagram">
      <dsp:dataModelExt xmlns:dsp="http://schemas.microsoft.com/office/drawing/2008/diagram" relId="rId139"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4D70F71C-0521-4BFD-988D-C2EA364B647A}" type="doc">
      <dgm:prSet loTypeId="urn:microsoft.com/office/officeart/2005/8/layout/vList3#8" loCatId="list" qsTypeId="urn:microsoft.com/office/officeart/2005/8/quickstyle/simple1" qsCatId="simple" csTypeId="urn:microsoft.com/office/officeart/2005/8/colors/accent0_1" csCatId="mainScheme" phldr="1"/>
      <dgm:spPr/>
      <dgm:t>
        <a:bodyPr/>
        <a:lstStyle/>
        <a:p>
          <a:endParaRPr lang="es-ES"/>
        </a:p>
      </dgm:t>
    </dgm:pt>
    <dgm:pt modelId="{7B5B3AB1-5B49-46B5-8E9A-1D8BC54002B9}">
      <dgm:prSet phldrT="[Texto]" custT="1"/>
      <dgm:spPr/>
      <dgm:t>
        <a:bodyPr/>
        <a:lstStyle/>
        <a:p>
          <a:r>
            <a:rPr lang="es-ES" sz="1800"/>
            <a:t>8 Liquidación</a:t>
          </a:r>
        </a:p>
      </dgm:t>
    </dgm:pt>
    <dgm:pt modelId="{D25A3009-45A6-4DC1-8453-A0DE348B4C65}" type="parTrans" cxnId="{0571DB7C-3B77-41E2-B411-1D2245EB0FE8}">
      <dgm:prSet/>
      <dgm:spPr/>
      <dgm:t>
        <a:bodyPr/>
        <a:lstStyle/>
        <a:p>
          <a:endParaRPr lang="es-ES"/>
        </a:p>
      </dgm:t>
    </dgm:pt>
    <dgm:pt modelId="{A37A5C9E-32A2-49D7-9FD1-6DCB517FDE70}" type="sibTrans" cxnId="{0571DB7C-3B77-41E2-B411-1D2245EB0FE8}">
      <dgm:prSet/>
      <dgm:spPr/>
      <dgm:t>
        <a:bodyPr/>
        <a:lstStyle/>
        <a:p>
          <a:endParaRPr lang="es-ES"/>
        </a:p>
      </dgm:t>
    </dgm:pt>
    <dgm:pt modelId="{F2BDB009-3039-41ED-847E-200E17D2BB57}">
      <dgm:prSet phldrT="[Texto]" custT="1"/>
      <dgm:spPr/>
      <dgm:t>
        <a:bodyPr/>
        <a:lstStyle/>
        <a:p>
          <a:pPr algn="just"/>
          <a:r>
            <a:rPr lang="es-MX" sz="1100">
              <a:latin typeface="Arial" pitchFamily="34" charset="0"/>
              <a:cs typeface="Arial" pitchFamily="34" charset="0"/>
            </a:rPr>
            <a:t>De acuerdo con lo que establece la Constitución Política de la República de Guatemala en el artículo 241, al Congreso de la República le corresponde </a:t>
          </a:r>
          <a:r>
            <a:rPr lang="es-ES" sz="1100">
              <a:latin typeface="Arial" pitchFamily="34" charset="0"/>
              <a:cs typeface="Arial" pitchFamily="34" charset="0"/>
            </a:rPr>
            <a:t>aprobar o improbar anualmente, en forma total o parcial, la liquidación presupuestaria del ejercicio fiscal anterior, tomando en consideración el informe que la Contraloría General de Cuentas emite con base a la liquidación del presupuesto que le traslada el Organismo Ejecutivo por conducto del Ministerio de Finanzas Públicas. </a:t>
          </a:r>
        </a:p>
      </dgm:t>
    </dgm:pt>
    <dgm:pt modelId="{AFD1AD03-343A-4EBA-8355-67416E592B45}" type="parTrans" cxnId="{94281817-C0E3-4328-B32D-BDB690CED587}">
      <dgm:prSet/>
      <dgm:spPr/>
      <dgm:t>
        <a:bodyPr/>
        <a:lstStyle/>
        <a:p>
          <a:endParaRPr lang="es-ES"/>
        </a:p>
      </dgm:t>
    </dgm:pt>
    <dgm:pt modelId="{0BD8E647-BCAF-4B7A-AD15-23FBE0F52ED0}" type="sibTrans" cxnId="{94281817-C0E3-4328-B32D-BDB690CED587}">
      <dgm:prSet/>
      <dgm:spPr/>
      <dgm:t>
        <a:bodyPr/>
        <a:lstStyle/>
        <a:p>
          <a:endParaRPr lang="es-ES"/>
        </a:p>
      </dgm:t>
    </dgm:pt>
    <dgm:pt modelId="{930BF881-D5FD-482D-AA89-00DF6160A506}">
      <dgm:prSet custT="1"/>
      <dgm:spPr/>
      <dgm:t>
        <a:bodyPr/>
        <a:lstStyle/>
        <a:p>
          <a:pPr algn="just"/>
          <a:r>
            <a:rPr lang="es-ES" sz="1100">
              <a:latin typeface="Arial" pitchFamily="34" charset="0"/>
              <a:cs typeface="Arial" pitchFamily="34" charset="0"/>
            </a:rPr>
            <a:t>La Liquidación Presupuestaria es el documento que presenta los resultados de la ejecución presupuestaria tanto de ingresos como de egresos, así como  el resultado financiero producto de las diferentes actividades efectuadas por las instituciones públicas, por tanto constituye también un documento de rendición de cuentas. La Constitución no establece temporalidad para su aprobación ó improbación.</a:t>
          </a:r>
        </a:p>
      </dgm:t>
    </dgm:pt>
    <dgm:pt modelId="{DEA18A0C-A370-4474-9130-370901F09940}" type="parTrans" cxnId="{DDE3A5B7-93FB-4151-8F6F-F9657EB73636}">
      <dgm:prSet/>
      <dgm:spPr/>
      <dgm:t>
        <a:bodyPr/>
        <a:lstStyle/>
        <a:p>
          <a:endParaRPr lang="es-ES"/>
        </a:p>
      </dgm:t>
    </dgm:pt>
    <dgm:pt modelId="{654BF112-EDA8-4F1A-87F4-453CFCB9AEE8}" type="sibTrans" cxnId="{DDE3A5B7-93FB-4151-8F6F-F9657EB73636}">
      <dgm:prSet/>
      <dgm:spPr/>
      <dgm:t>
        <a:bodyPr/>
        <a:lstStyle/>
        <a:p>
          <a:endParaRPr lang="es-ES"/>
        </a:p>
      </dgm:t>
    </dgm:pt>
    <dgm:pt modelId="{6E183A6A-818D-4222-8755-484929514477}">
      <dgm:prSet phldrT="[Texto]" custT="1"/>
      <dgm:spPr/>
      <dgm:t>
        <a:bodyPr/>
        <a:lstStyle/>
        <a:p>
          <a:pPr algn="just"/>
          <a:endParaRPr lang="es-ES" sz="1100">
            <a:latin typeface="Arial" pitchFamily="34" charset="0"/>
            <a:cs typeface="Arial" pitchFamily="34" charset="0"/>
          </a:endParaRPr>
        </a:p>
      </dgm:t>
    </dgm:pt>
    <dgm:pt modelId="{26EB4AC1-332D-4CA4-AF74-791BF219BD1C}" type="parTrans" cxnId="{0E399D5B-E8A0-4A70-A38E-803901BE8B09}">
      <dgm:prSet/>
      <dgm:spPr/>
      <dgm:t>
        <a:bodyPr/>
        <a:lstStyle/>
        <a:p>
          <a:endParaRPr lang="es-ES"/>
        </a:p>
      </dgm:t>
    </dgm:pt>
    <dgm:pt modelId="{7A9399E4-BBD2-4368-9E85-CE92D06EB3B6}" type="sibTrans" cxnId="{0E399D5B-E8A0-4A70-A38E-803901BE8B09}">
      <dgm:prSet/>
      <dgm:spPr/>
      <dgm:t>
        <a:bodyPr/>
        <a:lstStyle/>
        <a:p>
          <a:endParaRPr lang="es-ES"/>
        </a:p>
      </dgm:t>
    </dgm:pt>
    <dgm:pt modelId="{C3232BCD-CDA7-42EE-AECA-95315D22E50B}" type="pres">
      <dgm:prSet presAssocID="{4D70F71C-0521-4BFD-988D-C2EA364B647A}" presName="linearFlow" presStyleCnt="0">
        <dgm:presLayoutVars>
          <dgm:dir/>
          <dgm:resizeHandles val="exact"/>
        </dgm:presLayoutVars>
      </dgm:prSet>
      <dgm:spPr/>
      <dgm:t>
        <a:bodyPr/>
        <a:lstStyle/>
        <a:p>
          <a:endParaRPr lang="es-ES"/>
        </a:p>
      </dgm:t>
    </dgm:pt>
    <dgm:pt modelId="{A588FC13-1A2C-479D-A4E1-54BAF9C1B9EC}" type="pres">
      <dgm:prSet presAssocID="{7B5B3AB1-5B49-46B5-8E9A-1D8BC54002B9}" presName="composite" presStyleCnt="0"/>
      <dgm:spPr/>
      <dgm:t>
        <a:bodyPr/>
        <a:lstStyle/>
        <a:p>
          <a:endParaRPr lang="es-GT"/>
        </a:p>
      </dgm:t>
    </dgm:pt>
    <dgm:pt modelId="{905425A4-62A8-4F83-956F-F06379861119}" type="pres">
      <dgm:prSet presAssocID="{7B5B3AB1-5B49-46B5-8E9A-1D8BC54002B9}" presName="imgShp" presStyleLbl="fgImgPlace1" presStyleIdx="0" presStyleCnt="1" custScaleX="57129" custScaleY="67376" custLinFactNeighborX="-19537"/>
      <dgm:spPr>
        <a:blipFill rotWithShape="0">
          <a:blip xmlns:r="http://schemas.openxmlformats.org/officeDocument/2006/relationships" r:embed="rId1"/>
          <a:stretch>
            <a:fillRect/>
          </a:stretch>
        </a:blipFill>
      </dgm:spPr>
      <dgm:t>
        <a:bodyPr/>
        <a:lstStyle/>
        <a:p>
          <a:endParaRPr lang="es-ES"/>
        </a:p>
      </dgm:t>
    </dgm:pt>
    <dgm:pt modelId="{94BD965B-EB47-4973-A7A8-1AF0EAF26C89}" type="pres">
      <dgm:prSet presAssocID="{7B5B3AB1-5B49-46B5-8E9A-1D8BC54002B9}" presName="txShp" presStyleLbl="node1" presStyleIdx="0" presStyleCnt="1" custScaleX="150376" custScaleY="150376">
        <dgm:presLayoutVars>
          <dgm:bulletEnabled val="1"/>
        </dgm:presLayoutVars>
      </dgm:prSet>
      <dgm:spPr/>
      <dgm:t>
        <a:bodyPr/>
        <a:lstStyle/>
        <a:p>
          <a:endParaRPr lang="es-ES"/>
        </a:p>
      </dgm:t>
    </dgm:pt>
  </dgm:ptLst>
  <dgm:cxnLst>
    <dgm:cxn modelId="{0E399D5B-E8A0-4A70-A38E-803901BE8B09}" srcId="{7B5B3AB1-5B49-46B5-8E9A-1D8BC54002B9}" destId="{6E183A6A-818D-4222-8755-484929514477}" srcOrd="1" destOrd="0" parTransId="{26EB4AC1-332D-4CA4-AF74-791BF219BD1C}" sibTransId="{7A9399E4-BBD2-4368-9E85-CE92D06EB3B6}"/>
    <dgm:cxn modelId="{4D8E685C-ABDF-47AD-B3EE-BE41B4D6AA75}" type="presOf" srcId="{7B5B3AB1-5B49-46B5-8E9A-1D8BC54002B9}" destId="{94BD965B-EB47-4973-A7A8-1AF0EAF26C89}" srcOrd="0" destOrd="0" presId="urn:microsoft.com/office/officeart/2005/8/layout/vList3#8"/>
    <dgm:cxn modelId="{C4A38EF9-4959-4935-8A8B-2A5ECEE86034}" type="presOf" srcId="{F2BDB009-3039-41ED-847E-200E17D2BB57}" destId="{94BD965B-EB47-4973-A7A8-1AF0EAF26C89}" srcOrd="0" destOrd="1" presId="urn:microsoft.com/office/officeart/2005/8/layout/vList3#8"/>
    <dgm:cxn modelId="{94281817-C0E3-4328-B32D-BDB690CED587}" srcId="{7B5B3AB1-5B49-46B5-8E9A-1D8BC54002B9}" destId="{F2BDB009-3039-41ED-847E-200E17D2BB57}" srcOrd="0" destOrd="0" parTransId="{AFD1AD03-343A-4EBA-8355-67416E592B45}" sibTransId="{0BD8E647-BCAF-4B7A-AD15-23FBE0F52ED0}"/>
    <dgm:cxn modelId="{B6F1A5CE-1104-474D-8FBA-14DB646F004E}" type="presOf" srcId="{6E183A6A-818D-4222-8755-484929514477}" destId="{94BD965B-EB47-4973-A7A8-1AF0EAF26C89}" srcOrd="0" destOrd="2" presId="urn:microsoft.com/office/officeart/2005/8/layout/vList3#8"/>
    <dgm:cxn modelId="{7571FFBD-61B5-477D-880B-BEDB6FA7E415}" type="presOf" srcId="{4D70F71C-0521-4BFD-988D-C2EA364B647A}" destId="{C3232BCD-CDA7-42EE-AECA-95315D22E50B}" srcOrd="0" destOrd="0" presId="urn:microsoft.com/office/officeart/2005/8/layout/vList3#8"/>
    <dgm:cxn modelId="{0571DB7C-3B77-41E2-B411-1D2245EB0FE8}" srcId="{4D70F71C-0521-4BFD-988D-C2EA364B647A}" destId="{7B5B3AB1-5B49-46B5-8E9A-1D8BC54002B9}" srcOrd="0" destOrd="0" parTransId="{D25A3009-45A6-4DC1-8453-A0DE348B4C65}" sibTransId="{A37A5C9E-32A2-49D7-9FD1-6DCB517FDE70}"/>
    <dgm:cxn modelId="{3685485B-F828-4232-9A45-E54658389E7A}" type="presOf" srcId="{930BF881-D5FD-482D-AA89-00DF6160A506}" destId="{94BD965B-EB47-4973-A7A8-1AF0EAF26C89}" srcOrd="0" destOrd="3" presId="urn:microsoft.com/office/officeart/2005/8/layout/vList3#8"/>
    <dgm:cxn modelId="{DDE3A5B7-93FB-4151-8F6F-F9657EB73636}" srcId="{7B5B3AB1-5B49-46B5-8E9A-1D8BC54002B9}" destId="{930BF881-D5FD-482D-AA89-00DF6160A506}" srcOrd="2" destOrd="0" parTransId="{DEA18A0C-A370-4474-9130-370901F09940}" sibTransId="{654BF112-EDA8-4F1A-87F4-453CFCB9AEE8}"/>
    <dgm:cxn modelId="{ECCC8DE6-4C9B-4FB3-A130-952EBAC33D5C}" type="presParOf" srcId="{C3232BCD-CDA7-42EE-AECA-95315D22E50B}" destId="{A588FC13-1A2C-479D-A4E1-54BAF9C1B9EC}" srcOrd="0" destOrd="0" presId="urn:microsoft.com/office/officeart/2005/8/layout/vList3#8"/>
    <dgm:cxn modelId="{0A6E03BC-B394-41F3-BBF6-7398F5ACBB96}" type="presParOf" srcId="{A588FC13-1A2C-479D-A4E1-54BAF9C1B9EC}" destId="{905425A4-62A8-4F83-956F-F06379861119}" srcOrd="0" destOrd="0" presId="urn:microsoft.com/office/officeart/2005/8/layout/vList3#8"/>
    <dgm:cxn modelId="{B0C867D2-14F7-40C2-AB60-09087A987D98}" type="presParOf" srcId="{A588FC13-1A2C-479D-A4E1-54BAF9C1B9EC}" destId="{94BD965B-EB47-4973-A7A8-1AF0EAF26C89}" srcOrd="1" destOrd="0" presId="urn:microsoft.com/office/officeart/2005/8/layout/vList3#8"/>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55D3E88-7713-4EAB-BD1A-54387F7A5C9C}" type="doc">
      <dgm:prSet loTypeId="urn:microsoft.com/office/officeart/2005/8/layout/funnel1" loCatId="relationship" qsTypeId="urn:microsoft.com/office/officeart/2005/8/quickstyle/simple1" qsCatId="simple" csTypeId="urn:microsoft.com/office/officeart/2005/8/colors/accent1_1" csCatId="accent1" phldr="1"/>
      <dgm:spPr/>
      <dgm:t>
        <a:bodyPr/>
        <a:lstStyle/>
        <a:p>
          <a:endParaRPr lang="es-ES"/>
        </a:p>
      </dgm:t>
    </dgm:pt>
    <dgm:pt modelId="{B8E66A53-6481-4B88-A871-074AD53AB9F7}">
      <dgm:prSet phldrT="[Texto]" custT="1"/>
      <dgm:spPr/>
      <dgm:t>
        <a:bodyPr/>
        <a:lstStyle/>
        <a:p>
          <a:r>
            <a:rPr lang="es-ES" sz="1050" b="1"/>
            <a:t>Crece 12.2%respecto del presupuesto aprobado 2018. </a:t>
          </a:r>
        </a:p>
      </dgm:t>
    </dgm:pt>
    <dgm:pt modelId="{A6864737-644B-4FF9-A38D-0677EF0563C8}" type="parTrans" cxnId="{08F27AE4-12B0-4270-972F-428554FB50B7}">
      <dgm:prSet/>
      <dgm:spPr/>
      <dgm:t>
        <a:bodyPr/>
        <a:lstStyle/>
        <a:p>
          <a:endParaRPr lang="es-ES"/>
        </a:p>
      </dgm:t>
    </dgm:pt>
    <dgm:pt modelId="{76FECA8D-481D-4CEF-A9DB-4A221AD8A7B4}" type="sibTrans" cxnId="{08F27AE4-12B0-4270-972F-428554FB50B7}">
      <dgm:prSet/>
      <dgm:spPr/>
      <dgm:t>
        <a:bodyPr/>
        <a:lstStyle/>
        <a:p>
          <a:endParaRPr lang="es-ES"/>
        </a:p>
      </dgm:t>
    </dgm:pt>
    <dgm:pt modelId="{7388111F-479D-4A0A-B5AF-F67A3F8CE7F8}">
      <dgm:prSet phldrT="[Texto]" custT="1"/>
      <dgm:spPr/>
      <dgm:t>
        <a:bodyPr/>
        <a:lstStyle/>
        <a:p>
          <a:endParaRPr lang="es-GT" sz="1050" b="1"/>
        </a:p>
        <a:p>
          <a:r>
            <a:rPr lang="es-GT" sz="1050" b="1"/>
            <a:t>Crece 10.6% respecto del presupuesto vigente 2018. </a:t>
          </a:r>
          <a:endParaRPr lang="es-ES" sz="1050" b="1"/>
        </a:p>
      </dgm:t>
    </dgm:pt>
    <dgm:pt modelId="{765B9597-2754-44E4-B855-359671C81ACE}" type="parTrans" cxnId="{AD6FE779-F7CB-4548-8260-A3F71FD2120D}">
      <dgm:prSet/>
      <dgm:spPr/>
      <dgm:t>
        <a:bodyPr/>
        <a:lstStyle/>
        <a:p>
          <a:endParaRPr lang="es-ES"/>
        </a:p>
      </dgm:t>
    </dgm:pt>
    <dgm:pt modelId="{5232A282-FC2A-4A89-A379-5A4A954662E2}" type="sibTrans" cxnId="{AD6FE779-F7CB-4548-8260-A3F71FD2120D}">
      <dgm:prSet/>
      <dgm:spPr/>
      <dgm:t>
        <a:bodyPr/>
        <a:lstStyle/>
        <a:p>
          <a:endParaRPr lang="es-ES"/>
        </a:p>
      </dgm:t>
    </dgm:pt>
    <dgm:pt modelId="{CD0ECC9A-AA51-4A5D-A8E2-0C505135ED5F}">
      <dgm:prSet phldrT="[Texto]" phldr="1"/>
      <dgm:spPr/>
      <dgm:t>
        <a:bodyPr/>
        <a:lstStyle/>
        <a:p>
          <a:endParaRPr lang="es-ES" b="1">
            <a:solidFill>
              <a:sysClr val="windowText" lastClr="000000"/>
            </a:solidFill>
          </a:endParaRPr>
        </a:p>
      </dgm:t>
    </dgm:pt>
    <dgm:pt modelId="{16E77763-694B-4BCC-AC5D-D86057DC8D0B}" type="parTrans" cxnId="{19D01E21-2D24-409D-A098-055410C182F1}">
      <dgm:prSet/>
      <dgm:spPr/>
      <dgm:t>
        <a:bodyPr/>
        <a:lstStyle/>
        <a:p>
          <a:endParaRPr lang="es-ES"/>
        </a:p>
      </dgm:t>
    </dgm:pt>
    <dgm:pt modelId="{8A8AAEB8-3FBB-45A6-8BEF-25EFC94D2063}" type="sibTrans" cxnId="{19D01E21-2D24-409D-A098-055410C182F1}">
      <dgm:prSet/>
      <dgm:spPr/>
      <dgm:t>
        <a:bodyPr/>
        <a:lstStyle/>
        <a:p>
          <a:endParaRPr lang="es-ES"/>
        </a:p>
      </dgm:t>
    </dgm:pt>
    <dgm:pt modelId="{8937D531-D7CD-4AB6-A956-23B46205514B}">
      <dgm:prSet phldrT="[Texto]" custT="1"/>
      <dgm:spPr/>
      <dgm:t>
        <a:bodyPr/>
        <a:lstStyle/>
        <a:p>
          <a:endParaRPr lang="es-ES"/>
        </a:p>
      </dgm:t>
    </dgm:pt>
    <dgm:pt modelId="{210DDEEF-BD95-426D-88C6-533DF9A46E92}" type="parTrans" cxnId="{EC93CB18-D707-4EC4-9108-2F488DAAB578}">
      <dgm:prSet/>
      <dgm:spPr/>
      <dgm:t>
        <a:bodyPr/>
        <a:lstStyle/>
        <a:p>
          <a:endParaRPr lang="es-ES"/>
        </a:p>
      </dgm:t>
    </dgm:pt>
    <dgm:pt modelId="{D8539E1F-E58A-4917-83D7-D7BCC6A2B450}" type="sibTrans" cxnId="{EC93CB18-D707-4EC4-9108-2F488DAAB578}">
      <dgm:prSet/>
      <dgm:spPr/>
      <dgm:t>
        <a:bodyPr/>
        <a:lstStyle/>
        <a:p>
          <a:endParaRPr lang="es-ES"/>
        </a:p>
      </dgm:t>
    </dgm:pt>
    <dgm:pt modelId="{E18019F5-139F-4DFB-AD5A-B000F1559F99}">
      <dgm:prSet custT="1"/>
      <dgm:spPr/>
      <dgm:t>
        <a:bodyPr/>
        <a:lstStyle/>
        <a:p>
          <a:pPr algn="ctr"/>
          <a:r>
            <a:rPr lang="es-GT" sz="1400" b="1"/>
            <a:t>En un vistazo: </a:t>
          </a:r>
        </a:p>
        <a:p>
          <a:pPr algn="ctr"/>
          <a:r>
            <a:rPr lang="es-GT" sz="1400" b="1"/>
            <a:t>¿A cuánto asciende el presupuesto 2019?</a:t>
          </a:r>
        </a:p>
        <a:p>
          <a:pPr algn="ctr"/>
          <a:endParaRPr lang="es-GT" sz="1200"/>
        </a:p>
        <a:p>
          <a:pPr algn="ctr"/>
          <a:r>
            <a:rPr lang="es-GT" sz="1400" b="1"/>
            <a:t>Asciende a Q.87,715.1 millones</a:t>
          </a:r>
          <a:endParaRPr lang="es-ES" sz="1300" b="1"/>
        </a:p>
      </dgm:t>
    </dgm:pt>
    <dgm:pt modelId="{6E47FD1C-0C7D-4373-B8B1-CB8E4D13D4B5}" type="parTrans" cxnId="{CDCA5834-E57A-4E96-9D16-5BED39C07F58}">
      <dgm:prSet/>
      <dgm:spPr/>
      <dgm:t>
        <a:bodyPr/>
        <a:lstStyle/>
        <a:p>
          <a:endParaRPr lang="es-ES"/>
        </a:p>
      </dgm:t>
    </dgm:pt>
    <dgm:pt modelId="{2718804B-1036-4F1C-80F7-B9FF88E9ED9B}" type="sibTrans" cxnId="{CDCA5834-E57A-4E96-9D16-5BED39C07F58}">
      <dgm:prSet/>
      <dgm:spPr/>
      <dgm:t>
        <a:bodyPr/>
        <a:lstStyle/>
        <a:p>
          <a:endParaRPr lang="es-ES"/>
        </a:p>
      </dgm:t>
    </dgm:pt>
    <dgm:pt modelId="{0D16F0A8-E362-4240-AD4E-A7F39CF94692}">
      <dgm:prSet custT="1"/>
      <dgm:spPr/>
      <dgm:t>
        <a:bodyPr/>
        <a:lstStyle/>
        <a:p>
          <a:endParaRPr lang="es-GT" sz="1000" b="1"/>
        </a:p>
        <a:p>
          <a:endParaRPr lang="es-GT" sz="1000" b="1"/>
        </a:p>
        <a:p>
          <a:r>
            <a:rPr lang="es-GT" sz="1000" b="1"/>
            <a:t>Crece 14.2% respecto del presupuesto ejecutado 2018.</a:t>
          </a:r>
          <a:endParaRPr lang="es-ES" sz="1000" b="1"/>
        </a:p>
      </dgm:t>
    </dgm:pt>
    <dgm:pt modelId="{6487ABCE-752F-4E46-BEA6-90825EC2FA6C}" type="parTrans" cxnId="{C80A983C-CA51-4E9C-8AD5-21FB4E6A5D3A}">
      <dgm:prSet/>
      <dgm:spPr/>
      <dgm:t>
        <a:bodyPr/>
        <a:lstStyle/>
        <a:p>
          <a:endParaRPr lang="es-ES"/>
        </a:p>
      </dgm:t>
    </dgm:pt>
    <dgm:pt modelId="{D5C25C97-6871-480D-BE98-76CCBD65C206}" type="sibTrans" cxnId="{C80A983C-CA51-4E9C-8AD5-21FB4E6A5D3A}">
      <dgm:prSet/>
      <dgm:spPr/>
      <dgm:t>
        <a:bodyPr/>
        <a:lstStyle/>
        <a:p>
          <a:endParaRPr lang="es-ES"/>
        </a:p>
      </dgm:t>
    </dgm:pt>
    <dgm:pt modelId="{BBC4E55F-658C-4B20-8E67-37800B843AAC}" type="pres">
      <dgm:prSet presAssocID="{155D3E88-7713-4EAB-BD1A-54387F7A5C9C}" presName="Name0" presStyleCnt="0">
        <dgm:presLayoutVars>
          <dgm:chMax val="4"/>
          <dgm:resizeHandles val="exact"/>
        </dgm:presLayoutVars>
      </dgm:prSet>
      <dgm:spPr/>
      <dgm:t>
        <a:bodyPr/>
        <a:lstStyle/>
        <a:p>
          <a:endParaRPr lang="es-ES"/>
        </a:p>
      </dgm:t>
    </dgm:pt>
    <dgm:pt modelId="{20093877-FEAE-4591-B8E5-4926A5D20562}" type="pres">
      <dgm:prSet presAssocID="{155D3E88-7713-4EAB-BD1A-54387F7A5C9C}" presName="ellipse" presStyleLbl="trBgShp" presStyleIdx="0" presStyleCnt="1" custScaleX="46891" custScaleY="125277" custLinFactNeighborX="-66361" custLinFactNeighborY="39076"/>
      <dgm:spPr>
        <a:blipFill rotWithShape="0">
          <a:blip xmlns:r="http://schemas.openxmlformats.org/officeDocument/2006/relationships" r:embed="rId1">
            <a:duotone>
              <a:schemeClr val="accent1">
                <a:shade val="45000"/>
                <a:satMod val="135000"/>
              </a:schemeClr>
              <a:prstClr val="white"/>
            </a:duotone>
            <a:extLst>
              <a:ext uri="{BEBA8EAE-BF5A-486C-A8C5-ECC9F3942E4B}">
                <a14:imgProps xmlns:a14="http://schemas.microsoft.com/office/drawing/2010/main">
                  <a14:imgLayer r:embed="rId2">
                    <a14:imgEffect>
                      <a14:brightnessContrast bright="20000"/>
                    </a14:imgEffect>
                  </a14:imgLayer>
                </a14:imgProps>
              </a:ext>
            </a:extLst>
          </a:blip>
          <a:stretch>
            <a:fillRect/>
          </a:stretch>
        </a:blipFill>
      </dgm:spPr>
      <dgm:t>
        <a:bodyPr/>
        <a:lstStyle/>
        <a:p>
          <a:endParaRPr lang="es-ES"/>
        </a:p>
      </dgm:t>
    </dgm:pt>
    <dgm:pt modelId="{DE41AF3E-B9A5-4D3D-B069-1E9D9A9AB6DA}" type="pres">
      <dgm:prSet presAssocID="{155D3E88-7713-4EAB-BD1A-54387F7A5C9C}" presName="arrow1" presStyleLbl="fgShp" presStyleIdx="0" presStyleCnt="1" custLinFactX="62646" custLinFactY="100000" custLinFactNeighborX="100000" custLinFactNeighborY="169288"/>
      <dgm:spPr>
        <a:solidFill>
          <a:schemeClr val="tx2"/>
        </a:solidFill>
      </dgm:spPr>
      <dgm:t>
        <a:bodyPr/>
        <a:lstStyle/>
        <a:p>
          <a:endParaRPr lang="es-ES"/>
        </a:p>
      </dgm:t>
    </dgm:pt>
    <dgm:pt modelId="{9D3539D9-E9B2-4324-9950-C043AC82A23B}" type="pres">
      <dgm:prSet presAssocID="{155D3E88-7713-4EAB-BD1A-54387F7A5C9C}" presName="rectangle" presStyleLbl="revTx" presStyleIdx="0" presStyleCnt="1" custScaleX="65079" custScaleY="426165" custLinFactNeighborX="-67722" custLinFactNeighborY="-90078">
        <dgm:presLayoutVars>
          <dgm:bulletEnabled val="1"/>
        </dgm:presLayoutVars>
      </dgm:prSet>
      <dgm:spPr/>
      <dgm:t>
        <a:bodyPr/>
        <a:lstStyle/>
        <a:p>
          <a:endParaRPr lang="es-ES"/>
        </a:p>
      </dgm:t>
    </dgm:pt>
    <dgm:pt modelId="{CDBE3D70-84A9-48D8-98F6-31942E665DE4}" type="pres">
      <dgm:prSet presAssocID="{0D16F0A8-E362-4240-AD4E-A7F39CF94692}" presName="item1" presStyleLbl="node1" presStyleIdx="0" presStyleCnt="3" custAng="19966160" custScaleX="121254" custScaleY="168963" custLinFactNeighborX="17559" custLinFactNeighborY="33368">
        <dgm:presLayoutVars>
          <dgm:bulletEnabled val="1"/>
        </dgm:presLayoutVars>
      </dgm:prSet>
      <dgm:spPr/>
      <dgm:t>
        <a:bodyPr/>
        <a:lstStyle/>
        <a:p>
          <a:endParaRPr lang="es-ES"/>
        </a:p>
      </dgm:t>
    </dgm:pt>
    <dgm:pt modelId="{ADC8493E-1D02-4F90-A7B1-3DB4BBE6010B}" type="pres">
      <dgm:prSet presAssocID="{7388111F-479D-4A0A-B5AF-F67A3F8CE7F8}" presName="item2" presStyleLbl="node1" presStyleIdx="1" presStyleCnt="3" custAng="1003057" custScaleX="119184" custScaleY="173336" custLinFactX="100000" custLinFactY="2971" custLinFactNeighborX="114637" custLinFactNeighborY="100000">
        <dgm:presLayoutVars>
          <dgm:bulletEnabled val="1"/>
        </dgm:presLayoutVars>
      </dgm:prSet>
      <dgm:spPr/>
      <dgm:t>
        <a:bodyPr/>
        <a:lstStyle/>
        <a:p>
          <a:endParaRPr lang="es-ES"/>
        </a:p>
      </dgm:t>
    </dgm:pt>
    <dgm:pt modelId="{AA0F9C53-4967-493D-9513-617066F625C1}" type="pres">
      <dgm:prSet presAssocID="{E18019F5-139F-4DFB-AD5A-B000F1559F99}" presName="item3" presStyleLbl="node1" presStyleIdx="2" presStyleCnt="3" custScaleX="173862" custScaleY="143990" custLinFactNeighborX="48275" custLinFactNeighborY="33166">
        <dgm:presLayoutVars>
          <dgm:bulletEnabled val="1"/>
        </dgm:presLayoutVars>
      </dgm:prSet>
      <dgm:spPr/>
      <dgm:t>
        <a:bodyPr/>
        <a:lstStyle/>
        <a:p>
          <a:endParaRPr lang="es-ES"/>
        </a:p>
      </dgm:t>
    </dgm:pt>
    <dgm:pt modelId="{438027CE-0D1E-4154-9CB9-6DF3ADC002F7}" type="pres">
      <dgm:prSet presAssocID="{155D3E88-7713-4EAB-BD1A-54387F7A5C9C}" presName="funnel" presStyleLbl="trAlignAcc1" presStyleIdx="0" presStyleCnt="1" custScaleX="110468" custScaleY="133270" custLinFactNeighborX="28715" custLinFactNeighborY="32940"/>
      <dgm:spPr/>
      <dgm:t>
        <a:bodyPr/>
        <a:lstStyle/>
        <a:p>
          <a:endParaRPr lang="es-ES"/>
        </a:p>
      </dgm:t>
    </dgm:pt>
  </dgm:ptLst>
  <dgm:cxnLst>
    <dgm:cxn modelId="{CDCA5834-E57A-4E96-9D16-5BED39C07F58}" srcId="{155D3E88-7713-4EAB-BD1A-54387F7A5C9C}" destId="{E18019F5-139F-4DFB-AD5A-B000F1559F99}" srcOrd="3" destOrd="0" parTransId="{6E47FD1C-0C7D-4373-B8B1-CB8E4D13D4B5}" sibTransId="{2718804B-1036-4F1C-80F7-B9FF88E9ED9B}"/>
    <dgm:cxn modelId="{250FD995-ABED-4104-9B03-56750A59EAFA}" type="presOf" srcId="{0D16F0A8-E362-4240-AD4E-A7F39CF94692}" destId="{ADC8493E-1D02-4F90-A7B1-3DB4BBE6010B}" srcOrd="0" destOrd="0" presId="urn:microsoft.com/office/officeart/2005/8/layout/funnel1"/>
    <dgm:cxn modelId="{EC93CB18-D707-4EC4-9108-2F488DAAB578}" srcId="{155D3E88-7713-4EAB-BD1A-54387F7A5C9C}" destId="{8937D531-D7CD-4AB6-A956-23B46205514B}" srcOrd="5" destOrd="0" parTransId="{210DDEEF-BD95-426D-88C6-533DF9A46E92}" sibTransId="{D8539E1F-E58A-4917-83D7-D7BCC6A2B450}"/>
    <dgm:cxn modelId="{AD6FE779-F7CB-4548-8260-A3F71FD2120D}" srcId="{155D3E88-7713-4EAB-BD1A-54387F7A5C9C}" destId="{7388111F-479D-4A0A-B5AF-F67A3F8CE7F8}" srcOrd="2" destOrd="0" parTransId="{765B9597-2754-44E4-B855-359671C81ACE}" sibTransId="{5232A282-FC2A-4A89-A379-5A4A954662E2}"/>
    <dgm:cxn modelId="{DE61EF52-D6FE-495B-B634-88F61528869D}" type="presOf" srcId="{155D3E88-7713-4EAB-BD1A-54387F7A5C9C}" destId="{BBC4E55F-658C-4B20-8E67-37800B843AAC}" srcOrd="0" destOrd="0" presId="urn:microsoft.com/office/officeart/2005/8/layout/funnel1"/>
    <dgm:cxn modelId="{750D4131-90E3-44C6-B097-2A013CE15795}" type="presOf" srcId="{B8E66A53-6481-4B88-A871-074AD53AB9F7}" destId="{AA0F9C53-4967-493D-9513-617066F625C1}" srcOrd="0" destOrd="0" presId="urn:microsoft.com/office/officeart/2005/8/layout/funnel1"/>
    <dgm:cxn modelId="{C80A983C-CA51-4E9C-8AD5-21FB4E6A5D3A}" srcId="{155D3E88-7713-4EAB-BD1A-54387F7A5C9C}" destId="{0D16F0A8-E362-4240-AD4E-A7F39CF94692}" srcOrd="1" destOrd="0" parTransId="{6487ABCE-752F-4E46-BEA6-90825EC2FA6C}" sibTransId="{D5C25C97-6871-480D-BE98-76CCBD65C206}"/>
    <dgm:cxn modelId="{19D01E21-2D24-409D-A098-055410C182F1}" srcId="{155D3E88-7713-4EAB-BD1A-54387F7A5C9C}" destId="{CD0ECC9A-AA51-4A5D-A8E2-0C505135ED5F}" srcOrd="4" destOrd="0" parTransId="{16E77763-694B-4BCC-AC5D-D86057DC8D0B}" sibTransId="{8A8AAEB8-3FBB-45A6-8BEF-25EFC94D2063}"/>
    <dgm:cxn modelId="{26F3B4E6-2812-4477-BA67-E95492DB5AEB}" type="presOf" srcId="{7388111F-479D-4A0A-B5AF-F67A3F8CE7F8}" destId="{CDBE3D70-84A9-48D8-98F6-31942E665DE4}" srcOrd="0" destOrd="0" presId="urn:microsoft.com/office/officeart/2005/8/layout/funnel1"/>
    <dgm:cxn modelId="{E270907A-0D35-4112-ABBB-4CE2DB1BD953}" type="presOf" srcId="{E18019F5-139F-4DFB-AD5A-B000F1559F99}" destId="{9D3539D9-E9B2-4324-9950-C043AC82A23B}" srcOrd="0" destOrd="0" presId="urn:microsoft.com/office/officeart/2005/8/layout/funnel1"/>
    <dgm:cxn modelId="{08F27AE4-12B0-4270-972F-428554FB50B7}" srcId="{155D3E88-7713-4EAB-BD1A-54387F7A5C9C}" destId="{B8E66A53-6481-4B88-A871-074AD53AB9F7}" srcOrd="0" destOrd="0" parTransId="{A6864737-644B-4FF9-A38D-0677EF0563C8}" sibTransId="{76FECA8D-481D-4CEF-A9DB-4A221AD8A7B4}"/>
    <dgm:cxn modelId="{C62DAC38-22B7-407D-A41B-9E405DBCC8EF}" type="presParOf" srcId="{BBC4E55F-658C-4B20-8E67-37800B843AAC}" destId="{20093877-FEAE-4591-B8E5-4926A5D20562}" srcOrd="0" destOrd="0" presId="urn:microsoft.com/office/officeart/2005/8/layout/funnel1"/>
    <dgm:cxn modelId="{1F5EDCCA-1C25-41CE-A438-9B1C590A0213}" type="presParOf" srcId="{BBC4E55F-658C-4B20-8E67-37800B843AAC}" destId="{DE41AF3E-B9A5-4D3D-B069-1E9D9A9AB6DA}" srcOrd="1" destOrd="0" presId="urn:microsoft.com/office/officeart/2005/8/layout/funnel1"/>
    <dgm:cxn modelId="{625D89E2-2C21-4340-9639-F12D53CB419A}" type="presParOf" srcId="{BBC4E55F-658C-4B20-8E67-37800B843AAC}" destId="{9D3539D9-E9B2-4324-9950-C043AC82A23B}" srcOrd="2" destOrd="0" presId="urn:microsoft.com/office/officeart/2005/8/layout/funnel1"/>
    <dgm:cxn modelId="{37D5F458-EF95-4D6C-A0D2-B981315CDE73}" type="presParOf" srcId="{BBC4E55F-658C-4B20-8E67-37800B843AAC}" destId="{CDBE3D70-84A9-48D8-98F6-31942E665DE4}" srcOrd="3" destOrd="0" presId="urn:microsoft.com/office/officeart/2005/8/layout/funnel1"/>
    <dgm:cxn modelId="{C633D8AD-D453-49EF-B0EF-A8DD6A42AA10}" type="presParOf" srcId="{BBC4E55F-658C-4B20-8E67-37800B843AAC}" destId="{ADC8493E-1D02-4F90-A7B1-3DB4BBE6010B}" srcOrd="4" destOrd="0" presId="urn:microsoft.com/office/officeart/2005/8/layout/funnel1"/>
    <dgm:cxn modelId="{1A52672F-AFFC-437D-8B58-AE95A3BD1FF8}" type="presParOf" srcId="{BBC4E55F-658C-4B20-8E67-37800B843AAC}" destId="{AA0F9C53-4967-493D-9513-617066F625C1}" srcOrd="5" destOrd="0" presId="urn:microsoft.com/office/officeart/2005/8/layout/funnel1"/>
    <dgm:cxn modelId="{39C616DB-5756-455B-A0AA-6942F0D9AFAF}" type="presParOf" srcId="{BBC4E55F-658C-4B20-8E67-37800B843AAC}" destId="{438027CE-0D1E-4154-9CB9-6DF3ADC002F7}" srcOrd="6" destOrd="0" presId="urn:microsoft.com/office/officeart/2005/8/layout/funnel1"/>
  </dgm:cxnLst>
  <dgm:bg/>
  <dgm:whole>
    <a:ln w="15875">
      <a:noFill/>
    </a:ln>
  </dgm:whole>
  <dgm:extLst>
    <a:ext uri="http://schemas.microsoft.com/office/drawing/2008/diagram">
      <dsp:dataModelExt xmlns:dsp="http://schemas.microsoft.com/office/drawing/2008/diagram" relId="rId32"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78BC2ACD-9787-423A-8199-A6110A0F65AD}" type="doc">
      <dgm:prSet loTypeId="urn:microsoft.com/office/officeart/2005/8/layout/hList9" loCatId="list" qsTypeId="urn:microsoft.com/office/officeart/2005/8/quickstyle/simple1" qsCatId="simple" csTypeId="urn:microsoft.com/office/officeart/2005/8/colors/accent0_1" csCatId="mainScheme" phldr="1"/>
      <dgm:spPr/>
      <dgm:t>
        <a:bodyPr/>
        <a:lstStyle/>
        <a:p>
          <a:endParaRPr lang="es-ES"/>
        </a:p>
      </dgm:t>
    </dgm:pt>
    <dgm:pt modelId="{1DAD0E7D-A1E1-4BD1-8420-814396F55522}">
      <dgm:prSet phldrT="[Texto]" custT="1"/>
      <dgm:spPr>
        <a:blipFill rotWithShape="0">
          <a:blip xmlns:r="http://schemas.openxmlformats.org/officeDocument/2006/relationships" r:embed="rId1">
            <a:duotone>
              <a:schemeClr val="bg2">
                <a:shade val="45000"/>
                <a:satMod val="135000"/>
              </a:schemeClr>
              <a:prstClr val="white"/>
            </a:duotone>
          </a:blip>
          <a:tile tx="0" ty="0" sx="100000" sy="100000" flip="none" algn="tl"/>
        </a:blipFill>
      </dgm:spPr>
      <dgm:t>
        <a:bodyPr/>
        <a:lstStyle/>
        <a:p>
          <a:r>
            <a:rPr lang="es-ES" sz="1100">
              <a:latin typeface="Arial" pitchFamily="34" charset="0"/>
              <a:cs typeface="Arial" pitchFamily="34" charset="0"/>
            </a:rPr>
            <a:t>Conocer las etapas del proceso presupuestario, permite a las personas:</a:t>
          </a:r>
        </a:p>
        <a:p>
          <a:pPr marL="180000" indent="-457200"/>
          <a:r>
            <a:rPr lang="es-ES" sz="1100">
              <a:latin typeface="Arial" pitchFamily="34" charset="0"/>
              <a:cs typeface="Arial" pitchFamily="34" charset="0"/>
            </a:rPr>
            <a:t>a) saber en qué momento se solicitan los  recursos, </a:t>
          </a:r>
        </a:p>
        <a:p>
          <a:pPr marL="180000" indent="-457200"/>
          <a:r>
            <a:rPr lang="es-ES" sz="1100">
              <a:latin typeface="Arial" pitchFamily="34" charset="0"/>
              <a:cs typeface="Arial" pitchFamily="34" charset="0"/>
            </a:rPr>
            <a:t>b) qué instituciones los utilizarán, </a:t>
          </a:r>
        </a:p>
        <a:p>
          <a:pPr marL="180000" indent="-457200"/>
          <a:r>
            <a:rPr lang="es-ES" sz="1100">
              <a:latin typeface="Arial" pitchFamily="34" charset="0"/>
              <a:cs typeface="Arial" pitchFamily="34" charset="0"/>
            </a:rPr>
            <a:t>c) en qué período el Congreso de la República aprueba o  no el presupuesto, </a:t>
          </a:r>
        </a:p>
        <a:p>
          <a:pPr marL="180000" indent="-457200"/>
          <a:r>
            <a:rPr lang="es-ES" sz="1100">
              <a:latin typeface="Arial" pitchFamily="34" charset="0"/>
              <a:cs typeface="Arial" pitchFamily="34" charset="0"/>
            </a:rPr>
            <a:t>d) a partir de qué fecha se puede disponer </a:t>
          </a:r>
        </a:p>
        <a:p>
          <a:pPr marL="180000" indent="-457200"/>
          <a:r>
            <a:rPr lang="es-ES" sz="1100">
              <a:latin typeface="Arial" pitchFamily="34" charset="0"/>
              <a:cs typeface="Arial" pitchFamily="34" charset="0"/>
            </a:rPr>
            <a:t>    de los recursos para iniciar el  desarrollo </a:t>
          </a:r>
        </a:p>
        <a:p>
          <a:pPr marL="180000" indent="-457200"/>
          <a:r>
            <a:rPr lang="es-ES" sz="1100">
              <a:latin typeface="Arial" pitchFamily="34" charset="0"/>
              <a:cs typeface="Arial" pitchFamily="34" charset="0"/>
            </a:rPr>
            <a:t>    de los programas, y proyectos, y </a:t>
          </a:r>
        </a:p>
        <a:p>
          <a:pPr marL="180000" indent="-457200"/>
          <a:r>
            <a:rPr lang="es-ES" sz="1100">
              <a:latin typeface="Arial" pitchFamily="34" charset="0"/>
              <a:cs typeface="Arial" pitchFamily="34" charset="0"/>
            </a:rPr>
            <a:t>e) cuándo inicia la prestación de los servicios </a:t>
          </a:r>
        </a:p>
        <a:p>
          <a:pPr marL="180000" indent="-457200"/>
          <a:r>
            <a:rPr lang="es-ES" sz="1100">
              <a:latin typeface="Arial" pitchFamily="34" charset="0"/>
              <a:cs typeface="Arial" pitchFamily="34" charset="0"/>
            </a:rPr>
            <a:t>     públicos que requieren los ciudadanos.</a:t>
          </a:r>
          <a:endParaRPr lang="es-ES" sz="1100"/>
        </a:p>
      </dgm:t>
    </dgm:pt>
    <dgm:pt modelId="{ED68FA21-1BD0-41DF-B273-91FC0C4CD0B9}" type="parTrans" cxnId="{4125AE67-9458-4EB1-AD5C-B50EF644B2D4}">
      <dgm:prSet/>
      <dgm:spPr/>
      <dgm:t>
        <a:bodyPr/>
        <a:lstStyle/>
        <a:p>
          <a:endParaRPr lang="es-ES"/>
        </a:p>
      </dgm:t>
    </dgm:pt>
    <dgm:pt modelId="{D2A24485-A0D9-413A-B1CB-5C164888834C}" type="sibTrans" cxnId="{4125AE67-9458-4EB1-AD5C-B50EF644B2D4}">
      <dgm:prSet/>
      <dgm:spPr/>
      <dgm:t>
        <a:bodyPr/>
        <a:lstStyle/>
        <a:p>
          <a:endParaRPr lang="es-ES"/>
        </a:p>
      </dgm:t>
    </dgm:pt>
    <dgm:pt modelId="{5FBEC344-0894-441C-B094-8D90D59772E0}">
      <dgm:prSet phldrT="[Texto]"/>
      <dgm:spPr>
        <a:blipFill rotWithShape="0">
          <a:blip xmlns:r="http://schemas.openxmlformats.org/officeDocument/2006/relationships" r:embed="rId2"/>
          <a:stretch>
            <a:fillRect/>
          </a:stretch>
        </a:blipFill>
      </dgm:spPr>
      <dgm:t>
        <a:bodyPr/>
        <a:lstStyle/>
        <a:p>
          <a:r>
            <a:rPr lang="es-ES"/>
            <a:t>:</a:t>
          </a:r>
        </a:p>
      </dgm:t>
    </dgm:pt>
    <dgm:pt modelId="{0AEB53FF-6949-400F-A663-BF57ABDE0525}" type="sibTrans" cxnId="{66E55A94-6114-4AC1-B228-A88FA24B2990}">
      <dgm:prSet/>
      <dgm:spPr/>
      <dgm:t>
        <a:bodyPr/>
        <a:lstStyle/>
        <a:p>
          <a:endParaRPr lang="es-ES"/>
        </a:p>
      </dgm:t>
    </dgm:pt>
    <dgm:pt modelId="{6C8339BB-653B-43DC-B728-AA526FBFFC64}" type="parTrans" cxnId="{66E55A94-6114-4AC1-B228-A88FA24B2990}">
      <dgm:prSet/>
      <dgm:spPr/>
      <dgm:t>
        <a:bodyPr/>
        <a:lstStyle/>
        <a:p>
          <a:endParaRPr lang="es-ES"/>
        </a:p>
      </dgm:t>
    </dgm:pt>
    <dgm:pt modelId="{055D7E01-EA33-4F13-9FFD-047A9F31F346}" type="pres">
      <dgm:prSet presAssocID="{78BC2ACD-9787-423A-8199-A6110A0F65AD}" presName="list" presStyleCnt="0">
        <dgm:presLayoutVars>
          <dgm:dir/>
          <dgm:animLvl val="lvl"/>
        </dgm:presLayoutVars>
      </dgm:prSet>
      <dgm:spPr/>
      <dgm:t>
        <a:bodyPr/>
        <a:lstStyle/>
        <a:p>
          <a:endParaRPr lang="es-ES"/>
        </a:p>
      </dgm:t>
    </dgm:pt>
    <dgm:pt modelId="{007CCDE1-2EF0-423D-B3B4-5141F26DF02E}" type="pres">
      <dgm:prSet presAssocID="{5FBEC344-0894-441C-B094-8D90D59772E0}" presName="posSpace" presStyleCnt="0"/>
      <dgm:spPr/>
      <dgm:t>
        <a:bodyPr/>
        <a:lstStyle/>
        <a:p>
          <a:endParaRPr lang="es-GT"/>
        </a:p>
      </dgm:t>
    </dgm:pt>
    <dgm:pt modelId="{121870C3-9D7C-4EC9-A144-2A6E8ED6AF5B}" type="pres">
      <dgm:prSet presAssocID="{5FBEC344-0894-441C-B094-8D90D59772E0}" presName="vertFlow" presStyleCnt="0"/>
      <dgm:spPr/>
      <dgm:t>
        <a:bodyPr/>
        <a:lstStyle/>
        <a:p>
          <a:endParaRPr lang="es-GT"/>
        </a:p>
      </dgm:t>
    </dgm:pt>
    <dgm:pt modelId="{42D8778E-AFE7-4EDF-B482-2F1418C97DD0}" type="pres">
      <dgm:prSet presAssocID="{5FBEC344-0894-441C-B094-8D90D59772E0}" presName="topSpace" presStyleCnt="0"/>
      <dgm:spPr/>
      <dgm:t>
        <a:bodyPr/>
        <a:lstStyle/>
        <a:p>
          <a:endParaRPr lang="es-GT"/>
        </a:p>
      </dgm:t>
    </dgm:pt>
    <dgm:pt modelId="{74D90431-442B-4FFD-A644-4FD903C77411}" type="pres">
      <dgm:prSet presAssocID="{5FBEC344-0894-441C-B094-8D90D59772E0}" presName="firstComp" presStyleCnt="0"/>
      <dgm:spPr/>
      <dgm:t>
        <a:bodyPr/>
        <a:lstStyle/>
        <a:p>
          <a:endParaRPr lang="es-GT"/>
        </a:p>
      </dgm:t>
    </dgm:pt>
    <dgm:pt modelId="{F86D28DA-C21E-4411-AA3E-9E62B420A744}" type="pres">
      <dgm:prSet presAssocID="{5FBEC344-0894-441C-B094-8D90D59772E0}" presName="firstChild" presStyleLbl="bgAccFollowNode1" presStyleIdx="0" presStyleCnt="1" custScaleX="187261" custScaleY="363886" custLinFactNeighborX="2726" custLinFactNeighborY="-35149"/>
      <dgm:spPr>
        <a:prstGeom prst="cloudCallout">
          <a:avLst/>
        </a:prstGeom>
      </dgm:spPr>
      <dgm:t>
        <a:bodyPr/>
        <a:lstStyle/>
        <a:p>
          <a:endParaRPr lang="es-ES"/>
        </a:p>
      </dgm:t>
    </dgm:pt>
    <dgm:pt modelId="{B591A13A-D765-4E5C-839A-1B4DD832FE82}" type="pres">
      <dgm:prSet presAssocID="{5FBEC344-0894-441C-B094-8D90D59772E0}" presName="firstChildTx" presStyleLbl="bgAccFollowNode1" presStyleIdx="0" presStyleCnt="1">
        <dgm:presLayoutVars>
          <dgm:bulletEnabled val="1"/>
        </dgm:presLayoutVars>
      </dgm:prSet>
      <dgm:spPr/>
      <dgm:t>
        <a:bodyPr/>
        <a:lstStyle/>
        <a:p>
          <a:endParaRPr lang="es-ES"/>
        </a:p>
      </dgm:t>
    </dgm:pt>
    <dgm:pt modelId="{3D1BC017-8D43-4D14-9517-EE6DCDAB7FED}" type="pres">
      <dgm:prSet presAssocID="{5FBEC344-0894-441C-B094-8D90D59772E0}" presName="negSpace" presStyleCnt="0"/>
      <dgm:spPr/>
      <dgm:t>
        <a:bodyPr/>
        <a:lstStyle/>
        <a:p>
          <a:endParaRPr lang="es-GT"/>
        </a:p>
      </dgm:t>
    </dgm:pt>
    <dgm:pt modelId="{01DF5AC3-645B-4D2F-9AC5-96160E84FBCF}" type="pres">
      <dgm:prSet presAssocID="{5FBEC344-0894-441C-B094-8D90D59772E0}" presName="circle" presStyleLbl="node1" presStyleIdx="0" presStyleCnt="1" custScaleX="81184" custScaleY="108142" custLinFactX="-100000" custLinFactY="51660" custLinFactNeighborX="-133065" custLinFactNeighborY="100000"/>
      <dgm:spPr/>
      <dgm:t>
        <a:bodyPr/>
        <a:lstStyle/>
        <a:p>
          <a:endParaRPr lang="es-ES"/>
        </a:p>
      </dgm:t>
    </dgm:pt>
  </dgm:ptLst>
  <dgm:cxnLst>
    <dgm:cxn modelId="{ABEB1E7B-AE23-49AA-B80B-6B4283D2CAE5}" type="presOf" srcId="{1DAD0E7D-A1E1-4BD1-8420-814396F55522}" destId="{B591A13A-D765-4E5C-839A-1B4DD832FE82}" srcOrd="1" destOrd="0" presId="urn:microsoft.com/office/officeart/2005/8/layout/hList9"/>
    <dgm:cxn modelId="{66E55A94-6114-4AC1-B228-A88FA24B2990}" srcId="{78BC2ACD-9787-423A-8199-A6110A0F65AD}" destId="{5FBEC344-0894-441C-B094-8D90D59772E0}" srcOrd="0" destOrd="0" parTransId="{6C8339BB-653B-43DC-B728-AA526FBFFC64}" sibTransId="{0AEB53FF-6949-400F-A663-BF57ABDE0525}"/>
    <dgm:cxn modelId="{4125AE67-9458-4EB1-AD5C-B50EF644B2D4}" srcId="{5FBEC344-0894-441C-B094-8D90D59772E0}" destId="{1DAD0E7D-A1E1-4BD1-8420-814396F55522}" srcOrd="0" destOrd="0" parTransId="{ED68FA21-1BD0-41DF-B273-91FC0C4CD0B9}" sibTransId="{D2A24485-A0D9-413A-B1CB-5C164888834C}"/>
    <dgm:cxn modelId="{417A2BEB-C20A-4AA5-AAA7-9315263B1980}" type="presOf" srcId="{1DAD0E7D-A1E1-4BD1-8420-814396F55522}" destId="{F86D28DA-C21E-4411-AA3E-9E62B420A744}" srcOrd="0" destOrd="0" presId="urn:microsoft.com/office/officeart/2005/8/layout/hList9"/>
    <dgm:cxn modelId="{6B6D8D35-05B7-435C-BCFC-C07B834F05C8}" type="presOf" srcId="{78BC2ACD-9787-423A-8199-A6110A0F65AD}" destId="{055D7E01-EA33-4F13-9FFD-047A9F31F346}" srcOrd="0" destOrd="0" presId="urn:microsoft.com/office/officeart/2005/8/layout/hList9"/>
    <dgm:cxn modelId="{FAD6BF14-7475-4B5B-A295-8D8487170B42}" type="presOf" srcId="{5FBEC344-0894-441C-B094-8D90D59772E0}" destId="{01DF5AC3-645B-4D2F-9AC5-96160E84FBCF}" srcOrd="0" destOrd="0" presId="urn:microsoft.com/office/officeart/2005/8/layout/hList9"/>
    <dgm:cxn modelId="{E5458051-D6AE-4EE9-8106-C5972C593DF1}" type="presParOf" srcId="{055D7E01-EA33-4F13-9FFD-047A9F31F346}" destId="{007CCDE1-2EF0-423D-B3B4-5141F26DF02E}" srcOrd="0" destOrd="0" presId="urn:microsoft.com/office/officeart/2005/8/layout/hList9"/>
    <dgm:cxn modelId="{6292F408-4FCA-47DB-A950-C811A53B3C28}" type="presParOf" srcId="{055D7E01-EA33-4F13-9FFD-047A9F31F346}" destId="{121870C3-9D7C-4EC9-A144-2A6E8ED6AF5B}" srcOrd="1" destOrd="0" presId="urn:microsoft.com/office/officeart/2005/8/layout/hList9"/>
    <dgm:cxn modelId="{B62D4B14-BDB6-4496-A560-786AADED21F1}" type="presParOf" srcId="{121870C3-9D7C-4EC9-A144-2A6E8ED6AF5B}" destId="{42D8778E-AFE7-4EDF-B482-2F1418C97DD0}" srcOrd="0" destOrd="0" presId="urn:microsoft.com/office/officeart/2005/8/layout/hList9"/>
    <dgm:cxn modelId="{99E900EE-57B1-4A10-A9F3-24703874A32B}" type="presParOf" srcId="{121870C3-9D7C-4EC9-A144-2A6E8ED6AF5B}" destId="{74D90431-442B-4FFD-A644-4FD903C77411}" srcOrd="1" destOrd="0" presId="urn:microsoft.com/office/officeart/2005/8/layout/hList9"/>
    <dgm:cxn modelId="{BE6AF12C-0E3C-403E-A552-8A9216DB1B51}" type="presParOf" srcId="{74D90431-442B-4FFD-A644-4FD903C77411}" destId="{F86D28DA-C21E-4411-AA3E-9E62B420A744}" srcOrd="0" destOrd="0" presId="urn:microsoft.com/office/officeart/2005/8/layout/hList9"/>
    <dgm:cxn modelId="{2F285E46-4649-477F-99E8-480DB03E5EFC}" type="presParOf" srcId="{74D90431-442B-4FFD-A644-4FD903C77411}" destId="{B591A13A-D765-4E5C-839A-1B4DD832FE82}" srcOrd="1" destOrd="0" presId="urn:microsoft.com/office/officeart/2005/8/layout/hList9"/>
    <dgm:cxn modelId="{0BDF6369-283A-4412-B5D6-FDE89A122E20}" type="presParOf" srcId="{055D7E01-EA33-4F13-9FFD-047A9F31F346}" destId="{3D1BC017-8D43-4D14-9517-EE6DCDAB7FED}" srcOrd="2" destOrd="0" presId="urn:microsoft.com/office/officeart/2005/8/layout/hList9"/>
    <dgm:cxn modelId="{43525034-40F4-46F4-A18E-B9147715798F}" type="presParOf" srcId="{055D7E01-EA33-4F13-9FFD-047A9F31F346}" destId="{01DF5AC3-645B-4D2F-9AC5-96160E84FBCF}" srcOrd="3" destOrd="0" presId="urn:microsoft.com/office/officeart/2005/8/layout/hList9"/>
  </dgm:cxnLst>
  <dgm:bg/>
  <dgm:whole/>
  <dgm:extLst>
    <a:ext uri="http://schemas.microsoft.com/office/drawing/2008/diagram">
      <dsp:dataModelExt xmlns:dsp="http://schemas.microsoft.com/office/drawing/2008/diagram" relId="rId149"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04FCAB1A-2C25-44CB-8E46-88FBD7229AF3}" type="doc">
      <dgm:prSet loTypeId="urn:microsoft.com/office/officeart/2005/8/layout/hProcess7#1" loCatId="list" qsTypeId="urn:microsoft.com/office/officeart/2005/8/quickstyle/3d4" qsCatId="3D" csTypeId="urn:microsoft.com/office/officeart/2005/8/colors/colorful1#2" csCatId="colorful" phldr="1"/>
      <dgm:spPr/>
      <dgm:t>
        <a:bodyPr/>
        <a:lstStyle/>
        <a:p>
          <a:endParaRPr lang="es-ES"/>
        </a:p>
      </dgm:t>
    </dgm:pt>
    <dgm:pt modelId="{D2EF8FDF-EC12-4C33-9B75-81BDECBE86E6}">
      <dgm:prSet phldrT="[Texto]"/>
      <dgm:spPr>
        <a:solidFill>
          <a:srgbClr val="00B0F0"/>
        </a:solidFill>
      </dgm:spPr>
      <dgm:t>
        <a:bodyPr/>
        <a:lstStyle/>
        <a:p>
          <a:r>
            <a:rPr lang="es-ES" b="1">
              <a:solidFill>
                <a:sysClr val="windowText" lastClr="000000"/>
              </a:solidFill>
            </a:rPr>
            <a:t>:)</a:t>
          </a:r>
        </a:p>
      </dgm:t>
    </dgm:pt>
    <dgm:pt modelId="{1CAF39BD-3B8A-4E07-8774-5076752A7574}" type="parTrans" cxnId="{9C64F228-F669-4539-A3E8-D43CC30BC6BA}">
      <dgm:prSet/>
      <dgm:spPr/>
      <dgm:t>
        <a:bodyPr/>
        <a:lstStyle/>
        <a:p>
          <a:endParaRPr lang="es-ES" b="1">
            <a:solidFill>
              <a:sysClr val="windowText" lastClr="000000"/>
            </a:solidFill>
          </a:endParaRPr>
        </a:p>
      </dgm:t>
    </dgm:pt>
    <dgm:pt modelId="{0AE68E5A-58D9-44F7-8BC4-616F3BE42134}" type="sibTrans" cxnId="{9C64F228-F669-4539-A3E8-D43CC30BC6BA}">
      <dgm:prSet/>
      <dgm:spPr/>
      <dgm:t>
        <a:bodyPr/>
        <a:lstStyle/>
        <a:p>
          <a:endParaRPr lang="es-ES" b="1">
            <a:solidFill>
              <a:sysClr val="windowText" lastClr="000000"/>
            </a:solidFill>
          </a:endParaRPr>
        </a:p>
      </dgm:t>
    </dgm:pt>
    <dgm:pt modelId="{37C8ADEA-5EE7-4DF9-8390-AFC8D8EC2372}">
      <dgm:prSet phldrT="[Texto]"/>
      <dgm:spPr/>
      <dgm:t>
        <a:bodyPr/>
        <a:lstStyle/>
        <a:p>
          <a:pPr algn="ctr"/>
          <a:endParaRPr lang="es-ES" b="1">
            <a:solidFill>
              <a:sysClr val="windowText" lastClr="000000"/>
            </a:solidFill>
          </a:endParaRPr>
        </a:p>
        <a:p>
          <a:pPr algn="ctr"/>
          <a:r>
            <a:rPr lang="es-ES" b="1">
              <a:solidFill>
                <a:sysClr val="windowText" lastClr="000000"/>
              </a:solidFill>
            </a:rPr>
            <a:t>Presupuesto de Ingresos</a:t>
          </a:r>
        </a:p>
        <a:p>
          <a:pPr algn="ctr"/>
          <a:r>
            <a:rPr lang="es-ES" b="1">
              <a:solidFill>
                <a:sysClr val="windowText" lastClr="000000"/>
              </a:solidFill>
            </a:rPr>
            <a:t>Q.87,715.0 millones</a:t>
          </a:r>
        </a:p>
      </dgm:t>
    </dgm:pt>
    <dgm:pt modelId="{EA018FBD-A11F-4E04-9778-07E90746D972}" type="parTrans" cxnId="{2ADCD847-E76C-4D65-B376-05A90F8C01D7}">
      <dgm:prSet/>
      <dgm:spPr/>
      <dgm:t>
        <a:bodyPr/>
        <a:lstStyle/>
        <a:p>
          <a:endParaRPr lang="es-ES" b="1">
            <a:solidFill>
              <a:sysClr val="windowText" lastClr="000000"/>
            </a:solidFill>
          </a:endParaRPr>
        </a:p>
      </dgm:t>
    </dgm:pt>
    <dgm:pt modelId="{D3FF8E6A-F4F5-44AF-891E-0E239E75841F}" type="sibTrans" cxnId="{2ADCD847-E76C-4D65-B376-05A90F8C01D7}">
      <dgm:prSet/>
      <dgm:spPr/>
      <dgm:t>
        <a:bodyPr/>
        <a:lstStyle/>
        <a:p>
          <a:endParaRPr lang="es-ES" b="1">
            <a:solidFill>
              <a:sysClr val="windowText" lastClr="000000"/>
            </a:solidFill>
          </a:endParaRPr>
        </a:p>
      </dgm:t>
    </dgm:pt>
    <dgm:pt modelId="{92B406E8-00CE-4212-83F2-450A02267B72}">
      <dgm:prSet phldrT="[Texto]"/>
      <dgm:spPr>
        <a:solidFill>
          <a:srgbClr val="FFC000"/>
        </a:solidFill>
      </dgm:spPr>
      <dgm:t>
        <a:bodyPr/>
        <a:lstStyle/>
        <a:p>
          <a:pPr algn="ctr"/>
          <a:r>
            <a:rPr lang="es-ES" b="1">
              <a:solidFill>
                <a:sysClr val="windowText" lastClr="000000"/>
              </a:solidFill>
            </a:rPr>
            <a:t>:)</a:t>
          </a:r>
        </a:p>
      </dgm:t>
    </dgm:pt>
    <dgm:pt modelId="{9778E212-B863-407F-8A9E-90E73A7CCA18}" type="parTrans" cxnId="{94F3F1CA-D220-404F-BD4B-9FF4F2129ED0}">
      <dgm:prSet/>
      <dgm:spPr/>
      <dgm:t>
        <a:bodyPr/>
        <a:lstStyle/>
        <a:p>
          <a:endParaRPr lang="es-ES" b="1">
            <a:solidFill>
              <a:sysClr val="windowText" lastClr="000000"/>
            </a:solidFill>
          </a:endParaRPr>
        </a:p>
      </dgm:t>
    </dgm:pt>
    <dgm:pt modelId="{DE862062-FC5E-4724-9E54-0C0532F064C7}" type="sibTrans" cxnId="{94F3F1CA-D220-404F-BD4B-9FF4F2129ED0}">
      <dgm:prSet/>
      <dgm:spPr/>
      <dgm:t>
        <a:bodyPr/>
        <a:lstStyle/>
        <a:p>
          <a:endParaRPr lang="es-ES" b="1">
            <a:solidFill>
              <a:sysClr val="windowText" lastClr="000000"/>
            </a:solidFill>
          </a:endParaRPr>
        </a:p>
      </dgm:t>
    </dgm:pt>
    <dgm:pt modelId="{3DF64722-AF78-46B8-A1D8-D8A4BC1564D0}">
      <dgm:prSet phldrT="[Texto]" custT="1"/>
      <dgm:spPr/>
      <dgm:t>
        <a:bodyPr/>
        <a:lstStyle/>
        <a:p>
          <a:pPr algn="ctr"/>
          <a:r>
            <a:rPr lang="es-ES" sz="6000" b="1">
              <a:solidFill>
                <a:sysClr val="windowText" lastClr="000000"/>
              </a:solidFill>
            </a:rPr>
            <a:t>=</a:t>
          </a:r>
        </a:p>
      </dgm:t>
    </dgm:pt>
    <dgm:pt modelId="{5F75480E-B2C0-4057-A3CA-6448C41DFCCD}" type="parTrans" cxnId="{222865CB-FFA0-4EFA-8DCD-1A2CBEB17DE0}">
      <dgm:prSet/>
      <dgm:spPr/>
      <dgm:t>
        <a:bodyPr/>
        <a:lstStyle/>
        <a:p>
          <a:endParaRPr lang="es-ES" b="1">
            <a:solidFill>
              <a:sysClr val="windowText" lastClr="000000"/>
            </a:solidFill>
          </a:endParaRPr>
        </a:p>
      </dgm:t>
    </dgm:pt>
    <dgm:pt modelId="{F39B0311-19BA-4881-BE0E-5FD587F96F92}" type="sibTrans" cxnId="{222865CB-FFA0-4EFA-8DCD-1A2CBEB17DE0}">
      <dgm:prSet/>
      <dgm:spPr/>
      <dgm:t>
        <a:bodyPr/>
        <a:lstStyle/>
        <a:p>
          <a:endParaRPr lang="es-ES" b="1">
            <a:solidFill>
              <a:sysClr val="windowText" lastClr="000000"/>
            </a:solidFill>
          </a:endParaRPr>
        </a:p>
      </dgm:t>
    </dgm:pt>
    <dgm:pt modelId="{C682DE58-FBAF-4F40-B48B-3E65F50AA0EE}">
      <dgm:prSet phldrT="[Texto]"/>
      <dgm:spPr>
        <a:solidFill>
          <a:schemeClr val="bg2">
            <a:lumMod val="75000"/>
          </a:schemeClr>
        </a:solidFill>
      </dgm:spPr>
      <dgm:t>
        <a:bodyPr/>
        <a:lstStyle/>
        <a:p>
          <a:r>
            <a:rPr lang="es-ES" b="1">
              <a:solidFill>
                <a:sysClr val="windowText" lastClr="000000"/>
              </a:solidFill>
            </a:rPr>
            <a:t>:)</a:t>
          </a:r>
        </a:p>
      </dgm:t>
    </dgm:pt>
    <dgm:pt modelId="{C73FE07B-AE4C-4F12-9911-60E4EC6DFACC}" type="parTrans" cxnId="{2DA4C0A5-61D2-4EDA-B778-07DCC0F4063E}">
      <dgm:prSet/>
      <dgm:spPr/>
      <dgm:t>
        <a:bodyPr/>
        <a:lstStyle/>
        <a:p>
          <a:endParaRPr lang="es-ES" b="1">
            <a:solidFill>
              <a:sysClr val="windowText" lastClr="000000"/>
            </a:solidFill>
          </a:endParaRPr>
        </a:p>
      </dgm:t>
    </dgm:pt>
    <dgm:pt modelId="{3A22290C-8AD3-47C3-8F4A-331BBA4C3157}" type="sibTrans" cxnId="{2DA4C0A5-61D2-4EDA-B778-07DCC0F4063E}">
      <dgm:prSet/>
      <dgm:spPr/>
      <dgm:t>
        <a:bodyPr/>
        <a:lstStyle/>
        <a:p>
          <a:endParaRPr lang="es-ES" b="1">
            <a:solidFill>
              <a:sysClr val="windowText" lastClr="000000"/>
            </a:solidFill>
          </a:endParaRPr>
        </a:p>
      </dgm:t>
    </dgm:pt>
    <dgm:pt modelId="{D57305DD-F2EE-4AB9-BAFA-C411F26819F7}">
      <dgm:prSet phldrT="[Texto]"/>
      <dgm:spPr/>
      <dgm:t>
        <a:bodyPr/>
        <a:lstStyle/>
        <a:p>
          <a:pPr algn="ctr"/>
          <a:endParaRPr lang="es-ES" b="1">
            <a:solidFill>
              <a:sysClr val="windowText" lastClr="000000"/>
            </a:solidFill>
          </a:endParaRPr>
        </a:p>
        <a:p>
          <a:pPr algn="ctr"/>
          <a:r>
            <a:rPr lang="es-ES" b="1">
              <a:solidFill>
                <a:sysClr val="windowText" lastClr="000000"/>
              </a:solidFill>
            </a:rPr>
            <a:t>Presupuesto de Egresos</a:t>
          </a:r>
        </a:p>
        <a:p>
          <a:pPr algn="ctr"/>
          <a:r>
            <a:rPr lang="es-ES" b="1">
              <a:solidFill>
                <a:sysClr val="windowText" lastClr="000000"/>
              </a:solidFill>
            </a:rPr>
            <a:t>Q.87,715.0 millones</a:t>
          </a:r>
        </a:p>
      </dgm:t>
    </dgm:pt>
    <dgm:pt modelId="{7F725CA1-78D6-4D64-82AC-5FC7D9706F7E}" type="parTrans" cxnId="{9C782C04-3267-409F-B3BD-0128B854EFCE}">
      <dgm:prSet/>
      <dgm:spPr/>
      <dgm:t>
        <a:bodyPr/>
        <a:lstStyle/>
        <a:p>
          <a:endParaRPr lang="es-ES" b="1">
            <a:solidFill>
              <a:sysClr val="windowText" lastClr="000000"/>
            </a:solidFill>
          </a:endParaRPr>
        </a:p>
      </dgm:t>
    </dgm:pt>
    <dgm:pt modelId="{1517B31A-0F9D-4BA6-8B26-9521AA789641}" type="sibTrans" cxnId="{9C782C04-3267-409F-B3BD-0128B854EFCE}">
      <dgm:prSet/>
      <dgm:spPr/>
      <dgm:t>
        <a:bodyPr/>
        <a:lstStyle/>
        <a:p>
          <a:endParaRPr lang="es-ES" b="1">
            <a:solidFill>
              <a:sysClr val="windowText" lastClr="000000"/>
            </a:solidFill>
          </a:endParaRPr>
        </a:p>
      </dgm:t>
    </dgm:pt>
    <dgm:pt modelId="{74FFD4C2-978A-4BA2-9F2F-95866274FFB8}">
      <dgm:prSet phldrT="[Texto]"/>
      <dgm:spPr>
        <a:blipFill rotWithShape="0">
          <a:blip xmlns:r="http://schemas.openxmlformats.org/officeDocument/2006/relationships" r:embed="rId1"/>
          <a:stretch>
            <a:fillRect/>
          </a:stretch>
        </a:blipFill>
      </dgm:spPr>
      <dgm:t>
        <a:bodyPr/>
        <a:lstStyle/>
        <a:p>
          <a:endParaRPr lang="es-ES" b="1">
            <a:solidFill>
              <a:sysClr val="windowText" lastClr="000000"/>
            </a:solidFill>
            <a:latin typeface="Arial" pitchFamily="34" charset="0"/>
            <a:cs typeface="Arial" pitchFamily="34" charset="0"/>
          </a:endParaRPr>
        </a:p>
      </dgm:t>
    </dgm:pt>
    <dgm:pt modelId="{EC116D35-84EA-41B5-B65E-1AE804F52201}" type="parTrans" cxnId="{E7598AB4-3329-4CCC-ADE0-E1ECEB5F53C3}">
      <dgm:prSet/>
      <dgm:spPr/>
      <dgm:t>
        <a:bodyPr/>
        <a:lstStyle/>
        <a:p>
          <a:endParaRPr lang="es-ES" b="1">
            <a:solidFill>
              <a:sysClr val="windowText" lastClr="000000"/>
            </a:solidFill>
          </a:endParaRPr>
        </a:p>
      </dgm:t>
    </dgm:pt>
    <dgm:pt modelId="{211D736F-53FD-4EDB-8A0C-919783894D29}" type="sibTrans" cxnId="{E7598AB4-3329-4CCC-ADE0-E1ECEB5F53C3}">
      <dgm:prSet/>
      <dgm:spPr/>
      <dgm:t>
        <a:bodyPr/>
        <a:lstStyle/>
        <a:p>
          <a:endParaRPr lang="es-ES" b="1">
            <a:solidFill>
              <a:sysClr val="windowText" lastClr="000000"/>
            </a:solidFill>
          </a:endParaRPr>
        </a:p>
      </dgm:t>
    </dgm:pt>
    <dgm:pt modelId="{1AFBF094-3F04-4A4D-B128-26345A8CF62E}" type="pres">
      <dgm:prSet presAssocID="{04FCAB1A-2C25-44CB-8E46-88FBD7229AF3}" presName="Name0" presStyleCnt="0">
        <dgm:presLayoutVars>
          <dgm:dir/>
          <dgm:animLvl val="lvl"/>
          <dgm:resizeHandles val="exact"/>
        </dgm:presLayoutVars>
      </dgm:prSet>
      <dgm:spPr/>
      <dgm:t>
        <a:bodyPr/>
        <a:lstStyle/>
        <a:p>
          <a:endParaRPr lang="es-ES"/>
        </a:p>
      </dgm:t>
    </dgm:pt>
    <dgm:pt modelId="{6DE3FCF3-0B5C-4E4C-8634-BBDAAC3BDC0A}" type="pres">
      <dgm:prSet presAssocID="{D2EF8FDF-EC12-4C33-9B75-81BDECBE86E6}" presName="compositeNode" presStyleCnt="0">
        <dgm:presLayoutVars>
          <dgm:bulletEnabled val="1"/>
        </dgm:presLayoutVars>
      </dgm:prSet>
      <dgm:spPr/>
    </dgm:pt>
    <dgm:pt modelId="{1DFA4638-960F-42D0-8367-33C2B165160C}" type="pres">
      <dgm:prSet presAssocID="{D2EF8FDF-EC12-4C33-9B75-81BDECBE86E6}" presName="bgRect" presStyleLbl="node1" presStyleIdx="0" presStyleCnt="4" custScaleX="72045" custLinFactX="3398" custLinFactNeighborX="100000" custLinFactNeighborY="-547"/>
      <dgm:spPr/>
      <dgm:t>
        <a:bodyPr/>
        <a:lstStyle/>
        <a:p>
          <a:endParaRPr lang="es-ES"/>
        </a:p>
      </dgm:t>
    </dgm:pt>
    <dgm:pt modelId="{CA6BB9E1-9752-46EE-A25D-70AE6A2BDA2E}" type="pres">
      <dgm:prSet presAssocID="{D2EF8FDF-EC12-4C33-9B75-81BDECBE86E6}" presName="parentNode" presStyleLbl="node1" presStyleIdx="0" presStyleCnt="4">
        <dgm:presLayoutVars>
          <dgm:chMax val="0"/>
          <dgm:bulletEnabled val="1"/>
        </dgm:presLayoutVars>
      </dgm:prSet>
      <dgm:spPr/>
      <dgm:t>
        <a:bodyPr/>
        <a:lstStyle/>
        <a:p>
          <a:endParaRPr lang="es-ES"/>
        </a:p>
      </dgm:t>
    </dgm:pt>
    <dgm:pt modelId="{CFB9CE87-3520-432F-B98A-D618C53704FF}" type="pres">
      <dgm:prSet presAssocID="{D2EF8FDF-EC12-4C33-9B75-81BDECBE86E6}" presName="childNode" presStyleLbl="node1" presStyleIdx="0" presStyleCnt="4">
        <dgm:presLayoutVars>
          <dgm:bulletEnabled val="1"/>
        </dgm:presLayoutVars>
      </dgm:prSet>
      <dgm:spPr/>
      <dgm:t>
        <a:bodyPr/>
        <a:lstStyle/>
        <a:p>
          <a:endParaRPr lang="es-ES"/>
        </a:p>
      </dgm:t>
    </dgm:pt>
    <dgm:pt modelId="{A29F0DA7-D481-40BD-A6DD-C57AA28BE60B}" type="pres">
      <dgm:prSet presAssocID="{0AE68E5A-58D9-44F7-8BC4-616F3BE42134}" presName="hSp" presStyleCnt="0"/>
      <dgm:spPr/>
    </dgm:pt>
    <dgm:pt modelId="{843EB0BF-2BFC-421E-AAEA-E71F4504C392}" type="pres">
      <dgm:prSet presAssocID="{0AE68E5A-58D9-44F7-8BC4-616F3BE42134}" presName="vProcSp" presStyleCnt="0"/>
      <dgm:spPr/>
    </dgm:pt>
    <dgm:pt modelId="{1DF6285F-C6C6-48F6-8B2B-25CFB585A301}" type="pres">
      <dgm:prSet presAssocID="{0AE68E5A-58D9-44F7-8BC4-616F3BE42134}" presName="vSp1" presStyleCnt="0"/>
      <dgm:spPr/>
    </dgm:pt>
    <dgm:pt modelId="{647D1897-71A2-4B3C-80AA-99209EE9C2C5}" type="pres">
      <dgm:prSet presAssocID="{0AE68E5A-58D9-44F7-8BC4-616F3BE42134}" presName="simulatedConn" presStyleLbl="solidFgAcc1" presStyleIdx="0" presStyleCnt="3" custLinFactX="26374" custLinFactNeighborX="100000" custLinFactNeighborY="39452"/>
      <dgm:spPr/>
    </dgm:pt>
    <dgm:pt modelId="{E55C8951-2576-4A28-92B6-96113977ADD7}" type="pres">
      <dgm:prSet presAssocID="{0AE68E5A-58D9-44F7-8BC4-616F3BE42134}" presName="vSp2" presStyleCnt="0"/>
      <dgm:spPr/>
    </dgm:pt>
    <dgm:pt modelId="{EE2F3741-A34E-400F-BE32-2C181F458FA1}" type="pres">
      <dgm:prSet presAssocID="{0AE68E5A-58D9-44F7-8BC4-616F3BE42134}" presName="sibTrans" presStyleCnt="0"/>
      <dgm:spPr/>
    </dgm:pt>
    <dgm:pt modelId="{4C31E983-9FA6-494C-AD73-338A753A0050}" type="pres">
      <dgm:prSet presAssocID="{74FFD4C2-978A-4BA2-9F2F-95866274FFB8}" presName="compositeNode" presStyleCnt="0">
        <dgm:presLayoutVars>
          <dgm:bulletEnabled val="1"/>
        </dgm:presLayoutVars>
      </dgm:prSet>
      <dgm:spPr/>
    </dgm:pt>
    <dgm:pt modelId="{4F781F30-08F6-4EDC-8797-235BD019600F}" type="pres">
      <dgm:prSet presAssocID="{74FFD4C2-978A-4BA2-9F2F-95866274FFB8}" presName="bgRect" presStyleLbl="node1" presStyleIdx="1" presStyleCnt="4" custLinFactNeighborX="-99387" custLinFactNeighborY="3044"/>
      <dgm:spPr/>
      <dgm:t>
        <a:bodyPr/>
        <a:lstStyle/>
        <a:p>
          <a:endParaRPr lang="es-ES"/>
        </a:p>
      </dgm:t>
    </dgm:pt>
    <dgm:pt modelId="{6DEDCD8C-CDA1-46A6-B285-7A3AE07C7169}" type="pres">
      <dgm:prSet presAssocID="{74FFD4C2-978A-4BA2-9F2F-95866274FFB8}" presName="parentNode" presStyleLbl="node1" presStyleIdx="1" presStyleCnt="4">
        <dgm:presLayoutVars>
          <dgm:chMax val="0"/>
          <dgm:bulletEnabled val="1"/>
        </dgm:presLayoutVars>
      </dgm:prSet>
      <dgm:spPr/>
      <dgm:t>
        <a:bodyPr/>
        <a:lstStyle/>
        <a:p>
          <a:endParaRPr lang="es-ES"/>
        </a:p>
      </dgm:t>
    </dgm:pt>
    <dgm:pt modelId="{C3312F65-F023-42FA-8DC4-D7AF915006FB}" type="pres">
      <dgm:prSet presAssocID="{211D736F-53FD-4EDB-8A0C-919783894D29}" presName="hSp" presStyleCnt="0"/>
      <dgm:spPr/>
    </dgm:pt>
    <dgm:pt modelId="{070E2159-64D7-4D91-815E-5787345E4038}" type="pres">
      <dgm:prSet presAssocID="{211D736F-53FD-4EDB-8A0C-919783894D29}" presName="vProcSp" presStyleCnt="0"/>
      <dgm:spPr/>
    </dgm:pt>
    <dgm:pt modelId="{D2CB7E29-2708-4DDA-9AE9-14D528852417}" type="pres">
      <dgm:prSet presAssocID="{211D736F-53FD-4EDB-8A0C-919783894D29}" presName="vSp1" presStyleCnt="0"/>
      <dgm:spPr/>
    </dgm:pt>
    <dgm:pt modelId="{AC0BB16B-2ABD-43E0-BB06-BF6B56663877}" type="pres">
      <dgm:prSet presAssocID="{211D736F-53FD-4EDB-8A0C-919783894D29}" presName="simulatedConn" presStyleLbl="solidFgAcc1" presStyleIdx="1" presStyleCnt="3" custLinFactY="1194" custLinFactNeighborX="3416" custLinFactNeighborY="100000"/>
      <dgm:spPr/>
    </dgm:pt>
    <dgm:pt modelId="{9CC0285E-56DE-455B-B387-C0812B27495E}" type="pres">
      <dgm:prSet presAssocID="{211D736F-53FD-4EDB-8A0C-919783894D29}" presName="vSp2" presStyleCnt="0"/>
      <dgm:spPr/>
    </dgm:pt>
    <dgm:pt modelId="{3ACB701C-C708-4D58-8396-57FFC744DDCC}" type="pres">
      <dgm:prSet presAssocID="{211D736F-53FD-4EDB-8A0C-919783894D29}" presName="sibTrans" presStyleCnt="0"/>
      <dgm:spPr/>
    </dgm:pt>
    <dgm:pt modelId="{2AB6FEED-DDAB-44C4-9C7A-9BD9D000C95B}" type="pres">
      <dgm:prSet presAssocID="{92B406E8-00CE-4212-83F2-450A02267B72}" presName="compositeNode" presStyleCnt="0">
        <dgm:presLayoutVars>
          <dgm:bulletEnabled val="1"/>
        </dgm:presLayoutVars>
      </dgm:prSet>
      <dgm:spPr/>
    </dgm:pt>
    <dgm:pt modelId="{ECB8C4DC-BF2A-46D9-BAB8-EE68BDD30EBB}" type="pres">
      <dgm:prSet presAssocID="{92B406E8-00CE-4212-83F2-450A02267B72}" presName="bgRect" presStyleLbl="node1" presStyleIdx="2" presStyleCnt="4" custScaleX="34161"/>
      <dgm:spPr/>
      <dgm:t>
        <a:bodyPr/>
        <a:lstStyle/>
        <a:p>
          <a:endParaRPr lang="es-ES"/>
        </a:p>
      </dgm:t>
    </dgm:pt>
    <dgm:pt modelId="{3C1797C7-67D7-4C4B-9566-8F0E21BC1BBC}" type="pres">
      <dgm:prSet presAssocID="{92B406E8-00CE-4212-83F2-450A02267B72}" presName="parentNode" presStyleLbl="node1" presStyleIdx="2" presStyleCnt="4">
        <dgm:presLayoutVars>
          <dgm:chMax val="0"/>
          <dgm:bulletEnabled val="1"/>
        </dgm:presLayoutVars>
      </dgm:prSet>
      <dgm:spPr/>
      <dgm:t>
        <a:bodyPr/>
        <a:lstStyle/>
        <a:p>
          <a:endParaRPr lang="es-ES"/>
        </a:p>
      </dgm:t>
    </dgm:pt>
    <dgm:pt modelId="{2356BAD0-56ED-4F46-BD73-43FC367509E4}" type="pres">
      <dgm:prSet presAssocID="{92B406E8-00CE-4212-83F2-450A02267B72}" presName="childNode" presStyleLbl="node1" presStyleIdx="2" presStyleCnt="4">
        <dgm:presLayoutVars>
          <dgm:bulletEnabled val="1"/>
        </dgm:presLayoutVars>
      </dgm:prSet>
      <dgm:spPr/>
      <dgm:t>
        <a:bodyPr/>
        <a:lstStyle/>
        <a:p>
          <a:endParaRPr lang="es-ES"/>
        </a:p>
      </dgm:t>
    </dgm:pt>
    <dgm:pt modelId="{E29546B5-69ED-4EAB-9CB7-F9C1020F298C}" type="pres">
      <dgm:prSet presAssocID="{DE862062-FC5E-4724-9E54-0C0532F064C7}" presName="hSp" presStyleCnt="0"/>
      <dgm:spPr/>
    </dgm:pt>
    <dgm:pt modelId="{30B9105C-DBAF-4235-B6D0-E205A776A321}" type="pres">
      <dgm:prSet presAssocID="{DE862062-FC5E-4724-9E54-0C0532F064C7}" presName="vProcSp" presStyleCnt="0"/>
      <dgm:spPr/>
    </dgm:pt>
    <dgm:pt modelId="{EBCC1871-2E57-4AEA-8361-66D6C746C61A}" type="pres">
      <dgm:prSet presAssocID="{DE862062-FC5E-4724-9E54-0C0532F064C7}" presName="vSp1" presStyleCnt="0"/>
      <dgm:spPr/>
    </dgm:pt>
    <dgm:pt modelId="{4D77172E-E36D-4C92-BD38-27FD21D37373}" type="pres">
      <dgm:prSet presAssocID="{DE862062-FC5E-4724-9E54-0C0532F064C7}" presName="simulatedConn" presStyleLbl="solidFgAcc1" presStyleIdx="2" presStyleCnt="3" custLinFactNeighborY="88767"/>
      <dgm:spPr/>
    </dgm:pt>
    <dgm:pt modelId="{4F662442-F3A8-4270-83AE-4163A986840C}" type="pres">
      <dgm:prSet presAssocID="{DE862062-FC5E-4724-9E54-0C0532F064C7}" presName="vSp2" presStyleCnt="0"/>
      <dgm:spPr/>
    </dgm:pt>
    <dgm:pt modelId="{8E8B8DFB-6668-4671-BCC6-1984C20DA5AD}" type="pres">
      <dgm:prSet presAssocID="{DE862062-FC5E-4724-9E54-0C0532F064C7}" presName="sibTrans" presStyleCnt="0"/>
      <dgm:spPr/>
    </dgm:pt>
    <dgm:pt modelId="{C6ABFAB1-6CA2-4EC4-849E-0E6FCC7DA882}" type="pres">
      <dgm:prSet presAssocID="{C682DE58-FBAF-4F40-B48B-3E65F50AA0EE}" presName="compositeNode" presStyleCnt="0">
        <dgm:presLayoutVars>
          <dgm:bulletEnabled val="1"/>
        </dgm:presLayoutVars>
      </dgm:prSet>
      <dgm:spPr/>
    </dgm:pt>
    <dgm:pt modelId="{ABFFD634-7788-4567-B1B1-2C9F3CBCBD77}" type="pres">
      <dgm:prSet presAssocID="{C682DE58-FBAF-4F40-B48B-3E65F50AA0EE}" presName="bgRect" presStyleLbl="node1" presStyleIdx="3" presStyleCnt="4" custScaleX="74564" custLinFactNeighborX="-1442"/>
      <dgm:spPr/>
      <dgm:t>
        <a:bodyPr/>
        <a:lstStyle/>
        <a:p>
          <a:endParaRPr lang="es-ES"/>
        </a:p>
      </dgm:t>
    </dgm:pt>
    <dgm:pt modelId="{EDB0DDE0-3C50-4DBC-89D9-4CC6C4F58760}" type="pres">
      <dgm:prSet presAssocID="{C682DE58-FBAF-4F40-B48B-3E65F50AA0EE}" presName="parentNode" presStyleLbl="node1" presStyleIdx="3" presStyleCnt="4">
        <dgm:presLayoutVars>
          <dgm:chMax val="0"/>
          <dgm:bulletEnabled val="1"/>
        </dgm:presLayoutVars>
      </dgm:prSet>
      <dgm:spPr/>
      <dgm:t>
        <a:bodyPr/>
        <a:lstStyle/>
        <a:p>
          <a:endParaRPr lang="es-ES"/>
        </a:p>
      </dgm:t>
    </dgm:pt>
    <dgm:pt modelId="{D89AA663-AA9D-484E-9834-AB7521455620}" type="pres">
      <dgm:prSet presAssocID="{C682DE58-FBAF-4F40-B48B-3E65F50AA0EE}" presName="childNode" presStyleLbl="node1" presStyleIdx="3" presStyleCnt="4">
        <dgm:presLayoutVars>
          <dgm:bulletEnabled val="1"/>
        </dgm:presLayoutVars>
      </dgm:prSet>
      <dgm:spPr/>
      <dgm:t>
        <a:bodyPr/>
        <a:lstStyle/>
        <a:p>
          <a:endParaRPr lang="es-ES"/>
        </a:p>
      </dgm:t>
    </dgm:pt>
  </dgm:ptLst>
  <dgm:cxnLst>
    <dgm:cxn modelId="{9C64F228-F669-4539-A3E8-D43CC30BC6BA}" srcId="{04FCAB1A-2C25-44CB-8E46-88FBD7229AF3}" destId="{D2EF8FDF-EC12-4C33-9B75-81BDECBE86E6}" srcOrd="0" destOrd="0" parTransId="{1CAF39BD-3B8A-4E07-8774-5076752A7574}" sibTransId="{0AE68E5A-58D9-44F7-8BC4-616F3BE42134}"/>
    <dgm:cxn modelId="{E3F1474C-AFD4-435F-9C0B-E6AA1658B41B}" type="presOf" srcId="{74FFD4C2-978A-4BA2-9F2F-95866274FFB8}" destId="{6DEDCD8C-CDA1-46A6-B285-7A3AE07C7169}" srcOrd="1" destOrd="0" presId="urn:microsoft.com/office/officeart/2005/8/layout/hProcess7#1"/>
    <dgm:cxn modelId="{E7598AB4-3329-4CCC-ADE0-E1ECEB5F53C3}" srcId="{04FCAB1A-2C25-44CB-8E46-88FBD7229AF3}" destId="{74FFD4C2-978A-4BA2-9F2F-95866274FFB8}" srcOrd="1" destOrd="0" parTransId="{EC116D35-84EA-41B5-B65E-1AE804F52201}" sibTransId="{211D736F-53FD-4EDB-8A0C-919783894D29}"/>
    <dgm:cxn modelId="{F1100C00-B505-4515-AC46-DBF61B99AD62}" type="presOf" srcId="{D2EF8FDF-EC12-4C33-9B75-81BDECBE86E6}" destId="{CA6BB9E1-9752-46EE-A25D-70AE6A2BDA2E}" srcOrd="1" destOrd="0" presId="urn:microsoft.com/office/officeart/2005/8/layout/hProcess7#1"/>
    <dgm:cxn modelId="{9C782C04-3267-409F-B3BD-0128B854EFCE}" srcId="{C682DE58-FBAF-4F40-B48B-3E65F50AA0EE}" destId="{D57305DD-F2EE-4AB9-BAFA-C411F26819F7}" srcOrd="0" destOrd="0" parTransId="{7F725CA1-78D6-4D64-82AC-5FC7D9706F7E}" sibTransId="{1517B31A-0F9D-4BA6-8B26-9521AA789641}"/>
    <dgm:cxn modelId="{C49DDEB8-1E89-4A44-9255-60696E671242}" type="presOf" srcId="{74FFD4C2-978A-4BA2-9F2F-95866274FFB8}" destId="{4F781F30-08F6-4EDC-8797-235BD019600F}" srcOrd="0" destOrd="0" presId="urn:microsoft.com/office/officeart/2005/8/layout/hProcess7#1"/>
    <dgm:cxn modelId="{3E3FB59E-5CEF-4013-A381-07A148916E3C}" type="presOf" srcId="{D2EF8FDF-EC12-4C33-9B75-81BDECBE86E6}" destId="{1DFA4638-960F-42D0-8367-33C2B165160C}" srcOrd="0" destOrd="0" presId="urn:microsoft.com/office/officeart/2005/8/layout/hProcess7#1"/>
    <dgm:cxn modelId="{25C78D90-82C1-452B-AE6F-11D534354613}" type="presOf" srcId="{92B406E8-00CE-4212-83F2-450A02267B72}" destId="{3C1797C7-67D7-4C4B-9566-8F0E21BC1BBC}" srcOrd="1" destOrd="0" presId="urn:microsoft.com/office/officeart/2005/8/layout/hProcess7#1"/>
    <dgm:cxn modelId="{1F5D159E-0FBD-4270-B9CC-10A8801878A8}" type="presOf" srcId="{04FCAB1A-2C25-44CB-8E46-88FBD7229AF3}" destId="{1AFBF094-3F04-4A4D-B128-26345A8CF62E}" srcOrd="0" destOrd="0" presId="urn:microsoft.com/office/officeart/2005/8/layout/hProcess7#1"/>
    <dgm:cxn modelId="{222865CB-FFA0-4EFA-8DCD-1A2CBEB17DE0}" srcId="{92B406E8-00CE-4212-83F2-450A02267B72}" destId="{3DF64722-AF78-46B8-A1D8-D8A4BC1564D0}" srcOrd="0" destOrd="0" parTransId="{5F75480E-B2C0-4057-A3CA-6448C41DFCCD}" sibTransId="{F39B0311-19BA-4881-BE0E-5FD587F96F92}"/>
    <dgm:cxn modelId="{A2E72053-57EC-49B9-8A73-C01ACCCB1A63}" type="presOf" srcId="{37C8ADEA-5EE7-4DF9-8390-AFC8D8EC2372}" destId="{CFB9CE87-3520-432F-B98A-D618C53704FF}" srcOrd="0" destOrd="0" presId="urn:microsoft.com/office/officeart/2005/8/layout/hProcess7#1"/>
    <dgm:cxn modelId="{A5B4842F-4B77-4B33-843A-996B4EB4E0B1}" type="presOf" srcId="{D57305DD-F2EE-4AB9-BAFA-C411F26819F7}" destId="{D89AA663-AA9D-484E-9834-AB7521455620}" srcOrd="0" destOrd="0" presId="urn:microsoft.com/office/officeart/2005/8/layout/hProcess7#1"/>
    <dgm:cxn modelId="{2DA4C0A5-61D2-4EDA-B778-07DCC0F4063E}" srcId="{04FCAB1A-2C25-44CB-8E46-88FBD7229AF3}" destId="{C682DE58-FBAF-4F40-B48B-3E65F50AA0EE}" srcOrd="3" destOrd="0" parTransId="{C73FE07B-AE4C-4F12-9911-60E4EC6DFACC}" sibTransId="{3A22290C-8AD3-47C3-8F4A-331BBA4C3157}"/>
    <dgm:cxn modelId="{94F3F1CA-D220-404F-BD4B-9FF4F2129ED0}" srcId="{04FCAB1A-2C25-44CB-8E46-88FBD7229AF3}" destId="{92B406E8-00CE-4212-83F2-450A02267B72}" srcOrd="2" destOrd="0" parTransId="{9778E212-B863-407F-8A9E-90E73A7CCA18}" sibTransId="{DE862062-FC5E-4724-9E54-0C0532F064C7}"/>
    <dgm:cxn modelId="{2ADCD847-E76C-4D65-B376-05A90F8C01D7}" srcId="{D2EF8FDF-EC12-4C33-9B75-81BDECBE86E6}" destId="{37C8ADEA-5EE7-4DF9-8390-AFC8D8EC2372}" srcOrd="0" destOrd="0" parTransId="{EA018FBD-A11F-4E04-9778-07E90746D972}" sibTransId="{D3FF8E6A-F4F5-44AF-891E-0E239E75841F}"/>
    <dgm:cxn modelId="{64C84900-B867-4CAE-AE5E-9BD1F4E4F1A8}" type="presOf" srcId="{C682DE58-FBAF-4F40-B48B-3E65F50AA0EE}" destId="{ABFFD634-7788-4567-B1B1-2C9F3CBCBD77}" srcOrd="0" destOrd="0" presId="urn:microsoft.com/office/officeart/2005/8/layout/hProcess7#1"/>
    <dgm:cxn modelId="{0A1A8A7A-4D8F-4FC2-9D64-631788F4AD26}" type="presOf" srcId="{C682DE58-FBAF-4F40-B48B-3E65F50AA0EE}" destId="{EDB0DDE0-3C50-4DBC-89D9-4CC6C4F58760}" srcOrd="1" destOrd="0" presId="urn:microsoft.com/office/officeart/2005/8/layout/hProcess7#1"/>
    <dgm:cxn modelId="{3E14B005-B822-498B-BD95-99BC394E22D8}" type="presOf" srcId="{3DF64722-AF78-46B8-A1D8-D8A4BC1564D0}" destId="{2356BAD0-56ED-4F46-BD73-43FC367509E4}" srcOrd="0" destOrd="0" presId="urn:microsoft.com/office/officeart/2005/8/layout/hProcess7#1"/>
    <dgm:cxn modelId="{41D8505D-48AB-4C53-8FD0-8E5DDC219758}" type="presOf" srcId="{92B406E8-00CE-4212-83F2-450A02267B72}" destId="{ECB8C4DC-BF2A-46D9-BAB8-EE68BDD30EBB}" srcOrd="0" destOrd="0" presId="urn:microsoft.com/office/officeart/2005/8/layout/hProcess7#1"/>
    <dgm:cxn modelId="{2B45DEC1-73B8-4A6A-9EF1-7C3F9D42E727}" type="presParOf" srcId="{1AFBF094-3F04-4A4D-B128-26345A8CF62E}" destId="{6DE3FCF3-0B5C-4E4C-8634-BBDAAC3BDC0A}" srcOrd="0" destOrd="0" presId="urn:microsoft.com/office/officeart/2005/8/layout/hProcess7#1"/>
    <dgm:cxn modelId="{D83A0010-E038-4064-A4E6-DA975C325D94}" type="presParOf" srcId="{6DE3FCF3-0B5C-4E4C-8634-BBDAAC3BDC0A}" destId="{1DFA4638-960F-42D0-8367-33C2B165160C}" srcOrd="0" destOrd="0" presId="urn:microsoft.com/office/officeart/2005/8/layout/hProcess7#1"/>
    <dgm:cxn modelId="{91207CF5-E0C5-4C85-A680-2F824EB87579}" type="presParOf" srcId="{6DE3FCF3-0B5C-4E4C-8634-BBDAAC3BDC0A}" destId="{CA6BB9E1-9752-46EE-A25D-70AE6A2BDA2E}" srcOrd="1" destOrd="0" presId="urn:microsoft.com/office/officeart/2005/8/layout/hProcess7#1"/>
    <dgm:cxn modelId="{CB3B6401-4522-43BD-BE47-0019FF03A2ED}" type="presParOf" srcId="{6DE3FCF3-0B5C-4E4C-8634-BBDAAC3BDC0A}" destId="{CFB9CE87-3520-432F-B98A-D618C53704FF}" srcOrd="2" destOrd="0" presId="urn:microsoft.com/office/officeart/2005/8/layout/hProcess7#1"/>
    <dgm:cxn modelId="{40EF493E-9C31-4EDD-ACF6-EFF450DEE48C}" type="presParOf" srcId="{1AFBF094-3F04-4A4D-B128-26345A8CF62E}" destId="{A29F0DA7-D481-40BD-A6DD-C57AA28BE60B}" srcOrd="1" destOrd="0" presId="urn:microsoft.com/office/officeart/2005/8/layout/hProcess7#1"/>
    <dgm:cxn modelId="{2DC110C6-86C9-436D-96DB-DC59138B5739}" type="presParOf" srcId="{1AFBF094-3F04-4A4D-B128-26345A8CF62E}" destId="{843EB0BF-2BFC-421E-AAEA-E71F4504C392}" srcOrd="2" destOrd="0" presId="urn:microsoft.com/office/officeart/2005/8/layout/hProcess7#1"/>
    <dgm:cxn modelId="{174563FA-C852-41E6-8A8A-929F39FB404C}" type="presParOf" srcId="{843EB0BF-2BFC-421E-AAEA-E71F4504C392}" destId="{1DF6285F-C6C6-48F6-8B2B-25CFB585A301}" srcOrd="0" destOrd="0" presId="urn:microsoft.com/office/officeart/2005/8/layout/hProcess7#1"/>
    <dgm:cxn modelId="{6774CC22-7BD6-4C52-815C-B0B6ECAC8E42}" type="presParOf" srcId="{843EB0BF-2BFC-421E-AAEA-E71F4504C392}" destId="{647D1897-71A2-4B3C-80AA-99209EE9C2C5}" srcOrd="1" destOrd="0" presId="urn:microsoft.com/office/officeart/2005/8/layout/hProcess7#1"/>
    <dgm:cxn modelId="{D9EEC75D-6E06-4DD8-ABB6-48E33E9A3760}" type="presParOf" srcId="{843EB0BF-2BFC-421E-AAEA-E71F4504C392}" destId="{E55C8951-2576-4A28-92B6-96113977ADD7}" srcOrd="2" destOrd="0" presId="urn:microsoft.com/office/officeart/2005/8/layout/hProcess7#1"/>
    <dgm:cxn modelId="{EAC1E761-AE66-43C7-9841-A95052656E3F}" type="presParOf" srcId="{1AFBF094-3F04-4A4D-B128-26345A8CF62E}" destId="{EE2F3741-A34E-400F-BE32-2C181F458FA1}" srcOrd="3" destOrd="0" presId="urn:microsoft.com/office/officeart/2005/8/layout/hProcess7#1"/>
    <dgm:cxn modelId="{401D589A-E35C-4CAB-8FD9-083B19CDC57F}" type="presParOf" srcId="{1AFBF094-3F04-4A4D-B128-26345A8CF62E}" destId="{4C31E983-9FA6-494C-AD73-338A753A0050}" srcOrd="4" destOrd="0" presId="urn:microsoft.com/office/officeart/2005/8/layout/hProcess7#1"/>
    <dgm:cxn modelId="{9F811A40-0F4D-4F7F-A01E-83B27E908A2D}" type="presParOf" srcId="{4C31E983-9FA6-494C-AD73-338A753A0050}" destId="{4F781F30-08F6-4EDC-8797-235BD019600F}" srcOrd="0" destOrd="0" presId="urn:microsoft.com/office/officeart/2005/8/layout/hProcess7#1"/>
    <dgm:cxn modelId="{6C636B6D-1998-4004-A314-E3B838946831}" type="presParOf" srcId="{4C31E983-9FA6-494C-AD73-338A753A0050}" destId="{6DEDCD8C-CDA1-46A6-B285-7A3AE07C7169}" srcOrd="1" destOrd="0" presId="urn:microsoft.com/office/officeart/2005/8/layout/hProcess7#1"/>
    <dgm:cxn modelId="{63A5D7EF-F603-46E7-A8CF-5D0F02F93D48}" type="presParOf" srcId="{1AFBF094-3F04-4A4D-B128-26345A8CF62E}" destId="{C3312F65-F023-42FA-8DC4-D7AF915006FB}" srcOrd="5" destOrd="0" presId="urn:microsoft.com/office/officeart/2005/8/layout/hProcess7#1"/>
    <dgm:cxn modelId="{E51523C5-0E05-440B-8612-2ACE4149EA6B}" type="presParOf" srcId="{1AFBF094-3F04-4A4D-B128-26345A8CF62E}" destId="{070E2159-64D7-4D91-815E-5787345E4038}" srcOrd="6" destOrd="0" presId="urn:microsoft.com/office/officeart/2005/8/layout/hProcess7#1"/>
    <dgm:cxn modelId="{29260E86-6C0B-4302-B2BD-4D32FCC76BEC}" type="presParOf" srcId="{070E2159-64D7-4D91-815E-5787345E4038}" destId="{D2CB7E29-2708-4DDA-9AE9-14D528852417}" srcOrd="0" destOrd="0" presId="urn:microsoft.com/office/officeart/2005/8/layout/hProcess7#1"/>
    <dgm:cxn modelId="{E27C5503-F582-482D-BE57-A50855856873}" type="presParOf" srcId="{070E2159-64D7-4D91-815E-5787345E4038}" destId="{AC0BB16B-2ABD-43E0-BB06-BF6B56663877}" srcOrd="1" destOrd="0" presId="urn:microsoft.com/office/officeart/2005/8/layout/hProcess7#1"/>
    <dgm:cxn modelId="{2CABFEDA-8627-4BF9-8AA0-243A5C0ED3F5}" type="presParOf" srcId="{070E2159-64D7-4D91-815E-5787345E4038}" destId="{9CC0285E-56DE-455B-B387-C0812B27495E}" srcOrd="2" destOrd="0" presId="urn:microsoft.com/office/officeart/2005/8/layout/hProcess7#1"/>
    <dgm:cxn modelId="{5754DACC-E7EE-4221-9106-C3E5736573EA}" type="presParOf" srcId="{1AFBF094-3F04-4A4D-B128-26345A8CF62E}" destId="{3ACB701C-C708-4D58-8396-57FFC744DDCC}" srcOrd="7" destOrd="0" presId="urn:microsoft.com/office/officeart/2005/8/layout/hProcess7#1"/>
    <dgm:cxn modelId="{1F15C28E-0B9D-41BA-81F8-EE2C61A30256}" type="presParOf" srcId="{1AFBF094-3F04-4A4D-B128-26345A8CF62E}" destId="{2AB6FEED-DDAB-44C4-9C7A-9BD9D000C95B}" srcOrd="8" destOrd="0" presId="urn:microsoft.com/office/officeart/2005/8/layout/hProcess7#1"/>
    <dgm:cxn modelId="{85F025D7-43EC-44F9-93CD-A67E4CBF2DB5}" type="presParOf" srcId="{2AB6FEED-DDAB-44C4-9C7A-9BD9D000C95B}" destId="{ECB8C4DC-BF2A-46D9-BAB8-EE68BDD30EBB}" srcOrd="0" destOrd="0" presId="urn:microsoft.com/office/officeart/2005/8/layout/hProcess7#1"/>
    <dgm:cxn modelId="{6E0892A6-721D-43D3-8A89-27C7D5612F3E}" type="presParOf" srcId="{2AB6FEED-DDAB-44C4-9C7A-9BD9D000C95B}" destId="{3C1797C7-67D7-4C4B-9566-8F0E21BC1BBC}" srcOrd="1" destOrd="0" presId="urn:microsoft.com/office/officeart/2005/8/layout/hProcess7#1"/>
    <dgm:cxn modelId="{96E72991-216F-4E82-B5BA-922F138A25AB}" type="presParOf" srcId="{2AB6FEED-DDAB-44C4-9C7A-9BD9D000C95B}" destId="{2356BAD0-56ED-4F46-BD73-43FC367509E4}" srcOrd="2" destOrd="0" presId="urn:microsoft.com/office/officeart/2005/8/layout/hProcess7#1"/>
    <dgm:cxn modelId="{6F74964A-504B-49C8-A992-ADA8A592C989}" type="presParOf" srcId="{1AFBF094-3F04-4A4D-B128-26345A8CF62E}" destId="{E29546B5-69ED-4EAB-9CB7-F9C1020F298C}" srcOrd="9" destOrd="0" presId="urn:microsoft.com/office/officeart/2005/8/layout/hProcess7#1"/>
    <dgm:cxn modelId="{95B30FC1-1866-4687-BAC8-3F90F3252BD1}" type="presParOf" srcId="{1AFBF094-3F04-4A4D-B128-26345A8CF62E}" destId="{30B9105C-DBAF-4235-B6D0-E205A776A321}" srcOrd="10" destOrd="0" presId="urn:microsoft.com/office/officeart/2005/8/layout/hProcess7#1"/>
    <dgm:cxn modelId="{D7DF8BD7-B9D8-44C0-A8BA-7FC2CDD6B772}" type="presParOf" srcId="{30B9105C-DBAF-4235-B6D0-E205A776A321}" destId="{EBCC1871-2E57-4AEA-8361-66D6C746C61A}" srcOrd="0" destOrd="0" presId="urn:microsoft.com/office/officeart/2005/8/layout/hProcess7#1"/>
    <dgm:cxn modelId="{489E4218-3D64-485B-BB27-9BA7EE7B08C0}" type="presParOf" srcId="{30B9105C-DBAF-4235-B6D0-E205A776A321}" destId="{4D77172E-E36D-4C92-BD38-27FD21D37373}" srcOrd="1" destOrd="0" presId="urn:microsoft.com/office/officeart/2005/8/layout/hProcess7#1"/>
    <dgm:cxn modelId="{350B89EB-8A04-4968-9040-0787A5F1FB62}" type="presParOf" srcId="{30B9105C-DBAF-4235-B6D0-E205A776A321}" destId="{4F662442-F3A8-4270-83AE-4163A986840C}" srcOrd="2" destOrd="0" presId="urn:microsoft.com/office/officeart/2005/8/layout/hProcess7#1"/>
    <dgm:cxn modelId="{21686E47-118B-4D99-82B7-C7A49C4B76A8}" type="presParOf" srcId="{1AFBF094-3F04-4A4D-B128-26345A8CF62E}" destId="{8E8B8DFB-6668-4671-BCC6-1984C20DA5AD}" srcOrd="11" destOrd="0" presId="urn:microsoft.com/office/officeart/2005/8/layout/hProcess7#1"/>
    <dgm:cxn modelId="{64C9D6DD-B3FB-4858-B3AA-B37D1408EC53}" type="presParOf" srcId="{1AFBF094-3F04-4A4D-B128-26345A8CF62E}" destId="{C6ABFAB1-6CA2-4EC4-849E-0E6FCC7DA882}" srcOrd="12" destOrd="0" presId="urn:microsoft.com/office/officeart/2005/8/layout/hProcess7#1"/>
    <dgm:cxn modelId="{1E8D6584-CD74-49CB-A8DF-7854E08DE99F}" type="presParOf" srcId="{C6ABFAB1-6CA2-4EC4-849E-0E6FCC7DA882}" destId="{ABFFD634-7788-4567-B1B1-2C9F3CBCBD77}" srcOrd="0" destOrd="0" presId="urn:microsoft.com/office/officeart/2005/8/layout/hProcess7#1"/>
    <dgm:cxn modelId="{DDFB5E9E-0E19-40B8-BC32-53EE8E4E3694}" type="presParOf" srcId="{C6ABFAB1-6CA2-4EC4-849E-0E6FCC7DA882}" destId="{EDB0DDE0-3C50-4DBC-89D9-4CC6C4F58760}" srcOrd="1" destOrd="0" presId="urn:microsoft.com/office/officeart/2005/8/layout/hProcess7#1"/>
    <dgm:cxn modelId="{18DA8524-22B1-469C-BB9D-FFE572858105}" type="presParOf" srcId="{C6ABFAB1-6CA2-4EC4-849E-0E6FCC7DA882}" destId="{D89AA663-AA9D-484E-9834-AB7521455620}" srcOrd="2" destOrd="0" presId="urn:microsoft.com/office/officeart/2005/8/layout/hProcess7#1"/>
  </dgm:cxnLst>
  <dgm:bg/>
  <dgm:whole>
    <a:ln>
      <a:noFill/>
      <a:prstDash val="dash"/>
    </a:ln>
  </dgm:whole>
  <dgm:extLst>
    <a:ext uri="http://schemas.microsoft.com/office/drawing/2008/diagram">
      <dsp:dataModelExt xmlns:dsp="http://schemas.microsoft.com/office/drawing/2008/diagram" relId="rId156"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F87D6BEE-56F1-4B91-8FC0-9309064250C7}" type="doc">
      <dgm:prSet loTypeId="urn:microsoft.com/office/officeart/2005/8/layout/hList7#3" loCatId="process" qsTypeId="urn:microsoft.com/office/officeart/2005/8/quickstyle/3d3" qsCatId="3D" csTypeId="urn:microsoft.com/office/officeart/2005/8/colors/colorful2" csCatId="colorful" phldr="1"/>
      <dgm:spPr/>
    </dgm:pt>
    <dgm:pt modelId="{ABF0FDBE-9F88-45A4-9F96-67E6602D9516}">
      <dgm:prSet phldrT="[Texto]" custT="1"/>
      <dgm:spPr>
        <a:blipFill rotWithShape="0">
          <a:blip xmlns:r="http://schemas.openxmlformats.org/officeDocument/2006/relationships" r:embed="rId1"/>
          <a:tile tx="0" ty="0" sx="100000" sy="100000" flip="none" algn="tl"/>
        </a:blipFill>
      </dgm:spPr>
      <dgm:t>
        <a:bodyPr/>
        <a:lstStyle/>
        <a:p>
          <a:pPr algn="ctr"/>
          <a:r>
            <a:rPr lang="es-ES" sz="1400" b="1">
              <a:solidFill>
                <a:sysClr val="windowText" lastClr="000000"/>
              </a:solidFill>
            </a:rPr>
            <a:t>www.minfin.gob.gt</a:t>
          </a:r>
          <a:endParaRPr lang="es-ES" sz="1400">
            <a:solidFill>
              <a:sysClr val="windowText" lastClr="000000"/>
            </a:solidFill>
          </a:endParaRPr>
        </a:p>
      </dgm:t>
    </dgm:pt>
    <dgm:pt modelId="{C8AE318A-1146-47DB-AD7B-803F036B6102}" type="parTrans" cxnId="{0361026C-1528-4751-AD52-D491D710C77C}">
      <dgm:prSet/>
      <dgm:spPr/>
      <dgm:t>
        <a:bodyPr/>
        <a:lstStyle/>
        <a:p>
          <a:pPr algn="ctr"/>
          <a:endParaRPr lang="es-ES">
            <a:solidFill>
              <a:sysClr val="windowText" lastClr="000000"/>
            </a:solidFill>
          </a:endParaRPr>
        </a:p>
      </dgm:t>
    </dgm:pt>
    <dgm:pt modelId="{9EAF2332-242E-47B4-BF2C-4903E46700AE}" type="sibTrans" cxnId="{0361026C-1528-4751-AD52-D491D710C77C}">
      <dgm:prSet/>
      <dgm:spPr/>
      <dgm:t>
        <a:bodyPr/>
        <a:lstStyle/>
        <a:p>
          <a:pPr algn="ctr"/>
          <a:endParaRPr lang="es-ES">
            <a:solidFill>
              <a:sysClr val="windowText" lastClr="000000"/>
            </a:solidFill>
          </a:endParaRPr>
        </a:p>
      </dgm:t>
    </dgm:pt>
    <dgm:pt modelId="{16458876-9C31-4236-89CA-CD7CFAD6C34B}">
      <dgm:prSet phldrT="[Texto]" custT="1"/>
      <dgm:spPr>
        <a:blipFill rotWithShape="0">
          <a:blip xmlns:r="http://schemas.openxmlformats.org/officeDocument/2006/relationships" r:embed="rId2"/>
          <a:tile tx="0" ty="0" sx="100000" sy="100000" flip="none" algn="tl"/>
        </a:blipFill>
      </dgm:spPr>
      <dgm:t>
        <a:bodyPr/>
        <a:lstStyle/>
        <a:p>
          <a:pPr algn="ctr"/>
          <a:endParaRPr lang="es-ES" sz="1400" b="1">
            <a:solidFill>
              <a:sysClr val="windowText" lastClr="000000"/>
            </a:solidFill>
          </a:endParaRPr>
        </a:p>
        <a:p>
          <a:pPr algn="ctr"/>
          <a:endParaRPr lang="es-ES" sz="1400" b="1">
            <a:solidFill>
              <a:sysClr val="windowText" lastClr="000000"/>
            </a:solidFill>
          </a:endParaRPr>
        </a:p>
        <a:p>
          <a:pPr algn="ctr"/>
          <a:r>
            <a:rPr lang="es-ES" sz="1100" b="1">
              <a:solidFill>
                <a:sysClr val="windowText" lastClr="000000"/>
              </a:solidFill>
            </a:rPr>
            <a:t>O bien, puedes visitar la Unidad de Acceso a la Información Pública ubicada en la Planta Baja del Edificio del Ministerio de Finanzas Públicas.</a:t>
          </a:r>
        </a:p>
        <a:p>
          <a:pPr algn="ctr"/>
          <a:r>
            <a:rPr lang="es-ES" sz="1100" b="1">
              <a:solidFill>
                <a:sysClr val="windowText" lastClr="000000"/>
              </a:solidFill>
            </a:rPr>
            <a:t>8a. avenida 20-59, Zona 1, Ciudad</a:t>
          </a:r>
          <a:r>
            <a:rPr lang="es-ES" sz="1400" b="1">
              <a:solidFill>
                <a:sysClr val="windowText" lastClr="000000"/>
              </a:solidFill>
            </a:rPr>
            <a:t>. </a:t>
          </a:r>
          <a:endParaRPr lang="es-ES" sz="1400">
            <a:solidFill>
              <a:sysClr val="windowText" lastClr="000000"/>
            </a:solidFill>
          </a:endParaRPr>
        </a:p>
      </dgm:t>
    </dgm:pt>
    <dgm:pt modelId="{50E81E8C-90B1-4EBC-B189-B7E483A0E187}" type="parTrans" cxnId="{82DFEAFF-5388-41DD-94E2-2CF216B32042}">
      <dgm:prSet/>
      <dgm:spPr/>
      <dgm:t>
        <a:bodyPr/>
        <a:lstStyle/>
        <a:p>
          <a:pPr algn="ctr"/>
          <a:endParaRPr lang="es-ES">
            <a:solidFill>
              <a:sysClr val="windowText" lastClr="000000"/>
            </a:solidFill>
          </a:endParaRPr>
        </a:p>
      </dgm:t>
    </dgm:pt>
    <dgm:pt modelId="{ED33668B-15E6-4DF0-A2F4-30A30E0B1977}" type="sibTrans" cxnId="{82DFEAFF-5388-41DD-94E2-2CF216B32042}">
      <dgm:prSet/>
      <dgm:spPr/>
      <dgm:t>
        <a:bodyPr/>
        <a:lstStyle/>
        <a:p>
          <a:pPr algn="ctr"/>
          <a:endParaRPr lang="es-ES">
            <a:solidFill>
              <a:sysClr val="windowText" lastClr="000000"/>
            </a:solidFill>
          </a:endParaRPr>
        </a:p>
      </dgm:t>
    </dgm:pt>
    <dgm:pt modelId="{075BA821-41F5-44AA-8798-B587AA9F239E}">
      <dgm:prSet phldrT="[Texto]" custT="1"/>
      <dgm:spPr>
        <a:blipFill rotWithShape="0">
          <a:blip xmlns:r="http://schemas.openxmlformats.org/officeDocument/2006/relationships" r:embed="rId3"/>
          <a:tile tx="0" ty="0" sx="100000" sy="100000" flip="none" algn="tl"/>
        </a:blipFill>
      </dgm:spPr>
      <dgm:t>
        <a:bodyPr/>
        <a:lstStyle/>
        <a:p>
          <a:pPr algn="ctr"/>
          <a:endParaRPr lang="es-ES" sz="1400" b="1">
            <a:solidFill>
              <a:sysClr val="windowText" lastClr="000000"/>
            </a:solidFill>
          </a:endParaRPr>
        </a:p>
        <a:p>
          <a:pPr algn="ctr"/>
          <a:r>
            <a:rPr lang="es-ES" sz="1100" b="1">
              <a:solidFill>
                <a:sysClr val="windowText" lastClr="000000"/>
              </a:solidFill>
            </a:rPr>
            <a:t>Para consultar otros documentos disponibles relacionados con el tema presupuestario, puedes ingresar a la página de internet del Ministerio de Finanzas Públicas</a:t>
          </a:r>
          <a:endParaRPr lang="es-ES" sz="1100">
            <a:solidFill>
              <a:sysClr val="windowText" lastClr="000000"/>
            </a:solidFill>
          </a:endParaRPr>
        </a:p>
      </dgm:t>
    </dgm:pt>
    <dgm:pt modelId="{C2CE56C0-A82A-458C-9002-ED7B73793FAD}" type="sibTrans" cxnId="{A4256F38-F7DA-4875-9DF2-693215B15CA5}">
      <dgm:prSet/>
      <dgm:spPr/>
      <dgm:t>
        <a:bodyPr/>
        <a:lstStyle/>
        <a:p>
          <a:pPr algn="ctr"/>
          <a:endParaRPr lang="es-ES">
            <a:solidFill>
              <a:sysClr val="windowText" lastClr="000000"/>
            </a:solidFill>
          </a:endParaRPr>
        </a:p>
      </dgm:t>
    </dgm:pt>
    <dgm:pt modelId="{8D69DFDC-F220-4B72-B44A-56B8528571BC}" type="parTrans" cxnId="{A4256F38-F7DA-4875-9DF2-693215B15CA5}">
      <dgm:prSet/>
      <dgm:spPr/>
      <dgm:t>
        <a:bodyPr/>
        <a:lstStyle/>
        <a:p>
          <a:pPr algn="ctr"/>
          <a:endParaRPr lang="es-ES">
            <a:solidFill>
              <a:sysClr val="windowText" lastClr="000000"/>
            </a:solidFill>
          </a:endParaRPr>
        </a:p>
      </dgm:t>
    </dgm:pt>
    <dgm:pt modelId="{E7C1E21E-4F79-4021-87F0-DBB23CD88B4D}" type="pres">
      <dgm:prSet presAssocID="{F87D6BEE-56F1-4B91-8FC0-9309064250C7}" presName="Name0" presStyleCnt="0">
        <dgm:presLayoutVars>
          <dgm:dir/>
          <dgm:resizeHandles val="exact"/>
        </dgm:presLayoutVars>
      </dgm:prSet>
      <dgm:spPr/>
    </dgm:pt>
    <dgm:pt modelId="{A7CA6914-D98D-43FC-B29A-C57D7586FC7D}" type="pres">
      <dgm:prSet presAssocID="{F87D6BEE-56F1-4B91-8FC0-9309064250C7}" presName="fgShape" presStyleLbl="fgShp" presStyleIdx="0" presStyleCnt="1" custFlipHor="1" custScaleX="5188" custScaleY="68245" custLinFactY="100000" custLinFactNeighborX="-191" custLinFactNeighborY="155063"/>
      <dgm:spPr/>
    </dgm:pt>
    <dgm:pt modelId="{CC72E31D-DF09-43CC-A157-56A37FDD0AA8}" type="pres">
      <dgm:prSet presAssocID="{F87D6BEE-56F1-4B91-8FC0-9309064250C7}" presName="linComp" presStyleCnt="0"/>
      <dgm:spPr/>
    </dgm:pt>
    <dgm:pt modelId="{DBA8DF9B-8C1F-4401-937C-C25DCC7F87E6}" type="pres">
      <dgm:prSet presAssocID="{075BA821-41F5-44AA-8798-B587AA9F239E}" presName="compNode" presStyleCnt="0"/>
      <dgm:spPr/>
    </dgm:pt>
    <dgm:pt modelId="{A44E1FE6-E375-4892-B007-44C290DEBB36}" type="pres">
      <dgm:prSet presAssocID="{075BA821-41F5-44AA-8798-B587AA9F239E}" presName="bkgdShape" presStyleLbl="node1" presStyleIdx="0" presStyleCnt="3" custLinFactNeighborX="-69" custLinFactNeighborY="11679"/>
      <dgm:spPr/>
      <dgm:t>
        <a:bodyPr/>
        <a:lstStyle/>
        <a:p>
          <a:endParaRPr lang="es-ES"/>
        </a:p>
      </dgm:t>
    </dgm:pt>
    <dgm:pt modelId="{CF65B2DE-C8BF-4F7E-884A-66A8E22E9C7F}" type="pres">
      <dgm:prSet presAssocID="{075BA821-41F5-44AA-8798-B587AA9F239E}" presName="nodeTx" presStyleLbl="node1" presStyleIdx="0" presStyleCnt="3">
        <dgm:presLayoutVars>
          <dgm:bulletEnabled val="1"/>
        </dgm:presLayoutVars>
      </dgm:prSet>
      <dgm:spPr/>
      <dgm:t>
        <a:bodyPr/>
        <a:lstStyle/>
        <a:p>
          <a:endParaRPr lang="es-ES"/>
        </a:p>
      </dgm:t>
    </dgm:pt>
    <dgm:pt modelId="{A9D3580F-4F8F-42CC-A2A3-701D7560E7FA}" type="pres">
      <dgm:prSet presAssocID="{075BA821-41F5-44AA-8798-B587AA9F239E}" presName="invisiNode" presStyleLbl="node1" presStyleIdx="0" presStyleCnt="3"/>
      <dgm:spPr/>
    </dgm:pt>
    <dgm:pt modelId="{27022259-1388-4D5E-9BF9-1740C017F1E6}" type="pres">
      <dgm:prSet presAssocID="{075BA821-41F5-44AA-8798-B587AA9F239E}" presName="imagNode" presStyleLbl="fgImgPlace1" presStyleIdx="0" presStyleCnt="3"/>
      <dgm:spPr>
        <a:blipFill rotWithShape="0">
          <a:blip xmlns:r="http://schemas.openxmlformats.org/officeDocument/2006/relationships" r:embed="rId4"/>
          <a:stretch>
            <a:fillRect/>
          </a:stretch>
        </a:blipFill>
      </dgm:spPr>
    </dgm:pt>
    <dgm:pt modelId="{2856BF0C-D1A1-46D5-B404-2B0146DA3A83}" type="pres">
      <dgm:prSet presAssocID="{C2CE56C0-A82A-458C-9002-ED7B73793FAD}" presName="sibTrans" presStyleLbl="sibTrans2D1" presStyleIdx="0" presStyleCnt="0"/>
      <dgm:spPr/>
      <dgm:t>
        <a:bodyPr/>
        <a:lstStyle/>
        <a:p>
          <a:endParaRPr lang="es-ES"/>
        </a:p>
      </dgm:t>
    </dgm:pt>
    <dgm:pt modelId="{022DC8EA-9865-4265-BE7B-F51A5F357605}" type="pres">
      <dgm:prSet presAssocID="{ABF0FDBE-9F88-45A4-9F96-67E6602D9516}" presName="compNode" presStyleCnt="0"/>
      <dgm:spPr/>
    </dgm:pt>
    <dgm:pt modelId="{500CB096-5E0D-4C6F-9D07-A3E167AEFB07}" type="pres">
      <dgm:prSet presAssocID="{ABF0FDBE-9F88-45A4-9F96-67E6602D9516}" presName="bkgdShape" presStyleLbl="node1" presStyleIdx="1" presStyleCnt="3" custScaleX="93278"/>
      <dgm:spPr/>
      <dgm:t>
        <a:bodyPr/>
        <a:lstStyle/>
        <a:p>
          <a:endParaRPr lang="es-ES"/>
        </a:p>
      </dgm:t>
    </dgm:pt>
    <dgm:pt modelId="{A29D8D59-6F02-477C-9B3F-BA5E8576F0E7}" type="pres">
      <dgm:prSet presAssocID="{ABF0FDBE-9F88-45A4-9F96-67E6602D9516}" presName="nodeTx" presStyleLbl="node1" presStyleIdx="1" presStyleCnt="3">
        <dgm:presLayoutVars>
          <dgm:bulletEnabled val="1"/>
        </dgm:presLayoutVars>
      </dgm:prSet>
      <dgm:spPr/>
      <dgm:t>
        <a:bodyPr/>
        <a:lstStyle/>
        <a:p>
          <a:endParaRPr lang="es-ES"/>
        </a:p>
      </dgm:t>
    </dgm:pt>
    <dgm:pt modelId="{42B5EFF2-66E6-4C0A-B729-9B60635BF7AD}" type="pres">
      <dgm:prSet presAssocID="{ABF0FDBE-9F88-45A4-9F96-67E6602D9516}" presName="invisiNode" presStyleLbl="node1" presStyleIdx="1" presStyleCnt="3"/>
      <dgm:spPr/>
    </dgm:pt>
    <dgm:pt modelId="{69A24C6E-6EDC-4AB2-9D3A-D2D9131D33FB}" type="pres">
      <dgm:prSet presAssocID="{ABF0FDBE-9F88-45A4-9F96-67E6602D9516}" presName="imagNode" presStyleLbl="fgImgPlace1" presStyleIdx="1" presStyleCnt="3"/>
      <dgm:spPr>
        <a:blipFill rotWithShape="0">
          <a:blip xmlns:r="http://schemas.openxmlformats.org/officeDocument/2006/relationships" r:embed="rId5"/>
          <a:stretch>
            <a:fillRect/>
          </a:stretch>
        </a:blipFill>
      </dgm:spPr>
    </dgm:pt>
    <dgm:pt modelId="{EF839335-5203-4974-8997-F7A3DC95E743}" type="pres">
      <dgm:prSet presAssocID="{9EAF2332-242E-47B4-BF2C-4903E46700AE}" presName="sibTrans" presStyleLbl="sibTrans2D1" presStyleIdx="0" presStyleCnt="0"/>
      <dgm:spPr/>
      <dgm:t>
        <a:bodyPr/>
        <a:lstStyle/>
        <a:p>
          <a:endParaRPr lang="es-ES"/>
        </a:p>
      </dgm:t>
    </dgm:pt>
    <dgm:pt modelId="{82246D05-D7BC-40D2-8618-70476A9A6EE6}" type="pres">
      <dgm:prSet presAssocID="{16458876-9C31-4236-89CA-CD7CFAD6C34B}" presName="compNode" presStyleCnt="0"/>
      <dgm:spPr/>
    </dgm:pt>
    <dgm:pt modelId="{F0CDE7C4-F816-4D6F-8BC4-5A178992E7D2}" type="pres">
      <dgm:prSet presAssocID="{16458876-9C31-4236-89CA-CD7CFAD6C34B}" presName="bkgdShape" presStyleLbl="node1" presStyleIdx="2" presStyleCnt="3" custLinFactNeighborX="69"/>
      <dgm:spPr/>
      <dgm:t>
        <a:bodyPr/>
        <a:lstStyle/>
        <a:p>
          <a:endParaRPr lang="es-ES"/>
        </a:p>
      </dgm:t>
    </dgm:pt>
    <dgm:pt modelId="{DB627283-3102-407E-BA47-CB1212A8BFDF}" type="pres">
      <dgm:prSet presAssocID="{16458876-9C31-4236-89CA-CD7CFAD6C34B}" presName="nodeTx" presStyleLbl="node1" presStyleIdx="2" presStyleCnt="3">
        <dgm:presLayoutVars>
          <dgm:bulletEnabled val="1"/>
        </dgm:presLayoutVars>
      </dgm:prSet>
      <dgm:spPr/>
      <dgm:t>
        <a:bodyPr/>
        <a:lstStyle/>
        <a:p>
          <a:endParaRPr lang="es-ES"/>
        </a:p>
      </dgm:t>
    </dgm:pt>
    <dgm:pt modelId="{6C436325-8D48-4384-A65A-B39B52BC0432}" type="pres">
      <dgm:prSet presAssocID="{16458876-9C31-4236-89CA-CD7CFAD6C34B}" presName="invisiNode" presStyleLbl="node1" presStyleIdx="2" presStyleCnt="3"/>
      <dgm:spPr/>
    </dgm:pt>
    <dgm:pt modelId="{552BABE9-F6B9-4F88-B58A-409884D55187}" type="pres">
      <dgm:prSet presAssocID="{16458876-9C31-4236-89CA-CD7CFAD6C34B}" presName="imagNode" presStyleLbl="fgImgPlace1" presStyleIdx="2" presStyleCnt="3"/>
      <dgm:spPr>
        <a:blipFill rotWithShape="0">
          <a:blip xmlns:r="http://schemas.openxmlformats.org/officeDocument/2006/relationships" r:embed="rId6"/>
          <a:stretch>
            <a:fillRect/>
          </a:stretch>
        </a:blipFill>
      </dgm:spPr>
    </dgm:pt>
  </dgm:ptLst>
  <dgm:cxnLst>
    <dgm:cxn modelId="{A4256F38-F7DA-4875-9DF2-693215B15CA5}" srcId="{F87D6BEE-56F1-4B91-8FC0-9309064250C7}" destId="{075BA821-41F5-44AA-8798-B587AA9F239E}" srcOrd="0" destOrd="0" parTransId="{8D69DFDC-F220-4B72-B44A-56B8528571BC}" sibTransId="{C2CE56C0-A82A-458C-9002-ED7B73793FAD}"/>
    <dgm:cxn modelId="{1F11F64A-5093-4C32-9643-C696716F958D}" type="presOf" srcId="{F87D6BEE-56F1-4B91-8FC0-9309064250C7}" destId="{E7C1E21E-4F79-4021-87F0-DBB23CD88B4D}" srcOrd="0" destOrd="0" presId="urn:microsoft.com/office/officeart/2005/8/layout/hList7#3"/>
    <dgm:cxn modelId="{D79D8583-A735-45FE-97D4-0BE23ECFFF18}" type="presOf" srcId="{ABF0FDBE-9F88-45A4-9F96-67E6602D9516}" destId="{500CB096-5E0D-4C6F-9D07-A3E167AEFB07}" srcOrd="0" destOrd="0" presId="urn:microsoft.com/office/officeart/2005/8/layout/hList7#3"/>
    <dgm:cxn modelId="{8AF21721-4DC6-4534-A994-21A9B76588A3}" type="presOf" srcId="{075BA821-41F5-44AA-8798-B587AA9F239E}" destId="{A44E1FE6-E375-4892-B007-44C290DEBB36}" srcOrd="0" destOrd="0" presId="urn:microsoft.com/office/officeart/2005/8/layout/hList7#3"/>
    <dgm:cxn modelId="{A73B5C93-AE23-4E2B-93FA-28FD2B0E3DFB}" type="presOf" srcId="{075BA821-41F5-44AA-8798-B587AA9F239E}" destId="{CF65B2DE-C8BF-4F7E-884A-66A8E22E9C7F}" srcOrd="1" destOrd="0" presId="urn:microsoft.com/office/officeart/2005/8/layout/hList7#3"/>
    <dgm:cxn modelId="{5D19910D-D732-4CA1-B71F-28A17523791B}" type="presOf" srcId="{C2CE56C0-A82A-458C-9002-ED7B73793FAD}" destId="{2856BF0C-D1A1-46D5-B404-2B0146DA3A83}" srcOrd="0" destOrd="0" presId="urn:microsoft.com/office/officeart/2005/8/layout/hList7#3"/>
    <dgm:cxn modelId="{82DFEAFF-5388-41DD-94E2-2CF216B32042}" srcId="{F87D6BEE-56F1-4B91-8FC0-9309064250C7}" destId="{16458876-9C31-4236-89CA-CD7CFAD6C34B}" srcOrd="2" destOrd="0" parTransId="{50E81E8C-90B1-4EBC-B189-B7E483A0E187}" sibTransId="{ED33668B-15E6-4DF0-A2F4-30A30E0B1977}"/>
    <dgm:cxn modelId="{14B8B825-3494-4218-89BE-CC9A8F9129B5}" type="presOf" srcId="{16458876-9C31-4236-89CA-CD7CFAD6C34B}" destId="{F0CDE7C4-F816-4D6F-8BC4-5A178992E7D2}" srcOrd="0" destOrd="0" presId="urn:microsoft.com/office/officeart/2005/8/layout/hList7#3"/>
    <dgm:cxn modelId="{9B9D44DE-8101-4CC9-BDF2-0FEE21A11A23}" type="presOf" srcId="{9EAF2332-242E-47B4-BF2C-4903E46700AE}" destId="{EF839335-5203-4974-8997-F7A3DC95E743}" srcOrd="0" destOrd="0" presId="urn:microsoft.com/office/officeart/2005/8/layout/hList7#3"/>
    <dgm:cxn modelId="{9A4EF875-8E02-4A7B-8835-2A3E1278DF76}" type="presOf" srcId="{16458876-9C31-4236-89CA-CD7CFAD6C34B}" destId="{DB627283-3102-407E-BA47-CB1212A8BFDF}" srcOrd="1" destOrd="0" presId="urn:microsoft.com/office/officeart/2005/8/layout/hList7#3"/>
    <dgm:cxn modelId="{FB2FCBF2-478C-48A9-B21A-1D5D904DF8A5}" type="presOf" srcId="{ABF0FDBE-9F88-45A4-9F96-67E6602D9516}" destId="{A29D8D59-6F02-477C-9B3F-BA5E8576F0E7}" srcOrd="1" destOrd="0" presId="urn:microsoft.com/office/officeart/2005/8/layout/hList7#3"/>
    <dgm:cxn modelId="{0361026C-1528-4751-AD52-D491D710C77C}" srcId="{F87D6BEE-56F1-4B91-8FC0-9309064250C7}" destId="{ABF0FDBE-9F88-45A4-9F96-67E6602D9516}" srcOrd="1" destOrd="0" parTransId="{C8AE318A-1146-47DB-AD7B-803F036B6102}" sibTransId="{9EAF2332-242E-47B4-BF2C-4903E46700AE}"/>
    <dgm:cxn modelId="{2DF9D4BB-243B-4E60-8CEF-83004B045BB4}" type="presParOf" srcId="{E7C1E21E-4F79-4021-87F0-DBB23CD88B4D}" destId="{A7CA6914-D98D-43FC-B29A-C57D7586FC7D}" srcOrd="0" destOrd="0" presId="urn:microsoft.com/office/officeart/2005/8/layout/hList7#3"/>
    <dgm:cxn modelId="{55E9BA45-90FD-4A8E-AE21-E902578A2AB6}" type="presParOf" srcId="{E7C1E21E-4F79-4021-87F0-DBB23CD88B4D}" destId="{CC72E31D-DF09-43CC-A157-56A37FDD0AA8}" srcOrd="1" destOrd="0" presId="urn:microsoft.com/office/officeart/2005/8/layout/hList7#3"/>
    <dgm:cxn modelId="{6189B635-4DEA-43C2-8380-717855198157}" type="presParOf" srcId="{CC72E31D-DF09-43CC-A157-56A37FDD0AA8}" destId="{DBA8DF9B-8C1F-4401-937C-C25DCC7F87E6}" srcOrd="0" destOrd="0" presId="urn:microsoft.com/office/officeart/2005/8/layout/hList7#3"/>
    <dgm:cxn modelId="{F06C4932-9492-4D9E-8005-62F7137E266C}" type="presParOf" srcId="{DBA8DF9B-8C1F-4401-937C-C25DCC7F87E6}" destId="{A44E1FE6-E375-4892-B007-44C290DEBB36}" srcOrd="0" destOrd="0" presId="urn:microsoft.com/office/officeart/2005/8/layout/hList7#3"/>
    <dgm:cxn modelId="{44B1FF13-DB26-4004-88AE-1BA90C058D0B}" type="presParOf" srcId="{DBA8DF9B-8C1F-4401-937C-C25DCC7F87E6}" destId="{CF65B2DE-C8BF-4F7E-884A-66A8E22E9C7F}" srcOrd="1" destOrd="0" presId="urn:microsoft.com/office/officeart/2005/8/layout/hList7#3"/>
    <dgm:cxn modelId="{F1B72BF6-6C5D-4CD8-B5BE-87CCD9A587FA}" type="presParOf" srcId="{DBA8DF9B-8C1F-4401-937C-C25DCC7F87E6}" destId="{A9D3580F-4F8F-42CC-A2A3-701D7560E7FA}" srcOrd="2" destOrd="0" presId="urn:microsoft.com/office/officeart/2005/8/layout/hList7#3"/>
    <dgm:cxn modelId="{F9422AC6-5BF2-4BCA-AD59-59101905CB98}" type="presParOf" srcId="{DBA8DF9B-8C1F-4401-937C-C25DCC7F87E6}" destId="{27022259-1388-4D5E-9BF9-1740C017F1E6}" srcOrd="3" destOrd="0" presId="urn:microsoft.com/office/officeart/2005/8/layout/hList7#3"/>
    <dgm:cxn modelId="{076AE7CC-4547-4146-9985-2B00BF0BF61C}" type="presParOf" srcId="{CC72E31D-DF09-43CC-A157-56A37FDD0AA8}" destId="{2856BF0C-D1A1-46D5-B404-2B0146DA3A83}" srcOrd="1" destOrd="0" presId="urn:microsoft.com/office/officeart/2005/8/layout/hList7#3"/>
    <dgm:cxn modelId="{F4129FB9-2CA0-4109-802D-9AF7E9D6A726}" type="presParOf" srcId="{CC72E31D-DF09-43CC-A157-56A37FDD0AA8}" destId="{022DC8EA-9865-4265-BE7B-F51A5F357605}" srcOrd="2" destOrd="0" presId="urn:microsoft.com/office/officeart/2005/8/layout/hList7#3"/>
    <dgm:cxn modelId="{7FA93158-F59C-47BE-8350-B887E97EA03B}" type="presParOf" srcId="{022DC8EA-9865-4265-BE7B-F51A5F357605}" destId="{500CB096-5E0D-4C6F-9D07-A3E167AEFB07}" srcOrd="0" destOrd="0" presId="urn:microsoft.com/office/officeart/2005/8/layout/hList7#3"/>
    <dgm:cxn modelId="{39380317-D2C1-4124-AFCA-9E85A723F46F}" type="presParOf" srcId="{022DC8EA-9865-4265-BE7B-F51A5F357605}" destId="{A29D8D59-6F02-477C-9B3F-BA5E8576F0E7}" srcOrd="1" destOrd="0" presId="urn:microsoft.com/office/officeart/2005/8/layout/hList7#3"/>
    <dgm:cxn modelId="{A6648EC3-CC78-4F23-9BA6-99C6043DE720}" type="presParOf" srcId="{022DC8EA-9865-4265-BE7B-F51A5F357605}" destId="{42B5EFF2-66E6-4C0A-B729-9B60635BF7AD}" srcOrd="2" destOrd="0" presId="urn:microsoft.com/office/officeart/2005/8/layout/hList7#3"/>
    <dgm:cxn modelId="{251F26FB-816F-4E57-8D42-3C75D21AFD8C}" type="presParOf" srcId="{022DC8EA-9865-4265-BE7B-F51A5F357605}" destId="{69A24C6E-6EDC-4AB2-9D3A-D2D9131D33FB}" srcOrd="3" destOrd="0" presId="urn:microsoft.com/office/officeart/2005/8/layout/hList7#3"/>
    <dgm:cxn modelId="{73C6F564-2D7F-44C2-AED2-DA5861CFE85A}" type="presParOf" srcId="{CC72E31D-DF09-43CC-A157-56A37FDD0AA8}" destId="{EF839335-5203-4974-8997-F7A3DC95E743}" srcOrd="3" destOrd="0" presId="urn:microsoft.com/office/officeart/2005/8/layout/hList7#3"/>
    <dgm:cxn modelId="{2881F6B7-5FB0-436C-98C2-530710668E3C}" type="presParOf" srcId="{CC72E31D-DF09-43CC-A157-56A37FDD0AA8}" destId="{82246D05-D7BC-40D2-8618-70476A9A6EE6}" srcOrd="4" destOrd="0" presId="urn:microsoft.com/office/officeart/2005/8/layout/hList7#3"/>
    <dgm:cxn modelId="{2A38151E-B54A-4823-B213-6C54B951E10B}" type="presParOf" srcId="{82246D05-D7BC-40D2-8618-70476A9A6EE6}" destId="{F0CDE7C4-F816-4D6F-8BC4-5A178992E7D2}" srcOrd="0" destOrd="0" presId="urn:microsoft.com/office/officeart/2005/8/layout/hList7#3"/>
    <dgm:cxn modelId="{2B671D50-0F47-472F-8A95-26215AC23E5E}" type="presParOf" srcId="{82246D05-D7BC-40D2-8618-70476A9A6EE6}" destId="{DB627283-3102-407E-BA47-CB1212A8BFDF}" srcOrd="1" destOrd="0" presId="urn:microsoft.com/office/officeart/2005/8/layout/hList7#3"/>
    <dgm:cxn modelId="{4CD5B158-CCCA-4BDE-9110-CCCB588D1A4A}" type="presParOf" srcId="{82246D05-D7BC-40D2-8618-70476A9A6EE6}" destId="{6C436325-8D48-4384-A65A-B39B52BC0432}" srcOrd="2" destOrd="0" presId="urn:microsoft.com/office/officeart/2005/8/layout/hList7#3"/>
    <dgm:cxn modelId="{3003B59A-E7CD-49F3-925D-6FBFDB7662F2}" type="presParOf" srcId="{82246D05-D7BC-40D2-8618-70476A9A6EE6}" destId="{552BABE9-F6B9-4F88-B58A-409884D55187}" srcOrd="3" destOrd="0" presId="urn:microsoft.com/office/officeart/2005/8/layout/hList7#3"/>
  </dgm:cxnLst>
  <dgm:bg/>
  <dgm:whole/>
  <dgm:extLst>
    <a:ext uri="http://schemas.microsoft.com/office/drawing/2008/diagram">
      <dsp:dataModelExt xmlns:dsp="http://schemas.microsoft.com/office/drawing/2008/diagram" relId="rId16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60FC68D-694B-442A-9F55-00D22830D15D}" type="doc">
      <dgm:prSet loTypeId="urn:microsoft.com/office/officeart/2005/8/layout/vList6" loCatId="list" qsTypeId="urn:microsoft.com/office/officeart/2005/8/quickstyle/3d2" qsCatId="3D" csTypeId="urn:microsoft.com/office/officeart/2005/8/colors/accent0_1" csCatId="mainScheme" phldr="1"/>
      <dgm:spPr/>
      <dgm:t>
        <a:bodyPr/>
        <a:lstStyle/>
        <a:p>
          <a:endParaRPr lang="es-ES"/>
        </a:p>
      </dgm:t>
    </dgm:pt>
    <dgm:pt modelId="{A1F22F06-6E65-4BAD-B959-97958BF5B6A2}">
      <dgm:prSet custT="1"/>
      <dgm:spPr/>
      <dgm:t>
        <a:bodyPr/>
        <a:lstStyle/>
        <a:p>
          <a:pPr algn="ctr"/>
          <a:r>
            <a:rPr lang="es-GT" sz="1200" b="1"/>
            <a:t>¿Qué cantidad de ingresos se estima que se obtendrán en 2019?</a:t>
          </a:r>
          <a:endParaRPr lang="es-ES" sz="1200"/>
        </a:p>
      </dgm:t>
    </dgm:pt>
    <dgm:pt modelId="{3CB1BBDD-1354-4960-8EAD-A062D289D15C}" type="parTrans" cxnId="{7B9C31AE-A95B-49F7-9DA0-7E63BB644299}">
      <dgm:prSet/>
      <dgm:spPr/>
      <dgm:t>
        <a:bodyPr/>
        <a:lstStyle/>
        <a:p>
          <a:pPr algn="ctr"/>
          <a:endParaRPr lang="es-ES"/>
        </a:p>
      </dgm:t>
    </dgm:pt>
    <dgm:pt modelId="{2919CA4A-DB69-410F-B9F7-6E98EEB065C2}" type="sibTrans" cxnId="{7B9C31AE-A95B-49F7-9DA0-7E63BB644299}">
      <dgm:prSet/>
      <dgm:spPr/>
      <dgm:t>
        <a:bodyPr/>
        <a:lstStyle/>
        <a:p>
          <a:pPr algn="ctr"/>
          <a:endParaRPr lang="es-ES"/>
        </a:p>
      </dgm:t>
    </dgm:pt>
    <dgm:pt modelId="{C3D102A1-2620-4C5D-A586-FAE8CA53EF5A}">
      <dgm:prSet custT="1"/>
      <dgm:spPr/>
      <dgm:t>
        <a:bodyPr/>
        <a:lstStyle/>
        <a:p>
          <a:pPr algn="ctr"/>
          <a:r>
            <a:rPr lang="es-GT" sz="1200"/>
            <a:t>La mayor parte de recursos  para financiar el presupuesto 2019 se obtendrán de los  “ingresos tributarios” los que se estima cubrirán el 73.0%.</a:t>
          </a:r>
          <a:endParaRPr lang="es-ES" sz="1200"/>
        </a:p>
      </dgm:t>
    </dgm:pt>
    <dgm:pt modelId="{186F47C3-FAA7-4085-A6A0-B966210B3C4F}" type="parTrans" cxnId="{B7C0F32F-B564-4901-B257-4ACBFAE6901F}">
      <dgm:prSet/>
      <dgm:spPr/>
      <dgm:t>
        <a:bodyPr/>
        <a:lstStyle/>
        <a:p>
          <a:pPr algn="ctr"/>
          <a:endParaRPr lang="es-ES"/>
        </a:p>
      </dgm:t>
    </dgm:pt>
    <dgm:pt modelId="{FB652CDA-0A2A-4EB1-A726-3F3B3C367930}" type="sibTrans" cxnId="{B7C0F32F-B564-4901-B257-4ACBFAE6901F}">
      <dgm:prSet/>
      <dgm:spPr/>
      <dgm:t>
        <a:bodyPr/>
        <a:lstStyle/>
        <a:p>
          <a:pPr algn="ctr"/>
          <a:endParaRPr lang="es-ES"/>
        </a:p>
      </dgm:t>
    </dgm:pt>
    <dgm:pt modelId="{0D8C8263-3652-4030-86B4-8E1FCC1FFEE8}">
      <dgm:prSet custT="1"/>
      <dgm:spPr/>
      <dgm:t>
        <a:bodyPr/>
        <a:lstStyle/>
        <a:p>
          <a:pPr algn="ctr"/>
          <a:endParaRPr lang="es-ES" sz="1200">
            <a:solidFill>
              <a:sysClr val="windowText" lastClr="000000"/>
            </a:solidFill>
          </a:endParaRPr>
        </a:p>
      </dgm:t>
    </dgm:pt>
    <dgm:pt modelId="{C294EE76-C6CD-403F-8A3A-54FDC701A07E}" type="parTrans" cxnId="{C023D8FB-71D4-4026-8586-CFADC28F2AF4}">
      <dgm:prSet/>
      <dgm:spPr/>
      <dgm:t>
        <a:bodyPr/>
        <a:lstStyle/>
        <a:p>
          <a:pPr algn="ctr"/>
          <a:endParaRPr lang="es-ES"/>
        </a:p>
      </dgm:t>
    </dgm:pt>
    <dgm:pt modelId="{4BD45C72-79C4-49D7-9A94-A8BF680FF42B}" type="sibTrans" cxnId="{C023D8FB-71D4-4026-8586-CFADC28F2AF4}">
      <dgm:prSet/>
      <dgm:spPr/>
      <dgm:t>
        <a:bodyPr/>
        <a:lstStyle/>
        <a:p>
          <a:pPr algn="ctr"/>
          <a:endParaRPr lang="es-ES"/>
        </a:p>
      </dgm:t>
    </dgm:pt>
    <dgm:pt modelId="{AC172BD4-D41B-4D76-97E4-5C42A92E8FEA}">
      <dgm:prSet/>
      <dgm:spPr>
        <a:blipFill rotWithShape="0">
          <a:blip xmlns:r="http://schemas.openxmlformats.org/officeDocument/2006/relationships" r:embed="rId1"/>
          <a:stretch>
            <a:fillRect/>
          </a:stretch>
        </a:blipFill>
      </dgm:spPr>
      <dgm:t>
        <a:bodyPr/>
        <a:lstStyle/>
        <a:p>
          <a:pPr algn="ctr"/>
          <a:endParaRPr lang="es-ES">
            <a:solidFill>
              <a:sysClr val="windowText" lastClr="000000"/>
            </a:solidFill>
          </a:endParaRPr>
        </a:p>
      </dgm:t>
    </dgm:pt>
    <dgm:pt modelId="{4A4575B3-4BB7-4932-9577-6089CFF32BE4}" type="sibTrans" cxnId="{DE43E19C-68DE-4256-95A9-24D4C34F7CA2}">
      <dgm:prSet/>
      <dgm:spPr/>
      <dgm:t>
        <a:bodyPr/>
        <a:lstStyle/>
        <a:p>
          <a:pPr algn="ctr"/>
          <a:endParaRPr lang="es-ES"/>
        </a:p>
      </dgm:t>
    </dgm:pt>
    <dgm:pt modelId="{530DF4FA-DADF-4E0D-84FA-858EB86E5711}" type="parTrans" cxnId="{DE43E19C-68DE-4256-95A9-24D4C34F7CA2}">
      <dgm:prSet/>
      <dgm:spPr/>
      <dgm:t>
        <a:bodyPr/>
        <a:lstStyle/>
        <a:p>
          <a:pPr algn="ctr"/>
          <a:endParaRPr lang="es-ES"/>
        </a:p>
      </dgm:t>
    </dgm:pt>
    <dgm:pt modelId="{A63012AD-4DBD-4FF3-8843-D5FC2F9EFC70}" type="pres">
      <dgm:prSet presAssocID="{960FC68D-694B-442A-9F55-00D22830D15D}" presName="Name0" presStyleCnt="0">
        <dgm:presLayoutVars>
          <dgm:dir/>
          <dgm:animLvl val="lvl"/>
          <dgm:resizeHandles/>
        </dgm:presLayoutVars>
      </dgm:prSet>
      <dgm:spPr/>
      <dgm:t>
        <a:bodyPr/>
        <a:lstStyle/>
        <a:p>
          <a:endParaRPr lang="es-ES"/>
        </a:p>
      </dgm:t>
    </dgm:pt>
    <dgm:pt modelId="{DC7D5760-5065-49BA-8084-38B5E5B6A09C}" type="pres">
      <dgm:prSet presAssocID="{A1F22F06-6E65-4BAD-B959-97958BF5B6A2}" presName="linNode" presStyleCnt="0"/>
      <dgm:spPr/>
      <dgm:t>
        <a:bodyPr/>
        <a:lstStyle/>
        <a:p>
          <a:endParaRPr lang="es-GT"/>
        </a:p>
      </dgm:t>
    </dgm:pt>
    <dgm:pt modelId="{D69FA060-BE1A-4E5D-AFF7-D800FD349849}" type="pres">
      <dgm:prSet presAssocID="{A1F22F06-6E65-4BAD-B959-97958BF5B6A2}" presName="parentShp" presStyleLbl="node1" presStyleIdx="0" presStyleCnt="2" custScaleX="68065" custScaleY="2000000" custLinFactNeighborX="12361" custLinFactNeighborY="-385">
        <dgm:presLayoutVars>
          <dgm:bulletEnabled val="1"/>
        </dgm:presLayoutVars>
      </dgm:prSet>
      <dgm:spPr>
        <a:prstGeom prst="wedgeEllipseCallout">
          <a:avLst/>
        </a:prstGeom>
      </dgm:spPr>
      <dgm:t>
        <a:bodyPr/>
        <a:lstStyle/>
        <a:p>
          <a:endParaRPr lang="es-ES"/>
        </a:p>
      </dgm:t>
    </dgm:pt>
    <dgm:pt modelId="{6AA2D6FD-4103-4C7F-A3F0-DFC54E132BA3}" type="pres">
      <dgm:prSet presAssocID="{A1F22F06-6E65-4BAD-B959-97958BF5B6A2}" presName="childShp" presStyleLbl="bgAccFollowNode1" presStyleIdx="0" presStyleCnt="2" custAng="0" custScaleX="100893" custScaleY="2000000" custLinFactY="500000" custLinFactNeighborX="26163" custLinFactNeighborY="557400">
        <dgm:presLayoutVars>
          <dgm:bulletEnabled val="1"/>
        </dgm:presLayoutVars>
      </dgm:prSet>
      <dgm:spPr>
        <a:prstGeom prst="ellipse">
          <a:avLst/>
        </a:prstGeom>
      </dgm:spPr>
      <dgm:t>
        <a:bodyPr/>
        <a:lstStyle/>
        <a:p>
          <a:endParaRPr lang="es-ES"/>
        </a:p>
      </dgm:t>
    </dgm:pt>
    <dgm:pt modelId="{92218A1F-E17B-47E0-8D20-5C9C3315C5C5}" type="pres">
      <dgm:prSet presAssocID="{2919CA4A-DB69-410F-B9F7-6E98EEB065C2}" presName="spacing" presStyleCnt="0"/>
      <dgm:spPr/>
      <dgm:t>
        <a:bodyPr/>
        <a:lstStyle/>
        <a:p>
          <a:endParaRPr lang="es-GT"/>
        </a:p>
      </dgm:t>
    </dgm:pt>
    <dgm:pt modelId="{FE05B549-8F9E-423C-9191-E6756548D639}" type="pres">
      <dgm:prSet presAssocID="{AC172BD4-D41B-4D76-97E4-5C42A92E8FEA}" presName="linNode" presStyleCnt="0"/>
      <dgm:spPr/>
      <dgm:t>
        <a:bodyPr/>
        <a:lstStyle/>
        <a:p>
          <a:endParaRPr lang="es-GT"/>
        </a:p>
      </dgm:t>
    </dgm:pt>
    <dgm:pt modelId="{0FCA85C0-3A40-4A15-BD90-05934940E709}" type="pres">
      <dgm:prSet presAssocID="{AC172BD4-D41B-4D76-97E4-5C42A92E8FEA}" presName="parentShp" presStyleLbl="node1" presStyleIdx="1" presStyleCnt="2" custScaleX="45298" custScaleY="2000000" custLinFactY="-156737" custLinFactNeighborX="-65798" custLinFactNeighborY="-200000">
        <dgm:presLayoutVars>
          <dgm:bulletEnabled val="1"/>
        </dgm:presLayoutVars>
      </dgm:prSet>
      <dgm:spPr/>
      <dgm:t>
        <a:bodyPr/>
        <a:lstStyle/>
        <a:p>
          <a:endParaRPr lang="es-ES"/>
        </a:p>
      </dgm:t>
    </dgm:pt>
    <dgm:pt modelId="{6176FAA9-BADA-4BF0-AA67-B83A0B789406}" type="pres">
      <dgm:prSet presAssocID="{AC172BD4-D41B-4D76-97E4-5C42A92E8FEA}" presName="childShp" presStyleLbl="bgAccFollowNode1" presStyleIdx="1" presStyleCnt="2" custAng="21411252" custFlipVert="0" custFlipHor="0" custScaleX="1415" custScaleY="90144" custLinFactY="-1331272" custLinFactNeighborX="85870" custLinFactNeighborY="-1400000">
        <dgm:presLayoutVars>
          <dgm:bulletEnabled val="1"/>
        </dgm:presLayoutVars>
      </dgm:prSet>
      <dgm:spPr/>
      <dgm:t>
        <a:bodyPr/>
        <a:lstStyle/>
        <a:p>
          <a:endParaRPr lang="es-ES"/>
        </a:p>
      </dgm:t>
    </dgm:pt>
  </dgm:ptLst>
  <dgm:cxnLst>
    <dgm:cxn modelId="{C023D8FB-71D4-4026-8586-CFADC28F2AF4}" srcId="{A1F22F06-6E65-4BAD-B959-97958BF5B6A2}" destId="{0D8C8263-3652-4030-86B4-8E1FCC1FFEE8}" srcOrd="1" destOrd="0" parTransId="{C294EE76-C6CD-403F-8A3A-54FDC701A07E}" sibTransId="{4BD45C72-79C4-49D7-9A94-A8BF680FF42B}"/>
    <dgm:cxn modelId="{580FC375-C376-45AD-B480-3C21A269CB17}" type="presOf" srcId="{960FC68D-694B-442A-9F55-00D22830D15D}" destId="{A63012AD-4DBD-4FF3-8843-D5FC2F9EFC70}" srcOrd="0" destOrd="0" presId="urn:microsoft.com/office/officeart/2005/8/layout/vList6"/>
    <dgm:cxn modelId="{4F8A2213-47EC-4352-9BA4-53E9258FF4E9}" type="presOf" srcId="{C3D102A1-2620-4C5D-A586-FAE8CA53EF5A}" destId="{6AA2D6FD-4103-4C7F-A3F0-DFC54E132BA3}" srcOrd="0" destOrd="0" presId="urn:microsoft.com/office/officeart/2005/8/layout/vList6"/>
    <dgm:cxn modelId="{B7C0F32F-B564-4901-B257-4ACBFAE6901F}" srcId="{A1F22F06-6E65-4BAD-B959-97958BF5B6A2}" destId="{C3D102A1-2620-4C5D-A586-FAE8CA53EF5A}" srcOrd="0" destOrd="0" parTransId="{186F47C3-FAA7-4085-A6A0-B966210B3C4F}" sibTransId="{FB652CDA-0A2A-4EB1-A726-3F3B3C367930}"/>
    <dgm:cxn modelId="{DE43E19C-68DE-4256-95A9-24D4C34F7CA2}" srcId="{960FC68D-694B-442A-9F55-00D22830D15D}" destId="{AC172BD4-D41B-4D76-97E4-5C42A92E8FEA}" srcOrd="1" destOrd="0" parTransId="{530DF4FA-DADF-4E0D-84FA-858EB86E5711}" sibTransId="{4A4575B3-4BB7-4932-9577-6089CFF32BE4}"/>
    <dgm:cxn modelId="{621FBC30-3808-429B-A70E-DEE499381901}" type="presOf" srcId="{AC172BD4-D41B-4D76-97E4-5C42A92E8FEA}" destId="{0FCA85C0-3A40-4A15-BD90-05934940E709}" srcOrd="0" destOrd="0" presId="urn:microsoft.com/office/officeart/2005/8/layout/vList6"/>
    <dgm:cxn modelId="{15BB7C0D-D3B7-4765-8E2C-C251A61013D3}" type="presOf" srcId="{0D8C8263-3652-4030-86B4-8E1FCC1FFEE8}" destId="{6AA2D6FD-4103-4C7F-A3F0-DFC54E132BA3}" srcOrd="0" destOrd="1" presId="urn:microsoft.com/office/officeart/2005/8/layout/vList6"/>
    <dgm:cxn modelId="{7B9C31AE-A95B-49F7-9DA0-7E63BB644299}" srcId="{960FC68D-694B-442A-9F55-00D22830D15D}" destId="{A1F22F06-6E65-4BAD-B959-97958BF5B6A2}" srcOrd="0" destOrd="0" parTransId="{3CB1BBDD-1354-4960-8EAD-A062D289D15C}" sibTransId="{2919CA4A-DB69-410F-B9F7-6E98EEB065C2}"/>
    <dgm:cxn modelId="{85FA9237-5919-4724-B417-E245D6BCDC66}" type="presOf" srcId="{A1F22F06-6E65-4BAD-B959-97958BF5B6A2}" destId="{D69FA060-BE1A-4E5D-AFF7-D800FD349849}" srcOrd="0" destOrd="0" presId="urn:microsoft.com/office/officeart/2005/8/layout/vList6"/>
    <dgm:cxn modelId="{8E0F02B0-37CE-409A-B84D-B83D2E3DD04B}" type="presParOf" srcId="{A63012AD-4DBD-4FF3-8843-D5FC2F9EFC70}" destId="{DC7D5760-5065-49BA-8084-38B5E5B6A09C}" srcOrd="0" destOrd="0" presId="urn:microsoft.com/office/officeart/2005/8/layout/vList6"/>
    <dgm:cxn modelId="{772D552B-66E4-46F9-9018-522896972D47}" type="presParOf" srcId="{DC7D5760-5065-49BA-8084-38B5E5B6A09C}" destId="{D69FA060-BE1A-4E5D-AFF7-D800FD349849}" srcOrd="0" destOrd="0" presId="urn:microsoft.com/office/officeart/2005/8/layout/vList6"/>
    <dgm:cxn modelId="{9757572A-9686-4237-872F-085516A206C7}" type="presParOf" srcId="{DC7D5760-5065-49BA-8084-38B5E5B6A09C}" destId="{6AA2D6FD-4103-4C7F-A3F0-DFC54E132BA3}" srcOrd="1" destOrd="0" presId="urn:microsoft.com/office/officeart/2005/8/layout/vList6"/>
    <dgm:cxn modelId="{78E01096-7ACE-4C20-ACFA-A2209F09BA0A}" type="presParOf" srcId="{A63012AD-4DBD-4FF3-8843-D5FC2F9EFC70}" destId="{92218A1F-E17B-47E0-8D20-5C9C3315C5C5}" srcOrd="1" destOrd="0" presId="urn:microsoft.com/office/officeart/2005/8/layout/vList6"/>
    <dgm:cxn modelId="{03EDC411-EAA9-4935-B138-F843356741B9}" type="presParOf" srcId="{A63012AD-4DBD-4FF3-8843-D5FC2F9EFC70}" destId="{FE05B549-8F9E-423C-9191-E6756548D639}" srcOrd="2" destOrd="0" presId="urn:microsoft.com/office/officeart/2005/8/layout/vList6"/>
    <dgm:cxn modelId="{F5A42605-640E-4B1D-BBE2-2701DDD34BB9}" type="presParOf" srcId="{FE05B549-8F9E-423C-9191-E6756548D639}" destId="{0FCA85C0-3A40-4A15-BD90-05934940E709}" srcOrd="0" destOrd="0" presId="urn:microsoft.com/office/officeart/2005/8/layout/vList6"/>
    <dgm:cxn modelId="{4BA878CD-0624-40F3-AE4C-0C70176D8068}" type="presParOf" srcId="{FE05B549-8F9E-423C-9191-E6756548D639}" destId="{6176FAA9-BADA-4BF0-AA67-B83A0B789406}" srcOrd="1" destOrd="0" presId="urn:microsoft.com/office/officeart/2005/8/layout/vList6"/>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6ADF556-DFA4-4A14-B3D7-CEA4779C0760}" type="doc">
      <dgm:prSet loTypeId="urn:microsoft.com/office/officeart/2005/8/layout/hList6" loCatId="list" qsTypeId="urn:microsoft.com/office/officeart/2005/8/quickstyle/simple3" qsCatId="simple" csTypeId="urn:microsoft.com/office/officeart/2005/8/colors/accent0_1" csCatId="mainScheme" phldr="1"/>
      <dgm:spPr/>
      <dgm:t>
        <a:bodyPr/>
        <a:lstStyle/>
        <a:p>
          <a:endParaRPr lang="es-ES"/>
        </a:p>
      </dgm:t>
    </dgm:pt>
    <dgm:pt modelId="{891A654B-5F7D-4B47-A2B8-2C52ADBD2D2A}">
      <dgm:prSet phldrT="[Texto]" custT="1"/>
      <dgm:spPr>
        <a:blipFill rotWithShape="0">
          <a:blip xmlns:r="http://schemas.openxmlformats.org/officeDocument/2006/relationships" r:embed="rId1"/>
          <a:stretch>
            <a:fillRect/>
          </a:stretch>
        </a:blipFill>
      </dgm:spPr>
      <dgm:t>
        <a:bodyPr/>
        <a:lstStyle/>
        <a:p>
          <a:endParaRPr lang="es-ES" sz="1400">
            <a:solidFill>
              <a:sysClr val="windowText" lastClr="000000"/>
            </a:solidFill>
          </a:endParaRPr>
        </a:p>
      </dgm:t>
    </dgm:pt>
    <dgm:pt modelId="{56F450CD-DA22-4297-AB0C-A8A89C26FA4B}" type="parTrans" cxnId="{71F5C09E-AD0F-4582-A174-7B8EDEB62757}">
      <dgm:prSet/>
      <dgm:spPr/>
      <dgm:t>
        <a:bodyPr/>
        <a:lstStyle/>
        <a:p>
          <a:endParaRPr lang="es-ES"/>
        </a:p>
      </dgm:t>
    </dgm:pt>
    <dgm:pt modelId="{1BD34992-DB55-45F9-B912-3569D1EF37A4}" type="sibTrans" cxnId="{71F5C09E-AD0F-4582-A174-7B8EDEB62757}">
      <dgm:prSet/>
      <dgm:spPr/>
      <dgm:t>
        <a:bodyPr/>
        <a:lstStyle/>
        <a:p>
          <a:endParaRPr lang="es-ES"/>
        </a:p>
      </dgm:t>
    </dgm:pt>
    <dgm:pt modelId="{AAF8A3A3-21EB-4F7B-B34A-D43ACE6CF9C7}">
      <dgm:prSet phldrT="[Texto]" custT="1"/>
      <dgm:spPr/>
      <dgm:t>
        <a:bodyPr/>
        <a:lstStyle/>
        <a:p>
          <a:pPr algn="l"/>
          <a:r>
            <a:rPr lang="es-GT" sz="1200" b="1"/>
            <a:t>De forma global:</a:t>
          </a:r>
        </a:p>
        <a:p>
          <a:pPr algn="l"/>
          <a:endParaRPr lang="es-GT" sz="1200" b="1"/>
        </a:p>
        <a:p>
          <a:pPr algn="l"/>
          <a:r>
            <a:rPr lang="es-GT" sz="1200" b="1"/>
            <a:t>¿Cómo se integra el Presupuesto de egresos para 2019?</a:t>
          </a:r>
        </a:p>
        <a:p>
          <a:pPr algn="ctr"/>
          <a:endParaRPr lang="es-ES" sz="1200"/>
        </a:p>
        <a:p>
          <a:pPr algn="ctr"/>
          <a:endParaRPr lang="es-ES" sz="1200"/>
        </a:p>
        <a:p>
          <a:pPr algn="ctr"/>
          <a:r>
            <a:rPr lang="es-GT" sz="1200" b="1"/>
            <a:t>Puedes ver la gráfica anterior y la siguiente</a:t>
          </a:r>
          <a:r>
            <a:rPr lang="es-GT" sz="700" b="1"/>
            <a:t>.</a:t>
          </a:r>
          <a:endParaRPr lang="es-ES" sz="700"/>
        </a:p>
      </dgm:t>
    </dgm:pt>
    <dgm:pt modelId="{7E3A2A81-4A40-4063-BB71-0CC254501102}" type="parTrans" cxnId="{9710775A-4703-4EC5-82C9-BF84EFF5B105}">
      <dgm:prSet/>
      <dgm:spPr/>
      <dgm:t>
        <a:bodyPr/>
        <a:lstStyle/>
        <a:p>
          <a:endParaRPr lang="es-ES"/>
        </a:p>
      </dgm:t>
    </dgm:pt>
    <dgm:pt modelId="{3A948B7B-BE78-4508-87D6-3913905E2BED}" type="sibTrans" cxnId="{9710775A-4703-4EC5-82C9-BF84EFF5B105}">
      <dgm:prSet/>
      <dgm:spPr/>
      <dgm:t>
        <a:bodyPr/>
        <a:lstStyle/>
        <a:p>
          <a:endParaRPr lang="es-ES"/>
        </a:p>
      </dgm:t>
    </dgm:pt>
    <dgm:pt modelId="{E5B8F81A-02A1-4D61-80D0-2DE9CBB07A25}">
      <dgm:prSet phldrT="[Texto]" custT="1"/>
      <dgm:spPr/>
      <dgm:t>
        <a:bodyPr/>
        <a:lstStyle/>
        <a:p>
          <a:pPr algn="l"/>
          <a:r>
            <a:rPr lang="es-GT" sz="1200"/>
            <a:t>De forma global el tipo de gasto de “Funcionamiento” absorbe la mayor parte de recursos. Esto es así, porque el 34.4% del total se asigna al “gasto en desarrollo humano” que es el que permite ampliar la cobertura de los servicios públicos de educación a través del pago de maestros, útiles escolares, valija didáctica, refacción escolar; también permite realizar la prestación de los servicios de salud mediante el pago de médicos, enfermeros, medicamentos, y los servicios de seguridad en los que se paga la contratación de los agentes de seguridad, adquisición de armas y municiones, entre otros.</a:t>
          </a:r>
          <a:endParaRPr lang="es-ES" sz="1200"/>
        </a:p>
        <a:p>
          <a:pPr algn="l"/>
          <a:r>
            <a:rPr lang="es-GT" sz="1200"/>
            <a:t>Los gastos de administración que apoyan los programas de las instituciones representan el 9.8%, las transferencias corrientes un 22.0%.</a:t>
          </a:r>
          <a:endParaRPr lang="es-ES" sz="1200"/>
        </a:p>
        <a:p>
          <a:pPr algn="l"/>
          <a:r>
            <a:rPr lang="es-GT" sz="1200"/>
            <a:t>A inversión le corresponde un 18.5% y a la deuda pública el restante 15.3%.</a:t>
          </a:r>
          <a:endParaRPr lang="es-ES" sz="1200"/>
        </a:p>
      </dgm:t>
    </dgm:pt>
    <dgm:pt modelId="{D01F8DE8-2E77-4A75-89BC-A5242BF5F2EA}" type="parTrans" cxnId="{7F361CD6-824A-416A-AFB6-3BA905E66233}">
      <dgm:prSet/>
      <dgm:spPr/>
      <dgm:t>
        <a:bodyPr/>
        <a:lstStyle/>
        <a:p>
          <a:endParaRPr lang="es-ES"/>
        </a:p>
      </dgm:t>
    </dgm:pt>
    <dgm:pt modelId="{F907767B-D3DE-4D96-A7B4-910C5E2876F3}" type="sibTrans" cxnId="{7F361CD6-824A-416A-AFB6-3BA905E66233}">
      <dgm:prSet/>
      <dgm:spPr/>
      <dgm:t>
        <a:bodyPr/>
        <a:lstStyle/>
        <a:p>
          <a:endParaRPr lang="es-ES"/>
        </a:p>
      </dgm:t>
    </dgm:pt>
    <dgm:pt modelId="{E5916739-5D5F-46E5-BD34-AABDE8782C6C}" type="pres">
      <dgm:prSet presAssocID="{C6ADF556-DFA4-4A14-B3D7-CEA4779C0760}" presName="Name0" presStyleCnt="0">
        <dgm:presLayoutVars>
          <dgm:dir/>
          <dgm:resizeHandles val="exact"/>
        </dgm:presLayoutVars>
      </dgm:prSet>
      <dgm:spPr/>
      <dgm:t>
        <a:bodyPr/>
        <a:lstStyle/>
        <a:p>
          <a:endParaRPr lang="es-ES"/>
        </a:p>
      </dgm:t>
    </dgm:pt>
    <dgm:pt modelId="{4123A9A6-33C0-49D2-89F6-9C8D60F64A52}" type="pres">
      <dgm:prSet presAssocID="{891A654B-5F7D-4B47-A2B8-2C52ADBD2D2A}" presName="node" presStyleLbl="node1" presStyleIdx="0" presStyleCnt="3" custScaleX="43558" custScaleY="61602" custLinFactX="71610" custLinFactNeighborX="100000" custLinFactNeighborY="-713">
        <dgm:presLayoutVars>
          <dgm:bulletEnabled val="1"/>
        </dgm:presLayoutVars>
      </dgm:prSet>
      <dgm:spPr/>
      <dgm:t>
        <a:bodyPr/>
        <a:lstStyle/>
        <a:p>
          <a:endParaRPr lang="es-ES"/>
        </a:p>
      </dgm:t>
    </dgm:pt>
    <dgm:pt modelId="{305BE0EA-1A07-418F-A0EE-9E208D0D11C4}" type="pres">
      <dgm:prSet presAssocID="{1BD34992-DB55-45F9-B912-3569D1EF37A4}" presName="sibTrans" presStyleCnt="0"/>
      <dgm:spPr/>
      <dgm:t>
        <a:bodyPr/>
        <a:lstStyle/>
        <a:p>
          <a:endParaRPr lang="es-GT"/>
        </a:p>
      </dgm:t>
    </dgm:pt>
    <dgm:pt modelId="{E05F37E9-328F-4BC6-A690-8F1A41BAF425}" type="pres">
      <dgm:prSet presAssocID="{AAF8A3A3-21EB-4F7B-B34A-D43ACE6CF9C7}" presName="node" presStyleLbl="node1" presStyleIdx="1" presStyleCnt="3" custScaleX="67468" custLinFactX="-35721" custLinFactNeighborX="-100000">
        <dgm:presLayoutVars>
          <dgm:bulletEnabled val="1"/>
        </dgm:presLayoutVars>
      </dgm:prSet>
      <dgm:spPr/>
      <dgm:t>
        <a:bodyPr/>
        <a:lstStyle/>
        <a:p>
          <a:endParaRPr lang="es-ES"/>
        </a:p>
      </dgm:t>
    </dgm:pt>
    <dgm:pt modelId="{E173770B-AF22-46FC-AEE4-004820ABAA88}" type="pres">
      <dgm:prSet presAssocID="{3A948B7B-BE78-4508-87D6-3913905E2BED}" presName="sibTrans" presStyleCnt="0"/>
      <dgm:spPr/>
      <dgm:t>
        <a:bodyPr/>
        <a:lstStyle/>
        <a:p>
          <a:endParaRPr lang="es-GT"/>
        </a:p>
      </dgm:t>
    </dgm:pt>
    <dgm:pt modelId="{0944A078-F751-44CF-A7C6-A448C9BF1DCC}" type="pres">
      <dgm:prSet presAssocID="{E5B8F81A-02A1-4D61-80D0-2DE9CBB07A25}" presName="node" presStyleLbl="node1" presStyleIdx="2" presStyleCnt="3" custScaleX="206909" custLinFactNeighborX="489" custLinFactNeighborY="0">
        <dgm:presLayoutVars>
          <dgm:bulletEnabled val="1"/>
        </dgm:presLayoutVars>
      </dgm:prSet>
      <dgm:spPr/>
      <dgm:t>
        <a:bodyPr/>
        <a:lstStyle/>
        <a:p>
          <a:endParaRPr lang="es-ES"/>
        </a:p>
      </dgm:t>
    </dgm:pt>
  </dgm:ptLst>
  <dgm:cxnLst>
    <dgm:cxn modelId="{FF9C928F-9142-4A11-B475-BEAD699D169F}" type="presOf" srcId="{C6ADF556-DFA4-4A14-B3D7-CEA4779C0760}" destId="{E5916739-5D5F-46E5-BD34-AABDE8782C6C}" srcOrd="0" destOrd="0" presId="urn:microsoft.com/office/officeart/2005/8/layout/hList6"/>
    <dgm:cxn modelId="{12F7FF54-89DE-4BA0-80AE-E30EAF08E1D9}" type="presOf" srcId="{E5B8F81A-02A1-4D61-80D0-2DE9CBB07A25}" destId="{0944A078-F751-44CF-A7C6-A448C9BF1DCC}" srcOrd="0" destOrd="0" presId="urn:microsoft.com/office/officeart/2005/8/layout/hList6"/>
    <dgm:cxn modelId="{2FE2415F-3742-4619-BAA3-440F8482B3DF}" type="presOf" srcId="{891A654B-5F7D-4B47-A2B8-2C52ADBD2D2A}" destId="{4123A9A6-33C0-49D2-89F6-9C8D60F64A52}" srcOrd="0" destOrd="0" presId="urn:microsoft.com/office/officeart/2005/8/layout/hList6"/>
    <dgm:cxn modelId="{71F5C09E-AD0F-4582-A174-7B8EDEB62757}" srcId="{C6ADF556-DFA4-4A14-B3D7-CEA4779C0760}" destId="{891A654B-5F7D-4B47-A2B8-2C52ADBD2D2A}" srcOrd="0" destOrd="0" parTransId="{56F450CD-DA22-4297-AB0C-A8A89C26FA4B}" sibTransId="{1BD34992-DB55-45F9-B912-3569D1EF37A4}"/>
    <dgm:cxn modelId="{9710775A-4703-4EC5-82C9-BF84EFF5B105}" srcId="{C6ADF556-DFA4-4A14-B3D7-CEA4779C0760}" destId="{AAF8A3A3-21EB-4F7B-B34A-D43ACE6CF9C7}" srcOrd="1" destOrd="0" parTransId="{7E3A2A81-4A40-4063-BB71-0CC254501102}" sibTransId="{3A948B7B-BE78-4508-87D6-3913905E2BED}"/>
    <dgm:cxn modelId="{336D3D1B-6099-4B49-8FC2-0FC5C716DA71}" type="presOf" srcId="{AAF8A3A3-21EB-4F7B-B34A-D43ACE6CF9C7}" destId="{E05F37E9-328F-4BC6-A690-8F1A41BAF425}" srcOrd="0" destOrd="0" presId="urn:microsoft.com/office/officeart/2005/8/layout/hList6"/>
    <dgm:cxn modelId="{7F361CD6-824A-416A-AFB6-3BA905E66233}" srcId="{C6ADF556-DFA4-4A14-B3D7-CEA4779C0760}" destId="{E5B8F81A-02A1-4D61-80D0-2DE9CBB07A25}" srcOrd="2" destOrd="0" parTransId="{D01F8DE8-2E77-4A75-89BC-A5242BF5F2EA}" sibTransId="{F907767B-D3DE-4D96-A7B4-910C5E2876F3}"/>
    <dgm:cxn modelId="{044724B6-92BC-47A3-9AA8-B2FA063D34EF}" type="presParOf" srcId="{E5916739-5D5F-46E5-BD34-AABDE8782C6C}" destId="{4123A9A6-33C0-49D2-89F6-9C8D60F64A52}" srcOrd="0" destOrd="0" presId="urn:microsoft.com/office/officeart/2005/8/layout/hList6"/>
    <dgm:cxn modelId="{15E863D5-EA52-42C3-8AA2-F21EF3DD8E84}" type="presParOf" srcId="{E5916739-5D5F-46E5-BD34-AABDE8782C6C}" destId="{305BE0EA-1A07-418F-A0EE-9E208D0D11C4}" srcOrd="1" destOrd="0" presId="urn:microsoft.com/office/officeart/2005/8/layout/hList6"/>
    <dgm:cxn modelId="{78993746-4979-4F3C-A0F8-15F9EB788E74}" type="presParOf" srcId="{E5916739-5D5F-46E5-BD34-AABDE8782C6C}" destId="{E05F37E9-328F-4BC6-A690-8F1A41BAF425}" srcOrd="2" destOrd="0" presId="urn:microsoft.com/office/officeart/2005/8/layout/hList6"/>
    <dgm:cxn modelId="{D340BC8A-FE6B-473A-A033-40E60E6B83D0}" type="presParOf" srcId="{E5916739-5D5F-46E5-BD34-AABDE8782C6C}" destId="{E173770B-AF22-46FC-AEE4-004820ABAA88}" srcOrd="3" destOrd="0" presId="urn:microsoft.com/office/officeart/2005/8/layout/hList6"/>
    <dgm:cxn modelId="{71D25711-4FBE-4EC6-BCA0-268499DD5D2F}" type="presParOf" srcId="{E5916739-5D5F-46E5-BD34-AABDE8782C6C}" destId="{0944A078-F751-44CF-A7C6-A448C9BF1DCC}" srcOrd="4" destOrd="0" presId="urn:microsoft.com/office/officeart/2005/8/layout/hList6"/>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2E98356-2FFC-4BD2-91B1-5BDD21CCE8D0}" type="doc">
      <dgm:prSet loTypeId="urn:microsoft.com/office/officeart/2005/8/layout/pList1#1" loCatId="list" qsTypeId="urn:microsoft.com/office/officeart/2005/8/quickstyle/simple1" qsCatId="simple" csTypeId="urn:microsoft.com/office/officeart/2005/8/colors/colorful1#4" csCatId="colorful" phldr="1"/>
      <dgm:spPr/>
      <dgm:t>
        <a:bodyPr/>
        <a:lstStyle/>
        <a:p>
          <a:endParaRPr lang="es-ES"/>
        </a:p>
      </dgm:t>
    </dgm:pt>
    <dgm:pt modelId="{28B1CAAA-0D2A-48F3-8A65-E565C9C7DFA3}">
      <dgm:prSet phldrT="[Texto]" custT="1"/>
      <dgm:spPr/>
      <dgm:t>
        <a:bodyPr/>
        <a:lstStyle/>
        <a:p>
          <a:pPr algn="l"/>
          <a:r>
            <a:rPr lang="es-GT" sz="1050" b="0">
              <a:solidFill>
                <a:sysClr val="windowText" lastClr="000000"/>
              </a:solidFill>
              <a:latin typeface="Arial" pitchFamily="34" charset="0"/>
              <a:cs typeface="Arial" pitchFamily="34" charset="0"/>
            </a:rPr>
            <a:t>¿A qué instituciones se le otorgan mayores recursos en el presupuesto 2019?</a:t>
          </a:r>
          <a:endParaRPr lang="es-ES" sz="1050" b="0">
            <a:solidFill>
              <a:sysClr val="windowText" lastClr="000000"/>
            </a:solidFill>
            <a:latin typeface="Arial" pitchFamily="34" charset="0"/>
            <a:cs typeface="Arial" pitchFamily="34" charset="0"/>
          </a:endParaRPr>
        </a:p>
      </dgm:t>
    </dgm:pt>
    <dgm:pt modelId="{12FDBF2A-31D2-43BE-AA83-24E60B7A4FC7}" type="parTrans" cxnId="{48D1D7FF-8010-48B6-B9F6-B61BEF2D7914}">
      <dgm:prSet/>
      <dgm:spPr/>
      <dgm:t>
        <a:bodyPr/>
        <a:lstStyle/>
        <a:p>
          <a:endParaRPr lang="es-ES"/>
        </a:p>
      </dgm:t>
    </dgm:pt>
    <dgm:pt modelId="{20E74892-D127-4AEF-9C81-981B8725676E}" type="sibTrans" cxnId="{48D1D7FF-8010-48B6-B9F6-B61BEF2D7914}">
      <dgm:prSet/>
      <dgm:spPr/>
      <dgm:t>
        <a:bodyPr/>
        <a:lstStyle/>
        <a:p>
          <a:endParaRPr lang="es-ES"/>
        </a:p>
      </dgm:t>
    </dgm:pt>
    <dgm:pt modelId="{F280764F-1DDD-437E-AAB5-C8B6BC521F51}">
      <dgm:prSet phldrT="[Texto]" custT="1"/>
      <dgm:spPr/>
      <dgm:t>
        <a:bodyPr/>
        <a:lstStyle/>
        <a:p>
          <a:pPr algn="just"/>
          <a:r>
            <a:rPr lang="es-GT" sz="1100">
              <a:latin typeface="Arial" pitchFamily="34" charset="0"/>
              <a:cs typeface="Arial" pitchFamily="34" charset="0"/>
            </a:rPr>
            <a:t>Como se puede apreciar en el cuadro anterior y  gráfica siguientes, Obligaciones del Estado a cargo del Tesoro cuenta con mayores recursos derivado del cumplimiento que el presupuesto debe dar a los preceptos constitucionales y de otras leyes ordinarias, en cuanto a destinar porcentajes preestablecidos hacia ciertos fines. </a:t>
          </a:r>
        </a:p>
        <a:p>
          <a:pPr algn="just"/>
          <a:endParaRPr lang="es-ES" sz="1100">
            <a:latin typeface="Arial" pitchFamily="34" charset="0"/>
            <a:cs typeface="Arial" pitchFamily="34" charset="0"/>
          </a:endParaRPr>
        </a:p>
        <a:p>
          <a:pPr algn="just"/>
          <a:r>
            <a:rPr lang="es-GT" sz="1100">
              <a:latin typeface="Arial" pitchFamily="34" charset="0"/>
              <a:cs typeface="Arial" pitchFamily="34" charset="0"/>
            </a:rPr>
            <a:t>En segundo término se apoya al Ministerio de Educación, Ministerio de Salud Pública y Asistencia Social, Ministerio de Gobernación,  Ministerio de Comunicaciones, Infraestructura y Vivienda</a:t>
          </a:r>
          <a:r>
            <a:rPr lang="es-ES" sz="1100">
              <a:latin typeface="Arial" pitchFamily="34" charset="0"/>
              <a:cs typeface="Arial" pitchFamily="34" charset="0"/>
            </a:rPr>
            <a:t>.</a:t>
          </a:r>
        </a:p>
      </dgm:t>
    </dgm:pt>
    <dgm:pt modelId="{D1B82958-45B3-4AE7-8439-E4BC1CCF5ADA}" type="parTrans" cxnId="{C03EB181-A4A1-4C4D-8622-E4C7FD90C949}">
      <dgm:prSet/>
      <dgm:spPr/>
      <dgm:t>
        <a:bodyPr/>
        <a:lstStyle/>
        <a:p>
          <a:endParaRPr lang="es-ES"/>
        </a:p>
      </dgm:t>
    </dgm:pt>
    <dgm:pt modelId="{60ECF35F-ED83-42EB-9EC1-49426FECC5F8}" type="sibTrans" cxnId="{C03EB181-A4A1-4C4D-8622-E4C7FD90C949}">
      <dgm:prSet/>
      <dgm:spPr/>
      <dgm:t>
        <a:bodyPr/>
        <a:lstStyle/>
        <a:p>
          <a:endParaRPr lang="es-ES"/>
        </a:p>
      </dgm:t>
    </dgm:pt>
    <dgm:pt modelId="{6D2AF492-A1E6-4D77-92FD-67E2DB633975}" type="pres">
      <dgm:prSet presAssocID="{A2E98356-2FFC-4BD2-91B1-5BDD21CCE8D0}" presName="Name0" presStyleCnt="0">
        <dgm:presLayoutVars>
          <dgm:dir/>
          <dgm:resizeHandles val="exact"/>
        </dgm:presLayoutVars>
      </dgm:prSet>
      <dgm:spPr/>
      <dgm:t>
        <a:bodyPr/>
        <a:lstStyle/>
        <a:p>
          <a:endParaRPr lang="es-ES"/>
        </a:p>
      </dgm:t>
    </dgm:pt>
    <dgm:pt modelId="{BDA5BFA8-A8D2-4A16-A029-BD4F3FDFFAC0}" type="pres">
      <dgm:prSet presAssocID="{28B1CAAA-0D2A-48F3-8A65-E565C9C7DFA3}" presName="compNode" presStyleCnt="0"/>
      <dgm:spPr/>
    </dgm:pt>
    <dgm:pt modelId="{B903C317-B2BB-477A-BBDC-9BFC7CDD5707}" type="pres">
      <dgm:prSet presAssocID="{28B1CAAA-0D2A-48F3-8A65-E565C9C7DFA3}" presName="pictRect" presStyleLbl="node1" presStyleIdx="0" presStyleCnt="2" custScaleX="84495" custScaleY="100978" custLinFactNeighborX="-351" custLinFactNeighborY="-29116"/>
      <dgm:spPr>
        <a:blipFill rotWithShape="0">
          <a:blip xmlns:r="http://schemas.openxmlformats.org/officeDocument/2006/relationships" r:embed="rId1"/>
          <a:stretch>
            <a:fillRect/>
          </a:stretch>
        </a:blipFill>
      </dgm:spPr>
      <dgm:t>
        <a:bodyPr/>
        <a:lstStyle/>
        <a:p>
          <a:endParaRPr lang="es-ES"/>
        </a:p>
      </dgm:t>
    </dgm:pt>
    <dgm:pt modelId="{F52F8740-42FF-44E3-BB6E-BA4E5BB92EBD}" type="pres">
      <dgm:prSet presAssocID="{28B1CAAA-0D2A-48F3-8A65-E565C9C7DFA3}" presName="textRect" presStyleLbl="revTx" presStyleIdx="0" presStyleCnt="2" custScaleX="126109" custScaleY="113829" custLinFactNeighborX="-5226" custLinFactNeighborY="-12190">
        <dgm:presLayoutVars>
          <dgm:bulletEnabled val="1"/>
        </dgm:presLayoutVars>
      </dgm:prSet>
      <dgm:spPr/>
      <dgm:t>
        <a:bodyPr/>
        <a:lstStyle/>
        <a:p>
          <a:endParaRPr lang="es-ES"/>
        </a:p>
      </dgm:t>
    </dgm:pt>
    <dgm:pt modelId="{C00CFEE6-80C3-4E9C-972D-D5D78F58A193}" type="pres">
      <dgm:prSet presAssocID="{20E74892-D127-4AEF-9C81-981B8725676E}" presName="sibTrans" presStyleLbl="sibTrans2D1" presStyleIdx="0" presStyleCnt="0"/>
      <dgm:spPr/>
      <dgm:t>
        <a:bodyPr/>
        <a:lstStyle/>
        <a:p>
          <a:endParaRPr lang="es-ES"/>
        </a:p>
      </dgm:t>
    </dgm:pt>
    <dgm:pt modelId="{6DB71863-20F3-4234-AC84-45BBE426782F}" type="pres">
      <dgm:prSet presAssocID="{F280764F-1DDD-437E-AAB5-C8B6BC521F51}" presName="compNode" presStyleCnt="0"/>
      <dgm:spPr/>
    </dgm:pt>
    <dgm:pt modelId="{E8CD32A5-5036-4A82-A9CF-232366B2F682}" type="pres">
      <dgm:prSet presAssocID="{F280764F-1DDD-437E-AAB5-C8B6BC521F51}" presName="pictRect" presStyleLbl="node1" presStyleIdx="1" presStyleCnt="2" custAng="18961524" custScaleX="42086" custScaleY="26624" custLinFactX="-65532" custLinFactY="38765" custLinFactNeighborX="-100000" custLinFactNeighborY="100000"/>
      <dgm:spPr>
        <a:blipFill rotWithShape="0">
          <a:blip xmlns:r="http://schemas.openxmlformats.org/officeDocument/2006/relationships" r:embed="rId2"/>
          <a:stretch>
            <a:fillRect/>
          </a:stretch>
        </a:blipFill>
      </dgm:spPr>
      <dgm:t>
        <a:bodyPr/>
        <a:lstStyle/>
        <a:p>
          <a:endParaRPr lang="es-ES"/>
        </a:p>
      </dgm:t>
    </dgm:pt>
    <dgm:pt modelId="{26FC1D83-1E02-4660-B7F9-F4DFC0C25727}" type="pres">
      <dgm:prSet presAssocID="{F280764F-1DDD-437E-AAB5-C8B6BC521F51}" presName="textRect" presStyleLbl="revTx" presStyleIdx="1" presStyleCnt="2" custScaleX="280101" custScaleY="381681" custLinFactNeighborX="-4862" custLinFactNeighborY="-3774">
        <dgm:presLayoutVars>
          <dgm:bulletEnabled val="1"/>
        </dgm:presLayoutVars>
      </dgm:prSet>
      <dgm:spPr/>
      <dgm:t>
        <a:bodyPr/>
        <a:lstStyle/>
        <a:p>
          <a:endParaRPr lang="es-ES"/>
        </a:p>
      </dgm:t>
    </dgm:pt>
  </dgm:ptLst>
  <dgm:cxnLst>
    <dgm:cxn modelId="{EDAD81DE-EA9B-4C98-A4E9-D339BF6CFCDE}" type="presOf" srcId="{20E74892-D127-4AEF-9C81-981B8725676E}" destId="{C00CFEE6-80C3-4E9C-972D-D5D78F58A193}" srcOrd="0" destOrd="0" presId="urn:microsoft.com/office/officeart/2005/8/layout/pList1#1"/>
    <dgm:cxn modelId="{DE5AEFBE-FEE2-4A85-9AE9-5FF941E96F67}" type="presOf" srcId="{28B1CAAA-0D2A-48F3-8A65-E565C9C7DFA3}" destId="{F52F8740-42FF-44E3-BB6E-BA4E5BB92EBD}" srcOrd="0" destOrd="0" presId="urn:microsoft.com/office/officeart/2005/8/layout/pList1#1"/>
    <dgm:cxn modelId="{48D1D7FF-8010-48B6-B9F6-B61BEF2D7914}" srcId="{A2E98356-2FFC-4BD2-91B1-5BDD21CCE8D0}" destId="{28B1CAAA-0D2A-48F3-8A65-E565C9C7DFA3}" srcOrd="0" destOrd="0" parTransId="{12FDBF2A-31D2-43BE-AA83-24E60B7A4FC7}" sibTransId="{20E74892-D127-4AEF-9C81-981B8725676E}"/>
    <dgm:cxn modelId="{1ACEC07F-933C-4E6D-9007-6794A21C3487}" type="presOf" srcId="{F280764F-1DDD-437E-AAB5-C8B6BC521F51}" destId="{26FC1D83-1E02-4660-B7F9-F4DFC0C25727}" srcOrd="0" destOrd="0" presId="urn:microsoft.com/office/officeart/2005/8/layout/pList1#1"/>
    <dgm:cxn modelId="{C03EB181-A4A1-4C4D-8622-E4C7FD90C949}" srcId="{A2E98356-2FFC-4BD2-91B1-5BDD21CCE8D0}" destId="{F280764F-1DDD-437E-AAB5-C8B6BC521F51}" srcOrd="1" destOrd="0" parTransId="{D1B82958-45B3-4AE7-8439-E4BC1CCF5ADA}" sibTransId="{60ECF35F-ED83-42EB-9EC1-49426FECC5F8}"/>
    <dgm:cxn modelId="{C75C1F15-B372-4986-9F80-803D977EFF70}" type="presOf" srcId="{A2E98356-2FFC-4BD2-91B1-5BDD21CCE8D0}" destId="{6D2AF492-A1E6-4D77-92FD-67E2DB633975}" srcOrd="0" destOrd="0" presId="urn:microsoft.com/office/officeart/2005/8/layout/pList1#1"/>
    <dgm:cxn modelId="{E309F2A9-A114-4F3B-ADD2-484FF75A2A9A}" type="presParOf" srcId="{6D2AF492-A1E6-4D77-92FD-67E2DB633975}" destId="{BDA5BFA8-A8D2-4A16-A029-BD4F3FDFFAC0}" srcOrd="0" destOrd="0" presId="urn:microsoft.com/office/officeart/2005/8/layout/pList1#1"/>
    <dgm:cxn modelId="{EF1332EE-0988-45DE-9566-92C6FE42551F}" type="presParOf" srcId="{BDA5BFA8-A8D2-4A16-A029-BD4F3FDFFAC0}" destId="{B903C317-B2BB-477A-BBDC-9BFC7CDD5707}" srcOrd="0" destOrd="0" presId="urn:microsoft.com/office/officeart/2005/8/layout/pList1#1"/>
    <dgm:cxn modelId="{F5651F82-EF3B-4F1D-88F8-D828CFDDB4CC}" type="presParOf" srcId="{BDA5BFA8-A8D2-4A16-A029-BD4F3FDFFAC0}" destId="{F52F8740-42FF-44E3-BB6E-BA4E5BB92EBD}" srcOrd="1" destOrd="0" presId="urn:microsoft.com/office/officeart/2005/8/layout/pList1#1"/>
    <dgm:cxn modelId="{53B8A99D-71BF-45B1-9498-E709D54081F9}" type="presParOf" srcId="{6D2AF492-A1E6-4D77-92FD-67E2DB633975}" destId="{C00CFEE6-80C3-4E9C-972D-D5D78F58A193}" srcOrd="1" destOrd="0" presId="urn:microsoft.com/office/officeart/2005/8/layout/pList1#1"/>
    <dgm:cxn modelId="{032D3ACB-6458-4BF5-A490-FBB8EAF4AD69}" type="presParOf" srcId="{6D2AF492-A1E6-4D77-92FD-67E2DB633975}" destId="{6DB71863-20F3-4234-AC84-45BBE426782F}" srcOrd="2" destOrd="0" presId="urn:microsoft.com/office/officeart/2005/8/layout/pList1#1"/>
    <dgm:cxn modelId="{D95CBD97-8F66-4888-AE19-0EF533251D62}" type="presParOf" srcId="{6DB71863-20F3-4234-AC84-45BBE426782F}" destId="{E8CD32A5-5036-4A82-A9CF-232366B2F682}" srcOrd="0" destOrd="0" presId="urn:microsoft.com/office/officeart/2005/8/layout/pList1#1"/>
    <dgm:cxn modelId="{588653C6-9E2A-417C-9AA3-02629181FA8F}" type="presParOf" srcId="{6DB71863-20F3-4234-AC84-45BBE426782F}" destId="{26FC1D83-1E02-4660-B7F9-F4DFC0C25727}" srcOrd="1" destOrd="0" presId="urn:microsoft.com/office/officeart/2005/8/layout/pList1#1"/>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27D06750-2AC8-4C08-B5D9-0E957060E90E}" type="doc">
      <dgm:prSet loTypeId="urn:microsoft.com/office/officeart/2005/8/layout/hProcess7" loCatId="list" qsTypeId="urn:microsoft.com/office/officeart/2005/8/quickstyle/simple1" qsCatId="simple" csTypeId="urn:microsoft.com/office/officeart/2005/8/colors/accent1_1" csCatId="accent1" phldr="1"/>
      <dgm:spPr/>
      <dgm:t>
        <a:bodyPr/>
        <a:lstStyle/>
        <a:p>
          <a:endParaRPr lang="es-ES"/>
        </a:p>
      </dgm:t>
    </dgm:pt>
    <dgm:pt modelId="{92205019-0B47-444B-BE22-5847EFE6E95E}">
      <dgm:prSet phldrT="[Texto]" custT="1"/>
      <dgm:spPr/>
      <dgm:t>
        <a:bodyPr/>
        <a:lstStyle/>
        <a:p>
          <a:pPr algn="l"/>
          <a:endParaRPr lang="es-ES" sz="1600" b="1"/>
        </a:p>
      </dgm:t>
    </dgm:pt>
    <dgm:pt modelId="{60C0C78D-79C3-4F61-9CB2-B9052F2D2D61}" type="parTrans" cxnId="{D2C05E8D-EA0E-40FA-9C3E-FF12FEF7FC18}">
      <dgm:prSet/>
      <dgm:spPr/>
      <dgm:t>
        <a:bodyPr/>
        <a:lstStyle/>
        <a:p>
          <a:pPr algn="l"/>
          <a:endParaRPr lang="es-ES"/>
        </a:p>
      </dgm:t>
    </dgm:pt>
    <dgm:pt modelId="{8791E905-B329-4F51-BC42-A914A12A5194}" type="sibTrans" cxnId="{D2C05E8D-EA0E-40FA-9C3E-FF12FEF7FC18}">
      <dgm:prSet/>
      <dgm:spPr/>
      <dgm:t>
        <a:bodyPr/>
        <a:lstStyle/>
        <a:p>
          <a:pPr algn="l"/>
          <a:endParaRPr lang="es-ES"/>
        </a:p>
      </dgm:t>
    </dgm:pt>
    <dgm:pt modelId="{0CB2A049-71AE-4F5F-88DF-4784F3C94A03}">
      <dgm:prSet phldrT="[Texto]" custT="1"/>
      <dgm:spPr/>
      <dgm:t>
        <a:bodyPr/>
        <a:lstStyle/>
        <a:p>
          <a:pPr algn="l"/>
          <a:endParaRPr lang="es-ES" sz="1600" b="1"/>
        </a:p>
      </dgm:t>
    </dgm:pt>
    <dgm:pt modelId="{1F8615DA-A457-4DA3-BCA0-5F1CD23EE54B}" type="parTrans" cxnId="{C40AD8D0-8C2D-4347-98F3-63C7A0BADB36}">
      <dgm:prSet/>
      <dgm:spPr/>
      <dgm:t>
        <a:bodyPr/>
        <a:lstStyle/>
        <a:p>
          <a:pPr algn="l"/>
          <a:endParaRPr lang="es-ES"/>
        </a:p>
      </dgm:t>
    </dgm:pt>
    <dgm:pt modelId="{A90478D1-31E0-4DA8-B81E-14CEAC1DCD15}" type="sibTrans" cxnId="{C40AD8D0-8C2D-4347-98F3-63C7A0BADB36}">
      <dgm:prSet/>
      <dgm:spPr/>
      <dgm:t>
        <a:bodyPr/>
        <a:lstStyle/>
        <a:p>
          <a:pPr algn="l"/>
          <a:endParaRPr lang="es-ES"/>
        </a:p>
      </dgm:t>
    </dgm:pt>
    <dgm:pt modelId="{49E756C2-EC96-40EF-930E-B04B2010C50C}">
      <dgm:prSet phldrT="[Texto]" custT="1"/>
      <dgm:spPr/>
      <dgm:t>
        <a:bodyPr/>
        <a:lstStyle/>
        <a:p>
          <a:pPr algn="l"/>
          <a:r>
            <a:rPr lang="es-ES" sz="1100" b="1"/>
            <a:t>Seguridad alimentaria y nutricional.</a:t>
          </a:r>
        </a:p>
      </dgm:t>
    </dgm:pt>
    <dgm:pt modelId="{8FF8AC72-D1D2-4B5D-981B-5C61B7247726}" type="parTrans" cxnId="{30E112C4-E946-4358-9496-F96FFAD2690E}">
      <dgm:prSet/>
      <dgm:spPr/>
      <dgm:t>
        <a:bodyPr/>
        <a:lstStyle/>
        <a:p>
          <a:pPr algn="l"/>
          <a:endParaRPr lang="es-ES"/>
        </a:p>
      </dgm:t>
    </dgm:pt>
    <dgm:pt modelId="{7F7E2FCD-A902-4037-A827-2747DE39BC6F}" type="sibTrans" cxnId="{30E112C4-E946-4358-9496-F96FFAD2690E}">
      <dgm:prSet/>
      <dgm:spPr/>
      <dgm:t>
        <a:bodyPr/>
        <a:lstStyle/>
        <a:p>
          <a:pPr algn="l"/>
          <a:endParaRPr lang="es-ES"/>
        </a:p>
      </dgm:t>
    </dgm:pt>
    <dgm:pt modelId="{660282E8-56C3-42CF-B2D7-4E732B0C8FC4}">
      <dgm:prSet phldrT="[Texto]" custT="1"/>
      <dgm:spPr/>
      <dgm:t>
        <a:bodyPr/>
        <a:lstStyle/>
        <a:p>
          <a:pPr algn="l"/>
          <a:r>
            <a:rPr lang="es-ES" sz="1100" b="1"/>
            <a:t>Salud integral.</a:t>
          </a:r>
        </a:p>
      </dgm:t>
    </dgm:pt>
    <dgm:pt modelId="{F4166BDE-3268-48CB-9F0C-6726CD52DCF9}" type="parTrans" cxnId="{DA23672B-BC6C-4344-B334-9A8E8A646203}">
      <dgm:prSet/>
      <dgm:spPr/>
      <dgm:t>
        <a:bodyPr/>
        <a:lstStyle/>
        <a:p>
          <a:pPr algn="l"/>
          <a:endParaRPr lang="es-ES"/>
        </a:p>
      </dgm:t>
    </dgm:pt>
    <dgm:pt modelId="{73A86E97-176F-4C15-9CD1-35BF2B5F0AF1}" type="sibTrans" cxnId="{DA23672B-BC6C-4344-B334-9A8E8A646203}">
      <dgm:prSet/>
      <dgm:spPr/>
      <dgm:t>
        <a:bodyPr/>
        <a:lstStyle/>
        <a:p>
          <a:pPr algn="l"/>
          <a:endParaRPr lang="es-ES"/>
        </a:p>
      </dgm:t>
    </dgm:pt>
    <dgm:pt modelId="{CC72A297-5828-4A9D-9FF9-FD45028AD682}">
      <dgm:prSet phldrT="[Texto]" custT="1"/>
      <dgm:spPr/>
      <dgm:t>
        <a:bodyPr/>
        <a:lstStyle/>
        <a:p>
          <a:pPr algn="l"/>
          <a:endParaRPr lang="es-ES" sz="1600" b="1"/>
        </a:p>
      </dgm:t>
    </dgm:pt>
    <dgm:pt modelId="{A3A8B115-8F93-4841-9E27-913A8888CF11}" type="parTrans" cxnId="{78F9093D-5099-49C1-9E57-A7EA4A4E776B}">
      <dgm:prSet/>
      <dgm:spPr/>
      <dgm:t>
        <a:bodyPr/>
        <a:lstStyle/>
        <a:p>
          <a:pPr algn="l"/>
          <a:endParaRPr lang="es-ES"/>
        </a:p>
      </dgm:t>
    </dgm:pt>
    <dgm:pt modelId="{A4D63B50-F644-4249-A9DC-92106D68F543}" type="sibTrans" cxnId="{78F9093D-5099-49C1-9E57-A7EA4A4E776B}">
      <dgm:prSet/>
      <dgm:spPr/>
      <dgm:t>
        <a:bodyPr/>
        <a:lstStyle/>
        <a:p>
          <a:pPr algn="l"/>
          <a:endParaRPr lang="es-ES"/>
        </a:p>
      </dgm:t>
    </dgm:pt>
    <dgm:pt modelId="{C5C52761-9FCB-4CD1-B2B4-4F2EE19141FE}">
      <dgm:prSet phldrT="[Texto]" custT="1"/>
      <dgm:spPr/>
      <dgm:t>
        <a:bodyPr/>
        <a:lstStyle/>
        <a:p>
          <a:pPr algn="l"/>
          <a:r>
            <a:rPr lang="es-ES" sz="1100" b="1"/>
            <a:t>Fomento de las Mypimes.</a:t>
          </a:r>
        </a:p>
      </dgm:t>
    </dgm:pt>
    <dgm:pt modelId="{0FEF253F-FCBC-4622-BE4C-ADAA070B70D3}" type="parTrans" cxnId="{9A92B9F8-81D3-49AC-BF01-39405A380AE4}">
      <dgm:prSet/>
      <dgm:spPr/>
      <dgm:t>
        <a:bodyPr/>
        <a:lstStyle/>
        <a:p>
          <a:pPr algn="l"/>
          <a:endParaRPr lang="es-ES"/>
        </a:p>
      </dgm:t>
    </dgm:pt>
    <dgm:pt modelId="{1C20F8EF-5CEC-415C-AE3F-F48C71FDBFF1}" type="sibTrans" cxnId="{9A92B9F8-81D3-49AC-BF01-39405A380AE4}">
      <dgm:prSet/>
      <dgm:spPr/>
      <dgm:t>
        <a:bodyPr/>
        <a:lstStyle/>
        <a:p>
          <a:pPr algn="l"/>
          <a:endParaRPr lang="es-ES"/>
        </a:p>
      </dgm:t>
    </dgm:pt>
    <dgm:pt modelId="{804CE117-123A-4822-BCE9-1CF13CF91086}">
      <dgm:prSet phldrT="[Texto]" custT="1"/>
      <dgm:spPr/>
      <dgm:t>
        <a:bodyPr/>
        <a:lstStyle/>
        <a:p>
          <a:pPr algn="l"/>
          <a:r>
            <a:rPr lang="es-ES" sz="1100" b="1"/>
            <a:t>Turismo.</a:t>
          </a:r>
        </a:p>
      </dgm:t>
    </dgm:pt>
    <dgm:pt modelId="{37B9C1CD-EC13-4838-B5D1-A2EC2CB6CCDF}" type="parTrans" cxnId="{8D6F683D-5532-4BCA-B727-B6131D5FDFA4}">
      <dgm:prSet/>
      <dgm:spPr/>
      <dgm:t>
        <a:bodyPr/>
        <a:lstStyle/>
        <a:p>
          <a:pPr algn="l"/>
          <a:endParaRPr lang="es-ES"/>
        </a:p>
      </dgm:t>
    </dgm:pt>
    <dgm:pt modelId="{27AC0D4C-D4E5-4138-8324-1E2526CB7151}" type="sibTrans" cxnId="{8D6F683D-5532-4BCA-B727-B6131D5FDFA4}">
      <dgm:prSet/>
      <dgm:spPr/>
      <dgm:t>
        <a:bodyPr/>
        <a:lstStyle/>
        <a:p>
          <a:pPr algn="l"/>
          <a:endParaRPr lang="es-ES"/>
        </a:p>
      </dgm:t>
    </dgm:pt>
    <dgm:pt modelId="{85B1C834-899D-4A14-9291-2468A450763B}">
      <dgm:prSet phldrT="[Texto]" custT="1"/>
      <dgm:spPr/>
      <dgm:t>
        <a:bodyPr/>
        <a:lstStyle/>
        <a:p>
          <a:pPr algn="l"/>
          <a:r>
            <a:rPr lang="es-ES" sz="1100" b="1"/>
            <a:t>Cero tolerancia a la corrupción. </a:t>
          </a:r>
        </a:p>
      </dgm:t>
    </dgm:pt>
    <dgm:pt modelId="{DE88A25C-952E-4C7F-9E3F-F488A791710C}" type="sibTrans" cxnId="{FB23E2CF-2735-43D3-9590-D7EB31915EA0}">
      <dgm:prSet/>
      <dgm:spPr/>
      <dgm:t>
        <a:bodyPr/>
        <a:lstStyle/>
        <a:p>
          <a:pPr algn="l"/>
          <a:endParaRPr lang="es-ES"/>
        </a:p>
      </dgm:t>
    </dgm:pt>
    <dgm:pt modelId="{46E9904E-F8C0-4E2E-90FE-80DF30EB13EF}" type="parTrans" cxnId="{FB23E2CF-2735-43D3-9590-D7EB31915EA0}">
      <dgm:prSet/>
      <dgm:spPr/>
      <dgm:t>
        <a:bodyPr/>
        <a:lstStyle/>
        <a:p>
          <a:pPr algn="l"/>
          <a:endParaRPr lang="es-ES"/>
        </a:p>
      </dgm:t>
    </dgm:pt>
    <dgm:pt modelId="{394BA089-D990-4CBF-86B2-4BDD1C25A521}">
      <dgm:prSet phldrT="[Texto]" custT="1"/>
      <dgm:spPr/>
      <dgm:t>
        <a:bodyPr/>
        <a:lstStyle/>
        <a:p>
          <a:pPr algn="l"/>
          <a:r>
            <a:rPr lang="es-ES" sz="1100" b="1"/>
            <a:t>Moderniza-ción del Estado.</a:t>
          </a:r>
        </a:p>
      </dgm:t>
    </dgm:pt>
    <dgm:pt modelId="{C55A6150-55E1-4186-A183-F2B4ACA12021}" type="sibTrans" cxnId="{85041F8F-441D-4124-989F-EBDA58B848EB}">
      <dgm:prSet/>
      <dgm:spPr/>
      <dgm:t>
        <a:bodyPr/>
        <a:lstStyle/>
        <a:p>
          <a:pPr algn="l"/>
          <a:endParaRPr lang="es-ES"/>
        </a:p>
      </dgm:t>
    </dgm:pt>
    <dgm:pt modelId="{FF2E3A46-133E-45CF-9241-A448C577FCB7}" type="parTrans" cxnId="{85041F8F-441D-4124-989F-EBDA58B848EB}">
      <dgm:prSet/>
      <dgm:spPr/>
      <dgm:t>
        <a:bodyPr/>
        <a:lstStyle/>
        <a:p>
          <a:pPr algn="l"/>
          <a:endParaRPr lang="es-ES"/>
        </a:p>
      </dgm:t>
    </dgm:pt>
    <dgm:pt modelId="{FF5D5319-7A5E-4299-B05A-BAC75B3E48D8}">
      <dgm:prSet phldrT="[Texto]" custT="1"/>
      <dgm:spPr/>
      <dgm:t>
        <a:bodyPr/>
        <a:lstStyle/>
        <a:p>
          <a:pPr algn="l"/>
          <a:r>
            <a:rPr lang="es-ES" sz="1100" b="1"/>
            <a:t>Educación integral.</a:t>
          </a:r>
        </a:p>
      </dgm:t>
    </dgm:pt>
    <dgm:pt modelId="{CB9A4A48-3667-4BF3-9B6F-C5BE90B5F39E}" type="parTrans" cxnId="{8E445783-142F-4EB2-B7E2-C8C761982CFC}">
      <dgm:prSet/>
      <dgm:spPr/>
      <dgm:t>
        <a:bodyPr/>
        <a:lstStyle/>
        <a:p>
          <a:pPr algn="l"/>
          <a:endParaRPr lang="es-ES"/>
        </a:p>
      </dgm:t>
    </dgm:pt>
    <dgm:pt modelId="{D18B3A17-9AC9-4845-83F8-B4A229AD8826}" type="sibTrans" cxnId="{8E445783-142F-4EB2-B7E2-C8C761982CFC}">
      <dgm:prSet/>
      <dgm:spPr/>
      <dgm:t>
        <a:bodyPr/>
        <a:lstStyle/>
        <a:p>
          <a:pPr algn="l"/>
          <a:endParaRPr lang="es-ES"/>
        </a:p>
      </dgm:t>
    </dgm:pt>
    <dgm:pt modelId="{E3AA2771-CD04-4778-8147-FA0E68D24DBB}">
      <dgm:prSet phldrT="[Texto]" custT="1"/>
      <dgm:spPr/>
      <dgm:t>
        <a:bodyPr/>
        <a:lstStyle/>
        <a:p>
          <a:pPr algn="l"/>
          <a:r>
            <a:rPr lang="es-ES" sz="1100" b="1"/>
            <a:t>Construcción  de vivienda</a:t>
          </a:r>
        </a:p>
      </dgm:t>
    </dgm:pt>
    <dgm:pt modelId="{BE7B542C-7C86-4EAF-9BD8-1B3AE6F45D8B}" type="parTrans" cxnId="{4DB0FFD1-F181-4658-9E98-8C05C57E4734}">
      <dgm:prSet/>
      <dgm:spPr/>
      <dgm:t>
        <a:bodyPr/>
        <a:lstStyle/>
        <a:p>
          <a:pPr algn="l"/>
          <a:endParaRPr lang="es-ES"/>
        </a:p>
      </dgm:t>
    </dgm:pt>
    <dgm:pt modelId="{40A2478F-0432-42AC-A2D5-4FF286B5D5AE}" type="sibTrans" cxnId="{4DB0FFD1-F181-4658-9E98-8C05C57E4734}">
      <dgm:prSet/>
      <dgm:spPr/>
      <dgm:t>
        <a:bodyPr/>
        <a:lstStyle/>
        <a:p>
          <a:pPr algn="l"/>
          <a:endParaRPr lang="es-ES"/>
        </a:p>
      </dgm:t>
    </dgm:pt>
    <dgm:pt modelId="{1BBDC5B4-4CD5-43E9-B95D-043520E938EE}">
      <dgm:prSet custT="1"/>
      <dgm:spPr/>
      <dgm:t>
        <a:bodyPr/>
        <a:lstStyle/>
        <a:p>
          <a:pPr algn="l"/>
          <a:endParaRPr lang="es-ES" sz="1600" b="1"/>
        </a:p>
      </dgm:t>
    </dgm:pt>
    <dgm:pt modelId="{709F3F95-A8C2-4EAE-B9E8-9A2570CFA6AD}" type="parTrans" cxnId="{DEBFEA68-736C-4A09-8816-83AF9E8A1EE8}">
      <dgm:prSet/>
      <dgm:spPr/>
      <dgm:t>
        <a:bodyPr/>
        <a:lstStyle/>
        <a:p>
          <a:pPr algn="l"/>
          <a:endParaRPr lang="es-ES"/>
        </a:p>
      </dgm:t>
    </dgm:pt>
    <dgm:pt modelId="{B0BA4937-785B-433B-831A-D85C2F9497D8}" type="sibTrans" cxnId="{DEBFEA68-736C-4A09-8816-83AF9E8A1EE8}">
      <dgm:prSet/>
      <dgm:spPr/>
      <dgm:t>
        <a:bodyPr/>
        <a:lstStyle/>
        <a:p>
          <a:pPr algn="l"/>
          <a:endParaRPr lang="es-ES"/>
        </a:p>
      </dgm:t>
    </dgm:pt>
    <dgm:pt modelId="{FAA9CD65-0A3E-4A0E-8AA7-91140FEBB0B4}">
      <dgm:prSet custT="1"/>
      <dgm:spPr/>
      <dgm:t>
        <a:bodyPr/>
        <a:lstStyle/>
        <a:p>
          <a:pPr algn="l"/>
          <a:r>
            <a:rPr lang="es-ES" sz="1100" b="1"/>
            <a:t>Seguridad integral.</a:t>
          </a:r>
        </a:p>
      </dgm:t>
    </dgm:pt>
    <dgm:pt modelId="{3BE7A4C0-3F0D-4DBE-95DB-34E1E0CAC344}" type="parTrans" cxnId="{53FED9E3-E2BF-4F23-ACA4-7179047D2455}">
      <dgm:prSet/>
      <dgm:spPr/>
      <dgm:t>
        <a:bodyPr/>
        <a:lstStyle/>
        <a:p>
          <a:pPr algn="l"/>
          <a:endParaRPr lang="es-ES"/>
        </a:p>
      </dgm:t>
    </dgm:pt>
    <dgm:pt modelId="{48226C81-24A9-473F-BF3D-CBBBE94720F5}" type="sibTrans" cxnId="{53FED9E3-E2BF-4F23-ACA4-7179047D2455}">
      <dgm:prSet/>
      <dgm:spPr/>
      <dgm:t>
        <a:bodyPr/>
        <a:lstStyle/>
        <a:p>
          <a:pPr algn="l"/>
          <a:endParaRPr lang="es-ES"/>
        </a:p>
      </dgm:t>
    </dgm:pt>
    <dgm:pt modelId="{4562D712-BD6F-4D2E-A7DE-41EDF9CFCF23}">
      <dgm:prSet custT="1"/>
      <dgm:spPr/>
      <dgm:t>
        <a:bodyPr/>
        <a:lstStyle/>
        <a:p>
          <a:pPr algn="l"/>
          <a:r>
            <a:rPr lang="es-ES" sz="1100" b="1"/>
            <a:t>Turismo.</a:t>
          </a:r>
        </a:p>
      </dgm:t>
    </dgm:pt>
    <dgm:pt modelId="{95F76F68-B4AC-4B72-828C-E6A533495C86}" type="parTrans" cxnId="{D8F28FB9-A1CD-4C4C-BE19-DCB5C0A76E3A}">
      <dgm:prSet/>
      <dgm:spPr/>
      <dgm:t>
        <a:bodyPr/>
        <a:lstStyle/>
        <a:p>
          <a:pPr algn="l"/>
          <a:endParaRPr lang="es-ES"/>
        </a:p>
      </dgm:t>
    </dgm:pt>
    <dgm:pt modelId="{5C61D54E-2827-41F4-9399-E6ECE0ABE6BE}" type="sibTrans" cxnId="{D8F28FB9-A1CD-4C4C-BE19-DCB5C0A76E3A}">
      <dgm:prSet/>
      <dgm:spPr/>
      <dgm:t>
        <a:bodyPr/>
        <a:lstStyle/>
        <a:p>
          <a:pPr algn="l"/>
          <a:endParaRPr lang="es-ES"/>
        </a:p>
      </dgm:t>
    </dgm:pt>
    <dgm:pt modelId="{AD5AD138-4D54-42B4-AA77-A0D5DE57C625}">
      <dgm:prSet custT="1"/>
      <dgm:spPr/>
      <dgm:t>
        <a:bodyPr/>
        <a:lstStyle/>
        <a:p>
          <a:pPr algn="l"/>
          <a:endParaRPr lang="es-ES" sz="1600" b="1"/>
        </a:p>
      </dgm:t>
    </dgm:pt>
    <dgm:pt modelId="{D7F4C0A3-6CCC-4DC8-8EE5-DB0620239E80}" type="parTrans" cxnId="{1C902C24-0061-4E6A-BB36-6C51B5FDFA4F}">
      <dgm:prSet/>
      <dgm:spPr/>
      <dgm:t>
        <a:bodyPr/>
        <a:lstStyle/>
        <a:p>
          <a:pPr algn="l"/>
          <a:endParaRPr lang="es-ES"/>
        </a:p>
      </dgm:t>
    </dgm:pt>
    <dgm:pt modelId="{0C47A03B-BBB8-458D-AA45-BC66EE6DB6CE}" type="sibTrans" cxnId="{1C902C24-0061-4E6A-BB36-6C51B5FDFA4F}">
      <dgm:prSet/>
      <dgm:spPr/>
      <dgm:t>
        <a:bodyPr/>
        <a:lstStyle/>
        <a:p>
          <a:pPr algn="l"/>
          <a:endParaRPr lang="es-ES"/>
        </a:p>
      </dgm:t>
    </dgm:pt>
    <dgm:pt modelId="{2F88ACDA-5E89-4195-A7ED-B6626D447A3E}">
      <dgm:prSet custT="1"/>
      <dgm:spPr/>
      <dgm:t>
        <a:bodyPr/>
        <a:lstStyle/>
        <a:p>
          <a:pPr algn="l"/>
          <a:r>
            <a:rPr lang="es-ES" sz="1100" b="1"/>
            <a:t>Ambiente y Recursos Naturales</a:t>
          </a:r>
          <a:r>
            <a:rPr lang="es-ES" sz="1300" b="1"/>
            <a:t>.</a:t>
          </a:r>
        </a:p>
      </dgm:t>
    </dgm:pt>
    <dgm:pt modelId="{80C73B2D-D663-436C-909B-8781A1580C45}" type="parTrans" cxnId="{353A4682-9EEA-4E6F-9FB9-2BEB1EA96CB6}">
      <dgm:prSet/>
      <dgm:spPr/>
      <dgm:t>
        <a:bodyPr/>
        <a:lstStyle/>
        <a:p>
          <a:pPr algn="l"/>
          <a:endParaRPr lang="es-ES"/>
        </a:p>
      </dgm:t>
    </dgm:pt>
    <dgm:pt modelId="{33E2D206-070D-4A49-9CB0-603D741B6CD3}" type="sibTrans" cxnId="{353A4682-9EEA-4E6F-9FB9-2BEB1EA96CB6}">
      <dgm:prSet/>
      <dgm:spPr/>
      <dgm:t>
        <a:bodyPr/>
        <a:lstStyle/>
        <a:p>
          <a:pPr algn="l"/>
          <a:endParaRPr lang="es-ES"/>
        </a:p>
      </dgm:t>
    </dgm:pt>
    <dgm:pt modelId="{612295E1-B788-44B1-A0A5-CAB3D4387DC5}">
      <dgm:prSet phldrT="[Texto]" custT="1"/>
      <dgm:spPr/>
      <dgm:t>
        <a:bodyPr/>
        <a:lstStyle/>
        <a:p>
          <a:pPr algn="l"/>
          <a:endParaRPr lang="es-ES" sz="1100" b="1">
            <a:solidFill>
              <a:sysClr val="windowText" lastClr="000000"/>
            </a:solidFill>
          </a:endParaRPr>
        </a:p>
      </dgm:t>
    </dgm:pt>
    <dgm:pt modelId="{64C0574B-DB2E-4218-9A36-08E70AC39770}" type="parTrans" cxnId="{B1D678B4-0506-452B-A040-94453AF4CFBA}">
      <dgm:prSet/>
      <dgm:spPr/>
      <dgm:t>
        <a:bodyPr/>
        <a:lstStyle/>
        <a:p>
          <a:pPr algn="l"/>
          <a:endParaRPr lang="es-ES"/>
        </a:p>
      </dgm:t>
    </dgm:pt>
    <dgm:pt modelId="{5EE7773E-7A0C-4D7D-8874-BFAA24038B05}" type="sibTrans" cxnId="{B1D678B4-0506-452B-A040-94453AF4CFBA}">
      <dgm:prSet/>
      <dgm:spPr/>
      <dgm:t>
        <a:bodyPr/>
        <a:lstStyle/>
        <a:p>
          <a:pPr algn="l"/>
          <a:endParaRPr lang="es-ES"/>
        </a:p>
      </dgm:t>
    </dgm:pt>
    <dgm:pt modelId="{E30C319F-1963-4CDB-812A-FA3BC5D75AD8}">
      <dgm:prSet phldrT="[Texto]" custT="1"/>
      <dgm:spPr/>
      <dgm:t>
        <a:bodyPr/>
        <a:lstStyle/>
        <a:p>
          <a:pPr algn="l"/>
          <a:endParaRPr lang="es-ES" sz="1100" b="1">
            <a:solidFill>
              <a:sysClr val="windowText" lastClr="000000"/>
            </a:solidFill>
          </a:endParaRPr>
        </a:p>
      </dgm:t>
    </dgm:pt>
    <dgm:pt modelId="{2E1C2188-F9E7-40E2-A2F6-A159EBBAC398}" type="parTrans" cxnId="{3D54E32A-00E5-4733-B2BC-3EB16F507167}">
      <dgm:prSet/>
      <dgm:spPr/>
      <dgm:t>
        <a:bodyPr/>
        <a:lstStyle/>
        <a:p>
          <a:pPr algn="l"/>
          <a:endParaRPr lang="es-ES"/>
        </a:p>
      </dgm:t>
    </dgm:pt>
    <dgm:pt modelId="{12FAF35D-1217-428B-B039-1A77EF6DCEE1}" type="sibTrans" cxnId="{3D54E32A-00E5-4733-B2BC-3EB16F507167}">
      <dgm:prSet/>
      <dgm:spPr/>
      <dgm:t>
        <a:bodyPr/>
        <a:lstStyle/>
        <a:p>
          <a:pPr algn="l"/>
          <a:endParaRPr lang="es-ES"/>
        </a:p>
      </dgm:t>
    </dgm:pt>
    <dgm:pt modelId="{804CA8A0-CA77-43BF-AA9C-E7B4708F0D5B}">
      <dgm:prSet phldrT="[Texto]" custT="1"/>
      <dgm:spPr/>
      <dgm:t>
        <a:bodyPr/>
        <a:lstStyle/>
        <a:p>
          <a:pPr algn="l"/>
          <a:endParaRPr lang="es-ES" sz="1100" b="1">
            <a:solidFill>
              <a:sysClr val="windowText" lastClr="000000"/>
            </a:solidFill>
          </a:endParaRPr>
        </a:p>
      </dgm:t>
    </dgm:pt>
    <dgm:pt modelId="{3FDB29AE-F489-41C2-8A0A-6167674FFFC6}" type="parTrans" cxnId="{6C03F221-8B0B-4453-9281-FC4CEEA9581E}">
      <dgm:prSet/>
      <dgm:spPr/>
      <dgm:t>
        <a:bodyPr/>
        <a:lstStyle/>
        <a:p>
          <a:pPr algn="l"/>
          <a:endParaRPr lang="es-ES"/>
        </a:p>
      </dgm:t>
    </dgm:pt>
    <dgm:pt modelId="{DAFC05BC-AC0B-47C2-8322-25D8E15BB282}" type="sibTrans" cxnId="{6C03F221-8B0B-4453-9281-FC4CEEA9581E}">
      <dgm:prSet/>
      <dgm:spPr/>
      <dgm:t>
        <a:bodyPr/>
        <a:lstStyle/>
        <a:p>
          <a:pPr algn="l"/>
          <a:endParaRPr lang="es-ES"/>
        </a:p>
      </dgm:t>
    </dgm:pt>
    <dgm:pt modelId="{1DE91E8A-E6B4-4880-AF4E-6850B54FF068}">
      <dgm:prSet phldrT="[Texto]" custT="1"/>
      <dgm:spPr/>
      <dgm:t>
        <a:bodyPr/>
        <a:lstStyle/>
        <a:p>
          <a:pPr algn="l"/>
          <a:endParaRPr lang="es-ES" sz="1100" b="1">
            <a:solidFill>
              <a:sysClr val="windowText" lastClr="000000"/>
            </a:solidFill>
          </a:endParaRPr>
        </a:p>
      </dgm:t>
    </dgm:pt>
    <dgm:pt modelId="{E0799ECA-422F-40BD-AED2-ABA6495B047E}" type="parTrans" cxnId="{8ADB2A1E-808E-4323-A7B6-DCB00CB2C9D5}">
      <dgm:prSet/>
      <dgm:spPr/>
      <dgm:t>
        <a:bodyPr/>
        <a:lstStyle/>
        <a:p>
          <a:pPr algn="l"/>
          <a:endParaRPr lang="es-ES"/>
        </a:p>
      </dgm:t>
    </dgm:pt>
    <dgm:pt modelId="{A5E43E2F-24B0-4A2F-B675-CEF44E493080}" type="sibTrans" cxnId="{8ADB2A1E-808E-4323-A7B6-DCB00CB2C9D5}">
      <dgm:prSet/>
      <dgm:spPr/>
      <dgm:t>
        <a:bodyPr/>
        <a:lstStyle/>
        <a:p>
          <a:pPr algn="l"/>
          <a:endParaRPr lang="es-ES"/>
        </a:p>
      </dgm:t>
    </dgm:pt>
    <dgm:pt modelId="{B770844A-0FFB-4CB4-A2A8-B7ACA57F6F4B}">
      <dgm:prSet phldrT="[Texto]" custT="1"/>
      <dgm:spPr/>
      <dgm:t>
        <a:bodyPr/>
        <a:lstStyle/>
        <a:p>
          <a:pPr algn="l"/>
          <a:endParaRPr lang="es-ES" sz="1100" b="1">
            <a:solidFill>
              <a:sysClr val="windowText" lastClr="000000"/>
            </a:solidFill>
          </a:endParaRPr>
        </a:p>
      </dgm:t>
    </dgm:pt>
    <dgm:pt modelId="{9E6A7742-94EC-4CBC-ACB2-9BF0286A3BE7}" type="parTrans" cxnId="{56B4F61C-7E95-41D6-9382-973784703273}">
      <dgm:prSet/>
      <dgm:spPr/>
      <dgm:t>
        <a:bodyPr/>
        <a:lstStyle/>
        <a:p>
          <a:pPr algn="l"/>
          <a:endParaRPr lang="es-ES"/>
        </a:p>
      </dgm:t>
    </dgm:pt>
    <dgm:pt modelId="{BB266013-40A5-4269-AE5A-4299FA1FE1EA}" type="sibTrans" cxnId="{56B4F61C-7E95-41D6-9382-973784703273}">
      <dgm:prSet/>
      <dgm:spPr/>
      <dgm:t>
        <a:bodyPr/>
        <a:lstStyle/>
        <a:p>
          <a:pPr algn="l"/>
          <a:endParaRPr lang="es-ES"/>
        </a:p>
      </dgm:t>
    </dgm:pt>
    <dgm:pt modelId="{3979BC29-6E21-498E-9143-6EF5F2E98A12}">
      <dgm:prSet custT="1"/>
      <dgm:spPr/>
      <dgm:t>
        <a:bodyPr/>
        <a:lstStyle/>
        <a:p>
          <a:pPr algn="l"/>
          <a:endParaRPr lang="es-ES" sz="1100" b="1">
            <a:solidFill>
              <a:sysClr val="windowText" lastClr="000000"/>
            </a:solidFill>
          </a:endParaRPr>
        </a:p>
      </dgm:t>
    </dgm:pt>
    <dgm:pt modelId="{A44227D3-D6C7-4036-9275-9A58140EA36D}" type="parTrans" cxnId="{D1DD4EE3-8C69-4A3C-887E-5E12F33552CA}">
      <dgm:prSet/>
      <dgm:spPr/>
      <dgm:t>
        <a:bodyPr/>
        <a:lstStyle/>
        <a:p>
          <a:pPr algn="l"/>
          <a:endParaRPr lang="es-ES"/>
        </a:p>
      </dgm:t>
    </dgm:pt>
    <dgm:pt modelId="{996FD8AA-1E41-4802-9943-52EC602E8016}" type="sibTrans" cxnId="{D1DD4EE3-8C69-4A3C-887E-5E12F33552CA}">
      <dgm:prSet/>
      <dgm:spPr/>
      <dgm:t>
        <a:bodyPr/>
        <a:lstStyle/>
        <a:p>
          <a:pPr algn="l"/>
          <a:endParaRPr lang="es-ES"/>
        </a:p>
      </dgm:t>
    </dgm:pt>
    <dgm:pt modelId="{A35F9ABE-841D-42F2-9487-75BE12A54A57}" type="pres">
      <dgm:prSet presAssocID="{27D06750-2AC8-4C08-B5D9-0E957060E90E}" presName="Name0" presStyleCnt="0">
        <dgm:presLayoutVars>
          <dgm:dir/>
          <dgm:animLvl val="lvl"/>
          <dgm:resizeHandles val="exact"/>
        </dgm:presLayoutVars>
      </dgm:prSet>
      <dgm:spPr/>
      <dgm:t>
        <a:bodyPr/>
        <a:lstStyle/>
        <a:p>
          <a:endParaRPr lang="es-GT"/>
        </a:p>
      </dgm:t>
    </dgm:pt>
    <dgm:pt modelId="{DFBA8180-9AC7-4B10-BF21-3F1659474804}" type="pres">
      <dgm:prSet presAssocID="{92205019-0B47-444B-BE22-5847EFE6E95E}" presName="compositeNode" presStyleCnt="0">
        <dgm:presLayoutVars>
          <dgm:bulletEnabled val="1"/>
        </dgm:presLayoutVars>
      </dgm:prSet>
      <dgm:spPr/>
      <dgm:t>
        <a:bodyPr/>
        <a:lstStyle/>
        <a:p>
          <a:endParaRPr lang="es-GT"/>
        </a:p>
      </dgm:t>
    </dgm:pt>
    <dgm:pt modelId="{22CEB57C-CF35-4E4A-B1C6-7E0EDA56D664}" type="pres">
      <dgm:prSet presAssocID="{92205019-0B47-444B-BE22-5847EFE6E95E}" presName="bgRect" presStyleLbl="node1" presStyleIdx="0" presStyleCnt="5" custScaleY="151300" custLinFactNeighborX="0" custLinFactNeighborY="1521"/>
      <dgm:spPr/>
      <dgm:t>
        <a:bodyPr/>
        <a:lstStyle/>
        <a:p>
          <a:endParaRPr lang="es-GT"/>
        </a:p>
      </dgm:t>
    </dgm:pt>
    <dgm:pt modelId="{13D11462-7BDA-4FA4-A513-78E09C2B9B6F}" type="pres">
      <dgm:prSet presAssocID="{92205019-0B47-444B-BE22-5847EFE6E95E}" presName="parentNode" presStyleLbl="node1" presStyleIdx="0" presStyleCnt="5">
        <dgm:presLayoutVars>
          <dgm:chMax val="0"/>
          <dgm:bulletEnabled val="1"/>
        </dgm:presLayoutVars>
      </dgm:prSet>
      <dgm:spPr/>
      <dgm:t>
        <a:bodyPr/>
        <a:lstStyle/>
        <a:p>
          <a:endParaRPr lang="es-GT"/>
        </a:p>
      </dgm:t>
    </dgm:pt>
    <dgm:pt modelId="{127A63E7-5E08-45FD-8475-7DC248500850}" type="pres">
      <dgm:prSet presAssocID="{92205019-0B47-444B-BE22-5847EFE6E95E}" presName="childNode" presStyleLbl="node1" presStyleIdx="0" presStyleCnt="5">
        <dgm:presLayoutVars>
          <dgm:bulletEnabled val="1"/>
        </dgm:presLayoutVars>
      </dgm:prSet>
      <dgm:spPr/>
      <dgm:t>
        <a:bodyPr/>
        <a:lstStyle/>
        <a:p>
          <a:endParaRPr lang="es-GT"/>
        </a:p>
      </dgm:t>
    </dgm:pt>
    <dgm:pt modelId="{C3611F4F-9263-45B9-8AA5-E3AA88FE9014}" type="pres">
      <dgm:prSet presAssocID="{8791E905-B329-4F51-BC42-A914A12A5194}" presName="hSp" presStyleCnt="0"/>
      <dgm:spPr/>
      <dgm:t>
        <a:bodyPr/>
        <a:lstStyle/>
        <a:p>
          <a:endParaRPr lang="es-GT"/>
        </a:p>
      </dgm:t>
    </dgm:pt>
    <dgm:pt modelId="{F129D745-78EC-450A-8D17-2ABB0A71E974}" type="pres">
      <dgm:prSet presAssocID="{8791E905-B329-4F51-BC42-A914A12A5194}" presName="vProcSp" presStyleCnt="0"/>
      <dgm:spPr/>
      <dgm:t>
        <a:bodyPr/>
        <a:lstStyle/>
        <a:p>
          <a:endParaRPr lang="es-GT"/>
        </a:p>
      </dgm:t>
    </dgm:pt>
    <dgm:pt modelId="{CA2C854F-6CEA-4C94-84DA-10A549C794F5}" type="pres">
      <dgm:prSet presAssocID="{8791E905-B329-4F51-BC42-A914A12A5194}" presName="vSp1" presStyleCnt="0"/>
      <dgm:spPr/>
      <dgm:t>
        <a:bodyPr/>
        <a:lstStyle/>
        <a:p>
          <a:endParaRPr lang="es-GT"/>
        </a:p>
      </dgm:t>
    </dgm:pt>
    <dgm:pt modelId="{9B95F5EC-5BA5-45FC-8BD6-33405844E506}" type="pres">
      <dgm:prSet presAssocID="{8791E905-B329-4F51-BC42-A914A12A5194}" presName="simulatedConn" presStyleLbl="solidFgAcc1" presStyleIdx="0" presStyleCnt="4"/>
      <dgm:spPr/>
      <dgm:t>
        <a:bodyPr/>
        <a:lstStyle/>
        <a:p>
          <a:endParaRPr lang="es-GT"/>
        </a:p>
      </dgm:t>
    </dgm:pt>
    <dgm:pt modelId="{F9FDC6F7-D56E-4929-A684-BFEA0275B575}" type="pres">
      <dgm:prSet presAssocID="{8791E905-B329-4F51-BC42-A914A12A5194}" presName="vSp2" presStyleCnt="0"/>
      <dgm:spPr/>
      <dgm:t>
        <a:bodyPr/>
        <a:lstStyle/>
        <a:p>
          <a:endParaRPr lang="es-GT"/>
        </a:p>
      </dgm:t>
    </dgm:pt>
    <dgm:pt modelId="{95E04E4B-4652-4D08-920D-9092DEFD1DBF}" type="pres">
      <dgm:prSet presAssocID="{8791E905-B329-4F51-BC42-A914A12A5194}" presName="sibTrans" presStyleCnt="0"/>
      <dgm:spPr/>
      <dgm:t>
        <a:bodyPr/>
        <a:lstStyle/>
        <a:p>
          <a:endParaRPr lang="es-GT"/>
        </a:p>
      </dgm:t>
    </dgm:pt>
    <dgm:pt modelId="{CAB4DC4B-BFB3-4A36-AE71-83E050379878}" type="pres">
      <dgm:prSet presAssocID="{0CB2A049-71AE-4F5F-88DF-4784F3C94A03}" presName="compositeNode" presStyleCnt="0">
        <dgm:presLayoutVars>
          <dgm:bulletEnabled val="1"/>
        </dgm:presLayoutVars>
      </dgm:prSet>
      <dgm:spPr/>
      <dgm:t>
        <a:bodyPr/>
        <a:lstStyle/>
        <a:p>
          <a:endParaRPr lang="es-GT"/>
        </a:p>
      </dgm:t>
    </dgm:pt>
    <dgm:pt modelId="{7E109832-DE9E-4735-9DAD-7AFC17513D50}" type="pres">
      <dgm:prSet presAssocID="{0CB2A049-71AE-4F5F-88DF-4784F3C94A03}" presName="bgRect" presStyleLbl="node1" presStyleIdx="1" presStyleCnt="5" custScaleY="151300" custLinFactNeighborX="287" custLinFactNeighborY="1521"/>
      <dgm:spPr/>
      <dgm:t>
        <a:bodyPr/>
        <a:lstStyle/>
        <a:p>
          <a:endParaRPr lang="es-GT"/>
        </a:p>
      </dgm:t>
    </dgm:pt>
    <dgm:pt modelId="{48C80EBA-AC10-483A-B53F-E317B3EA9AFE}" type="pres">
      <dgm:prSet presAssocID="{0CB2A049-71AE-4F5F-88DF-4784F3C94A03}" presName="parentNode" presStyleLbl="node1" presStyleIdx="1" presStyleCnt="5">
        <dgm:presLayoutVars>
          <dgm:chMax val="0"/>
          <dgm:bulletEnabled val="1"/>
        </dgm:presLayoutVars>
      </dgm:prSet>
      <dgm:spPr/>
      <dgm:t>
        <a:bodyPr/>
        <a:lstStyle/>
        <a:p>
          <a:endParaRPr lang="es-GT"/>
        </a:p>
      </dgm:t>
    </dgm:pt>
    <dgm:pt modelId="{5935513A-6535-4C3A-B5A7-D30386AB8D30}" type="pres">
      <dgm:prSet presAssocID="{0CB2A049-71AE-4F5F-88DF-4784F3C94A03}" presName="childNode" presStyleLbl="node1" presStyleIdx="1" presStyleCnt="5">
        <dgm:presLayoutVars>
          <dgm:bulletEnabled val="1"/>
        </dgm:presLayoutVars>
      </dgm:prSet>
      <dgm:spPr/>
      <dgm:t>
        <a:bodyPr/>
        <a:lstStyle/>
        <a:p>
          <a:endParaRPr lang="es-GT"/>
        </a:p>
      </dgm:t>
    </dgm:pt>
    <dgm:pt modelId="{38062A44-8D99-4EF1-AD4E-9479B7BA23E9}" type="pres">
      <dgm:prSet presAssocID="{A90478D1-31E0-4DA8-B81E-14CEAC1DCD15}" presName="hSp" presStyleCnt="0"/>
      <dgm:spPr/>
      <dgm:t>
        <a:bodyPr/>
        <a:lstStyle/>
        <a:p>
          <a:endParaRPr lang="es-GT"/>
        </a:p>
      </dgm:t>
    </dgm:pt>
    <dgm:pt modelId="{5A53350B-6376-4ACA-8CF0-1FD94D891754}" type="pres">
      <dgm:prSet presAssocID="{A90478D1-31E0-4DA8-B81E-14CEAC1DCD15}" presName="vProcSp" presStyleCnt="0"/>
      <dgm:spPr/>
      <dgm:t>
        <a:bodyPr/>
        <a:lstStyle/>
        <a:p>
          <a:endParaRPr lang="es-GT"/>
        </a:p>
      </dgm:t>
    </dgm:pt>
    <dgm:pt modelId="{067D6A25-1B48-429E-AEC4-99E832D708F1}" type="pres">
      <dgm:prSet presAssocID="{A90478D1-31E0-4DA8-B81E-14CEAC1DCD15}" presName="vSp1" presStyleCnt="0"/>
      <dgm:spPr/>
      <dgm:t>
        <a:bodyPr/>
        <a:lstStyle/>
        <a:p>
          <a:endParaRPr lang="es-GT"/>
        </a:p>
      </dgm:t>
    </dgm:pt>
    <dgm:pt modelId="{4E11609F-EE01-414F-AEC6-9D1E982882E3}" type="pres">
      <dgm:prSet presAssocID="{A90478D1-31E0-4DA8-B81E-14CEAC1DCD15}" presName="simulatedConn" presStyleLbl="solidFgAcc1" presStyleIdx="1" presStyleCnt="4"/>
      <dgm:spPr/>
      <dgm:t>
        <a:bodyPr/>
        <a:lstStyle/>
        <a:p>
          <a:endParaRPr lang="es-GT"/>
        </a:p>
      </dgm:t>
    </dgm:pt>
    <dgm:pt modelId="{07DEC259-ECDF-4747-9379-DA2E62DE1F96}" type="pres">
      <dgm:prSet presAssocID="{A90478D1-31E0-4DA8-B81E-14CEAC1DCD15}" presName="vSp2" presStyleCnt="0"/>
      <dgm:spPr/>
      <dgm:t>
        <a:bodyPr/>
        <a:lstStyle/>
        <a:p>
          <a:endParaRPr lang="es-GT"/>
        </a:p>
      </dgm:t>
    </dgm:pt>
    <dgm:pt modelId="{344BB30E-6924-48A2-B2EC-BB8F4D94382D}" type="pres">
      <dgm:prSet presAssocID="{A90478D1-31E0-4DA8-B81E-14CEAC1DCD15}" presName="sibTrans" presStyleCnt="0"/>
      <dgm:spPr/>
      <dgm:t>
        <a:bodyPr/>
        <a:lstStyle/>
        <a:p>
          <a:endParaRPr lang="es-GT"/>
        </a:p>
      </dgm:t>
    </dgm:pt>
    <dgm:pt modelId="{DC7149E7-061D-4BAD-96FC-98ABCAF86CB1}" type="pres">
      <dgm:prSet presAssocID="{CC72A297-5828-4A9D-9FF9-FD45028AD682}" presName="compositeNode" presStyleCnt="0">
        <dgm:presLayoutVars>
          <dgm:bulletEnabled val="1"/>
        </dgm:presLayoutVars>
      </dgm:prSet>
      <dgm:spPr/>
      <dgm:t>
        <a:bodyPr/>
        <a:lstStyle/>
        <a:p>
          <a:endParaRPr lang="es-GT"/>
        </a:p>
      </dgm:t>
    </dgm:pt>
    <dgm:pt modelId="{198267DE-6CB5-45EE-A101-6BE8376791BC}" type="pres">
      <dgm:prSet presAssocID="{CC72A297-5828-4A9D-9FF9-FD45028AD682}" presName="bgRect" presStyleLbl="node1" presStyleIdx="2" presStyleCnt="5" custScaleY="151300" custLinFactNeighborX="287" custLinFactNeighborY="1521"/>
      <dgm:spPr/>
      <dgm:t>
        <a:bodyPr/>
        <a:lstStyle/>
        <a:p>
          <a:endParaRPr lang="es-GT"/>
        </a:p>
      </dgm:t>
    </dgm:pt>
    <dgm:pt modelId="{92769377-3694-4DF8-822B-8FC6BD45878B}" type="pres">
      <dgm:prSet presAssocID="{CC72A297-5828-4A9D-9FF9-FD45028AD682}" presName="parentNode" presStyleLbl="node1" presStyleIdx="2" presStyleCnt="5">
        <dgm:presLayoutVars>
          <dgm:chMax val="0"/>
          <dgm:bulletEnabled val="1"/>
        </dgm:presLayoutVars>
      </dgm:prSet>
      <dgm:spPr/>
      <dgm:t>
        <a:bodyPr/>
        <a:lstStyle/>
        <a:p>
          <a:endParaRPr lang="es-GT"/>
        </a:p>
      </dgm:t>
    </dgm:pt>
    <dgm:pt modelId="{A48B51B6-E46E-4877-9D7A-627EAF257B3D}" type="pres">
      <dgm:prSet presAssocID="{CC72A297-5828-4A9D-9FF9-FD45028AD682}" presName="childNode" presStyleLbl="node1" presStyleIdx="2" presStyleCnt="5">
        <dgm:presLayoutVars>
          <dgm:bulletEnabled val="1"/>
        </dgm:presLayoutVars>
      </dgm:prSet>
      <dgm:spPr/>
      <dgm:t>
        <a:bodyPr/>
        <a:lstStyle/>
        <a:p>
          <a:endParaRPr lang="es-GT"/>
        </a:p>
      </dgm:t>
    </dgm:pt>
    <dgm:pt modelId="{283C88FE-37D5-499B-8388-ED89F1C20F3A}" type="pres">
      <dgm:prSet presAssocID="{A4D63B50-F644-4249-A9DC-92106D68F543}" presName="hSp" presStyleCnt="0"/>
      <dgm:spPr/>
      <dgm:t>
        <a:bodyPr/>
        <a:lstStyle/>
        <a:p>
          <a:endParaRPr lang="es-GT"/>
        </a:p>
      </dgm:t>
    </dgm:pt>
    <dgm:pt modelId="{57F7991F-D66C-4EF3-825B-9CF35AA52CEF}" type="pres">
      <dgm:prSet presAssocID="{A4D63B50-F644-4249-A9DC-92106D68F543}" presName="vProcSp" presStyleCnt="0"/>
      <dgm:spPr/>
      <dgm:t>
        <a:bodyPr/>
        <a:lstStyle/>
        <a:p>
          <a:endParaRPr lang="es-GT"/>
        </a:p>
      </dgm:t>
    </dgm:pt>
    <dgm:pt modelId="{BD36D516-657C-44B9-A6D6-37267D2C2824}" type="pres">
      <dgm:prSet presAssocID="{A4D63B50-F644-4249-A9DC-92106D68F543}" presName="vSp1" presStyleCnt="0"/>
      <dgm:spPr/>
      <dgm:t>
        <a:bodyPr/>
        <a:lstStyle/>
        <a:p>
          <a:endParaRPr lang="es-GT"/>
        </a:p>
      </dgm:t>
    </dgm:pt>
    <dgm:pt modelId="{DAF1A7AA-6E09-4034-B4F6-F6129DE0D7E3}" type="pres">
      <dgm:prSet presAssocID="{A4D63B50-F644-4249-A9DC-92106D68F543}" presName="simulatedConn" presStyleLbl="solidFgAcc1" presStyleIdx="2" presStyleCnt="4"/>
      <dgm:spPr/>
      <dgm:t>
        <a:bodyPr/>
        <a:lstStyle/>
        <a:p>
          <a:endParaRPr lang="es-GT"/>
        </a:p>
      </dgm:t>
    </dgm:pt>
    <dgm:pt modelId="{AD5C3AF6-291D-4F04-868D-FE92B2CE8549}" type="pres">
      <dgm:prSet presAssocID="{A4D63B50-F644-4249-A9DC-92106D68F543}" presName="vSp2" presStyleCnt="0"/>
      <dgm:spPr/>
      <dgm:t>
        <a:bodyPr/>
        <a:lstStyle/>
        <a:p>
          <a:endParaRPr lang="es-GT"/>
        </a:p>
      </dgm:t>
    </dgm:pt>
    <dgm:pt modelId="{44D29CF7-55BA-4314-84A3-9614B5332AF2}" type="pres">
      <dgm:prSet presAssocID="{A4D63B50-F644-4249-A9DC-92106D68F543}" presName="sibTrans" presStyleCnt="0"/>
      <dgm:spPr/>
      <dgm:t>
        <a:bodyPr/>
        <a:lstStyle/>
        <a:p>
          <a:endParaRPr lang="es-GT"/>
        </a:p>
      </dgm:t>
    </dgm:pt>
    <dgm:pt modelId="{D428184C-CB03-4AC9-BA7D-E652BF28B8F6}" type="pres">
      <dgm:prSet presAssocID="{1BBDC5B4-4CD5-43E9-B95D-043520E938EE}" presName="compositeNode" presStyleCnt="0">
        <dgm:presLayoutVars>
          <dgm:bulletEnabled val="1"/>
        </dgm:presLayoutVars>
      </dgm:prSet>
      <dgm:spPr/>
      <dgm:t>
        <a:bodyPr/>
        <a:lstStyle/>
        <a:p>
          <a:endParaRPr lang="es-GT"/>
        </a:p>
      </dgm:t>
    </dgm:pt>
    <dgm:pt modelId="{FBBCE289-2033-468F-BFDB-8C31C08AC25B}" type="pres">
      <dgm:prSet presAssocID="{1BBDC5B4-4CD5-43E9-B95D-043520E938EE}" presName="bgRect" presStyleLbl="node1" presStyleIdx="3" presStyleCnt="5" custScaleY="151300" custLinFactNeighborX="287" custLinFactNeighborY="1521"/>
      <dgm:spPr/>
      <dgm:t>
        <a:bodyPr/>
        <a:lstStyle/>
        <a:p>
          <a:endParaRPr lang="es-GT"/>
        </a:p>
      </dgm:t>
    </dgm:pt>
    <dgm:pt modelId="{2A5B455E-634D-4CBB-97A5-27FBBAAE0F2B}" type="pres">
      <dgm:prSet presAssocID="{1BBDC5B4-4CD5-43E9-B95D-043520E938EE}" presName="parentNode" presStyleLbl="node1" presStyleIdx="3" presStyleCnt="5">
        <dgm:presLayoutVars>
          <dgm:chMax val="0"/>
          <dgm:bulletEnabled val="1"/>
        </dgm:presLayoutVars>
      </dgm:prSet>
      <dgm:spPr/>
      <dgm:t>
        <a:bodyPr/>
        <a:lstStyle/>
        <a:p>
          <a:endParaRPr lang="es-GT"/>
        </a:p>
      </dgm:t>
    </dgm:pt>
    <dgm:pt modelId="{2A1FE456-7FF1-4A26-B595-540D8A32EDAE}" type="pres">
      <dgm:prSet presAssocID="{1BBDC5B4-4CD5-43E9-B95D-043520E938EE}" presName="childNode" presStyleLbl="node1" presStyleIdx="3" presStyleCnt="5">
        <dgm:presLayoutVars>
          <dgm:bulletEnabled val="1"/>
        </dgm:presLayoutVars>
      </dgm:prSet>
      <dgm:spPr/>
      <dgm:t>
        <a:bodyPr/>
        <a:lstStyle/>
        <a:p>
          <a:endParaRPr lang="es-GT"/>
        </a:p>
      </dgm:t>
    </dgm:pt>
    <dgm:pt modelId="{B92BE503-095A-4C5F-8BA0-4E3263DA7553}" type="pres">
      <dgm:prSet presAssocID="{B0BA4937-785B-433B-831A-D85C2F9497D8}" presName="hSp" presStyleCnt="0"/>
      <dgm:spPr/>
      <dgm:t>
        <a:bodyPr/>
        <a:lstStyle/>
        <a:p>
          <a:endParaRPr lang="es-GT"/>
        </a:p>
      </dgm:t>
    </dgm:pt>
    <dgm:pt modelId="{1FEEAE68-5141-448C-99D5-05360D9D5B3B}" type="pres">
      <dgm:prSet presAssocID="{B0BA4937-785B-433B-831A-D85C2F9497D8}" presName="vProcSp" presStyleCnt="0"/>
      <dgm:spPr/>
      <dgm:t>
        <a:bodyPr/>
        <a:lstStyle/>
        <a:p>
          <a:endParaRPr lang="es-GT"/>
        </a:p>
      </dgm:t>
    </dgm:pt>
    <dgm:pt modelId="{ADFA8544-DC1B-4D54-B55A-27B916907106}" type="pres">
      <dgm:prSet presAssocID="{B0BA4937-785B-433B-831A-D85C2F9497D8}" presName="vSp1" presStyleCnt="0"/>
      <dgm:spPr/>
      <dgm:t>
        <a:bodyPr/>
        <a:lstStyle/>
        <a:p>
          <a:endParaRPr lang="es-GT"/>
        </a:p>
      </dgm:t>
    </dgm:pt>
    <dgm:pt modelId="{CB22D97D-EB2C-4F8D-9115-F399D37DB31B}" type="pres">
      <dgm:prSet presAssocID="{B0BA4937-785B-433B-831A-D85C2F9497D8}" presName="simulatedConn" presStyleLbl="solidFgAcc1" presStyleIdx="3" presStyleCnt="4"/>
      <dgm:spPr/>
      <dgm:t>
        <a:bodyPr/>
        <a:lstStyle/>
        <a:p>
          <a:endParaRPr lang="es-GT"/>
        </a:p>
      </dgm:t>
    </dgm:pt>
    <dgm:pt modelId="{4A63A686-2420-4289-938F-3B22048D52EC}" type="pres">
      <dgm:prSet presAssocID="{B0BA4937-785B-433B-831A-D85C2F9497D8}" presName="vSp2" presStyleCnt="0"/>
      <dgm:spPr/>
      <dgm:t>
        <a:bodyPr/>
        <a:lstStyle/>
        <a:p>
          <a:endParaRPr lang="es-GT"/>
        </a:p>
      </dgm:t>
    </dgm:pt>
    <dgm:pt modelId="{1762246B-E107-4728-8B3D-A2FB61374CF7}" type="pres">
      <dgm:prSet presAssocID="{B0BA4937-785B-433B-831A-D85C2F9497D8}" presName="sibTrans" presStyleCnt="0"/>
      <dgm:spPr/>
      <dgm:t>
        <a:bodyPr/>
        <a:lstStyle/>
        <a:p>
          <a:endParaRPr lang="es-GT"/>
        </a:p>
      </dgm:t>
    </dgm:pt>
    <dgm:pt modelId="{F5FCFB2A-4DDD-477E-8F35-1FA18A59963B}" type="pres">
      <dgm:prSet presAssocID="{AD5AD138-4D54-42B4-AA77-A0D5DE57C625}" presName="compositeNode" presStyleCnt="0">
        <dgm:presLayoutVars>
          <dgm:bulletEnabled val="1"/>
        </dgm:presLayoutVars>
      </dgm:prSet>
      <dgm:spPr/>
      <dgm:t>
        <a:bodyPr/>
        <a:lstStyle/>
        <a:p>
          <a:endParaRPr lang="es-GT"/>
        </a:p>
      </dgm:t>
    </dgm:pt>
    <dgm:pt modelId="{3133A6B4-026B-4E53-9EFA-F9D5C20F5AB4}" type="pres">
      <dgm:prSet presAssocID="{AD5AD138-4D54-42B4-AA77-A0D5DE57C625}" presName="bgRect" presStyleLbl="node1" presStyleIdx="4" presStyleCnt="5" custScaleY="151300" custLinFactNeighborX="287" custLinFactNeighborY="1521"/>
      <dgm:spPr/>
      <dgm:t>
        <a:bodyPr/>
        <a:lstStyle/>
        <a:p>
          <a:endParaRPr lang="es-GT"/>
        </a:p>
      </dgm:t>
    </dgm:pt>
    <dgm:pt modelId="{7EB41796-C993-4241-8159-28485284F0DE}" type="pres">
      <dgm:prSet presAssocID="{AD5AD138-4D54-42B4-AA77-A0D5DE57C625}" presName="parentNode" presStyleLbl="node1" presStyleIdx="4" presStyleCnt="5">
        <dgm:presLayoutVars>
          <dgm:chMax val="0"/>
          <dgm:bulletEnabled val="1"/>
        </dgm:presLayoutVars>
      </dgm:prSet>
      <dgm:spPr/>
      <dgm:t>
        <a:bodyPr/>
        <a:lstStyle/>
        <a:p>
          <a:endParaRPr lang="es-GT"/>
        </a:p>
      </dgm:t>
    </dgm:pt>
    <dgm:pt modelId="{45B7FB54-8064-49DA-A7CE-23CC35DDE52D}" type="pres">
      <dgm:prSet presAssocID="{AD5AD138-4D54-42B4-AA77-A0D5DE57C625}" presName="childNode" presStyleLbl="node1" presStyleIdx="4" presStyleCnt="5">
        <dgm:presLayoutVars>
          <dgm:bulletEnabled val="1"/>
        </dgm:presLayoutVars>
      </dgm:prSet>
      <dgm:spPr/>
      <dgm:t>
        <a:bodyPr/>
        <a:lstStyle/>
        <a:p>
          <a:endParaRPr lang="es-GT"/>
        </a:p>
      </dgm:t>
    </dgm:pt>
  </dgm:ptLst>
  <dgm:cxnLst>
    <dgm:cxn modelId="{370CF66F-5B34-4F10-9020-4A29C28E8A23}" type="presOf" srcId="{1DE91E8A-E6B4-4880-AF4E-6850B54FF068}" destId="{A48B51B6-E46E-4877-9D7A-627EAF257B3D}" srcOrd="0" destOrd="1" presId="urn:microsoft.com/office/officeart/2005/8/layout/hProcess7"/>
    <dgm:cxn modelId="{D1DD4EE3-8C69-4A3C-887E-5E12F33552CA}" srcId="{1BBDC5B4-4CD5-43E9-B95D-043520E938EE}" destId="{3979BC29-6E21-498E-9143-6EF5F2E98A12}" srcOrd="1" destOrd="0" parTransId="{A44227D3-D6C7-4036-9275-9A58140EA36D}" sibTransId="{996FD8AA-1E41-4802-9943-52EC602E8016}"/>
    <dgm:cxn modelId="{1C902C24-0061-4E6A-BB36-6C51B5FDFA4F}" srcId="{27D06750-2AC8-4C08-B5D9-0E957060E90E}" destId="{AD5AD138-4D54-42B4-AA77-A0D5DE57C625}" srcOrd="4" destOrd="0" parTransId="{D7F4C0A3-6CCC-4DC8-8EE5-DB0620239E80}" sibTransId="{0C47A03B-BBB8-458D-AA45-BC66EE6DB6CE}"/>
    <dgm:cxn modelId="{3A12EFB6-B727-4294-80F2-23D12B2BD817}" type="presOf" srcId="{FF5D5319-7A5E-4299-B05A-BAC75B3E48D8}" destId="{5935513A-6535-4C3A-B5A7-D30386AB8D30}" srcOrd="0" destOrd="4" presId="urn:microsoft.com/office/officeart/2005/8/layout/hProcess7"/>
    <dgm:cxn modelId="{A9D188B2-CF64-4E06-8323-62E475F81C6B}" type="presOf" srcId="{0CB2A049-71AE-4F5F-88DF-4784F3C94A03}" destId="{48C80EBA-AC10-483A-B53F-E317B3EA9AFE}" srcOrd="1" destOrd="0" presId="urn:microsoft.com/office/officeart/2005/8/layout/hProcess7"/>
    <dgm:cxn modelId="{85041F8F-441D-4124-989F-EBDA58B848EB}" srcId="{92205019-0B47-444B-BE22-5847EFE6E95E}" destId="{394BA089-D990-4CBF-86B2-4BDD1C25A521}" srcOrd="2" destOrd="0" parTransId="{FF2E3A46-133E-45CF-9241-A448C577FCB7}" sibTransId="{C55A6150-55E1-4186-A183-F2B4ACA12021}"/>
    <dgm:cxn modelId="{6C03F221-8B0B-4453-9281-FC4CEEA9581E}" srcId="{0CB2A049-71AE-4F5F-88DF-4784F3C94A03}" destId="{804CA8A0-CA77-43BF-AA9C-E7B4708F0D5B}" srcOrd="3" destOrd="0" parTransId="{3FDB29AE-F489-41C2-8A0A-6167674FFFC6}" sibTransId="{DAFC05BC-AC0B-47C2-8322-25D8E15BB282}"/>
    <dgm:cxn modelId="{C40AD8D0-8C2D-4347-98F3-63C7A0BADB36}" srcId="{27D06750-2AC8-4C08-B5D9-0E957060E90E}" destId="{0CB2A049-71AE-4F5F-88DF-4784F3C94A03}" srcOrd="1" destOrd="0" parTransId="{1F8615DA-A457-4DA3-BCA0-5F1CD23EE54B}" sibTransId="{A90478D1-31E0-4DA8-B81E-14CEAC1DCD15}"/>
    <dgm:cxn modelId="{5F7CB703-738A-40C6-BC77-1F38D1AFF7EC}" type="presOf" srcId="{C5C52761-9FCB-4CD1-B2B4-4F2EE19141FE}" destId="{A48B51B6-E46E-4877-9D7A-627EAF257B3D}" srcOrd="0" destOrd="0" presId="urn:microsoft.com/office/officeart/2005/8/layout/hProcess7"/>
    <dgm:cxn modelId="{C36309FC-88A0-4E39-9D75-983A86CA141A}" type="presOf" srcId="{612295E1-B788-44B1-A0A5-CAB3D4387DC5}" destId="{127A63E7-5E08-45FD-8475-7DC248500850}" srcOrd="0" destOrd="1" presId="urn:microsoft.com/office/officeart/2005/8/layout/hProcess7"/>
    <dgm:cxn modelId="{9A92B9F8-81D3-49AC-BF01-39405A380AE4}" srcId="{CC72A297-5828-4A9D-9FF9-FD45028AD682}" destId="{C5C52761-9FCB-4CD1-B2B4-4F2EE19141FE}" srcOrd="0" destOrd="0" parTransId="{0FEF253F-FCBC-4622-BE4C-ADAA070B70D3}" sibTransId="{1C20F8EF-5CEC-415C-AE3F-F48C71FDBFF1}"/>
    <dgm:cxn modelId="{4DB0FFD1-F181-4658-9E98-8C05C57E4734}" srcId="{CC72A297-5828-4A9D-9FF9-FD45028AD682}" destId="{E3AA2771-CD04-4778-8147-FA0E68D24DBB}" srcOrd="4" destOrd="0" parTransId="{BE7B542C-7C86-4EAF-9BD8-1B3AE6F45D8B}" sibTransId="{40A2478F-0432-42AC-A2D5-4FF286B5D5AE}"/>
    <dgm:cxn modelId="{B141F763-C15E-43E1-B52A-931A35CD9718}" type="presOf" srcId="{AD5AD138-4D54-42B4-AA77-A0D5DE57C625}" destId="{3133A6B4-026B-4E53-9EFA-F9D5C20F5AB4}" srcOrd="0" destOrd="0" presId="urn:microsoft.com/office/officeart/2005/8/layout/hProcess7"/>
    <dgm:cxn modelId="{0E30E80D-E0F6-4405-8F29-30ED48607B6C}" type="presOf" srcId="{B770844A-0FFB-4CB4-A2A8-B7ACA57F6F4B}" destId="{A48B51B6-E46E-4877-9D7A-627EAF257B3D}" srcOrd="0" destOrd="3" presId="urn:microsoft.com/office/officeart/2005/8/layout/hProcess7"/>
    <dgm:cxn modelId="{D8F28FB9-A1CD-4C4C-BE19-DCB5C0A76E3A}" srcId="{1BBDC5B4-4CD5-43E9-B95D-043520E938EE}" destId="{4562D712-BD6F-4D2E-A7DE-41EDF9CFCF23}" srcOrd="2" destOrd="0" parTransId="{95F76F68-B4AC-4B72-828C-E6A533495C86}" sibTransId="{5C61D54E-2827-41F4-9399-E6ECE0ABE6BE}"/>
    <dgm:cxn modelId="{8D6F683D-5532-4BCA-B727-B6131D5FDFA4}" srcId="{CC72A297-5828-4A9D-9FF9-FD45028AD682}" destId="{804CE117-123A-4822-BCE9-1CF13CF91086}" srcOrd="2" destOrd="0" parTransId="{37B9C1CD-EC13-4838-B5D1-A2EC2CB6CCDF}" sibTransId="{27AC0D4C-D4E5-4138-8324-1E2526CB7151}"/>
    <dgm:cxn modelId="{A3AFC77C-4DB4-41D5-8153-03EEEA0E3D28}" type="presOf" srcId="{27D06750-2AC8-4C08-B5D9-0E957060E90E}" destId="{A35F9ABE-841D-42F2-9487-75BE12A54A57}" srcOrd="0" destOrd="0" presId="urn:microsoft.com/office/officeart/2005/8/layout/hProcess7"/>
    <dgm:cxn modelId="{3D54E32A-00E5-4733-B2BC-3EB16F507167}" srcId="{0CB2A049-71AE-4F5F-88DF-4784F3C94A03}" destId="{E30C319F-1963-4CDB-812A-FA3BC5D75AD8}" srcOrd="1" destOrd="0" parTransId="{2E1C2188-F9E7-40E2-A2F6-A159EBBAC398}" sibTransId="{12FAF35D-1217-428B-B039-1A77EF6DCEE1}"/>
    <dgm:cxn modelId="{6A5C0727-19F7-4E29-9B2F-61C91992EE24}" type="presOf" srcId="{CC72A297-5828-4A9D-9FF9-FD45028AD682}" destId="{92769377-3694-4DF8-822B-8FC6BD45878B}" srcOrd="1" destOrd="0" presId="urn:microsoft.com/office/officeart/2005/8/layout/hProcess7"/>
    <dgm:cxn modelId="{94E008A7-F989-482C-A117-BFB76A553207}" type="presOf" srcId="{0CB2A049-71AE-4F5F-88DF-4784F3C94A03}" destId="{7E109832-DE9E-4735-9DAD-7AFC17513D50}" srcOrd="0" destOrd="0" presId="urn:microsoft.com/office/officeart/2005/8/layout/hProcess7"/>
    <dgm:cxn modelId="{78F9093D-5099-49C1-9E57-A7EA4A4E776B}" srcId="{27D06750-2AC8-4C08-B5D9-0E957060E90E}" destId="{CC72A297-5828-4A9D-9FF9-FD45028AD682}" srcOrd="2" destOrd="0" parTransId="{A3A8B115-8F93-4841-9E27-913A8888CF11}" sibTransId="{A4D63B50-F644-4249-A9DC-92106D68F543}"/>
    <dgm:cxn modelId="{C1E38328-FB77-4021-ABDB-A276C9B6312B}" type="presOf" srcId="{1BBDC5B4-4CD5-43E9-B95D-043520E938EE}" destId="{2A5B455E-634D-4CBB-97A5-27FBBAAE0F2B}" srcOrd="1" destOrd="0" presId="urn:microsoft.com/office/officeart/2005/8/layout/hProcess7"/>
    <dgm:cxn modelId="{DA23672B-BC6C-4344-B334-9A8E8A646203}" srcId="{0CB2A049-71AE-4F5F-88DF-4784F3C94A03}" destId="{660282E8-56C3-42CF-B2D7-4E732B0C8FC4}" srcOrd="2" destOrd="0" parTransId="{F4166BDE-3268-48CB-9F0C-6726CD52DCF9}" sibTransId="{73A86E97-176F-4C15-9CD1-35BF2B5F0AF1}"/>
    <dgm:cxn modelId="{7D8C1702-44C3-43C6-9718-94D23A1870A1}" type="presOf" srcId="{85B1C834-899D-4A14-9291-2468A450763B}" destId="{127A63E7-5E08-45FD-8475-7DC248500850}" srcOrd="0" destOrd="0" presId="urn:microsoft.com/office/officeart/2005/8/layout/hProcess7"/>
    <dgm:cxn modelId="{626D0F25-2A35-4E50-8A78-FFA407F0F6A4}" type="presOf" srcId="{CC72A297-5828-4A9D-9FF9-FD45028AD682}" destId="{198267DE-6CB5-45EE-A101-6BE8376791BC}" srcOrd="0" destOrd="0" presId="urn:microsoft.com/office/officeart/2005/8/layout/hProcess7"/>
    <dgm:cxn modelId="{B1D678B4-0506-452B-A040-94453AF4CFBA}" srcId="{92205019-0B47-444B-BE22-5847EFE6E95E}" destId="{612295E1-B788-44B1-A0A5-CAB3D4387DC5}" srcOrd="1" destOrd="0" parTransId="{64C0574B-DB2E-4218-9A36-08E70AC39770}" sibTransId="{5EE7773E-7A0C-4D7D-8874-BFAA24038B05}"/>
    <dgm:cxn modelId="{B2EB0083-9889-4F05-A744-EE52AA92E6B8}" type="presOf" srcId="{E30C319F-1963-4CDB-812A-FA3BC5D75AD8}" destId="{5935513A-6535-4C3A-B5A7-D30386AB8D30}" srcOrd="0" destOrd="1" presId="urn:microsoft.com/office/officeart/2005/8/layout/hProcess7"/>
    <dgm:cxn modelId="{A4B2403C-E259-404E-803E-4D32D87AA93E}" type="presOf" srcId="{3979BC29-6E21-498E-9143-6EF5F2E98A12}" destId="{2A1FE456-7FF1-4A26-B595-540D8A32EDAE}" srcOrd="0" destOrd="1" presId="urn:microsoft.com/office/officeart/2005/8/layout/hProcess7"/>
    <dgm:cxn modelId="{56B4F61C-7E95-41D6-9382-973784703273}" srcId="{CC72A297-5828-4A9D-9FF9-FD45028AD682}" destId="{B770844A-0FFB-4CB4-A2A8-B7ACA57F6F4B}" srcOrd="3" destOrd="0" parTransId="{9E6A7742-94EC-4CBC-ACB2-9BF0286A3BE7}" sibTransId="{BB266013-40A5-4269-AE5A-4299FA1FE1EA}"/>
    <dgm:cxn modelId="{353A4682-9EEA-4E6F-9FB9-2BEB1EA96CB6}" srcId="{AD5AD138-4D54-42B4-AA77-A0D5DE57C625}" destId="{2F88ACDA-5E89-4195-A7ED-B6626D447A3E}" srcOrd="0" destOrd="0" parTransId="{80C73B2D-D663-436C-909B-8781A1580C45}" sibTransId="{33E2D206-070D-4A49-9CB0-603D741B6CD3}"/>
    <dgm:cxn modelId="{FD26B3CE-AEDA-475B-B90F-E937C895046B}" type="presOf" srcId="{49E756C2-EC96-40EF-930E-B04B2010C50C}" destId="{5935513A-6535-4C3A-B5A7-D30386AB8D30}" srcOrd="0" destOrd="0" presId="urn:microsoft.com/office/officeart/2005/8/layout/hProcess7"/>
    <dgm:cxn modelId="{F79461E3-84E6-49D0-97AE-F4FB4F02AF24}" type="presOf" srcId="{1BBDC5B4-4CD5-43E9-B95D-043520E938EE}" destId="{FBBCE289-2033-468F-BFDB-8C31C08AC25B}" srcOrd="0" destOrd="0" presId="urn:microsoft.com/office/officeart/2005/8/layout/hProcess7"/>
    <dgm:cxn modelId="{0470754A-168F-4971-AA52-7E5983BF4950}" type="presOf" srcId="{394BA089-D990-4CBF-86B2-4BDD1C25A521}" destId="{127A63E7-5E08-45FD-8475-7DC248500850}" srcOrd="0" destOrd="2" presId="urn:microsoft.com/office/officeart/2005/8/layout/hProcess7"/>
    <dgm:cxn modelId="{B30FF83B-9161-4513-A00A-A6E85DEAFEDE}" type="presOf" srcId="{2F88ACDA-5E89-4195-A7ED-B6626D447A3E}" destId="{45B7FB54-8064-49DA-A7CE-23CC35DDE52D}" srcOrd="0" destOrd="0" presId="urn:microsoft.com/office/officeart/2005/8/layout/hProcess7"/>
    <dgm:cxn modelId="{5FBC5C1C-C2B1-40A5-8A55-977357DC7CB3}" type="presOf" srcId="{92205019-0B47-444B-BE22-5847EFE6E95E}" destId="{13D11462-7BDA-4FA4-A513-78E09C2B9B6F}" srcOrd="1" destOrd="0" presId="urn:microsoft.com/office/officeart/2005/8/layout/hProcess7"/>
    <dgm:cxn modelId="{8E445783-142F-4EB2-B7E2-C8C761982CFC}" srcId="{0CB2A049-71AE-4F5F-88DF-4784F3C94A03}" destId="{FF5D5319-7A5E-4299-B05A-BAC75B3E48D8}" srcOrd="4" destOrd="0" parTransId="{CB9A4A48-3667-4BF3-9B6F-C5BE90B5F39E}" sibTransId="{D18B3A17-9AC9-4845-83F8-B4A229AD8826}"/>
    <dgm:cxn modelId="{BA303BC6-9BB0-4797-8EAB-474E68BCA4A0}" type="presOf" srcId="{660282E8-56C3-42CF-B2D7-4E732B0C8FC4}" destId="{5935513A-6535-4C3A-B5A7-D30386AB8D30}" srcOrd="0" destOrd="2" presId="urn:microsoft.com/office/officeart/2005/8/layout/hProcess7"/>
    <dgm:cxn modelId="{C8E10F28-51B0-4074-A63C-5D055240CE27}" type="presOf" srcId="{AD5AD138-4D54-42B4-AA77-A0D5DE57C625}" destId="{7EB41796-C993-4241-8159-28485284F0DE}" srcOrd="1" destOrd="0" presId="urn:microsoft.com/office/officeart/2005/8/layout/hProcess7"/>
    <dgm:cxn modelId="{53FED9E3-E2BF-4F23-ACA4-7179047D2455}" srcId="{1BBDC5B4-4CD5-43E9-B95D-043520E938EE}" destId="{FAA9CD65-0A3E-4A0E-8AA7-91140FEBB0B4}" srcOrd="0" destOrd="0" parTransId="{3BE7A4C0-3F0D-4DBE-95DB-34E1E0CAC344}" sibTransId="{48226C81-24A9-473F-BF3D-CBBBE94720F5}"/>
    <dgm:cxn modelId="{FB23E2CF-2735-43D3-9590-D7EB31915EA0}" srcId="{92205019-0B47-444B-BE22-5847EFE6E95E}" destId="{85B1C834-899D-4A14-9291-2468A450763B}" srcOrd="0" destOrd="0" parTransId="{46E9904E-F8C0-4E2E-90FE-80DF30EB13EF}" sibTransId="{DE88A25C-952E-4C7F-9E3F-F488A791710C}"/>
    <dgm:cxn modelId="{05915066-26B9-4CC5-9A2A-81F7B832FDBE}" type="presOf" srcId="{92205019-0B47-444B-BE22-5847EFE6E95E}" destId="{22CEB57C-CF35-4E4A-B1C6-7E0EDA56D664}" srcOrd="0" destOrd="0" presId="urn:microsoft.com/office/officeart/2005/8/layout/hProcess7"/>
    <dgm:cxn modelId="{D2C05E8D-EA0E-40FA-9C3E-FF12FEF7FC18}" srcId="{27D06750-2AC8-4C08-B5D9-0E957060E90E}" destId="{92205019-0B47-444B-BE22-5847EFE6E95E}" srcOrd="0" destOrd="0" parTransId="{60C0C78D-79C3-4F61-9CB2-B9052F2D2D61}" sibTransId="{8791E905-B329-4F51-BC42-A914A12A5194}"/>
    <dgm:cxn modelId="{7792608F-E355-4F7B-9205-E2C4554AA3EB}" type="presOf" srcId="{804CE117-123A-4822-BCE9-1CF13CF91086}" destId="{A48B51B6-E46E-4877-9D7A-627EAF257B3D}" srcOrd="0" destOrd="2" presId="urn:microsoft.com/office/officeart/2005/8/layout/hProcess7"/>
    <dgm:cxn modelId="{DEBFEA68-736C-4A09-8816-83AF9E8A1EE8}" srcId="{27D06750-2AC8-4C08-B5D9-0E957060E90E}" destId="{1BBDC5B4-4CD5-43E9-B95D-043520E938EE}" srcOrd="3" destOrd="0" parTransId="{709F3F95-A8C2-4EAE-B9E8-9A2570CFA6AD}" sibTransId="{B0BA4937-785B-433B-831A-D85C2F9497D8}"/>
    <dgm:cxn modelId="{8ADB2A1E-808E-4323-A7B6-DCB00CB2C9D5}" srcId="{CC72A297-5828-4A9D-9FF9-FD45028AD682}" destId="{1DE91E8A-E6B4-4880-AF4E-6850B54FF068}" srcOrd="1" destOrd="0" parTransId="{E0799ECA-422F-40BD-AED2-ABA6495B047E}" sibTransId="{A5E43E2F-24B0-4A2F-B675-CEF44E493080}"/>
    <dgm:cxn modelId="{1CDFF48A-0AB3-490C-9EBF-0340EF43CA71}" type="presOf" srcId="{E3AA2771-CD04-4778-8147-FA0E68D24DBB}" destId="{A48B51B6-E46E-4877-9D7A-627EAF257B3D}" srcOrd="0" destOrd="4" presId="urn:microsoft.com/office/officeart/2005/8/layout/hProcess7"/>
    <dgm:cxn modelId="{D145F879-AF9D-4DE1-BA32-1488D5AEBA0B}" type="presOf" srcId="{4562D712-BD6F-4D2E-A7DE-41EDF9CFCF23}" destId="{2A1FE456-7FF1-4A26-B595-540D8A32EDAE}" srcOrd="0" destOrd="2" presId="urn:microsoft.com/office/officeart/2005/8/layout/hProcess7"/>
    <dgm:cxn modelId="{0F8791F4-3DB6-4EA8-A772-14CA86AC7542}" type="presOf" srcId="{804CA8A0-CA77-43BF-AA9C-E7B4708F0D5B}" destId="{5935513A-6535-4C3A-B5A7-D30386AB8D30}" srcOrd="0" destOrd="3" presId="urn:microsoft.com/office/officeart/2005/8/layout/hProcess7"/>
    <dgm:cxn modelId="{30E112C4-E946-4358-9496-F96FFAD2690E}" srcId="{0CB2A049-71AE-4F5F-88DF-4784F3C94A03}" destId="{49E756C2-EC96-40EF-930E-B04B2010C50C}" srcOrd="0" destOrd="0" parTransId="{8FF8AC72-D1D2-4B5D-981B-5C61B7247726}" sibTransId="{7F7E2FCD-A902-4037-A827-2747DE39BC6F}"/>
    <dgm:cxn modelId="{8EB99D71-BBD4-4FD8-B4CD-5300B4AE710B}" type="presOf" srcId="{FAA9CD65-0A3E-4A0E-8AA7-91140FEBB0B4}" destId="{2A1FE456-7FF1-4A26-B595-540D8A32EDAE}" srcOrd="0" destOrd="0" presId="urn:microsoft.com/office/officeart/2005/8/layout/hProcess7"/>
    <dgm:cxn modelId="{15AC0DC0-BE82-4DD0-95C0-7D0AF8E2318D}" type="presParOf" srcId="{A35F9ABE-841D-42F2-9487-75BE12A54A57}" destId="{DFBA8180-9AC7-4B10-BF21-3F1659474804}" srcOrd="0" destOrd="0" presId="urn:microsoft.com/office/officeart/2005/8/layout/hProcess7"/>
    <dgm:cxn modelId="{88BD0C20-B735-41E6-8CD0-8B96172FEC0B}" type="presParOf" srcId="{DFBA8180-9AC7-4B10-BF21-3F1659474804}" destId="{22CEB57C-CF35-4E4A-B1C6-7E0EDA56D664}" srcOrd="0" destOrd="0" presId="urn:microsoft.com/office/officeart/2005/8/layout/hProcess7"/>
    <dgm:cxn modelId="{D2C196AD-FFB8-43CB-B1FF-31C994CB458C}" type="presParOf" srcId="{DFBA8180-9AC7-4B10-BF21-3F1659474804}" destId="{13D11462-7BDA-4FA4-A513-78E09C2B9B6F}" srcOrd="1" destOrd="0" presId="urn:microsoft.com/office/officeart/2005/8/layout/hProcess7"/>
    <dgm:cxn modelId="{20C713A4-44B0-480E-A547-0BCFB4A684D2}" type="presParOf" srcId="{DFBA8180-9AC7-4B10-BF21-3F1659474804}" destId="{127A63E7-5E08-45FD-8475-7DC248500850}" srcOrd="2" destOrd="0" presId="urn:microsoft.com/office/officeart/2005/8/layout/hProcess7"/>
    <dgm:cxn modelId="{B635A1B2-4AAA-4334-A203-A5E78993305A}" type="presParOf" srcId="{A35F9ABE-841D-42F2-9487-75BE12A54A57}" destId="{C3611F4F-9263-45B9-8AA5-E3AA88FE9014}" srcOrd="1" destOrd="0" presId="urn:microsoft.com/office/officeart/2005/8/layout/hProcess7"/>
    <dgm:cxn modelId="{D966E90F-49F1-4ADC-A1AC-23C5B0DDC181}" type="presParOf" srcId="{A35F9ABE-841D-42F2-9487-75BE12A54A57}" destId="{F129D745-78EC-450A-8D17-2ABB0A71E974}" srcOrd="2" destOrd="0" presId="urn:microsoft.com/office/officeart/2005/8/layout/hProcess7"/>
    <dgm:cxn modelId="{CCEB4704-A5DE-4B22-81E5-3EDB3F9D90D3}" type="presParOf" srcId="{F129D745-78EC-450A-8D17-2ABB0A71E974}" destId="{CA2C854F-6CEA-4C94-84DA-10A549C794F5}" srcOrd="0" destOrd="0" presId="urn:microsoft.com/office/officeart/2005/8/layout/hProcess7"/>
    <dgm:cxn modelId="{92EB25E6-E99E-4BBC-BEAF-F0B43B5E34E4}" type="presParOf" srcId="{F129D745-78EC-450A-8D17-2ABB0A71E974}" destId="{9B95F5EC-5BA5-45FC-8BD6-33405844E506}" srcOrd="1" destOrd="0" presId="urn:microsoft.com/office/officeart/2005/8/layout/hProcess7"/>
    <dgm:cxn modelId="{214C0FAF-76F0-4A91-A7BB-3EE68778BAF2}" type="presParOf" srcId="{F129D745-78EC-450A-8D17-2ABB0A71E974}" destId="{F9FDC6F7-D56E-4929-A684-BFEA0275B575}" srcOrd="2" destOrd="0" presId="urn:microsoft.com/office/officeart/2005/8/layout/hProcess7"/>
    <dgm:cxn modelId="{E378C6F5-74DC-4B25-AA24-5D3258685A8B}" type="presParOf" srcId="{A35F9ABE-841D-42F2-9487-75BE12A54A57}" destId="{95E04E4B-4652-4D08-920D-9092DEFD1DBF}" srcOrd="3" destOrd="0" presId="urn:microsoft.com/office/officeart/2005/8/layout/hProcess7"/>
    <dgm:cxn modelId="{BBB55DA7-0532-43C8-A279-0CB322D5F549}" type="presParOf" srcId="{A35F9ABE-841D-42F2-9487-75BE12A54A57}" destId="{CAB4DC4B-BFB3-4A36-AE71-83E050379878}" srcOrd="4" destOrd="0" presId="urn:microsoft.com/office/officeart/2005/8/layout/hProcess7"/>
    <dgm:cxn modelId="{2C2F0B79-56DB-4C3E-A4E0-1A355E6945FF}" type="presParOf" srcId="{CAB4DC4B-BFB3-4A36-AE71-83E050379878}" destId="{7E109832-DE9E-4735-9DAD-7AFC17513D50}" srcOrd="0" destOrd="0" presId="urn:microsoft.com/office/officeart/2005/8/layout/hProcess7"/>
    <dgm:cxn modelId="{5E6D3779-DCA6-47A4-BBC7-F23E7557BF65}" type="presParOf" srcId="{CAB4DC4B-BFB3-4A36-AE71-83E050379878}" destId="{48C80EBA-AC10-483A-B53F-E317B3EA9AFE}" srcOrd="1" destOrd="0" presId="urn:microsoft.com/office/officeart/2005/8/layout/hProcess7"/>
    <dgm:cxn modelId="{73C3712B-63D2-4EA8-A57E-BEB7C5727AF7}" type="presParOf" srcId="{CAB4DC4B-BFB3-4A36-AE71-83E050379878}" destId="{5935513A-6535-4C3A-B5A7-D30386AB8D30}" srcOrd="2" destOrd="0" presId="urn:microsoft.com/office/officeart/2005/8/layout/hProcess7"/>
    <dgm:cxn modelId="{205E7F7B-8A11-4C7E-9DD3-12F203AD0C94}" type="presParOf" srcId="{A35F9ABE-841D-42F2-9487-75BE12A54A57}" destId="{38062A44-8D99-4EF1-AD4E-9479B7BA23E9}" srcOrd="5" destOrd="0" presId="urn:microsoft.com/office/officeart/2005/8/layout/hProcess7"/>
    <dgm:cxn modelId="{B2217C74-A815-4167-A0BE-60179F6DBA86}" type="presParOf" srcId="{A35F9ABE-841D-42F2-9487-75BE12A54A57}" destId="{5A53350B-6376-4ACA-8CF0-1FD94D891754}" srcOrd="6" destOrd="0" presId="urn:microsoft.com/office/officeart/2005/8/layout/hProcess7"/>
    <dgm:cxn modelId="{2AF78335-0A97-407F-B2C7-A4B73A04E585}" type="presParOf" srcId="{5A53350B-6376-4ACA-8CF0-1FD94D891754}" destId="{067D6A25-1B48-429E-AEC4-99E832D708F1}" srcOrd="0" destOrd="0" presId="urn:microsoft.com/office/officeart/2005/8/layout/hProcess7"/>
    <dgm:cxn modelId="{50ED3D23-1DDD-4330-9522-40B97B642FCB}" type="presParOf" srcId="{5A53350B-6376-4ACA-8CF0-1FD94D891754}" destId="{4E11609F-EE01-414F-AEC6-9D1E982882E3}" srcOrd="1" destOrd="0" presId="urn:microsoft.com/office/officeart/2005/8/layout/hProcess7"/>
    <dgm:cxn modelId="{0ABA525B-B754-43E6-87ED-836A77456F39}" type="presParOf" srcId="{5A53350B-6376-4ACA-8CF0-1FD94D891754}" destId="{07DEC259-ECDF-4747-9379-DA2E62DE1F96}" srcOrd="2" destOrd="0" presId="urn:microsoft.com/office/officeart/2005/8/layout/hProcess7"/>
    <dgm:cxn modelId="{24E816A3-4AC8-471E-8B65-D3C2B3ECCAB3}" type="presParOf" srcId="{A35F9ABE-841D-42F2-9487-75BE12A54A57}" destId="{344BB30E-6924-48A2-B2EC-BB8F4D94382D}" srcOrd="7" destOrd="0" presId="urn:microsoft.com/office/officeart/2005/8/layout/hProcess7"/>
    <dgm:cxn modelId="{5D248F53-FA9E-44DA-A442-6B2A20A9E34C}" type="presParOf" srcId="{A35F9ABE-841D-42F2-9487-75BE12A54A57}" destId="{DC7149E7-061D-4BAD-96FC-98ABCAF86CB1}" srcOrd="8" destOrd="0" presId="urn:microsoft.com/office/officeart/2005/8/layout/hProcess7"/>
    <dgm:cxn modelId="{FEDD5CD1-4AE5-4360-BFB2-DAF9B4FD6486}" type="presParOf" srcId="{DC7149E7-061D-4BAD-96FC-98ABCAF86CB1}" destId="{198267DE-6CB5-45EE-A101-6BE8376791BC}" srcOrd="0" destOrd="0" presId="urn:microsoft.com/office/officeart/2005/8/layout/hProcess7"/>
    <dgm:cxn modelId="{A3116CB5-AF33-4991-B4F2-E180C2F3C95C}" type="presParOf" srcId="{DC7149E7-061D-4BAD-96FC-98ABCAF86CB1}" destId="{92769377-3694-4DF8-822B-8FC6BD45878B}" srcOrd="1" destOrd="0" presId="urn:microsoft.com/office/officeart/2005/8/layout/hProcess7"/>
    <dgm:cxn modelId="{08CE0D0E-1971-49E5-9DF6-50C56046667C}" type="presParOf" srcId="{DC7149E7-061D-4BAD-96FC-98ABCAF86CB1}" destId="{A48B51B6-E46E-4877-9D7A-627EAF257B3D}" srcOrd="2" destOrd="0" presId="urn:microsoft.com/office/officeart/2005/8/layout/hProcess7"/>
    <dgm:cxn modelId="{884E2EE4-BF91-4946-A1FE-1466DC0A018B}" type="presParOf" srcId="{A35F9ABE-841D-42F2-9487-75BE12A54A57}" destId="{283C88FE-37D5-499B-8388-ED89F1C20F3A}" srcOrd="9" destOrd="0" presId="urn:microsoft.com/office/officeart/2005/8/layout/hProcess7"/>
    <dgm:cxn modelId="{21212597-C4EA-4054-9713-EE8F12579409}" type="presParOf" srcId="{A35F9ABE-841D-42F2-9487-75BE12A54A57}" destId="{57F7991F-D66C-4EF3-825B-9CF35AA52CEF}" srcOrd="10" destOrd="0" presId="urn:microsoft.com/office/officeart/2005/8/layout/hProcess7"/>
    <dgm:cxn modelId="{32E1B384-FE74-4168-A0BF-CCC4FC083FA7}" type="presParOf" srcId="{57F7991F-D66C-4EF3-825B-9CF35AA52CEF}" destId="{BD36D516-657C-44B9-A6D6-37267D2C2824}" srcOrd="0" destOrd="0" presId="urn:microsoft.com/office/officeart/2005/8/layout/hProcess7"/>
    <dgm:cxn modelId="{A0907730-47C8-4FF0-A09C-298B02FCE1B1}" type="presParOf" srcId="{57F7991F-D66C-4EF3-825B-9CF35AA52CEF}" destId="{DAF1A7AA-6E09-4034-B4F6-F6129DE0D7E3}" srcOrd="1" destOrd="0" presId="urn:microsoft.com/office/officeart/2005/8/layout/hProcess7"/>
    <dgm:cxn modelId="{432D61F3-C1D0-4B51-BD7E-5BBE14D0C26E}" type="presParOf" srcId="{57F7991F-D66C-4EF3-825B-9CF35AA52CEF}" destId="{AD5C3AF6-291D-4F04-868D-FE92B2CE8549}" srcOrd="2" destOrd="0" presId="urn:microsoft.com/office/officeart/2005/8/layout/hProcess7"/>
    <dgm:cxn modelId="{10DE625A-802C-40DF-BC26-C91956F21232}" type="presParOf" srcId="{A35F9ABE-841D-42F2-9487-75BE12A54A57}" destId="{44D29CF7-55BA-4314-84A3-9614B5332AF2}" srcOrd="11" destOrd="0" presId="urn:microsoft.com/office/officeart/2005/8/layout/hProcess7"/>
    <dgm:cxn modelId="{C34DAB9E-5198-47D3-A3F6-D0A5F518B5B6}" type="presParOf" srcId="{A35F9ABE-841D-42F2-9487-75BE12A54A57}" destId="{D428184C-CB03-4AC9-BA7D-E652BF28B8F6}" srcOrd="12" destOrd="0" presId="urn:microsoft.com/office/officeart/2005/8/layout/hProcess7"/>
    <dgm:cxn modelId="{2D7B8664-F80B-4433-A223-4995E77964D0}" type="presParOf" srcId="{D428184C-CB03-4AC9-BA7D-E652BF28B8F6}" destId="{FBBCE289-2033-468F-BFDB-8C31C08AC25B}" srcOrd="0" destOrd="0" presId="urn:microsoft.com/office/officeart/2005/8/layout/hProcess7"/>
    <dgm:cxn modelId="{DFB5F976-48EC-40AE-B2B1-CBB74A986A59}" type="presParOf" srcId="{D428184C-CB03-4AC9-BA7D-E652BF28B8F6}" destId="{2A5B455E-634D-4CBB-97A5-27FBBAAE0F2B}" srcOrd="1" destOrd="0" presId="urn:microsoft.com/office/officeart/2005/8/layout/hProcess7"/>
    <dgm:cxn modelId="{9CBFABDE-DE83-4393-A9AF-1D9D4B701F88}" type="presParOf" srcId="{D428184C-CB03-4AC9-BA7D-E652BF28B8F6}" destId="{2A1FE456-7FF1-4A26-B595-540D8A32EDAE}" srcOrd="2" destOrd="0" presId="urn:microsoft.com/office/officeart/2005/8/layout/hProcess7"/>
    <dgm:cxn modelId="{B544207F-F0FF-48B0-9066-091502120ACE}" type="presParOf" srcId="{A35F9ABE-841D-42F2-9487-75BE12A54A57}" destId="{B92BE503-095A-4C5F-8BA0-4E3263DA7553}" srcOrd="13" destOrd="0" presId="urn:microsoft.com/office/officeart/2005/8/layout/hProcess7"/>
    <dgm:cxn modelId="{72AE78CF-F4B2-4E50-A8B8-9A94A29EF4BD}" type="presParOf" srcId="{A35F9ABE-841D-42F2-9487-75BE12A54A57}" destId="{1FEEAE68-5141-448C-99D5-05360D9D5B3B}" srcOrd="14" destOrd="0" presId="urn:microsoft.com/office/officeart/2005/8/layout/hProcess7"/>
    <dgm:cxn modelId="{49C74C7A-BE56-4B6A-882A-324695546E09}" type="presParOf" srcId="{1FEEAE68-5141-448C-99D5-05360D9D5B3B}" destId="{ADFA8544-DC1B-4D54-B55A-27B916907106}" srcOrd="0" destOrd="0" presId="urn:microsoft.com/office/officeart/2005/8/layout/hProcess7"/>
    <dgm:cxn modelId="{A7C026DA-4285-48A0-A4C0-5A8B7C6B510B}" type="presParOf" srcId="{1FEEAE68-5141-448C-99D5-05360D9D5B3B}" destId="{CB22D97D-EB2C-4F8D-9115-F399D37DB31B}" srcOrd="1" destOrd="0" presId="urn:microsoft.com/office/officeart/2005/8/layout/hProcess7"/>
    <dgm:cxn modelId="{A98FB078-5165-4221-8314-1C31BC250E78}" type="presParOf" srcId="{1FEEAE68-5141-448C-99D5-05360D9D5B3B}" destId="{4A63A686-2420-4289-938F-3B22048D52EC}" srcOrd="2" destOrd="0" presId="urn:microsoft.com/office/officeart/2005/8/layout/hProcess7"/>
    <dgm:cxn modelId="{4B2A0462-3621-4890-9F14-F5F09B8B6CF1}" type="presParOf" srcId="{A35F9ABE-841D-42F2-9487-75BE12A54A57}" destId="{1762246B-E107-4728-8B3D-A2FB61374CF7}" srcOrd="15" destOrd="0" presId="urn:microsoft.com/office/officeart/2005/8/layout/hProcess7"/>
    <dgm:cxn modelId="{66E35A68-28AA-4AFC-B9AC-F4102DAFCB74}" type="presParOf" srcId="{A35F9ABE-841D-42F2-9487-75BE12A54A57}" destId="{F5FCFB2A-4DDD-477E-8F35-1FA18A59963B}" srcOrd="16" destOrd="0" presId="urn:microsoft.com/office/officeart/2005/8/layout/hProcess7"/>
    <dgm:cxn modelId="{D67EEAB3-FC7E-44B9-AC6C-A286AFFDC876}" type="presParOf" srcId="{F5FCFB2A-4DDD-477E-8F35-1FA18A59963B}" destId="{3133A6B4-026B-4E53-9EFA-F9D5C20F5AB4}" srcOrd="0" destOrd="0" presId="urn:microsoft.com/office/officeart/2005/8/layout/hProcess7"/>
    <dgm:cxn modelId="{4DFE07B4-854D-4379-A482-BCAB17F0D4A7}" type="presParOf" srcId="{F5FCFB2A-4DDD-477E-8F35-1FA18A59963B}" destId="{7EB41796-C993-4241-8159-28485284F0DE}" srcOrd="1" destOrd="0" presId="urn:microsoft.com/office/officeart/2005/8/layout/hProcess7"/>
    <dgm:cxn modelId="{2E8F0A72-7543-429E-A824-84C4B5DD02BD}" type="presParOf" srcId="{F5FCFB2A-4DDD-477E-8F35-1FA18A59963B}" destId="{45B7FB54-8064-49DA-A7CE-23CC35DDE52D}" srcOrd="2" destOrd="0" presId="urn:microsoft.com/office/officeart/2005/8/layout/hProcess7"/>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8F09EDA4-4725-41EF-9470-4BBAB88116B6}" type="doc">
      <dgm:prSet loTypeId="urn:microsoft.com/office/officeart/2005/8/layout/gear1" loCatId="cycle" qsTypeId="urn:microsoft.com/office/officeart/2005/8/quickstyle/simple2" qsCatId="simple" csTypeId="urn:microsoft.com/office/officeart/2005/8/colors/accent0_1" csCatId="mainScheme" phldr="1"/>
      <dgm:spPr/>
    </dgm:pt>
    <dgm:pt modelId="{C126AA58-8DBF-4EDC-AE8B-E49D10FB6129}">
      <dgm:prSet phldrT="[Texto]" custT="1"/>
      <dgm:spPr/>
      <dgm:t>
        <a:bodyPr/>
        <a:lstStyle/>
        <a:p>
          <a:pPr algn="ctr"/>
          <a:r>
            <a:rPr lang="es-MX" sz="1400">
              <a:latin typeface="Arial" pitchFamily="34" charset="0"/>
              <a:cs typeface="Arial" pitchFamily="34" charset="0"/>
            </a:rPr>
            <a:t>      </a:t>
          </a:r>
        </a:p>
        <a:p>
          <a:pPr algn="ctr"/>
          <a:r>
            <a:rPr lang="es-MX" sz="1100">
              <a:latin typeface="Arial" pitchFamily="34" charset="0"/>
              <a:cs typeface="Arial" pitchFamily="34" charset="0"/>
            </a:rPr>
            <a:t>De acuerdo al proceso presupuestario, luego de la aprobacion del  presupuesto 2019, la siguiente etapa es la de “ejecución” la cual inicia a partir del 1 de enero y concluye el 31 de diciembre del 2019.  Esta ejecución puede observarse a través del Sistema de Contabilidad Integrada (SICOIN) que se muestra en la página de internet del Ministerio de Finanzas Públicas.</a:t>
          </a:r>
          <a:endParaRPr lang="es-ES" sz="1100">
            <a:latin typeface="Arial" pitchFamily="34" charset="0"/>
            <a:cs typeface="Arial" pitchFamily="34" charset="0"/>
          </a:endParaRPr>
        </a:p>
      </dgm:t>
    </dgm:pt>
    <dgm:pt modelId="{3A3D80A3-515E-4DEA-96CD-BED1ED03177C}" type="parTrans" cxnId="{987ED06D-C629-40B9-B141-055745EF76A8}">
      <dgm:prSet/>
      <dgm:spPr/>
      <dgm:t>
        <a:bodyPr/>
        <a:lstStyle/>
        <a:p>
          <a:pPr algn="ctr"/>
          <a:endParaRPr lang="es-ES" sz="1400"/>
        </a:p>
      </dgm:t>
    </dgm:pt>
    <dgm:pt modelId="{E327BE49-C9D3-40DD-8F51-ABD2B2B2BC98}" type="sibTrans" cxnId="{987ED06D-C629-40B9-B141-055745EF76A8}">
      <dgm:prSet/>
      <dgm:spPr/>
      <dgm:t>
        <a:bodyPr/>
        <a:lstStyle/>
        <a:p>
          <a:pPr algn="ctr"/>
          <a:endParaRPr lang="es-ES" sz="1400">
            <a:solidFill>
              <a:sysClr val="windowText" lastClr="000000"/>
            </a:solidFill>
          </a:endParaRPr>
        </a:p>
      </dgm:t>
    </dgm:pt>
    <dgm:pt modelId="{86C3B0C3-FDA9-4712-A428-08D0067601C8}">
      <dgm:prSet phldrT="[Texto]" custT="1"/>
      <dgm:spPr/>
      <dgm:t>
        <a:bodyPr/>
        <a:lstStyle/>
        <a:p>
          <a:pPr algn="ctr"/>
          <a:r>
            <a:rPr lang="es-ES" sz="1400"/>
            <a:t>¿Qué sigue?</a:t>
          </a:r>
        </a:p>
      </dgm:t>
    </dgm:pt>
    <dgm:pt modelId="{BC865445-0DB7-46C3-A07E-F0B39415AEA1}" type="parTrans" cxnId="{D8DD9C1C-03C4-410E-9BD6-E87ACF07A11C}">
      <dgm:prSet/>
      <dgm:spPr/>
      <dgm:t>
        <a:bodyPr/>
        <a:lstStyle/>
        <a:p>
          <a:pPr algn="ctr"/>
          <a:endParaRPr lang="es-ES" sz="1400"/>
        </a:p>
      </dgm:t>
    </dgm:pt>
    <dgm:pt modelId="{3B5D55ED-F6ED-4926-8332-13C25D502167}" type="sibTrans" cxnId="{D8DD9C1C-03C4-410E-9BD6-E87ACF07A11C}">
      <dgm:prSet/>
      <dgm:spPr/>
      <dgm:t>
        <a:bodyPr/>
        <a:lstStyle/>
        <a:p>
          <a:pPr algn="ctr"/>
          <a:endParaRPr lang="es-ES" sz="1400">
            <a:solidFill>
              <a:sysClr val="windowText" lastClr="000000"/>
            </a:solidFill>
          </a:endParaRPr>
        </a:p>
      </dgm:t>
    </dgm:pt>
    <dgm:pt modelId="{54A6EA47-9256-4B80-8BA4-0DDC59465955}">
      <dgm:prSet phldrT="[Texto]" custT="1"/>
      <dgm:spPr/>
      <dgm:t>
        <a:bodyPr/>
        <a:lstStyle/>
        <a:p>
          <a:pPr algn="ctr"/>
          <a:r>
            <a:rPr lang="es-ES" sz="1400"/>
            <a:t>Y ahora ...</a:t>
          </a:r>
        </a:p>
      </dgm:t>
    </dgm:pt>
    <dgm:pt modelId="{90F35089-DEF0-4092-A934-D86CB850B24E}" type="parTrans" cxnId="{2DE6104C-615B-4D92-865B-6425E9561A8E}">
      <dgm:prSet/>
      <dgm:spPr/>
      <dgm:t>
        <a:bodyPr/>
        <a:lstStyle/>
        <a:p>
          <a:pPr algn="ctr"/>
          <a:endParaRPr lang="es-ES" sz="1400"/>
        </a:p>
      </dgm:t>
    </dgm:pt>
    <dgm:pt modelId="{C1D0E3EB-B3B0-4879-BA13-A60E0212F862}" type="sibTrans" cxnId="{2DE6104C-615B-4D92-865B-6425E9561A8E}">
      <dgm:prSet/>
      <dgm:spPr/>
      <dgm:t>
        <a:bodyPr/>
        <a:lstStyle/>
        <a:p>
          <a:pPr algn="ctr"/>
          <a:endParaRPr lang="es-ES" sz="1400">
            <a:solidFill>
              <a:sysClr val="windowText" lastClr="000000"/>
            </a:solidFill>
          </a:endParaRPr>
        </a:p>
      </dgm:t>
    </dgm:pt>
    <dgm:pt modelId="{05D9ACB2-DD96-4508-94E7-3D637467975A}" type="pres">
      <dgm:prSet presAssocID="{8F09EDA4-4725-41EF-9470-4BBAB88116B6}" presName="composite" presStyleCnt="0">
        <dgm:presLayoutVars>
          <dgm:chMax val="3"/>
          <dgm:animLvl val="lvl"/>
          <dgm:resizeHandles val="exact"/>
        </dgm:presLayoutVars>
      </dgm:prSet>
      <dgm:spPr/>
    </dgm:pt>
    <dgm:pt modelId="{DCACA94F-E61F-42FE-B586-D7A9B78E63D6}" type="pres">
      <dgm:prSet presAssocID="{C126AA58-8DBF-4EDC-AE8B-E49D10FB6129}" presName="gear1" presStyleLbl="node1" presStyleIdx="0" presStyleCnt="3" custScaleX="173948" custScaleY="167999" custLinFactNeighborY="-24440">
        <dgm:presLayoutVars>
          <dgm:chMax val="1"/>
          <dgm:bulletEnabled val="1"/>
        </dgm:presLayoutVars>
      </dgm:prSet>
      <dgm:spPr/>
      <dgm:t>
        <a:bodyPr/>
        <a:lstStyle/>
        <a:p>
          <a:endParaRPr lang="es-ES"/>
        </a:p>
      </dgm:t>
    </dgm:pt>
    <dgm:pt modelId="{401E244A-5401-4F60-8C56-A6D97646CC8B}" type="pres">
      <dgm:prSet presAssocID="{C126AA58-8DBF-4EDC-AE8B-E49D10FB6129}" presName="gear1srcNode" presStyleLbl="node1" presStyleIdx="0" presStyleCnt="3"/>
      <dgm:spPr/>
      <dgm:t>
        <a:bodyPr/>
        <a:lstStyle/>
        <a:p>
          <a:endParaRPr lang="es-ES"/>
        </a:p>
      </dgm:t>
    </dgm:pt>
    <dgm:pt modelId="{931BDD04-D631-4811-A2D7-4BEC968C79BB}" type="pres">
      <dgm:prSet presAssocID="{C126AA58-8DBF-4EDC-AE8B-E49D10FB6129}" presName="gear1dstNode" presStyleLbl="node1" presStyleIdx="0" presStyleCnt="3"/>
      <dgm:spPr/>
      <dgm:t>
        <a:bodyPr/>
        <a:lstStyle/>
        <a:p>
          <a:endParaRPr lang="es-ES"/>
        </a:p>
      </dgm:t>
    </dgm:pt>
    <dgm:pt modelId="{81FC616E-A812-43CA-BE26-454037A3180E}" type="pres">
      <dgm:prSet presAssocID="{86C3B0C3-FDA9-4712-A428-08D0067601C8}" presName="gear2" presStyleLbl="node1" presStyleIdx="1" presStyleCnt="3" custScaleX="76595" custScaleY="77127" custLinFactNeighborX="-45839" custLinFactNeighborY="69447">
        <dgm:presLayoutVars>
          <dgm:chMax val="1"/>
          <dgm:bulletEnabled val="1"/>
        </dgm:presLayoutVars>
      </dgm:prSet>
      <dgm:spPr/>
      <dgm:t>
        <a:bodyPr/>
        <a:lstStyle/>
        <a:p>
          <a:endParaRPr lang="es-ES"/>
        </a:p>
      </dgm:t>
    </dgm:pt>
    <dgm:pt modelId="{73C7C6CB-596E-44AF-BC6A-D4D65748A243}" type="pres">
      <dgm:prSet presAssocID="{86C3B0C3-FDA9-4712-A428-08D0067601C8}" presName="gear2srcNode" presStyleLbl="node1" presStyleIdx="1" presStyleCnt="3"/>
      <dgm:spPr/>
      <dgm:t>
        <a:bodyPr/>
        <a:lstStyle/>
        <a:p>
          <a:endParaRPr lang="es-ES"/>
        </a:p>
      </dgm:t>
    </dgm:pt>
    <dgm:pt modelId="{C72AF367-8F66-4034-9F73-088313CE43C1}" type="pres">
      <dgm:prSet presAssocID="{86C3B0C3-FDA9-4712-A428-08D0067601C8}" presName="gear2dstNode" presStyleLbl="node1" presStyleIdx="1" presStyleCnt="3"/>
      <dgm:spPr/>
      <dgm:t>
        <a:bodyPr/>
        <a:lstStyle/>
        <a:p>
          <a:endParaRPr lang="es-ES"/>
        </a:p>
      </dgm:t>
    </dgm:pt>
    <dgm:pt modelId="{2611DA17-EA28-4ECA-84D4-499A905A5779}" type="pres">
      <dgm:prSet presAssocID="{54A6EA47-9256-4B80-8BA4-0DDC59465955}" presName="gear3" presStyleLbl="node1" presStyleIdx="2" presStyleCnt="3" custScaleX="87792" custScaleY="82917" custLinFactNeighborX="-74157" custLinFactNeighborY="2384"/>
      <dgm:spPr/>
      <dgm:t>
        <a:bodyPr/>
        <a:lstStyle/>
        <a:p>
          <a:endParaRPr lang="es-ES"/>
        </a:p>
      </dgm:t>
    </dgm:pt>
    <dgm:pt modelId="{68485C3D-38C8-4CD7-BD98-C866624DF6F2}" type="pres">
      <dgm:prSet presAssocID="{54A6EA47-9256-4B80-8BA4-0DDC59465955}" presName="gear3tx" presStyleLbl="node1" presStyleIdx="2" presStyleCnt="3">
        <dgm:presLayoutVars>
          <dgm:chMax val="1"/>
          <dgm:bulletEnabled val="1"/>
        </dgm:presLayoutVars>
      </dgm:prSet>
      <dgm:spPr/>
      <dgm:t>
        <a:bodyPr/>
        <a:lstStyle/>
        <a:p>
          <a:endParaRPr lang="es-ES"/>
        </a:p>
      </dgm:t>
    </dgm:pt>
    <dgm:pt modelId="{E8FEDCDB-D4E7-49E7-AC5E-41F4D52C74A9}" type="pres">
      <dgm:prSet presAssocID="{54A6EA47-9256-4B80-8BA4-0DDC59465955}" presName="gear3srcNode" presStyleLbl="node1" presStyleIdx="2" presStyleCnt="3"/>
      <dgm:spPr/>
      <dgm:t>
        <a:bodyPr/>
        <a:lstStyle/>
        <a:p>
          <a:endParaRPr lang="es-ES"/>
        </a:p>
      </dgm:t>
    </dgm:pt>
    <dgm:pt modelId="{02850C05-B056-47A3-AAA6-A03EF8882B64}" type="pres">
      <dgm:prSet presAssocID="{54A6EA47-9256-4B80-8BA4-0DDC59465955}" presName="gear3dstNode" presStyleLbl="node1" presStyleIdx="2" presStyleCnt="3"/>
      <dgm:spPr/>
      <dgm:t>
        <a:bodyPr/>
        <a:lstStyle/>
        <a:p>
          <a:endParaRPr lang="es-ES"/>
        </a:p>
      </dgm:t>
    </dgm:pt>
    <dgm:pt modelId="{46497CD8-74A5-41BB-AD52-8F215F2FF68C}" type="pres">
      <dgm:prSet presAssocID="{E327BE49-C9D3-40DD-8F51-ABD2B2B2BC98}" presName="connector1" presStyleLbl="sibTrans2D1" presStyleIdx="0" presStyleCnt="3" custAng="20183926" custScaleX="63184" custScaleY="66567" custLinFactNeighborX="38447" custLinFactNeighborY="-57283"/>
      <dgm:spPr/>
      <dgm:t>
        <a:bodyPr/>
        <a:lstStyle/>
        <a:p>
          <a:endParaRPr lang="es-ES"/>
        </a:p>
      </dgm:t>
    </dgm:pt>
    <dgm:pt modelId="{9B72939C-AE9F-4A8D-ADC3-96DD67034C3D}" type="pres">
      <dgm:prSet presAssocID="{3B5D55ED-F6ED-4926-8332-13C25D502167}" presName="connector2" presStyleLbl="sibTrans2D1" presStyleIdx="1" presStyleCnt="3" custAng="20131324" custLinFactNeighborX="-11572" custLinFactNeighborY="11502"/>
      <dgm:spPr/>
      <dgm:t>
        <a:bodyPr/>
        <a:lstStyle/>
        <a:p>
          <a:endParaRPr lang="es-ES"/>
        </a:p>
      </dgm:t>
    </dgm:pt>
    <dgm:pt modelId="{D9342149-D46B-4818-9BCC-205D1B9896F8}" type="pres">
      <dgm:prSet presAssocID="{C1D0E3EB-B3B0-4879-BA13-A60E0212F862}" presName="connector3" presStyleLbl="sibTrans2D1" presStyleIdx="2" presStyleCnt="3" custAng="2850512" custLinFactNeighborX="1941" custLinFactNeighborY="24091"/>
      <dgm:spPr/>
      <dgm:t>
        <a:bodyPr/>
        <a:lstStyle/>
        <a:p>
          <a:endParaRPr lang="es-ES"/>
        </a:p>
      </dgm:t>
    </dgm:pt>
  </dgm:ptLst>
  <dgm:cxnLst>
    <dgm:cxn modelId="{9B83B835-79ED-4192-9026-9C5E20FDF517}" type="presOf" srcId="{C1D0E3EB-B3B0-4879-BA13-A60E0212F862}" destId="{D9342149-D46B-4818-9BCC-205D1B9896F8}" srcOrd="0" destOrd="0" presId="urn:microsoft.com/office/officeart/2005/8/layout/gear1"/>
    <dgm:cxn modelId="{2DE6104C-615B-4D92-865B-6425E9561A8E}" srcId="{8F09EDA4-4725-41EF-9470-4BBAB88116B6}" destId="{54A6EA47-9256-4B80-8BA4-0DDC59465955}" srcOrd="2" destOrd="0" parTransId="{90F35089-DEF0-4092-A934-D86CB850B24E}" sibTransId="{C1D0E3EB-B3B0-4879-BA13-A60E0212F862}"/>
    <dgm:cxn modelId="{E5010806-505A-45E9-A3FE-EBB874D81459}" type="presOf" srcId="{C126AA58-8DBF-4EDC-AE8B-E49D10FB6129}" destId="{DCACA94F-E61F-42FE-B586-D7A9B78E63D6}" srcOrd="0" destOrd="0" presId="urn:microsoft.com/office/officeart/2005/8/layout/gear1"/>
    <dgm:cxn modelId="{987ED06D-C629-40B9-B141-055745EF76A8}" srcId="{8F09EDA4-4725-41EF-9470-4BBAB88116B6}" destId="{C126AA58-8DBF-4EDC-AE8B-E49D10FB6129}" srcOrd="0" destOrd="0" parTransId="{3A3D80A3-515E-4DEA-96CD-BED1ED03177C}" sibTransId="{E327BE49-C9D3-40DD-8F51-ABD2B2B2BC98}"/>
    <dgm:cxn modelId="{8CA4DDBD-4A28-4A12-9CF8-AA05E7F34F26}" type="presOf" srcId="{E327BE49-C9D3-40DD-8F51-ABD2B2B2BC98}" destId="{46497CD8-74A5-41BB-AD52-8F215F2FF68C}" srcOrd="0" destOrd="0" presId="urn:microsoft.com/office/officeart/2005/8/layout/gear1"/>
    <dgm:cxn modelId="{62B988F7-972F-46ED-8823-8A0B5B9FEBF9}" type="presOf" srcId="{86C3B0C3-FDA9-4712-A428-08D0067601C8}" destId="{73C7C6CB-596E-44AF-BC6A-D4D65748A243}" srcOrd="1" destOrd="0" presId="urn:microsoft.com/office/officeart/2005/8/layout/gear1"/>
    <dgm:cxn modelId="{4FC9F1C9-D6A8-4FEC-A8D0-ECA837B289D5}" type="presOf" srcId="{54A6EA47-9256-4B80-8BA4-0DDC59465955}" destId="{2611DA17-EA28-4ECA-84D4-499A905A5779}" srcOrd="0" destOrd="0" presId="urn:microsoft.com/office/officeart/2005/8/layout/gear1"/>
    <dgm:cxn modelId="{3F3F5AED-E6E2-447F-8863-27783DACF3D2}" type="presOf" srcId="{86C3B0C3-FDA9-4712-A428-08D0067601C8}" destId="{C72AF367-8F66-4034-9F73-088313CE43C1}" srcOrd="2" destOrd="0" presId="urn:microsoft.com/office/officeart/2005/8/layout/gear1"/>
    <dgm:cxn modelId="{8AAF95D3-3FD8-4BD1-94CC-26482B80E1E3}" type="presOf" srcId="{54A6EA47-9256-4B80-8BA4-0DDC59465955}" destId="{02850C05-B056-47A3-AAA6-A03EF8882B64}" srcOrd="3" destOrd="0" presId="urn:microsoft.com/office/officeart/2005/8/layout/gear1"/>
    <dgm:cxn modelId="{7F1B9AAD-6344-492C-9EEF-04FFEDC74B32}" type="presOf" srcId="{C126AA58-8DBF-4EDC-AE8B-E49D10FB6129}" destId="{931BDD04-D631-4811-A2D7-4BEC968C79BB}" srcOrd="2" destOrd="0" presId="urn:microsoft.com/office/officeart/2005/8/layout/gear1"/>
    <dgm:cxn modelId="{D8DD9C1C-03C4-410E-9BD6-E87ACF07A11C}" srcId="{8F09EDA4-4725-41EF-9470-4BBAB88116B6}" destId="{86C3B0C3-FDA9-4712-A428-08D0067601C8}" srcOrd="1" destOrd="0" parTransId="{BC865445-0DB7-46C3-A07E-F0B39415AEA1}" sibTransId="{3B5D55ED-F6ED-4926-8332-13C25D502167}"/>
    <dgm:cxn modelId="{1965B540-4C51-4F41-B562-82C3335AAEA8}" type="presOf" srcId="{86C3B0C3-FDA9-4712-A428-08D0067601C8}" destId="{81FC616E-A812-43CA-BE26-454037A3180E}" srcOrd="0" destOrd="0" presId="urn:microsoft.com/office/officeart/2005/8/layout/gear1"/>
    <dgm:cxn modelId="{773A04A1-B0DF-41F4-8DAE-CE3869267D8E}" type="presOf" srcId="{8F09EDA4-4725-41EF-9470-4BBAB88116B6}" destId="{05D9ACB2-DD96-4508-94E7-3D637467975A}" srcOrd="0" destOrd="0" presId="urn:microsoft.com/office/officeart/2005/8/layout/gear1"/>
    <dgm:cxn modelId="{8B58D616-018F-4820-B186-196803877A24}" type="presOf" srcId="{C126AA58-8DBF-4EDC-AE8B-E49D10FB6129}" destId="{401E244A-5401-4F60-8C56-A6D97646CC8B}" srcOrd="1" destOrd="0" presId="urn:microsoft.com/office/officeart/2005/8/layout/gear1"/>
    <dgm:cxn modelId="{1776A628-FBF1-46DC-B534-95B8D66580CD}" type="presOf" srcId="{54A6EA47-9256-4B80-8BA4-0DDC59465955}" destId="{68485C3D-38C8-4CD7-BD98-C866624DF6F2}" srcOrd="1" destOrd="0" presId="urn:microsoft.com/office/officeart/2005/8/layout/gear1"/>
    <dgm:cxn modelId="{2CABDD6A-89E0-4726-AC24-671F01A96DD4}" type="presOf" srcId="{3B5D55ED-F6ED-4926-8332-13C25D502167}" destId="{9B72939C-AE9F-4A8D-ADC3-96DD67034C3D}" srcOrd="0" destOrd="0" presId="urn:microsoft.com/office/officeart/2005/8/layout/gear1"/>
    <dgm:cxn modelId="{F1503EB6-06E8-49A8-A50D-8C3EDB8575D7}" type="presOf" srcId="{54A6EA47-9256-4B80-8BA4-0DDC59465955}" destId="{E8FEDCDB-D4E7-49E7-AC5E-41F4D52C74A9}" srcOrd="2" destOrd="0" presId="urn:microsoft.com/office/officeart/2005/8/layout/gear1"/>
    <dgm:cxn modelId="{BBF989DD-C0AB-441C-8971-6FA3CFEC863E}" type="presParOf" srcId="{05D9ACB2-DD96-4508-94E7-3D637467975A}" destId="{DCACA94F-E61F-42FE-B586-D7A9B78E63D6}" srcOrd="0" destOrd="0" presId="urn:microsoft.com/office/officeart/2005/8/layout/gear1"/>
    <dgm:cxn modelId="{367D1C4E-7429-4BF0-844C-EA0B729B10B2}" type="presParOf" srcId="{05D9ACB2-DD96-4508-94E7-3D637467975A}" destId="{401E244A-5401-4F60-8C56-A6D97646CC8B}" srcOrd="1" destOrd="0" presId="urn:microsoft.com/office/officeart/2005/8/layout/gear1"/>
    <dgm:cxn modelId="{27E560FA-F305-4E29-988A-59BCE97A9CD8}" type="presParOf" srcId="{05D9ACB2-DD96-4508-94E7-3D637467975A}" destId="{931BDD04-D631-4811-A2D7-4BEC968C79BB}" srcOrd="2" destOrd="0" presId="urn:microsoft.com/office/officeart/2005/8/layout/gear1"/>
    <dgm:cxn modelId="{0ED67799-A3CB-498A-8788-1AB9E2A36E21}" type="presParOf" srcId="{05D9ACB2-DD96-4508-94E7-3D637467975A}" destId="{81FC616E-A812-43CA-BE26-454037A3180E}" srcOrd="3" destOrd="0" presId="urn:microsoft.com/office/officeart/2005/8/layout/gear1"/>
    <dgm:cxn modelId="{FFC4779F-7F52-41E2-A7E4-7E35FFFC564D}" type="presParOf" srcId="{05D9ACB2-DD96-4508-94E7-3D637467975A}" destId="{73C7C6CB-596E-44AF-BC6A-D4D65748A243}" srcOrd="4" destOrd="0" presId="urn:microsoft.com/office/officeart/2005/8/layout/gear1"/>
    <dgm:cxn modelId="{5CA85CF6-3EC2-4016-97B2-BD72313E8125}" type="presParOf" srcId="{05D9ACB2-DD96-4508-94E7-3D637467975A}" destId="{C72AF367-8F66-4034-9F73-088313CE43C1}" srcOrd="5" destOrd="0" presId="urn:microsoft.com/office/officeart/2005/8/layout/gear1"/>
    <dgm:cxn modelId="{1B0F5691-D8C5-40C1-A0A7-7B8FA77D8A9F}" type="presParOf" srcId="{05D9ACB2-DD96-4508-94E7-3D637467975A}" destId="{2611DA17-EA28-4ECA-84D4-499A905A5779}" srcOrd="6" destOrd="0" presId="urn:microsoft.com/office/officeart/2005/8/layout/gear1"/>
    <dgm:cxn modelId="{2A865D5B-B98E-4A64-A565-A29E028F0189}" type="presParOf" srcId="{05D9ACB2-DD96-4508-94E7-3D637467975A}" destId="{68485C3D-38C8-4CD7-BD98-C866624DF6F2}" srcOrd="7" destOrd="0" presId="urn:microsoft.com/office/officeart/2005/8/layout/gear1"/>
    <dgm:cxn modelId="{CC8F943E-7A50-4839-9464-2AC01A1FAAFC}" type="presParOf" srcId="{05D9ACB2-DD96-4508-94E7-3D637467975A}" destId="{E8FEDCDB-D4E7-49E7-AC5E-41F4D52C74A9}" srcOrd="8" destOrd="0" presId="urn:microsoft.com/office/officeart/2005/8/layout/gear1"/>
    <dgm:cxn modelId="{DB0FE1E7-C69E-4844-B317-97C5C0E9D08B}" type="presParOf" srcId="{05D9ACB2-DD96-4508-94E7-3D637467975A}" destId="{02850C05-B056-47A3-AAA6-A03EF8882B64}" srcOrd="9" destOrd="0" presId="urn:microsoft.com/office/officeart/2005/8/layout/gear1"/>
    <dgm:cxn modelId="{DA195BED-D0B2-43CD-B54B-ED78A22FE34E}" type="presParOf" srcId="{05D9ACB2-DD96-4508-94E7-3D637467975A}" destId="{46497CD8-74A5-41BB-AD52-8F215F2FF68C}" srcOrd="10" destOrd="0" presId="urn:microsoft.com/office/officeart/2005/8/layout/gear1"/>
    <dgm:cxn modelId="{C291C0C8-6E8E-47F1-973A-3DA11D1515BF}" type="presParOf" srcId="{05D9ACB2-DD96-4508-94E7-3D637467975A}" destId="{9B72939C-AE9F-4A8D-ADC3-96DD67034C3D}" srcOrd="11" destOrd="0" presId="urn:microsoft.com/office/officeart/2005/8/layout/gear1"/>
    <dgm:cxn modelId="{EBA52420-8E9F-4FBA-B77A-7DA53CCEB82C}" type="presParOf" srcId="{05D9ACB2-DD96-4508-94E7-3D637467975A}" destId="{D9342149-D46B-4818-9BCC-205D1B9896F8}" srcOrd="12" destOrd="0" presId="urn:microsoft.com/office/officeart/2005/8/layout/gear1"/>
  </dgm:cxnLst>
  <dgm:bg>
    <a:noFill/>
  </dgm:bg>
  <dgm:whole/>
  <dgm:extLst>
    <a:ext uri="http://schemas.microsoft.com/office/drawing/2008/diagram">
      <dsp:dataModelExt xmlns:dsp="http://schemas.microsoft.com/office/drawing/2008/diagram" relId="rId81"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E7A82775-37A3-449F-9E61-E170400CA88C}" type="doc">
      <dgm:prSet loTypeId="urn:microsoft.com/office/officeart/2005/8/layout/bList2#1" loCatId="list" qsTypeId="urn:microsoft.com/office/officeart/2005/8/quickstyle/3d3" qsCatId="3D" csTypeId="urn:microsoft.com/office/officeart/2005/8/colors/colorful5" csCatId="colorful" phldr="1"/>
      <dgm:spPr/>
      <dgm:t>
        <a:bodyPr/>
        <a:lstStyle/>
        <a:p>
          <a:endParaRPr lang="es-ES"/>
        </a:p>
      </dgm:t>
    </dgm:pt>
    <dgm:pt modelId="{25772E47-1AC8-4173-8583-A28C9A241DCD}">
      <dgm:prSet phldrT="[Texto]" custT="1"/>
      <dgm:spPr/>
      <dgm:t>
        <a:bodyPr/>
        <a:lstStyle/>
        <a:p>
          <a:pPr algn="ctr"/>
          <a:r>
            <a:rPr lang="es-ES" sz="1400" b="1">
              <a:latin typeface="Arial" pitchFamily="34" charset="0"/>
              <a:cs typeface="Arial" pitchFamily="34" charset="0"/>
            </a:rPr>
            <a:t>¿Cuánto?</a:t>
          </a:r>
        </a:p>
      </dgm:t>
    </dgm:pt>
    <dgm:pt modelId="{B2D81357-F3DA-4D2A-A928-72B388140285}" type="parTrans" cxnId="{522210BB-61F8-4B29-A3BA-8DB621C34AC8}">
      <dgm:prSet/>
      <dgm:spPr/>
      <dgm:t>
        <a:bodyPr/>
        <a:lstStyle/>
        <a:p>
          <a:pPr algn="ctr"/>
          <a:endParaRPr lang="es-ES" sz="1050">
            <a:solidFill>
              <a:sysClr val="windowText" lastClr="000000"/>
            </a:solidFill>
            <a:latin typeface="Arial" pitchFamily="34" charset="0"/>
            <a:cs typeface="Arial" pitchFamily="34" charset="0"/>
          </a:endParaRPr>
        </a:p>
      </dgm:t>
    </dgm:pt>
    <dgm:pt modelId="{FFD8AEB4-984B-4BA3-85F7-C13FBE5BE6C5}" type="sibTrans" cxnId="{522210BB-61F8-4B29-A3BA-8DB621C34AC8}">
      <dgm:prSet/>
      <dgm:spPr/>
      <dgm:t>
        <a:bodyPr/>
        <a:lstStyle/>
        <a:p>
          <a:pPr algn="ctr"/>
          <a:endParaRPr lang="es-ES" sz="1050">
            <a:solidFill>
              <a:sysClr val="windowText" lastClr="000000"/>
            </a:solidFill>
            <a:latin typeface="Arial" pitchFamily="34" charset="0"/>
            <a:cs typeface="Arial" pitchFamily="34" charset="0"/>
          </a:endParaRPr>
        </a:p>
      </dgm:t>
    </dgm:pt>
    <dgm:pt modelId="{B5F5340F-90DD-4F88-8FCD-FA56FEBBAE8E}">
      <dgm:prSet phldrT="[Texto]" custT="1"/>
      <dgm:spPr/>
      <dgm:t>
        <a:bodyPr/>
        <a:lstStyle/>
        <a:p>
          <a:pPr algn="ctr"/>
          <a:r>
            <a:rPr lang="es-ES" sz="1050" b="0">
              <a:latin typeface="Arial" pitchFamily="34" charset="0"/>
              <a:cs typeface="Arial" pitchFamily="34" charset="0"/>
            </a:rPr>
            <a:t>¿Cuánto de</a:t>
          </a:r>
          <a:r>
            <a:rPr lang="es-MX" sz="1050" b="0">
              <a:latin typeface="Arial" pitchFamily="34" charset="0"/>
              <a:cs typeface="Arial" pitchFamily="34" charset="0"/>
            </a:rPr>
            <a:t> los recursos asignados en el presupuesto,  son ejecutados por una institución? </a:t>
          </a:r>
          <a:endParaRPr lang="es-ES" sz="1050" b="0">
            <a:latin typeface="Arial" pitchFamily="34" charset="0"/>
            <a:cs typeface="Arial" pitchFamily="34" charset="0"/>
          </a:endParaRPr>
        </a:p>
      </dgm:t>
    </dgm:pt>
    <dgm:pt modelId="{2FD3C39D-778F-40F6-90B6-9F778EB04BD0}" type="parTrans" cxnId="{7439699F-8628-4D54-9667-277CDE8694E4}">
      <dgm:prSet/>
      <dgm:spPr/>
      <dgm:t>
        <a:bodyPr/>
        <a:lstStyle/>
        <a:p>
          <a:pPr algn="ctr"/>
          <a:endParaRPr lang="es-ES" sz="1050">
            <a:solidFill>
              <a:sysClr val="windowText" lastClr="000000"/>
            </a:solidFill>
            <a:latin typeface="Arial" pitchFamily="34" charset="0"/>
            <a:cs typeface="Arial" pitchFamily="34" charset="0"/>
          </a:endParaRPr>
        </a:p>
      </dgm:t>
    </dgm:pt>
    <dgm:pt modelId="{D65A170B-E18F-4083-85C4-E8DB864B6F4A}" type="sibTrans" cxnId="{7439699F-8628-4D54-9667-277CDE8694E4}">
      <dgm:prSet/>
      <dgm:spPr/>
      <dgm:t>
        <a:bodyPr/>
        <a:lstStyle/>
        <a:p>
          <a:pPr algn="ctr"/>
          <a:endParaRPr lang="es-ES" sz="1050">
            <a:solidFill>
              <a:sysClr val="windowText" lastClr="000000"/>
            </a:solidFill>
            <a:latin typeface="Arial" pitchFamily="34" charset="0"/>
            <a:cs typeface="Arial" pitchFamily="34" charset="0"/>
          </a:endParaRPr>
        </a:p>
      </dgm:t>
    </dgm:pt>
    <dgm:pt modelId="{9AB9410F-4229-4741-A381-EA7832A23C5E}">
      <dgm:prSet custT="1"/>
      <dgm:spPr/>
      <dgm:t>
        <a:bodyPr/>
        <a:lstStyle/>
        <a:p>
          <a:pPr algn="ctr"/>
          <a:r>
            <a:rPr lang="es-ES" sz="1400" b="1">
              <a:latin typeface="Arial" pitchFamily="34" charset="0"/>
              <a:cs typeface="Arial" pitchFamily="34" charset="0"/>
            </a:rPr>
            <a:t>¿Cómo? </a:t>
          </a:r>
        </a:p>
      </dgm:t>
    </dgm:pt>
    <dgm:pt modelId="{A82EB7DF-EC08-4146-8C94-15A8E4DB7F1E}" type="parTrans" cxnId="{4CFB882D-2852-4CD0-882D-0AAB3B5D8A42}">
      <dgm:prSet/>
      <dgm:spPr/>
      <dgm:t>
        <a:bodyPr/>
        <a:lstStyle/>
        <a:p>
          <a:pPr algn="ctr"/>
          <a:endParaRPr lang="es-ES" sz="1050">
            <a:solidFill>
              <a:sysClr val="windowText" lastClr="000000"/>
            </a:solidFill>
            <a:latin typeface="Arial" pitchFamily="34" charset="0"/>
            <a:cs typeface="Arial" pitchFamily="34" charset="0"/>
          </a:endParaRPr>
        </a:p>
      </dgm:t>
    </dgm:pt>
    <dgm:pt modelId="{73AA5154-A7CA-463F-BEB3-737C5652D927}" type="sibTrans" cxnId="{4CFB882D-2852-4CD0-882D-0AAB3B5D8A42}">
      <dgm:prSet/>
      <dgm:spPr/>
      <dgm:t>
        <a:bodyPr/>
        <a:lstStyle/>
        <a:p>
          <a:pPr algn="ctr"/>
          <a:endParaRPr lang="es-ES" sz="1050">
            <a:solidFill>
              <a:sysClr val="windowText" lastClr="000000"/>
            </a:solidFill>
            <a:latin typeface="Arial" pitchFamily="34" charset="0"/>
            <a:cs typeface="Arial" pitchFamily="34" charset="0"/>
          </a:endParaRPr>
        </a:p>
      </dgm:t>
    </dgm:pt>
    <dgm:pt modelId="{6D383DEC-526D-4103-A0B6-20F80FBAFB91}">
      <dgm:prSet custT="1"/>
      <dgm:spPr/>
      <dgm:t>
        <a:bodyPr/>
        <a:lstStyle/>
        <a:p>
          <a:pPr algn="ctr"/>
          <a:r>
            <a:rPr lang="es-MX" sz="1050">
              <a:latin typeface="Arial" pitchFamily="34" charset="0"/>
              <a:cs typeface="Arial" pitchFamily="34" charset="0"/>
            </a:rPr>
            <a:t>¿En qué programas y proyectos se atenderán las necesidades de la población? </a:t>
          </a:r>
          <a:endParaRPr lang="es-ES" sz="1050">
            <a:latin typeface="Arial" pitchFamily="34" charset="0"/>
            <a:cs typeface="Arial" pitchFamily="34" charset="0"/>
          </a:endParaRPr>
        </a:p>
      </dgm:t>
    </dgm:pt>
    <dgm:pt modelId="{398B0D32-2FAC-4543-BA88-EAD85C47597C}" type="parTrans" cxnId="{E68E10E3-0860-4DF4-B72F-1ED5A6A6C71B}">
      <dgm:prSet/>
      <dgm:spPr/>
      <dgm:t>
        <a:bodyPr/>
        <a:lstStyle/>
        <a:p>
          <a:pPr algn="ctr"/>
          <a:endParaRPr lang="es-ES" sz="1050">
            <a:solidFill>
              <a:sysClr val="windowText" lastClr="000000"/>
            </a:solidFill>
            <a:latin typeface="Arial" pitchFamily="34" charset="0"/>
            <a:cs typeface="Arial" pitchFamily="34" charset="0"/>
          </a:endParaRPr>
        </a:p>
      </dgm:t>
    </dgm:pt>
    <dgm:pt modelId="{980D3FA7-C873-4F4B-B30C-43494A096C35}" type="sibTrans" cxnId="{E68E10E3-0860-4DF4-B72F-1ED5A6A6C71B}">
      <dgm:prSet/>
      <dgm:spPr/>
      <dgm:t>
        <a:bodyPr/>
        <a:lstStyle/>
        <a:p>
          <a:pPr algn="ctr"/>
          <a:endParaRPr lang="es-ES" sz="1050">
            <a:solidFill>
              <a:sysClr val="windowText" lastClr="000000"/>
            </a:solidFill>
            <a:latin typeface="Arial" pitchFamily="34" charset="0"/>
            <a:cs typeface="Arial" pitchFamily="34" charset="0"/>
          </a:endParaRPr>
        </a:p>
      </dgm:t>
    </dgm:pt>
    <dgm:pt modelId="{BF83D0FE-285C-4440-A1C8-1478CFE7C761}">
      <dgm:prSet custT="1"/>
      <dgm:spPr/>
      <dgm:t>
        <a:bodyPr/>
        <a:lstStyle/>
        <a:p>
          <a:pPr algn="ctr"/>
          <a:r>
            <a:rPr lang="es-MX" sz="1050">
              <a:latin typeface="Arial" pitchFamily="34" charset="0"/>
              <a:cs typeface="Arial" pitchFamily="34" charset="0"/>
            </a:rPr>
            <a:t>Es decir, si se asignan a un programa de educación, salud, infraestructura, reconstrucción u otro.</a:t>
          </a:r>
          <a:endParaRPr lang="es-ES" sz="1050">
            <a:latin typeface="Arial" pitchFamily="34" charset="0"/>
            <a:cs typeface="Arial" pitchFamily="34" charset="0"/>
          </a:endParaRPr>
        </a:p>
      </dgm:t>
    </dgm:pt>
    <dgm:pt modelId="{C7162B54-7334-4267-8B1F-A6987A17011A}" type="parTrans" cxnId="{26AA7D7B-F7EC-4670-86AD-6DE1194DD87F}">
      <dgm:prSet/>
      <dgm:spPr/>
      <dgm:t>
        <a:bodyPr/>
        <a:lstStyle/>
        <a:p>
          <a:pPr algn="ctr"/>
          <a:endParaRPr lang="es-ES" sz="1050">
            <a:solidFill>
              <a:sysClr val="windowText" lastClr="000000"/>
            </a:solidFill>
            <a:latin typeface="Arial" pitchFamily="34" charset="0"/>
            <a:cs typeface="Arial" pitchFamily="34" charset="0"/>
          </a:endParaRPr>
        </a:p>
      </dgm:t>
    </dgm:pt>
    <dgm:pt modelId="{B31E0585-79B2-477D-A6D0-3D969113051D}" type="sibTrans" cxnId="{26AA7D7B-F7EC-4670-86AD-6DE1194DD87F}">
      <dgm:prSet/>
      <dgm:spPr/>
      <dgm:t>
        <a:bodyPr/>
        <a:lstStyle/>
        <a:p>
          <a:pPr algn="ctr"/>
          <a:endParaRPr lang="es-ES" sz="1050">
            <a:solidFill>
              <a:sysClr val="windowText" lastClr="000000"/>
            </a:solidFill>
            <a:latin typeface="Arial" pitchFamily="34" charset="0"/>
            <a:cs typeface="Arial" pitchFamily="34" charset="0"/>
          </a:endParaRPr>
        </a:p>
      </dgm:t>
    </dgm:pt>
    <dgm:pt modelId="{63292987-86E2-44BF-9362-57A9C1A822D8}">
      <dgm:prSet phldrT="[Texto]" custT="1"/>
      <dgm:spPr/>
      <dgm:t>
        <a:bodyPr/>
        <a:lstStyle/>
        <a:p>
          <a:pPr algn="ctr"/>
          <a:r>
            <a:rPr lang="es-MX" sz="1050" b="0">
              <a:latin typeface="Arial" pitchFamily="34" charset="0"/>
              <a:cs typeface="Arial" pitchFamily="34" charset="0"/>
            </a:rPr>
            <a:t>Por ejemplo: si un ministerio invirtió  el total de los recursos que le trasladaron, o fue menos y porqué razón.</a:t>
          </a:r>
          <a:endParaRPr lang="es-ES" sz="1050" b="0">
            <a:latin typeface="Arial" pitchFamily="34" charset="0"/>
            <a:cs typeface="Arial" pitchFamily="34" charset="0"/>
          </a:endParaRPr>
        </a:p>
      </dgm:t>
    </dgm:pt>
    <dgm:pt modelId="{564E440C-AD06-4363-B432-3CCD56B3A3BC}" type="parTrans" cxnId="{F7DD64D2-D21F-4909-82BC-384EC932CF2E}">
      <dgm:prSet/>
      <dgm:spPr/>
      <dgm:t>
        <a:bodyPr/>
        <a:lstStyle/>
        <a:p>
          <a:pPr algn="ctr"/>
          <a:endParaRPr lang="es-ES" sz="1050">
            <a:solidFill>
              <a:sysClr val="windowText" lastClr="000000"/>
            </a:solidFill>
            <a:latin typeface="Arial" pitchFamily="34" charset="0"/>
            <a:cs typeface="Arial" pitchFamily="34" charset="0"/>
          </a:endParaRPr>
        </a:p>
      </dgm:t>
    </dgm:pt>
    <dgm:pt modelId="{879BD15A-1DFE-4A79-A987-D8D576B25D4D}" type="sibTrans" cxnId="{F7DD64D2-D21F-4909-82BC-384EC932CF2E}">
      <dgm:prSet/>
      <dgm:spPr/>
      <dgm:t>
        <a:bodyPr/>
        <a:lstStyle/>
        <a:p>
          <a:pPr algn="ctr"/>
          <a:endParaRPr lang="es-ES" sz="1050">
            <a:solidFill>
              <a:sysClr val="windowText" lastClr="000000"/>
            </a:solidFill>
            <a:latin typeface="Arial" pitchFamily="34" charset="0"/>
            <a:cs typeface="Arial" pitchFamily="34" charset="0"/>
          </a:endParaRPr>
        </a:p>
      </dgm:t>
    </dgm:pt>
    <dgm:pt modelId="{133326A4-6344-4115-8808-6135F5365748}">
      <dgm:prSet custT="1"/>
      <dgm:spPr/>
      <dgm:t>
        <a:bodyPr/>
        <a:lstStyle/>
        <a:p>
          <a:pPr algn="ctr"/>
          <a:r>
            <a:rPr lang="es-MX" sz="1050">
              <a:latin typeface="Arial" pitchFamily="34" charset="0"/>
              <a:cs typeface="Arial" pitchFamily="34" charset="0"/>
            </a:rPr>
            <a:t>¿En qué renglones de gasto o</a:t>
          </a:r>
          <a:r>
            <a:rPr lang="es-MX" sz="1050" b="1">
              <a:latin typeface="Arial" pitchFamily="34" charset="0"/>
              <a:cs typeface="Arial" pitchFamily="34" charset="0"/>
            </a:rPr>
            <a:t> </a:t>
          </a:r>
          <a:r>
            <a:rPr lang="es-MX" sz="1050">
              <a:latin typeface="Arial" pitchFamily="34" charset="0"/>
              <a:cs typeface="Arial" pitchFamily="34" charset="0"/>
            </a:rPr>
            <a:t>insumos básicos se utilizarán los recursos para llevar a cabo los programas y proyectos? </a:t>
          </a:r>
          <a:endParaRPr lang="es-ES" sz="1050">
            <a:latin typeface="Arial" pitchFamily="34" charset="0"/>
            <a:cs typeface="Arial" pitchFamily="34" charset="0"/>
          </a:endParaRPr>
        </a:p>
      </dgm:t>
    </dgm:pt>
    <dgm:pt modelId="{F0A1EDD0-3514-46D6-8FEB-6D9886CBDADE}">
      <dgm:prSet custT="1"/>
      <dgm:spPr/>
      <dgm:t>
        <a:bodyPr/>
        <a:lstStyle/>
        <a:p>
          <a:pPr algn="ctr"/>
          <a:r>
            <a:rPr lang="es-ES" sz="1400" b="1">
              <a:latin typeface="Arial" pitchFamily="34" charset="0"/>
              <a:cs typeface="Arial" pitchFamily="34" charset="0"/>
            </a:rPr>
            <a:t>¿En qué?</a:t>
          </a:r>
        </a:p>
      </dgm:t>
    </dgm:pt>
    <dgm:pt modelId="{5789FFA1-E91A-40E2-B113-EE77291030DA}" type="sibTrans" cxnId="{5A7B0BD1-029F-418B-835F-0D338FD14398}">
      <dgm:prSet/>
      <dgm:spPr/>
      <dgm:t>
        <a:bodyPr/>
        <a:lstStyle/>
        <a:p>
          <a:pPr algn="ctr"/>
          <a:endParaRPr lang="es-ES" sz="1050">
            <a:solidFill>
              <a:sysClr val="windowText" lastClr="000000"/>
            </a:solidFill>
            <a:latin typeface="Arial" pitchFamily="34" charset="0"/>
            <a:cs typeface="Arial" pitchFamily="34" charset="0"/>
          </a:endParaRPr>
        </a:p>
      </dgm:t>
    </dgm:pt>
    <dgm:pt modelId="{365A863F-C6FA-44E5-BBBB-B855B78D50F1}" type="parTrans" cxnId="{5A7B0BD1-029F-418B-835F-0D338FD14398}">
      <dgm:prSet/>
      <dgm:spPr/>
      <dgm:t>
        <a:bodyPr/>
        <a:lstStyle/>
        <a:p>
          <a:pPr algn="ctr"/>
          <a:endParaRPr lang="es-ES" sz="1050">
            <a:solidFill>
              <a:sysClr val="windowText" lastClr="000000"/>
            </a:solidFill>
            <a:latin typeface="Arial" pitchFamily="34" charset="0"/>
            <a:cs typeface="Arial" pitchFamily="34" charset="0"/>
          </a:endParaRPr>
        </a:p>
      </dgm:t>
    </dgm:pt>
    <dgm:pt modelId="{1CA85CAC-7DF8-4EDD-9D0D-86D8D85D02E5}" type="sibTrans" cxnId="{83E9A672-76A4-4529-9911-A4D5E7DF57EC}">
      <dgm:prSet/>
      <dgm:spPr/>
      <dgm:t>
        <a:bodyPr/>
        <a:lstStyle/>
        <a:p>
          <a:pPr algn="ctr"/>
          <a:endParaRPr lang="es-ES" sz="1050">
            <a:solidFill>
              <a:sysClr val="windowText" lastClr="000000"/>
            </a:solidFill>
            <a:latin typeface="Arial" pitchFamily="34" charset="0"/>
            <a:cs typeface="Arial" pitchFamily="34" charset="0"/>
          </a:endParaRPr>
        </a:p>
      </dgm:t>
    </dgm:pt>
    <dgm:pt modelId="{88B8417E-05E6-407F-A017-C36EA3F28E20}" type="parTrans" cxnId="{83E9A672-76A4-4529-9911-A4D5E7DF57EC}">
      <dgm:prSet/>
      <dgm:spPr/>
      <dgm:t>
        <a:bodyPr/>
        <a:lstStyle/>
        <a:p>
          <a:pPr algn="ctr"/>
          <a:endParaRPr lang="es-ES" sz="1050">
            <a:solidFill>
              <a:sysClr val="windowText" lastClr="000000"/>
            </a:solidFill>
            <a:latin typeface="Arial" pitchFamily="34" charset="0"/>
            <a:cs typeface="Arial" pitchFamily="34" charset="0"/>
          </a:endParaRPr>
        </a:p>
      </dgm:t>
    </dgm:pt>
    <dgm:pt modelId="{8989957F-86F3-41C2-AE96-A29B089E831D}">
      <dgm:prSet phldrT="[Texto]" custT="1"/>
      <dgm:spPr/>
      <dgm:t>
        <a:bodyPr/>
        <a:lstStyle/>
        <a:p>
          <a:pPr algn="ctr"/>
          <a:r>
            <a:rPr lang="es-MX" sz="1050" b="0">
              <a:latin typeface="Arial" pitchFamily="34" charset="0"/>
              <a:cs typeface="Arial" pitchFamily="34" charset="0"/>
            </a:rPr>
            <a:t>Identifica a la institución. </a:t>
          </a:r>
          <a:r>
            <a:rPr lang="es-MX" sz="1050">
              <a:latin typeface="Arial" pitchFamily="34" charset="0"/>
              <a:cs typeface="Arial" pitchFamily="34" charset="0"/>
            </a:rPr>
            <a:t>Por ejemplo: un Ministerio, una Secretaría, Dependencia, entre otros.</a:t>
          </a:r>
          <a:endParaRPr lang="es-ES" sz="1050" b="0">
            <a:latin typeface="Arial" pitchFamily="34" charset="0"/>
            <a:cs typeface="Arial" pitchFamily="34" charset="0"/>
          </a:endParaRPr>
        </a:p>
      </dgm:t>
    </dgm:pt>
    <dgm:pt modelId="{B04390F1-B90F-4599-9E70-D1F21D14BDC5}">
      <dgm:prSet phldrT="[Texto]" custT="1"/>
      <dgm:spPr/>
      <dgm:t>
        <a:bodyPr/>
        <a:lstStyle/>
        <a:p>
          <a:pPr algn="ctr"/>
          <a:r>
            <a:rPr lang="es-MX" sz="1050" b="0">
              <a:latin typeface="Arial" pitchFamily="34" charset="0"/>
              <a:cs typeface="Arial" pitchFamily="34" charset="0"/>
            </a:rPr>
            <a:t>¿Quién ejecutará los recursos públicos? </a:t>
          </a:r>
          <a:endParaRPr lang="es-ES" sz="1050" b="0">
            <a:latin typeface="Arial" pitchFamily="34" charset="0"/>
            <a:cs typeface="Arial" pitchFamily="34" charset="0"/>
          </a:endParaRPr>
        </a:p>
      </dgm:t>
    </dgm:pt>
    <dgm:pt modelId="{3E3E4034-7F8E-4391-B0BF-281ABDA5B4C1}">
      <dgm:prSet phldrT="[Texto]" custT="1"/>
      <dgm:spPr/>
      <dgm:t>
        <a:bodyPr/>
        <a:lstStyle/>
        <a:p>
          <a:pPr algn="ctr"/>
          <a:r>
            <a:rPr lang="es-ES" sz="1400" b="1">
              <a:latin typeface="Arial" pitchFamily="34" charset="0"/>
              <a:cs typeface="Arial" pitchFamily="34" charset="0"/>
            </a:rPr>
            <a:t>¿Quién?</a:t>
          </a:r>
        </a:p>
      </dgm:t>
    </dgm:pt>
    <dgm:pt modelId="{E94A1F33-6AF4-4803-97C5-E2066DD93741}" type="sibTrans" cxnId="{3F8337D9-D3AA-48F1-9142-7AEDD949A2A9}">
      <dgm:prSet/>
      <dgm:spPr/>
      <dgm:t>
        <a:bodyPr/>
        <a:lstStyle/>
        <a:p>
          <a:pPr algn="ctr"/>
          <a:endParaRPr lang="es-ES" sz="1050">
            <a:solidFill>
              <a:sysClr val="windowText" lastClr="000000"/>
            </a:solidFill>
            <a:latin typeface="Arial" pitchFamily="34" charset="0"/>
            <a:cs typeface="Arial" pitchFamily="34" charset="0"/>
          </a:endParaRPr>
        </a:p>
      </dgm:t>
    </dgm:pt>
    <dgm:pt modelId="{1689BF15-7902-41EA-9CAF-9D72680C24A1}" type="parTrans" cxnId="{3F8337D9-D3AA-48F1-9142-7AEDD949A2A9}">
      <dgm:prSet/>
      <dgm:spPr/>
      <dgm:t>
        <a:bodyPr/>
        <a:lstStyle/>
        <a:p>
          <a:pPr algn="ctr"/>
          <a:endParaRPr lang="es-ES" sz="1050">
            <a:solidFill>
              <a:sysClr val="windowText" lastClr="000000"/>
            </a:solidFill>
            <a:latin typeface="Arial" pitchFamily="34" charset="0"/>
            <a:cs typeface="Arial" pitchFamily="34" charset="0"/>
          </a:endParaRPr>
        </a:p>
      </dgm:t>
    </dgm:pt>
    <dgm:pt modelId="{68BB73CC-B912-4DA0-BC69-D4248B316A11}" type="sibTrans" cxnId="{547F6939-5901-4AA1-BF14-48000732D18E}">
      <dgm:prSet/>
      <dgm:spPr/>
      <dgm:t>
        <a:bodyPr/>
        <a:lstStyle/>
        <a:p>
          <a:pPr algn="ctr"/>
          <a:endParaRPr lang="es-ES" sz="1050">
            <a:solidFill>
              <a:sysClr val="windowText" lastClr="000000"/>
            </a:solidFill>
            <a:latin typeface="Arial" pitchFamily="34" charset="0"/>
            <a:cs typeface="Arial" pitchFamily="34" charset="0"/>
          </a:endParaRPr>
        </a:p>
      </dgm:t>
    </dgm:pt>
    <dgm:pt modelId="{B4A16304-FEC0-4BFB-8697-61887B16A34B}" type="parTrans" cxnId="{547F6939-5901-4AA1-BF14-48000732D18E}">
      <dgm:prSet/>
      <dgm:spPr/>
      <dgm:t>
        <a:bodyPr/>
        <a:lstStyle/>
        <a:p>
          <a:pPr algn="ctr"/>
          <a:endParaRPr lang="es-ES" sz="1050">
            <a:solidFill>
              <a:sysClr val="windowText" lastClr="000000"/>
            </a:solidFill>
            <a:latin typeface="Arial" pitchFamily="34" charset="0"/>
            <a:cs typeface="Arial" pitchFamily="34" charset="0"/>
          </a:endParaRPr>
        </a:p>
      </dgm:t>
    </dgm:pt>
    <dgm:pt modelId="{25EDDEDA-636E-42AB-A32F-64F60E776E79}" type="sibTrans" cxnId="{F58BFC1D-691A-47D5-8D90-AEBA36E1FCF5}">
      <dgm:prSet/>
      <dgm:spPr/>
      <dgm:t>
        <a:bodyPr/>
        <a:lstStyle/>
        <a:p>
          <a:pPr algn="ctr"/>
          <a:endParaRPr lang="es-ES" sz="1050">
            <a:solidFill>
              <a:sysClr val="windowText" lastClr="000000"/>
            </a:solidFill>
            <a:latin typeface="Arial" pitchFamily="34" charset="0"/>
            <a:cs typeface="Arial" pitchFamily="34" charset="0"/>
          </a:endParaRPr>
        </a:p>
      </dgm:t>
    </dgm:pt>
    <dgm:pt modelId="{EBC6F94A-1298-46A8-A317-F9835BE02890}" type="parTrans" cxnId="{F58BFC1D-691A-47D5-8D90-AEBA36E1FCF5}">
      <dgm:prSet/>
      <dgm:spPr/>
      <dgm:t>
        <a:bodyPr/>
        <a:lstStyle/>
        <a:p>
          <a:pPr algn="ctr"/>
          <a:endParaRPr lang="es-ES" sz="1050">
            <a:solidFill>
              <a:sysClr val="windowText" lastClr="000000"/>
            </a:solidFill>
            <a:latin typeface="Arial" pitchFamily="34" charset="0"/>
            <a:cs typeface="Arial" pitchFamily="34" charset="0"/>
          </a:endParaRPr>
        </a:p>
      </dgm:t>
    </dgm:pt>
    <dgm:pt modelId="{C40413E1-6EBE-408F-B30B-AA07D774A054}">
      <dgm:prSet phldrT="[Texto]" custT="1"/>
      <dgm:spPr/>
      <dgm:t>
        <a:bodyPr/>
        <a:lstStyle/>
        <a:p>
          <a:pPr algn="ctr"/>
          <a:endParaRPr lang="es-ES" sz="1050" b="0">
            <a:solidFill>
              <a:sysClr val="windowText" lastClr="000000"/>
            </a:solidFill>
            <a:latin typeface="Arial" pitchFamily="34" charset="0"/>
            <a:cs typeface="Arial" pitchFamily="34" charset="0"/>
          </a:endParaRPr>
        </a:p>
      </dgm:t>
    </dgm:pt>
    <dgm:pt modelId="{AE4D19C6-F3B0-415A-9E04-3F7E41CF9B56}" type="parTrans" cxnId="{A6332307-7160-4A94-8ACE-EB1A8440B9B6}">
      <dgm:prSet/>
      <dgm:spPr/>
      <dgm:t>
        <a:bodyPr/>
        <a:lstStyle/>
        <a:p>
          <a:pPr algn="ctr"/>
          <a:endParaRPr lang="es-ES">
            <a:solidFill>
              <a:sysClr val="windowText" lastClr="000000"/>
            </a:solidFill>
          </a:endParaRPr>
        </a:p>
      </dgm:t>
    </dgm:pt>
    <dgm:pt modelId="{BB31A1DE-FB96-45A0-9DD4-2315E7BF01AC}" type="sibTrans" cxnId="{A6332307-7160-4A94-8ACE-EB1A8440B9B6}">
      <dgm:prSet/>
      <dgm:spPr/>
      <dgm:t>
        <a:bodyPr/>
        <a:lstStyle/>
        <a:p>
          <a:pPr algn="ctr"/>
          <a:endParaRPr lang="es-ES">
            <a:solidFill>
              <a:sysClr val="windowText" lastClr="000000"/>
            </a:solidFill>
          </a:endParaRPr>
        </a:p>
      </dgm:t>
    </dgm:pt>
    <dgm:pt modelId="{EE3CE3E7-6D55-472E-A78B-3E10415B8444}">
      <dgm:prSet phldrT="[Texto]" custT="1"/>
      <dgm:spPr/>
      <dgm:t>
        <a:bodyPr/>
        <a:lstStyle/>
        <a:p>
          <a:pPr algn="ctr"/>
          <a:endParaRPr lang="es-ES" sz="1050" b="0">
            <a:solidFill>
              <a:sysClr val="windowText" lastClr="000000"/>
            </a:solidFill>
            <a:latin typeface="Arial" pitchFamily="34" charset="0"/>
            <a:cs typeface="Arial" pitchFamily="34" charset="0"/>
          </a:endParaRPr>
        </a:p>
      </dgm:t>
    </dgm:pt>
    <dgm:pt modelId="{5612085C-E8BE-4D44-8676-154EACAC8A64}" type="parTrans" cxnId="{D98D0117-A085-43A2-A9FE-080ADF44C8CA}">
      <dgm:prSet/>
      <dgm:spPr/>
      <dgm:t>
        <a:bodyPr/>
        <a:lstStyle/>
        <a:p>
          <a:pPr algn="ctr"/>
          <a:endParaRPr lang="es-ES">
            <a:solidFill>
              <a:sysClr val="windowText" lastClr="000000"/>
            </a:solidFill>
          </a:endParaRPr>
        </a:p>
      </dgm:t>
    </dgm:pt>
    <dgm:pt modelId="{875C280F-54A2-4FB6-A8AE-F8257920E46B}" type="sibTrans" cxnId="{D98D0117-A085-43A2-A9FE-080ADF44C8CA}">
      <dgm:prSet/>
      <dgm:spPr/>
      <dgm:t>
        <a:bodyPr/>
        <a:lstStyle/>
        <a:p>
          <a:pPr algn="ctr"/>
          <a:endParaRPr lang="es-ES">
            <a:solidFill>
              <a:sysClr val="windowText" lastClr="000000"/>
            </a:solidFill>
          </a:endParaRPr>
        </a:p>
      </dgm:t>
    </dgm:pt>
    <dgm:pt modelId="{4C1DBA2F-2173-4667-8623-A5AF22EF09BB}">
      <dgm:prSet custT="1"/>
      <dgm:spPr/>
      <dgm:t>
        <a:bodyPr/>
        <a:lstStyle/>
        <a:p>
          <a:pPr algn="ctr"/>
          <a:endParaRPr lang="es-ES" sz="1050">
            <a:solidFill>
              <a:sysClr val="windowText" lastClr="000000"/>
            </a:solidFill>
            <a:latin typeface="Arial" pitchFamily="34" charset="0"/>
            <a:cs typeface="Arial" pitchFamily="34" charset="0"/>
          </a:endParaRPr>
        </a:p>
      </dgm:t>
    </dgm:pt>
    <dgm:pt modelId="{D15F8497-9EAD-4B4C-BD24-11C756970DD4}" type="parTrans" cxnId="{69F03D39-FD81-4688-A5CE-9391B61981FB}">
      <dgm:prSet/>
      <dgm:spPr/>
      <dgm:t>
        <a:bodyPr/>
        <a:lstStyle/>
        <a:p>
          <a:pPr algn="ctr"/>
          <a:endParaRPr lang="es-ES">
            <a:solidFill>
              <a:sysClr val="windowText" lastClr="000000"/>
            </a:solidFill>
          </a:endParaRPr>
        </a:p>
      </dgm:t>
    </dgm:pt>
    <dgm:pt modelId="{E759EBC2-5A61-4FA9-8A25-8DD8287F7522}" type="sibTrans" cxnId="{69F03D39-FD81-4688-A5CE-9391B61981FB}">
      <dgm:prSet/>
      <dgm:spPr/>
      <dgm:t>
        <a:bodyPr/>
        <a:lstStyle/>
        <a:p>
          <a:pPr algn="ctr"/>
          <a:endParaRPr lang="es-ES">
            <a:solidFill>
              <a:sysClr val="windowText" lastClr="000000"/>
            </a:solidFill>
          </a:endParaRPr>
        </a:p>
      </dgm:t>
    </dgm:pt>
    <dgm:pt modelId="{B141B5D3-1094-4E5F-9E50-3BA2522C6AC1}">
      <dgm:prSet custT="1"/>
      <dgm:spPr/>
      <dgm:t>
        <a:bodyPr/>
        <a:lstStyle/>
        <a:p>
          <a:pPr algn="ctr"/>
          <a:r>
            <a:rPr lang="es-MX" sz="1050">
              <a:latin typeface="Arial" pitchFamily="34" charset="0"/>
              <a:cs typeface="Arial" pitchFamily="34" charset="0"/>
            </a:rPr>
            <a:t>Por ejemplo: pago de maestros, médicos, enfermeros, agentes de seguridad, medicamentos, equipo médico quirúrgico, entre otros.</a:t>
          </a:r>
          <a:endParaRPr lang="es-ES" sz="1050">
            <a:latin typeface="Arial" pitchFamily="34" charset="0"/>
            <a:cs typeface="Arial" pitchFamily="34" charset="0"/>
          </a:endParaRPr>
        </a:p>
      </dgm:t>
    </dgm:pt>
    <dgm:pt modelId="{16D09A8B-35E7-4C97-8375-884CD8AB9038}" type="parTrans" cxnId="{10751442-5E8C-4585-9B8F-7A5EC7939D85}">
      <dgm:prSet/>
      <dgm:spPr/>
      <dgm:t>
        <a:bodyPr/>
        <a:lstStyle/>
        <a:p>
          <a:pPr algn="ctr"/>
          <a:endParaRPr lang="es-ES">
            <a:solidFill>
              <a:sysClr val="windowText" lastClr="000000"/>
            </a:solidFill>
          </a:endParaRPr>
        </a:p>
      </dgm:t>
    </dgm:pt>
    <dgm:pt modelId="{A3F44673-F1E6-455E-8B66-6AC7CE62F620}" type="sibTrans" cxnId="{10751442-5E8C-4585-9B8F-7A5EC7939D85}">
      <dgm:prSet/>
      <dgm:spPr/>
      <dgm:t>
        <a:bodyPr/>
        <a:lstStyle/>
        <a:p>
          <a:pPr algn="ctr"/>
          <a:endParaRPr lang="es-ES">
            <a:solidFill>
              <a:sysClr val="windowText" lastClr="000000"/>
            </a:solidFill>
          </a:endParaRPr>
        </a:p>
      </dgm:t>
    </dgm:pt>
    <dgm:pt modelId="{3A9158FF-4D1B-41B8-9AC1-893A15A055DD}">
      <dgm:prSet phldrT="[Texto]" custT="1"/>
      <dgm:spPr/>
      <dgm:t>
        <a:bodyPr/>
        <a:lstStyle/>
        <a:p>
          <a:pPr algn="ctr"/>
          <a:endParaRPr lang="es-ES" sz="1050" b="0">
            <a:solidFill>
              <a:sysClr val="windowText" lastClr="000000"/>
            </a:solidFill>
            <a:latin typeface="Arial" pitchFamily="34" charset="0"/>
            <a:cs typeface="Arial" pitchFamily="34" charset="0"/>
          </a:endParaRPr>
        </a:p>
      </dgm:t>
    </dgm:pt>
    <dgm:pt modelId="{9D33BE97-315C-459A-9B4C-425733218956}" type="parTrans" cxnId="{3250AECF-D79E-4137-BAD9-44643732FA8A}">
      <dgm:prSet/>
      <dgm:spPr/>
      <dgm:t>
        <a:bodyPr/>
        <a:lstStyle/>
        <a:p>
          <a:pPr algn="ctr"/>
          <a:endParaRPr lang="es-ES">
            <a:solidFill>
              <a:sysClr val="windowText" lastClr="000000"/>
            </a:solidFill>
          </a:endParaRPr>
        </a:p>
      </dgm:t>
    </dgm:pt>
    <dgm:pt modelId="{14CB445B-F8A7-4625-B492-D66033549014}" type="sibTrans" cxnId="{3250AECF-D79E-4137-BAD9-44643732FA8A}">
      <dgm:prSet/>
      <dgm:spPr/>
      <dgm:t>
        <a:bodyPr/>
        <a:lstStyle/>
        <a:p>
          <a:pPr algn="ctr"/>
          <a:endParaRPr lang="es-ES">
            <a:solidFill>
              <a:sysClr val="windowText" lastClr="000000"/>
            </a:solidFill>
          </a:endParaRPr>
        </a:p>
      </dgm:t>
    </dgm:pt>
    <dgm:pt modelId="{A8C038D9-579A-4734-B190-D58AF32DA03A}">
      <dgm:prSet phldrT="[Texto]" custT="1"/>
      <dgm:spPr/>
      <dgm:t>
        <a:bodyPr/>
        <a:lstStyle/>
        <a:p>
          <a:pPr algn="ctr"/>
          <a:endParaRPr lang="es-ES" sz="1050" b="0">
            <a:solidFill>
              <a:sysClr val="windowText" lastClr="000000"/>
            </a:solidFill>
            <a:latin typeface="Arial" pitchFamily="34" charset="0"/>
            <a:cs typeface="Arial" pitchFamily="34" charset="0"/>
          </a:endParaRPr>
        </a:p>
      </dgm:t>
    </dgm:pt>
    <dgm:pt modelId="{5EB8FABF-298E-41F2-B6C1-DA2762A1E49E}" type="parTrans" cxnId="{C6FABD0E-7135-4EF3-94AE-72DC1F34EC8D}">
      <dgm:prSet/>
      <dgm:spPr/>
      <dgm:t>
        <a:bodyPr/>
        <a:lstStyle/>
        <a:p>
          <a:pPr algn="ctr"/>
          <a:endParaRPr lang="es-ES">
            <a:solidFill>
              <a:sysClr val="windowText" lastClr="000000"/>
            </a:solidFill>
          </a:endParaRPr>
        </a:p>
      </dgm:t>
    </dgm:pt>
    <dgm:pt modelId="{A30F71B9-2AF6-4D03-8F31-6B2BAF22C798}" type="sibTrans" cxnId="{C6FABD0E-7135-4EF3-94AE-72DC1F34EC8D}">
      <dgm:prSet/>
      <dgm:spPr/>
      <dgm:t>
        <a:bodyPr/>
        <a:lstStyle/>
        <a:p>
          <a:pPr algn="ctr"/>
          <a:endParaRPr lang="es-ES">
            <a:solidFill>
              <a:sysClr val="windowText" lastClr="000000"/>
            </a:solidFill>
          </a:endParaRPr>
        </a:p>
      </dgm:t>
    </dgm:pt>
    <dgm:pt modelId="{0CFBE591-F053-431E-9D5E-361EB75E07CE}">
      <dgm:prSet custT="1"/>
      <dgm:spPr/>
      <dgm:t>
        <a:bodyPr/>
        <a:lstStyle/>
        <a:p>
          <a:pPr algn="ctr"/>
          <a:endParaRPr lang="es-ES" sz="1050">
            <a:solidFill>
              <a:sysClr val="windowText" lastClr="000000"/>
            </a:solidFill>
            <a:latin typeface="Arial" pitchFamily="34" charset="0"/>
            <a:cs typeface="Arial" pitchFamily="34" charset="0"/>
          </a:endParaRPr>
        </a:p>
      </dgm:t>
    </dgm:pt>
    <dgm:pt modelId="{96F19AD2-0D4D-4551-AB4C-6AC452967339}" type="parTrans" cxnId="{E2C69D42-6B55-4871-AA45-3177D5925F43}">
      <dgm:prSet/>
      <dgm:spPr/>
      <dgm:t>
        <a:bodyPr/>
        <a:lstStyle/>
        <a:p>
          <a:pPr algn="ctr"/>
          <a:endParaRPr lang="es-ES">
            <a:solidFill>
              <a:sysClr val="windowText" lastClr="000000"/>
            </a:solidFill>
          </a:endParaRPr>
        </a:p>
      </dgm:t>
    </dgm:pt>
    <dgm:pt modelId="{F31BD7E3-BE20-479F-94B7-C2E26B4C35A8}" type="sibTrans" cxnId="{E2C69D42-6B55-4871-AA45-3177D5925F43}">
      <dgm:prSet/>
      <dgm:spPr/>
      <dgm:t>
        <a:bodyPr/>
        <a:lstStyle/>
        <a:p>
          <a:pPr algn="ctr"/>
          <a:endParaRPr lang="es-ES">
            <a:solidFill>
              <a:sysClr val="windowText" lastClr="000000"/>
            </a:solidFill>
          </a:endParaRPr>
        </a:p>
      </dgm:t>
    </dgm:pt>
    <dgm:pt modelId="{AB366727-BEA6-4E11-973A-89F175AB9DE6}" type="pres">
      <dgm:prSet presAssocID="{E7A82775-37A3-449F-9E61-E170400CA88C}" presName="diagram" presStyleCnt="0">
        <dgm:presLayoutVars>
          <dgm:dir/>
          <dgm:animLvl val="lvl"/>
          <dgm:resizeHandles val="exact"/>
        </dgm:presLayoutVars>
      </dgm:prSet>
      <dgm:spPr/>
      <dgm:t>
        <a:bodyPr/>
        <a:lstStyle/>
        <a:p>
          <a:endParaRPr lang="es-ES"/>
        </a:p>
      </dgm:t>
    </dgm:pt>
    <dgm:pt modelId="{ED1A9C58-064C-43B0-9966-D28E7A09CA2C}" type="pres">
      <dgm:prSet presAssocID="{25772E47-1AC8-4173-8583-A28C9A241DCD}" presName="compNode" presStyleCnt="0"/>
      <dgm:spPr/>
      <dgm:t>
        <a:bodyPr/>
        <a:lstStyle/>
        <a:p>
          <a:endParaRPr lang="es-ES"/>
        </a:p>
      </dgm:t>
    </dgm:pt>
    <dgm:pt modelId="{21B23753-5792-4F97-90B6-1DFBDBA032A7}" type="pres">
      <dgm:prSet presAssocID="{25772E47-1AC8-4173-8583-A28C9A241DCD}" presName="childRect" presStyleLbl="bgAcc1" presStyleIdx="0" presStyleCnt="4" custLinFactNeighborY="-597">
        <dgm:presLayoutVars>
          <dgm:bulletEnabled val="1"/>
        </dgm:presLayoutVars>
      </dgm:prSet>
      <dgm:spPr/>
      <dgm:t>
        <a:bodyPr/>
        <a:lstStyle/>
        <a:p>
          <a:endParaRPr lang="es-ES"/>
        </a:p>
      </dgm:t>
    </dgm:pt>
    <dgm:pt modelId="{5376FDA5-02A2-46E5-A70A-DDA4B961DFE8}" type="pres">
      <dgm:prSet presAssocID="{25772E47-1AC8-4173-8583-A28C9A241DCD}" presName="parentText" presStyleLbl="node1" presStyleIdx="0" presStyleCnt="0">
        <dgm:presLayoutVars>
          <dgm:chMax val="0"/>
          <dgm:bulletEnabled val="1"/>
        </dgm:presLayoutVars>
      </dgm:prSet>
      <dgm:spPr/>
      <dgm:t>
        <a:bodyPr/>
        <a:lstStyle/>
        <a:p>
          <a:endParaRPr lang="es-ES"/>
        </a:p>
      </dgm:t>
    </dgm:pt>
    <dgm:pt modelId="{07C2AEB6-3F95-4597-810B-EA5456BBAC30}" type="pres">
      <dgm:prSet presAssocID="{25772E47-1AC8-4173-8583-A28C9A241DCD}" presName="parentRect" presStyleLbl="alignNode1" presStyleIdx="0" presStyleCnt="4"/>
      <dgm:spPr/>
      <dgm:t>
        <a:bodyPr/>
        <a:lstStyle/>
        <a:p>
          <a:endParaRPr lang="es-ES"/>
        </a:p>
      </dgm:t>
    </dgm:pt>
    <dgm:pt modelId="{8E71925A-FE81-44D6-B5A9-DF5E88E588BD}" type="pres">
      <dgm:prSet presAssocID="{25772E47-1AC8-4173-8583-A28C9A241DCD}" presName="adorn" presStyleLbl="fgAccFollowNode1" presStyleIdx="0" presStyleCnt="4"/>
      <dgm:spPr>
        <a:blipFill rotWithShape="0">
          <a:blip xmlns:r="http://schemas.openxmlformats.org/officeDocument/2006/relationships" r:embed="rId1"/>
          <a:stretch>
            <a:fillRect/>
          </a:stretch>
        </a:blipFill>
      </dgm:spPr>
      <dgm:t>
        <a:bodyPr/>
        <a:lstStyle/>
        <a:p>
          <a:endParaRPr lang="es-ES"/>
        </a:p>
      </dgm:t>
    </dgm:pt>
    <dgm:pt modelId="{15CEAE28-D1BF-400C-965D-5CAB3BE97F2A}" type="pres">
      <dgm:prSet presAssocID="{FFD8AEB4-984B-4BA3-85F7-C13FBE5BE6C5}" presName="sibTrans" presStyleLbl="sibTrans2D1" presStyleIdx="0" presStyleCnt="0"/>
      <dgm:spPr/>
      <dgm:t>
        <a:bodyPr/>
        <a:lstStyle/>
        <a:p>
          <a:endParaRPr lang="es-ES"/>
        </a:p>
      </dgm:t>
    </dgm:pt>
    <dgm:pt modelId="{9884105B-A414-4A50-A236-F3A236B067AC}" type="pres">
      <dgm:prSet presAssocID="{9AB9410F-4229-4741-A381-EA7832A23C5E}" presName="compNode" presStyleCnt="0"/>
      <dgm:spPr/>
      <dgm:t>
        <a:bodyPr/>
        <a:lstStyle/>
        <a:p>
          <a:endParaRPr lang="es-ES"/>
        </a:p>
      </dgm:t>
    </dgm:pt>
    <dgm:pt modelId="{FDF996CE-A09A-4475-9104-EEAF9814D0A8}" type="pres">
      <dgm:prSet presAssocID="{9AB9410F-4229-4741-A381-EA7832A23C5E}" presName="childRect" presStyleLbl="bgAcc1" presStyleIdx="1" presStyleCnt="4">
        <dgm:presLayoutVars>
          <dgm:bulletEnabled val="1"/>
        </dgm:presLayoutVars>
      </dgm:prSet>
      <dgm:spPr/>
      <dgm:t>
        <a:bodyPr/>
        <a:lstStyle/>
        <a:p>
          <a:endParaRPr lang="es-ES"/>
        </a:p>
      </dgm:t>
    </dgm:pt>
    <dgm:pt modelId="{7ECC6BC7-35F0-4D08-ABBF-99736BCFF604}" type="pres">
      <dgm:prSet presAssocID="{9AB9410F-4229-4741-A381-EA7832A23C5E}" presName="parentText" presStyleLbl="node1" presStyleIdx="0" presStyleCnt="0">
        <dgm:presLayoutVars>
          <dgm:chMax val="0"/>
          <dgm:bulletEnabled val="1"/>
        </dgm:presLayoutVars>
      </dgm:prSet>
      <dgm:spPr/>
      <dgm:t>
        <a:bodyPr/>
        <a:lstStyle/>
        <a:p>
          <a:endParaRPr lang="es-ES"/>
        </a:p>
      </dgm:t>
    </dgm:pt>
    <dgm:pt modelId="{8D2D30CE-FBF1-4FA4-9078-02F2DC6F00AB}" type="pres">
      <dgm:prSet presAssocID="{9AB9410F-4229-4741-A381-EA7832A23C5E}" presName="parentRect" presStyleLbl="alignNode1" presStyleIdx="1" presStyleCnt="4"/>
      <dgm:spPr/>
      <dgm:t>
        <a:bodyPr/>
        <a:lstStyle/>
        <a:p>
          <a:endParaRPr lang="es-ES"/>
        </a:p>
      </dgm:t>
    </dgm:pt>
    <dgm:pt modelId="{1791F9DA-4637-4180-9A9B-FD7122F1912A}" type="pres">
      <dgm:prSet presAssocID="{9AB9410F-4229-4741-A381-EA7832A23C5E}" presName="adorn" presStyleLbl="fgAccFollowNode1" presStyleIdx="1" presStyleCnt="4"/>
      <dgm:spPr>
        <a:blipFill rotWithShape="0">
          <a:blip xmlns:r="http://schemas.openxmlformats.org/officeDocument/2006/relationships" r:embed="rId2"/>
          <a:stretch>
            <a:fillRect/>
          </a:stretch>
        </a:blipFill>
      </dgm:spPr>
      <dgm:t>
        <a:bodyPr/>
        <a:lstStyle/>
        <a:p>
          <a:endParaRPr lang="es-ES"/>
        </a:p>
      </dgm:t>
    </dgm:pt>
    <dgm:pt modelId="{61624F3E-EE8E-4544-BBEC-0D8DFBDBE9FD}" type="pres">
      <dgm:prSet presAssocID="{73AA5154-A7CA-463F-BEB3-737C5652D927}" presName="sibTrans" presStyleLbl="sibTrans2D1" presStyleIdx="0" presStyleCnt="0"/>
      <dgm:spPr/>
      <dgm:t>
        <a:bodyPr/>
        <a:lstStyle/>
        <a:p>
          <a:endParaRPr lang="es-ES"/>
        </a:p>
      </dgm:t>
    </dgm:pt>
    <dgm:pt modelId="{BE6B573C-DDE2-4C32-82F4-1407BE0C9747}" type="pres">
      <dgm:prSet presAssocID="{F0A1EDD0-3514-46D6-8FEB-6D9886CBDADE}" presName="compNode" presStyleCnt="0"/>
      <dgm:spPr/>
      <dgm:t>
        <a:bodyPr/>
        <a:lstStyle/>
        <a:p>
          <a:endParaRPr lang="es-ES"/>
        </a:p>
      </dgm:t>
    </dgm:pt>
    <dgm:pt modelId="{54AD7D69-3278-4F1C-BE0C-9CA634CF1BEC}" type="pres">
      <dgm:prSet presAssocID="{F0A1EDD0-3514-46D6-8FEB-6D9886CBDADE}" presName="childRect" presStyleLbl="bgAcc1" presStyleIdx="2" presStyleCnt="4">
        <dgm:presLayoutVars>
          <dgm:bulletEnabled val="1"/>
        </dgm:presLayoutVars>
      </dgm:prSet>
      <dgm:spPr/>
      <dgm:t>
        <a:bodyPr/>
        <a:lstStyle/>
        <a:p>
          <a:endParaRPr lang="es-ES"/>
        </a:p>
      </dgm:t>
    </dgm:pt>
    <dgm:pt modelId="{8F205DEF-130D-426A-B79E-0AA03024C759}" type="pres">
      <dgm:prSet presAssocID="{F0A1EDD0-3514-46D6-8FEB-6D9886CBDADE}" presName="parentText" presStyleLbl="node1" presStyleIdx="0" presStyleCnt="0">
        <dgm:presLayoutVars>
          <dgm:chMax val="0"/>
          <dgm:bulletEnabled val="1"/>
        </dgm:presLayoutVars>
      </dgm:prSet>
      <dgm:spPr/>
      <dgm:t>
        <a:bodyPr/>
        <a:lstStyle/>
        <a:p>
          <a:endParaRPr lang="es-ES"/>
        </a:p>
      </dgm:t>
    </dgm:pt>
    <dgm:pt modelId="{C7F3D515-DD50-4626-A68F-D06483960CD7}" type="pres">
      <dgm:prSet presAssocID="{F0A1EDD0-3514-46D6-8FEB-6D9886CBDADE}" presName="parentRect" presStyleLbl="alignNode1" presStyleIdx="2" presStyleCnt="4"/>
      <dgm:spPr/>
      <dgm:t>
        <a:bodyPr/>
        <a:lstStyle/>
        <a:p>
          <a:endParaRPr lang="es-ES"/>
        </a:p>
      </dgm:t>
    </dgm:pt>
    <dgm:pt modelId="{8032B63A-1AD4-4344-8B86-0DE594DBA56C}" type="pres">
      <dgm:prSet presAssocID="{F0A1EDD0-3514-46D6-8FEB-6D9886CBDADE}" presName="adorn" presStyleLbl="fgAccFollowNode1" presStyleIdx="2" presStyleCnt="4"/>
      <dgm:spPr>
        <a:blipFill rotWithShape="0">
          <a:blip xmlns:r="http://schemas.openxmlformats.org/officeDocument/2006/relationships" r:embed="rId3"/>
          <a:stretch>
            <a:fillRect/>
          </a:stretch>
        </a:blipFill>
      </dgm:spPr>
      <dgm:t>
        <a:bodyPr/>
        <a:lstStyle/>
        <a:p>
          <a:endParaRPr lang="es-ES"/>
        </a:p>
      </dgm:t>
    </dgm:pt>
    <dgm:pt modelId="{55C4F78A-F48B-4403-AFA7-9AB2EAB38F73}" type="pres">
      <dgm:prSet presAssocID="{5789FFA1-E91A-40E2-B113-EE77291030DA}" presName="sibTrans" presStyleLbl="sibTrans2D1" presStyleIdx="0" presStyleCnt="0"/>
      <dgm:spPr/>
      <dgm:t>
        <a:bodyPr/>
        <a:lstStyle/>
        <a:p>
          <a:endParaRPr lang="es-ES"/>
        </a:p>
      </dgm:t>
    </dgm:pt>
    <dgm:pt modelId="{E8AE9069-CEBE-4AA8-ABBF-F1080F7F2127}" type="pres">
      <dgm:prSet presAssocID="{3E3E4034-7F8E-4391-B0BF-281ABDA5B4C1}" presName="compNode" presStyleCnt="0"/>
      <dgm:spPr/>
      <dgm:t>
        <a:bodyPr/>
        <a:lstStyle/>
        <a:p>
          <a:endParaRPr lang="es-ES"/>
        </a:p>
      </dgm:t>
    </dgm:pt>
    <dgm:pt modelId="{BA0BC2DF-26D3-4998-B7D3-8171C6808AAB}" type="pres">
      <dgm:prSet presAssocID="{3E3E4034-7F8E-4391-B0BF-281ABDA5B4C1}" presName="childRect" presStyleLbl="bgAcc1" presStyleIdx="3" presStyleCnt="4">
        <dgm:presLayoutVars>
          <dgm:bulletEnabled val="1"/>
        </dgm:presLayoutVars>
      </dgm:prSet>
      <dgm:spPr/>
      <dgm:t>
        <a:bodyPr/>
        <a:lstStyle/>
        <a:p>
          <a:endParaRPr lang="es-ES"/>
        </a:p>
      </dgm:t>
    </dgm:pt>
    <dgm:pt modelId="{FEDC40D8-3992-443B-882F-A5AF0D4357E4}" type="pres">
      <dgm:prSet presAssocID="{3E3E4034-7F8E-4391-B0BF-281ABDA5B4C1}" presName="parentText" presStyleLbl="node1" presStyleIdx="0" presStyleCnt="0">
        <dgm:presLayoutVars>
          <dgm:chMax val="0"/>
          <dgm:bulletEnabled val="1"/>
        </dgm:presLayoutVars>
      </dgm:prSet>
      <dgm:spPr/>
      <dgm:t>
        <a:bodyPr/>
        <a:lstStyle/>
        <a:p>
          <a:endParaRPr lang="es-ES"/>
        </a:p>
      </dgm:t>
    </dgm:pt>
    <dgm:pt modelId="{67B19B78-E67C-4DAE-9406-C841A8EA3785}" type="pres">
      <dgm:prSet presAssocID="{3E3E4034-7F8E-4391-B0BF-281ABDA5B4C1}" presName="parentRect" presStyleLbl="alignNode1" presStyleIdx="3" presStyleCnt="4"/>
      <dgm:spPr/>
      <dgm:t>
        <a:bodyPr/>
        <a:lstStyle/>
        <a:p>
          <a:endParaRPr lang="es-ES"/>
        </a:p>
      </dgm:t>
    </dgm:pt>
    <dgm:pt modelId="{8F7CD839-5479-4E5B-99E5-611569D31859}" type="pres">
      <dgm:prSet presAssocID="{3E3E4034-7F8E-4391-B0BF-281ABDA5B4C1}" presName="adorn" presStyleLbl="fgAccFollowNode1" presStyleIdx="3" presStyleCnt="4"/>
      <dgm:spPr>
        <a:blipFill rotWithShape="0">
          <a:blip xmlns:r="http://schemas.openxmlformats.org/officeDocument/2006/relationships" r:embed="rId4"/>
          <a:stretch>
            <a:fillRect/>
          </a:stretch>
        </a:blipFill>
      </dgm:spPr>
      <dgm:t>
        <a:bodyPr/>
        <a:lstStyle/>
        <a:p>
          <a:endParaRPr lang="es-ES"/>
        </a:p>
      </dgm:t>
    </dgm:pt>
  </dgm:ptLst>
  <dgm:cxnLst>
    <dgm:cxn modelId="{547F6939-5901-4AA1-BF14-48000732D18E}" srcId="{3E3E4034-7F8E-4391-B0BF-281ABDA5B4C1}" destId="{8989957F-86F3-41C2-AE96-A29B089E831D}" srcOrd="3" destOrd="0" parTransId="{B4A16304-FEC0-4BFB-8697-61887B16A34B}" sibTransId="{68BB73CC-B912-4DA0-BC69-D4248B316A11}"/>
    <dgm:cxn modelId="{1F95C322-F238-47F8-9317-440568354E8D}" type="presOf" srcId="{63292987-86E2-44BF-9362-57A9C1A822D8}" destId="{21B23753-5792-4F97-90B6-1DFBDBA032A7}" srcOrd="0" destOrd="3" presId="urn:microsoft.com/office/officeart/2005/8/layout/bList2#1"/>
    <dgm:cxn modelId="{4CFB882D-2852-4CD0-882D-0AAB3B5D8A42}" srcId="{E7A82775-37A3-449F-9E61-E170400CA88C}" destId="{9AB9410F-4229-4741-A381-EA7832A23C5E}" srcOrd="1" destOrd="0" parTransId="{A82EB7DF-EC08-4146-8C94-15A8E4DB7F1E}" sibTransId="{73AA5154-A7CA-463F-BEB3-737C5652D927}"/>
    <dgm:cxn modelId="{5A7B0BD1-029F-418B-835F-0D338FD14398}" srcId="{E7A82775-37A3-449F-9E61-E170400CA88C}" destId="{F0A1EDD0-3514-46D6-8FEB-6D9886CBDADE}" srcOrd="2" destOrd="0" parTransId="{365A863F-C6FA-44E5-BBBB-B855B78D50F1}" sibTransId="{5789FFA1-E91A-40E2-B113-EE77291030DA}"/>
    <dgm:cxn modelId="{7439699F-8628-4D54-9667-277CDE8694E4}" srcId="{25772E47-1AC8-4173-8583-A28C9A241DCD}" destId="{B5F5340F-90DD-4F88-8FCD-FA56FEBBAE8E}" srcOrd="1" destOrd="0" parTransId="{2FD3C39D-778F-40F6-90B6-9F778EB04BD0}" sibTransId="{D65A170B-E18F-4083-85C4-E8DB864B6F4A}"/>
    <dgm:cxn modelId="{3F8337D9-D3AA-48F1-9142-7AEDD949A2A9}" srcId="{E7A82775-37A3-449F-9E61-E170400CA88C}" destId="{3E3E4034-7F8E-4391-B0BF-281ABDA5B4C1}" srcOrd="3" destOrd="0" parTransId="{1689BF15-7902-41EA-9CAF-9D72680C24A1}" sibTransId="{E94A1F33-6AF4-4803-97C5-E2066DD93741}"/>
    <dgm:cxn modelId="{F7DD64D2-D21F-4909-82BC-384EC932CF2E}" srcId="{25772E47-1AC8-4173-8583-A28C9A241DCD}" destId="{63292987-86E2-44BF-9362-57A9C1A822D8}" srcOrd="3" destOrd="0" parTransId="{564E440C-AD06-4363-B432-3CCD56B3A3BC}" sibTransId="{879BD15A-1DFE-4A79-A987-D8D576B25D4D}"/>
    <dgm:cxn modelId="{C6FABD0E-7135-4EF3-94AE-72DC1F34EC8D}" srcId="{3E3E4034-7F8E-4391-B0BF-281ABDA5B4C1}" destId="{A8C038D9-579A-4734-B190-D58AF32DA03A}" srcOrd="0" destOrd="0" parTransId="{5EB8FABF-298E-41F2-B6C1-DA2762A1E49E}" sibTransId="{A30F71B9-2AF6-4D03-8F31-6B2BAF22C798}"/>
    <dgm:cxn modelId="{5527FF1C-6618-481C-8B32-4D14FF6FCCFC}" type="presOf" srcId="{E7A82775-37A3-449F-9E61-E170400CA88C}" destId="{AB366727-BEA6-4E11-973A-89F175AB9DE6}" srcOrd="0" destOrd="0" presId="urn:microsoft.com/office/officeart/2005/8/layout/bList2#1"/>
    <dgm:cxn modelId="{522210BB-61F8-4B29-A3BA-8DB621C34AC8}" srcId="{E7A82775-37A3-449F-9E61-E170400CA88C}" destId="{25772E47-1AC8-4173-8583-A28C9A241DCD}" srcOrd="0" destOrd="0" parTransId="{B2D81357-F3DA-4D2A-A928-72B388140285}" sibTransId="{FFD8AEB4-984B-4BA3-85F7-C13FBE5BE6C5}"/>
    <dgm:cxn modelId="{A13B7FA5-27BE-4BA7-81CE-FADB2CFA29CD}" type="presOf" srcId="{3E3E4034-7F8E-4391-B0BF-281ABDA5B4C1}" destId="{FEDC40D8-3992-443B-882F-A5AF0D4357E4}" srcOrd="0" destOrd="0" presId="urn:microsoft.com/office/officeart/2005/8/layout/bList2#1"/>
    <dgm:cxn modelId="{69F03D39-FD81-4688-A5CE-9391B61981FB}" srcId="{9AB9410F-4229-4741-A381-EA7832A23C5E}" destId="{4C1DBA2F-2173-4667-8623-A5AF22EF09BB}" srcOrd="1" destOrd="0" parTransId="{D15F8497-9EAD-4B4C-BD24-11C756970DD4}" sibTransId="{E759EBC2-5A61-4FA9-8A25-8DD8287F7522}"/>
    <dgm:cxn modelId="{83E9A672-76A4-4529-9911-A4D5E7DF57EC}" srcId="{F0A1EDD0-3514-46D6-8FEB-6D9886CBDADE}" destId="{133326A4-6344-4115-8808-6135F5365748}" srcOrd="0" destOrd="0" parTransId="{88B8417E-05E6-407F-A017-C36EA3F28E20}" sibTransId="{1CA85CAC-7DF8-4EDD-9D0D-86D8D85D02E5}"/>
    <dgm:cxn modelId="{22F23E2B-21E5-497E-B2FD-0E4287258D29}" type="presOf" srcId="{9AB9410F-4229-4741-A381-EA7832A23C5E}" destId="{8D2D30CE-FBF1-4FA4-9078-02F2DC6F00AB}" srcOrd="1" destOrd="0" presId="urn:microsoft.com/office/officeart/2005/8/layout/bList2#1"/>
    <dgm:cxn modelId="{D98D0117-A085-43A2-A9FE-080ADF44C8CA}" srcId="{25772E47-1AC8-4173-8583-A28C9A241DCD}" destId="{EE3CE3E7-6D55-472E-A78B-3E10415B8444}" srcOrd="2" destOrd="0" parTransId="{5612085C-E8BE-4D44-8676-154EACAC8A64}" sibTransId="{875C280F-54A2-4FB6-A8AE-F8257920E46B}"/>
    <dgm:cxn modelId="{5CFF1313-AB69-4BD4-BE7D-22469278D805}" type="presOf" srcId="{BF83D0FE-285C-4440-A1C8-1478CFE7C761}" destId="{FDF996CE-A09A-4475-9104-EEAF9814D0A8}" srcOrd="0" destOrd="2" presId="urn:microsoft.com/office/officeart/2005/8/layout/bList2#1"/>
    <dgm:cxn modelId="{E2C69D42-6B55-4871-AA45-3177D5925F43}" srcId="{F0A1EDD0-3514-46D6-8FEB-6D9886CBDADE}" destId="{0CFBE591-F053-431E-9D5E-361EB75E07CE}" srcOrd="1" destOrd="0" parTransId="{96F19AD2-0D4D-4551-AB4C-6AC452967339}" sibTransId="{F31BD7E3-BE20-479F-94B7-C2E26B4C35A8}"/>
    <dgm:cxn modelId="{9580C329-CB5A-4162-9003-1DC1F24EC064}" type="presOf" srcId="{0CFBE591-F053-431E-9D5E-361EB75E07CE}" destId="{54AD7D69-3278-4F1C-BE0C-9CA634CF1BEC}" srcOrd="0" destOrd="1" presId="urn:microsoft.com/office/officeart/2005/8/layout/bList2#1"/>
    <dgm:cxn modelId="{1CB664EC-459D-45DF-B0FA-61E672557818}" type="presOf" srcId="{25772E47-1AC8-4173-8583-A28C9A241DCD}" destId="{07C2AEB6-3F95-4597-810B-EA5456BBAC30}" srcOrd="1" destOrd="0" presId="urn:microsoft.com/office/officeart/2005/8/layout/bList2#1"/>
    <dgm:cxn modelId="{26AA7D7B-F7EC-4670-86AD-6DE1194DD87F}" srcId="{9AB9410F-4229-4741-A381-EA7832A23C5E}" destId="{BF83D0FE-285C-4440-A1C8-1478CFE7C761}" srcOrd="2" destOrd="0" parTransId="{C7162B54-7334-4267-8B1F-A6987A17011A}" sibTransId="{B31E0585-79B2-477D-A6D0-3D969113051D}"/>
    <dgm:cxn modelId="{01A30776-609E-4764-9A91-5F9583148AF9}" type="presOf" srcId="{F0A1EDD0-3514-46D6-8FEB-6D9886CBDADE}" destId="{8F205DEF-130D-426A-B79E-0AA03024C759}" srcOrd="0" destOrd="0" presId="urn:microsoft.com/office/officeart/2005/8/layout/bList2#1"/>
    <dgm:cxn modelId="{F58BFC1D-691A-47D5-8D90-AEBA36E1FCF5}" srcId="{3E3E4034-7F8E-4391-B0BF-281ABDA5B4C1}" destId="{B04390F1-B90F-4599-9E70-D1F21D14BDC5}" srcOrd="1" destOrd="0" parTransId="{EBC6F94A-1298-46A8-A317-F9835BE02890}" sibTransId="{25EDDEDA-636E-42AB-A32F-64F60E776E79}"/>
    <dgm:cxn modelId="{860484B2-78FB-4325-B766-2DDF43C15F7E}" type="presOf" srcId="{73AA5154-A7CA-463F-BEB3-737C5652D927}" destId="{61624F3E-EE8E-4544-BBEC-0D8DFBDBE9FD}" srcOrd="0" destOrd="0" presId="urn:microsoft.com/office/officeart/2005/8/layout/bList2#1"/>
    <dgm:cxn modelId="{78EDA298-3019-4600-888B-4711F89E2DEA}" type="presOf" srcId="{A8C038D9-579A-4734-B190-D58AF32DA03A}" destId="{BA0BC2DF-26D3-4998-B7D3-8171C6808AAB}" srcOrd="0" destOrd="0" presId="urn:microsoft.com/office/officeart/2005/8/layout/bList2#1"/>
    <dgm:cxn modelId="{089476D6-76BF-4922-81B9-97662B9E319F}" type="presOf" srcId="{3E3E4034-7F8E-4391-B0BF-281ABDA5B4C1}" destId="{67B19B78-E67C-4DAE-9406-C841A8EA3785}" srcOrd="1" destOrd="0" presId="urn:microsoft.com/office/officeart/2005/8/layout/bList2#1"/>
    <dgm:cxn modelId="{2AFBDC65-13D9-4CF2-81DB-EE91514B4A69}" type="presOf" srcId="{8989957F-86F3-41C2-AE96-A29B089E831D}" destId="{BA0BC2DF-26D3-4998-B7D3-8171C6808AAB}" srcOrd="0" destOrd="3" presId="urn:microsoft.com/office/officeart/2005/8/layout/bList2#1"/>
    <dgm:cxn modelId="{3868DC46-17C7-439D-8BD0-6A6D889CB10E}" type="presOf" srcId="{FFD8AEB4-984B-4BA3-85F7-C13FBE5BE6C5}" destId="{15CEAE28-D1BF-400C-965D-5CAB3BE97F2A}" srcOrd="0" destOrd="0" presId="urn:microsoft.com/office/officeart/2005/8/layout/bList2#1"/>
    <dgm:cxn modelId="{6362E3E8-8C66-424B-8C60-3ED5A248BF94}" type="presOf" srcId="{F0A1EDD0-3514-46D6-8FEB-6D9886CBDADE}" destId="{C7F3D515-DD50-4626-A68F-D06483960CD7}" srcOrd="1" destOrd="0" presId="urn:microsoft.com/office/officeart/2005/8/layout/bList2#1"/>
    <dgm:cxn modelId="{1CB7450B-102B-4C07-9E7C-C1C9E4731975}" type="presOf" srcId="{B141B5D3-1094-4E5F-9E50-3BA2522C6AC1}" destId="{54AD7D69-3278-4F1C-BE0C-9CA634CF1BEC}" srcOrd="0" destOrd="2" presId="urn:microsoft.com/office/officeart/2005/8/layout/bList2#1"/>
    <dgm:cxn modelId="{C1C9CF91-9AA8-42D3-B3F6-9799261C9CC3}" type="presOf" srcId="{EE3CE3E7-6D55-472E-A78B-3E10415B8444}" destId="{21B23753-5792-4F97-90B6-1DFBDBA032A7}" srcOrd="0" destOrd="2" presId="urn:microsoft.com/office/officeart/2005/8/layout/bList2#1"/>
    <dgm:cxn modelId="{CCD205BC-66FE-4108-BFA9-41CA5662C33C}" type="presOf" srcId="{3A9158FF-4D1B-41B8-9AC1-893A15A055DD}" destId="{BA0BC2DF-26D3-4998-B7D3-8171C6808AAB}" srcOrd="0" destOrd="2" presId="urn:microsoft.com/office/officeart/2005/8/layout/bList2#1"/>
    <dgm:cxn modelId="{3250AECF-D79E-4137-BAD9-44643732FA8A}" srcId="{3E3E4034-7F8E-4391-B0BF-281ABDA5B4C1}" destId="{3A9158FF-4D1B-41B8-9AC1-893A15A055DD}" srcOrd="2" destOrd="0" parTransId="{9D33BE97-315C-459A-9B4C-425733218956}" sibTransId="{14CB445B-F8A7-4625-B492-D66033549014}"/>
    <dgm:cxn modelId="{8C5303AD-7DFC-4252-BFDA-1EAE2030349C}" type="presOf" srcId="{C40413E1-6EBE-408F-B30B-AA07D774A054}" destId="{21B23753-5792-4F97-90B6-1DFBDBA032A7}" srcOrd="0" destOrd="0" presId="urn:microsoft.com/office/officeart/2005/8/layout/bList2#1"/>
    <dgm:cxn modelId="{F46B1D07-0719-4437-ABEC-714B9EF3C650}" type="presOf" srcId="{B5F5340F-90DD-4F88-8FCD-FA56FEBBAE8E}" destId="{21B23753-5792-4F97-90B6-1DFBDBA032A7}" srcOrd="0" destOrd="1" presId="urn:microsoft.com/office/officeart/2005/8/layout/bList2#1"/>
    <dgm:cxn modelId="{FEDBCE71-1B87-42FF-9907-7972304CBAF0}" type="presOf" srcId="{5789FFA1-E91A-40E2-B113-EE77291030DA}" destId="{55C4F78A-F48B-4403-AFA7-9AB2EAB38F73}" srcOrd="0" destOrd="0" presId="urn:microsoft.com/office/officeart/2005/8/layout/bList2#1"/>
    <dgm:cxn modelId="{A6332307-7160-4A94-8ACE-EB1A8440B9B6}" srcId="{25772E47-1AC8-4173-8583-A28C9A241DCD}" destId="{C40413E1-6EBE-408F-B30B-AA07D774A054}" srcOrd="0" destOrd="0" parTransId="{AE4D19C6-F3B0-415A-9E04-3F7E41CF9B56}" sibTransId="{BB31A1DE-FB96-45A0-9DD4-2315E7BF01AC}"/>
    <dgm:cxn modelId="{F49AA4F9-FC26-4271-BF9D-AAFE7B7E55DE}" type="presOf" srcId="{4C1DBA2F-2173-4667-8623-A5AF22EF09BB}" destId="{FDF996CE-A09A-4475-9104-EEAF9814D0A8}" srcOrd="0" destOrd="1" presId="urn:microsoft.com/office/officeart/2005/8/layout/bList2#1"/>
    <dgm:cxn modelId="{DD359CD9-B57E-4256-83FB-3A95A082BE8F}" type="presOf" srcId="{133326A4-6344-4115-8808-6135F5365748}" destId="{54AD7D69-3278-4F1C-BE0C-9CA634CF1BEC}" srcOrd="0" destOrd="0" presId="urn:microsoft.com/office/officeart/2005/8/layout/bList2#1"/>
    <dgm:cxn modelId="{10751442-5E8C-4585-9B8F-7A5EC7939D85}" srcId="{F0A1EDD0-3514-46D6-8FEB-6D9886CBDADE}" destId="{B141B5D3-1094-4E5F-9E50-3BA2522C6AC1}" srcOrd="2" destOrd="0" parTransId="{16D09A8B-35E7-4C97-8375-884CD8AB9038}" sibTransId="{A3F44673-F1E6-455E-8B66-6AC7CE62F620}"/>
    <dgm:cxn modelId="{4DBD0100-9DF2-4B3F-83AD-1E25E232E3D3}" type="presOf" srcId="{9AB9410F-4229-4741-A381-EA7832A23C5E}" destId="{7ECC6BC7-35F0-4D08-ABBF-99736BCFF604}" srcOrd="0" destOrd="0" presId="urn:microsoft.com/office/officeart/2005/8/layout/bList2#1"/>
    <dgm:cxn modelId="{8E0B06C4-A290-459A-9D7C-F8690182A5B6}" type="presOf" srcId="{B04390F1-B90F-4599-9E70-D1F21D14BDC5}" destId="{BA0BC2DF-26D3-4998-B7D3-8171C6808AAB}" srcOrd="0" destOrd="1" presId="urn:microsoft.com/office/officeart/2005/8/layout/bList2#1"/>
    <dgm:cxn modelId="{952189C5-C4BB-45E0-A3E8-4087135D8F36}" type="presOf" srcId="{25772E47-1AC8-4173-8583-A28C9A241DCD}" destId="{5376FDA5-02A2-46E5-A70A-DDA4B961DFE8}" srcOrd="0" destOrd="0" presId="urn:microsoft.com/office/officeart/2005/8/layout/bList2#1"/>
    <dgm:cxn modelId="{58CC00B2-F07E-45CC-AFD4-5315B0321DB2}" type="presOf" srcId="{6D383DEC-526D-4103-A0B6-20F80FBAFB91}" destId="{FDF996CE-A09A-4475-9104-EEAF9814D0A8}" srcOrd="0" destOrd="0" presId="urn:microsoft.com/office/officeart/2005/8/layout/bList2#1"/>
    <dgm:cxn modelId="{E68E10E3-0860-4DF4-B72F-1ED5A6A6C71B}" srcId="{9AB9410F-4229-4741-A381-EA7832A23C5E}" destId="{6D383DEC-526D-4103-A0B6-20F80FBAFB91}" srcOrd="0" destOrd="0" parTransId="{398B0D32-2FAC-4543-BA88-EAD85C47597C}" sibTransId="{980D3FA7-C873-4F4B-B30C-43494A096C35}"/>
    <dgm:cxn modelId="{4FB2689D-14C0-4938-998F-92BFB3C13975}" type="presParOf" srcId="{AB366727-BEA6-4E11-973A-89F175AB9DE6}" destId="{ED1A9C58-064C-43B0-9966-D28E7A09CA2C}" srcOrd="0" destOrd="0" presId="urn:microsoft.com/office/officeart/2005/8/layout/bList2#1"/>
    <dgm:cxn modelId="{20DB64F0-9D12-44C7-A39D-F1210E1C8A29}" type="presParOf" srcId="{ED1A9C58-064C-43B0-9966-D28E7A09CA2C}" destId="{21B23753-5792-4F97-90B6-1DFBDBA032A7}" srcOrd="0" destOrd="0" presId="urn:microsoft.com/office/officeart/2005/8/layout/bList2#1"/>
    <dgm:cxn modelId="{F017400C-087C-40A2-BBBA-E1CC110BBC74}" type="presParOf" srcId="{ED1A9C58-064C-43B0-9966-D28E7A09CA2C}" destId="{5376FDA5-02A2-46E5-A70A-DDA4B961DFE8}" srcOrd="1" destOrd="0" presId="urn:microsoft.com/office/officeart/2005/8/layout/bList2#1"/>
    <dgm:cxn modelId="{F51A3716-88BE-4EB3-A10E-5F75A51412C6}" type="presParOf" srcId="{ED1A9C58-064C-43B0-9966-D28E7A09CA2C}" destId="{07C2AEB6-3F95-4597-810B-EA5456BBAC30}" srcOrd="2" destOrd="0" presId="urn:microsoft.com/office/officeart/2005/8/layout/bList2#1"/>
    <dgm:cxn modelId="{67DFDB76-9B7D-4DAA-BCA5-CA4F7CAA5157}" type="presParOf" srcId="{ED1A9C58-064C-43B0-9966-D28E7A09CA2C}" destId="{8E71925A-FE81-44D6-B5A9-DF5E88E588BD}" srcOrd="3" destOrd="0" presId="urn:microsoft.com/office/officeart/2005/8/layout/bList2#1"/>
    <dgm:cxn modelId="{0B01025F-AA7D-4A03-B5D9-9D33539C60CE}" type="presParOf" srcId="{AB366727-BEA6-4E11-973A-89F175AB9DE6}" destId="{15CEAE28-D1BF-400C-965D-5CAB3BE97F2A}" srcOrd="1" destOrd="0" presId="urn:microsoft.com/office/officeart/2005/8/layout/bList2#1"/>
    <dgm:cxn modelId="{A6CFADFD-265B-4C99-93FD-5596B76A82F8}" type="presParOf" srcId="{AB366727-BEA6-4E11-973A-89F175AB9DE6}" destId="{9884105B-A414-4A50-A236-F3A236B067AC}" srcOrd="2" destOrd="0" presId="urn:microsoft.com/office/officeart/2005/8/layout/bList2#1"/>
    <dgm:cxn modelId="{F328E472-FCDE-4E13-A533-5E462A14A8D4}" type="presParOf" srcId="{9884105B-A414-4A50-A236-F3A236B067AC}" destId="{FDF996CE-A09A-4475-9104-EEAF9814D0A8}" srcOrd="0" destOrd="0" presId="urn:microsoft.com/office/officeart/2005/8/layout/bList2#1"/>
    <dgm:cxn modelId="{BC8B2F70-9FA0-46A2-8C89-4C558F9CD499}" type="presParOf" srcId="{9884105B-A414-4A50-A236-F3A236B067AC}" destId="{7ECC6BC7-35F0-4D08-ABBF-99736BCFF604}" srcOrd="1" destOrd="0" presId="urn:microsoft.com/office/officeart/2005/8/layout/bList2#1"/>
    <dgm:cxn modelId="{7CB693A7-A0BE-4CEA-89FF-E81B11A53C95}" type="presParOf" srcId="{9884105B-A414-4A50-A236-F3A236B067AC}" destId="{8D2D30CE-FBF1-4FA4-9078-02F2DC6F00AB}" srcOrd="2" destOrd="0" presId="urn:microsoft.com/office/officeart/2005/8/layout/bList2#1"/>
    <dgm:cxn modelId="{F3306DBB-3480-4542-81B6-FAF9B047BC15}" type="presParOf" srcId="{9884105B-A414-4A50-A236-F3A236B067AC}" destId="{1791F9DA-4637-4180-9A9B-FD7122F1912A}" srcOrd="3" destOrd="0" presId="urn:microsoft.com/office/officeart/2005/8/layout/bList2#1"/>
    <dgm:cxn modelId="{AB72D578-6F9F-4090-808A-52B028D1DAA6}" type="presParOf" srcId="{AB366727-BEA6-4E11-973A-89F175AB9DE6}" destId="{61624F3E-EE8E-4544-BBEC-0D8DFBDBE9FD}" srcOrd="3" destOrd="0" presId="urn:microsoft.com/office/officeart/2005/8/layout/bList2#1"/>
    <dgm:cxn modelId="{C593BB88-574E-4035-B4D5-E69898AD43C3}" type="presParOf" srcId="{AB366727-BEA6-4E11-973A-89F175AB9DE6}" destId="{BE6B573C-DDE2-4C32-82F4-1407BE0C9747}" srcOrd="4" destOrd="0" presId="urn:microsoft.com/office/officeart/2005/8/layout/bList2#1"/>
    <dgm:cxn modelId="{F68BB4E1-929C-4D04-9FB9-60700F6B81DE}" type="presParOf" srcId="{BE6B573C-DDE2-4C32-82F4-1407BE0C9747}" destId="{54AD7D69-3278-4F1C-BE0C-9CA634CF1BEC}" srcOrd="0" destOrd="0" presId="urn:microsoft.com/office/officeart/2005/8/layout/bList2#1"/>
    <dgm:cxn modelId="{E1FF7173-A16A-43B5-9C2E-9E5EEAE2CA4E}" type="presParOf" srcId="{BE6B573C-DDE2-4C32-82F4-1407BE0C9747}" destId="{8F205DEF-130D-426A-B79E-0AA03024C759}" srcOrd="1" destOrd="0" presId="urn:microsoft.com/office/officeart/2005/8/layout/bList2#1"/>
    <dgm:cxn modelId="{86AA630B-3637-49B9-B530-E1E4249BA780}" type="presParOf" srcId="{BE6B573C-DDE2-4C32-82F4-1407BE0C9747}" destId="{C7F3D515-DD50-4626-A68F-D06483960CD7}" srcOrd="2" destOrd="0" presId="urn:microsoft.com/office/officeart/2005/8/layout/bList2#1"/>
    <dgm:cxn modelId="{E11CD49E-4484-4676-8BD6-3B8442196FFA}" type="presParOf" srcId="{BE6B573C-DDE2-4C32-82F4-1407BE0C9747}" destId="{8032B63A-1AD4-4344-8B86-0DE594DBA56C}" srcOrd="3" destOrd="0" presId="urn:microsoft.com/office/officeart/2005/8/layout/bList2#1"/>
    <dgm:cxn modelId="{A3255661-C1E1-4D21-8F36-E7D3686DCD5C}" type="presParOf" srcId="{AB366727-BEA6-4E11-973A-89F175AB9DE6}" destId="{55C4F78A-F48B-4403-AFA7-9AB2EAB38F73}" srcOrd="5" destOrd="0" presId="urn:microsoft.com/office/officeart/2005/8/layout/bList2#1"/>
    <dgm:cxn modelId="{937326AD-F158-423F-85EF-933E0FA1FF08}" type="presParOf" srcId="{AB366727-BEA6-4E11-973A-89F175AB9DE6}" destId="{E8AE9069-CEBE-4AA8-ABBF-F1080F7F2127}" srcOrd="6" destOrd="0" presId="urn:microsoft.com/office/officeart/2005/8/layout/bList2#1"/>
    <dgm:cxn modelId="{03100E02-5DB9-4D17-B0C1-0FBBCF21C887}" type="presParOf" srcId="{E8AE9069-CEBE-4AA8-ABBF-F1080F7F2127}" destId="{BA0BC2DF-26D3-4998-B7D3-8171C6808AAB}" srcOrd="0" destOrd="0" presId="urn:microsoft.com/office/officeart/2005/8/layout/bList2#1"/>
    <dgm:cxn modelId="{7CEF36FF-87E6-4CF7-9EDA-8C1828E4AFC0}" type="presParOf" srcId="{E8AE9069-CEBE-4AA8-ABBF-F1080F7F2127}" destId="{FEDC40D8-3992-443B-882F-A5AF0D4357E4}" srcOrd="1" destOrd="0" presId="urn:microsoft.com/office/officeart/2005/8/layout/bList2#1"/>
    <dgm:cxn modelId="{3C0D905C-BA29-4D54-8A0C-8AD982763AD7}" type="presParOf" srcId="{E8AE9069-CEBE-4AA8-ABBF-F1080F7F2127}" destId="{67B19B78-E67C-4DAE-9406-C841A8EA3785}" srcOrd="2" destOrd="0" presId="urn:microsoft.com/office/officeart/2005/8/layout/bList2#1"/>
    <dgm:cxn modelId="{E6AD95C2-5098-493A-9EB1-BA1292DA39D5}" type="presParOf" srcId="{E8AE9069-CEBE-4AA8-ABBF-F1080F7F2127}" destId="{8F7CD839-5479-4E5B-99E5-611569D31859}" srcOrd="3" destOrd="0" presId="urn:microsoft.com/office/officeart/2005/8/layout/bList2#1"/>
  </dgm:cxnLst>
  <dgm:bg>
    <a:noFill/>
  </dgm:bg>
  <dgm:whole/>
  <dgm:extLst>
    <a:ext uri="http://schemas.microsoft.com/office/drawing/2008/diagram">
      <dsp:dataModelExt xmlns:dsp="http://schemas.microsoft.com/office/drawing/2008/diagram" relId="rId87"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746DCBAD-8D9C-4FAC-AE7D-0BC45C1495D0}" type="doc">
      <dgm:prSet loTypeId="urn:microsoft.com/office/officeart/2005/8/layout/vList6" loCatId="list" qsTypeId="urn:microsoft.com/office/officeart/2005/8/quickstyle/3d3" qsCatId="3D" csTypeId="urn:microsoft.com/office/officeart/2005/8/colors/colorful3" csCatId="colorful" phldr="1"/>
      <dgm:spPr/>
      <dgm:t>
        <a:bodyPr/>
        <a:lstStyle/>
        <a:p>
          <a:endParaRPr lang="es-ES"/>
        </a:p>
      </dgm:t>
    </dgm:pt>
    <dgm:pt modelId="{F488965A-1106-49FF-8215-849E2CB6CD92}">
      <dgm:prSet phldrT="[Texto]" custT="1"/>
      <dgm:spPr>
        <a:blipFill rotWithShape="0">
          <a:blip xmlns:r="http://schemas.openxmlformats.org/officeDocument/2006/relationships" r:embed="rId1"/>
          <a:stretch>
            <a:fillRect/>
          </a:stretch>
        </a:blipFill>
      </dgm:spPr>
      <dgm:t>
        <a:bodyPr/>
        <a:lstStyle/>
        <a:p>
          <a:endParaRPr lang="es-ES" sz="1400" b="1">
            <a:latin typeface="Arial" pitchFamily="34" charset="0"/>
            <a:cs typeface="Arial" pitchFamily="34" charset="0"/>
          </a:endParaRPr>
        </a:p>
      </dgm:t>
    </dgm:pt>
    <dgm:pt modelId="{C4F21CC2-173D-406C-8721-673859D897FE}" type="parTrans" cxnId="{E018EEBB-6ABF-4E8B-AB44-62C4DFFD96A2}">
      <dgm:prSet/>
      <dgm:spPr/>
      <dgm:t>
        <a:bodyPr/>
        <a:lstStyle/>
        <a:p>
          <a:endParaRPr lang="es-ES"/>
        </a:p>
      </dgm:t>
    </dgm:pt>
    <dgm:pt modelId="{FF87A390-6FEC-4744-B0F7-3361AE4BF805}" type="sibTrans" cxnId="{E018EEBB-6ABF-4E8B-AB44-62C4DFFD96A2}">
      <dgm:prSet/>
      <dgm:spPr/>
      <dgm:t>
        <a:bodyPr/>
        <a:lstStyle/>
        <a:p>
          <a:endParaRPr lang="es-ES"/>
        </a:p>
      </dgm:t>
    </dgm:pt>
    <dgm:pt modelId="{8CDD147E-9A98-4AE7-A6BA-272C46D262E5}">
      <dgm:prSet phldrT="[Texto]" custT="1"/>
      <dgm:spPr>
        <a:solidFill>
          <a:schemeClr val="accent2">
            <a:lumMod val="20000"/>
            <a:lumOff val="80000"/>
            <a:alpha val="90000"/>
          </a:schemeClr>
        </a:solidFill>
      </dgm:spPr>
      <dgm:t>
        <a:bodyPr/>
        <a:lstStyle/>
        <a:p>
          <a:pPr algn="l"/>
          <a:r>
            <a:rPr lang="es-ES" sz="1200">
              <a:latin typeface="Arial" pitchFamily="34" charset="0"/>
              <a:cs typeface="Arial" pitchFamily="34" charset="0"/>
            </a:rPr>
            <a:t>¿Qué resultados se brindarán a los ciudadanos como consecuencia de las acciones o gestión de gobierno?</a:t>
          </a:r>
        </a:p>
      </dgm:t>
    </dgm:pt>
    <dgm:pt modelId="{0BA0FF38-5466-48D5-B4E8-4D8559DBD97E}" type="parTrans" cxnId="{5B025C87-E046-4120-8C9F-410227E3529A}">
      <dgm:prSet/>
      <dgm:spPr/>
      <dgm:t>
        <a:bodyPr/>
        <a:lstStyle/>
        <a:p>
          <a:endParaRPr lang="es-ES"/>
        </a:p>
      </dgm:t>
    </dgm:pt>
    <dgm:pt modelId="{B84B8A15-5493-4D78-947F-F4F0C5C0C3AF}" type="sibTrans" cxnId="{5B025C87-E046-4120-8C9F-410227E3529A}">
      <dgm:prSet/>
      <dgm:spPr/>
      <dgm:t>
        <a:bodyPr/>
        <a:lstStyle/>
        <a:p>
          <a:endParaRPr lang="es-ES"/>
        </a:p>
      </dgm:t>
    </dgm:pt>
    <dgm:pt modelId="{473A02ED-F588-4964-96DB-7142EDC45251}">
      <dgm:prSet phldrT="[Texto]" custT="1"/>
      <dgm:spPr>
        <a:solidFill>
          <a:schemeClr val="accent2">
            <a:lumMod val="20000"/>
            <a:lumOff val="80000"/>
            <a:alpha val="90000"/>
          </a:schemeClr>
        </a:solidFill>
      </dgm:spPr>
      <dgm:t>
        <a:bodyPr/>
        <a:lstStyle/>
        <a:p>
          <a:pPr algn="l"/>
          <a:endParaRPr lang="es-ES" sz="1100">
            <a:latin typeface="Arial" pitchFamily="34" charset="0"/>
            <a:cs typeface="Arial" pitchFamily="34" charset="0"/>
          </a:endParaRPr>
        </a:p>
      </dgm:t>
    </dgm:pt>
    <dgm:pt modelId="{B786B0AE-92A8-47BE-989A-72F7184959BC}" type="parTrans" cxnId="{2FE97935-0A25-4392-81D3-5D16A3BBDD85}">
      <dgm:prSet/>
      <dgm:spPr/>
      <dgm:t>
        <a:bodyPr/>
        <a:lstStyle/>
        <a:p>
          <a:endParaRPr lang="es-ES"/>
        </a:p>
      </dgm:t>
    </dgm:pt>
    <dgm:pt modelId="{2939521A-185C-482B-AB5C-904F06AEADA4}" type="sibTrans" cxnId="{2FE97935-0A25-4392-81D3-5D16A3BBDD85}">
      <dgm:prSet/>
      <dgm:spPr/>
      <dgm:t>
        <a:bodyPr/>
        <a:lstStyle/>
        <a:p>
          <a:endParaRPr lang="es-ES"/>
        </a:p>
      </dgm:t>
    </dgm:pt>
    <dgm:pt modelId="{315D8EFA-0DFC-433E-934C-435618A09B74}" type="pres">
      <dgm:prSet presAssocID="{746DCBAD-8D9C-4FAC-AE7D-0BC45C1495D0}" presName="Name0" presStyleCnt="0">
        <dgm:presLayoutVars>
          <dgm:dir/>
          <dgm:animLvl val="lvl"/>
          <dgm:resizeHandles/>
        </dgm:presLayoutVars>
      </dgm:prSet>
      <dgm:spPr/>
      <dgm:t>
        <a:bodyPr/>
        <a:lstStyle/>
        <a:p>
          <a:endParaRPr lang="es-ES"/>
        </a:p>
      </dgm:t>
    </dgm:pt>
    <dgm:pt modelId="{12034E41-83D7-40D9-846E-6D109BB05CF8}" type="pres">
      <dgm:prSet presAssocID="{F488965A-1106-49FF-8215-849E2CB6CD92}" presName="linNode" presStyleCnt="0"/>
      <dgm:spPr/>
      <dgm:t>
        <a:bodyPr/>
        <a:lstStyle/>
        <a:p>
          <a:endParaRPr lang="es-ES"/>
        </a:p>
      </dgm:t>
    </dgm:pt>
    <dgm:pt modelId="{9C90B117-3CDA-42B9-89EC-1424C7DFDC44}" type="pres">
      <dgm:prSet presAssocID="{F488965A-1106-49FF-8215-849E2CB6CD92}" presName="parentShp" presStyleLbl="node1" presStyleIdx="0" presStyleCnt="1" custScaleX="46672">
        <dgm:presLayoutVars>
          <dgm:bulletEnabled val="1"/>
        </dgm:presLayoutVars>
      </dgm:prSet>
      <dgm:spPr/>
      <dgm:t>
        <a:bodyPr/>
        <a:lstStyle/>
        <a:p>
          <a:endParaRPr lang="es-ES"/>
        </a:p>
      </dgm:t>
    </dgm:pt>
    <dgm:pt modelId="{1CE0F62B-30D0-4E00-BDDD-A9E944B73A5E}" type="pres">
      <dgm:prSet presAssocID="{F488965A-1106-49FF-8215-849E2CB6CD92}" presName="childShp" presStyleLbl="bgAccFollowNode1" presStyleIdx="0" presStyleCnt="1" custScaleX="139299" custScaleY="100000">
        <dgm:presLayoutVars>
          <dgm:bulletEnabled val="1"/>
        </dgm:presLayoutVars>
      </dgm:prSet>
      <dgm:spPr>
        <a:prstGeom prst="leftArrow">
          <a:avLst/>
        </a:prstGeom>
      </dgm:spPr>
      <dgm:t>
        <a:bodyPr/>
        <a:lstStyle/>
        <a:p>
          <a:endParaRPr lang="es-ES"/>
        </a:p>
      </dgm:t>
    </dgm:pt>
  </dgm:ptLst>
  <dgm:cxnLst>
    <dgm:cxn modelId="{2FE97935-0A25-4392-81D3-5D16A3BBDD85}" srcId="{F488965A-1106-49FF-8215-849E2CB6CD92}" destId="{473A02ED-F588-4964-96DB-7142EDC45251}" srcOrd="0" destOrd="0" parTransId="{B786B0AE-92A8-47BE-989A-72F7184959BC}" sibTransId="{2939521A-185C-482B-AB5C-904F06AEADA4}"/>
    <dgm:cxn modelId="{5B025C87-E046-4120-8C9F-410227E3529A}" srcId="{F488965A-1106-49FF-8215-849E2CB6CD92}" destId="{8CDD147E-9A98-4AE7-A6BA-272C46D262E5}" srcOrd="1" destOrd="0" parTransId="{0BA0FF38-5466-48D5-B4E8-4D8559DBD97E}" sibTransId="{B84B8A15-5493-4D78-947F-F4F0C5C0C3AF}"/>
    <dgm:cxn modelId="{E018EEBB-6ABF-4E8B-AB44-62C4DFFD96A2}" srcId="{746DCBAD-8D9C-4FAC-AE7D-0BC45C1495D0}" destId="{F488965A-1106-49FF-8215-849E2CB6CD92}" srcOrd="0" destOrd="0" parTransId="{C4F21CC2-173D-406C-8721-673859D897FE}" sibTransId="{FF87A390-6FEC-4744-B0F7-3361AE4BF805}"/>
    <dgm:cxn modelId="{30CCA3CD-CF16-4FFA-B6DB-8C3E63EC7C2C}" type="presOf" srcId="{473A02ED-F588-4964-96DB-7142EDC45251}" destId="{1CE0F62B-30D0-4E00-BDDD-A9E944B73A5E}" srcOrd="0" destOrd="0" presId="urn:microsoft.com/office/officeart/2005/8/layout/vList6"/>
    <dgm:cxn modelId="{ADE8A002-1B54-478C-9223-65FC8DB4A6D4}" type="presOf" srcId="{F488965A-1106-49FF-8215-849E2CB6CD92}" destId="{9C90B117-3CDA-42B9-89EC-1424C7DFDC44}" srcOrd="0" destOrd="0" presId="urn:microsoft.com/office/officeart/2005/8/layout/vList6"/>
    <dgm:cxn modelId="{A052B156-AF30-408A-A3D3-C3BC725FB7C9}" type="presOf" srcId="{746DCBAD-8D9C-4FAC-AE7D-0BC45C1495D0}" destId="{315D8EFA-0DFC-433E-934C-435618A09B74}" srcOrd="0" destOrd="0" presId="urn:microsoft.com/office/officeart/2005/8/layout/vList6"/>
    <dgm:cxn modelId="{B4E70B29-BE21-43B2-8C74-04313A0CD9A2}" type="presOf" srcId="{8CDD147E-9A98-4AE7-A6BA-272C46D262E5}" destId="{1CE0F62B-30D0-4E00-BDDD-A9E944B73A5E}" srcOrd="0" destOrd="1" presId="urn:microsoft.com/office/officeart/2005/8/layout/vList6"/>
    <dgm:cxn modelId="{4DB54FB7-FEBD-4C59-B161-773630C595B1}" type="presParOf" srcId="{315D8EFA-0DFC-433E-934C-435618A09B74}" destId="{12034E41-83D7-40D9-846E-6D109BB05CF8}" srcOrd="0" destOrd="0" presId="urn:microsoft.com/office/officeart/2005/8/layout/vList6"/>
    <dgm:cxn modelId="{8CF1853A-6930-4321-ADEC-27CBA47CDE69}" type="presParOf" srcId="{12034E41-83D7-40D9-846E-6D109BB05CF8}" destId="{9C90B117-3CDA-42B9-89EC-1424C7DFDC44}" srcOrd="0" destOrd="0" presId="urn:microsoft.com/office/officeart/2005/8/layout/vList6"/>
    <dgm:cxn modelId="{1A0F514F-CD8D-4B0E-9B28-891090E779F7}" type="presParOf" srcId="{12034E41-83D7-40D9-846E-6D109BB05CF8}" destId="{1CE0F62B-30D0-4E00-BDDD-A9E944B73A5E}" srcOrd="1" destOrd="0" presId="urn:microsoft.com/office/officeart/2005/8/layout/vList6"/>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075C91-1D0F-4FC2-A062-ABCF4C9647D5}">
      <dsp:nvSpPr>
        <dsp:cNvPr id="0" name=""/>
        <dsp:cNvSpPr/>
      </dsp:nvSpPr>
      <dsp:spPr>
        <a:xfrm>
          <a:off x="1361728" y="0"/>
          <a:ext cx="4246620" cy="1133475"/>
        </a:xfrm>
        <a:prstGeom prst="rightArrow">
          <a:avLst>
            <a:gd name="adj1" fmla="val 75000"/>
            <a:gd name="adj2" fmla="val 50000"/>
          </a:avLst>
        </a:prstGeom>
        <a:noFill/>
        <a:ln w="25400" cap="flat" cmpd="sng" algn="ctr">
          <a:solidFill>
            <a:schemeClr val="tx1">
              <a:alpha val="9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endParaRPr lang="es-ES" sz="1200" kern="1200"/>
        </a:p>
        <a:p>
          <a:pPr marL="114300" lvl="1" indent="-114300" algn="l" defTabSz="533400">
            <a:lnSpc>
              <a:spcPct val="90000"/>
            </a:lnSpc>
            <a:spcBef>
              <a:spcPct val="0"/>
            </a:spcBef>
            <a:spcAft>
              <a:spcPct val="15000"/>
            </a:spcAft>
            <a:buChar char="••"/>
          </a:pPr>
          <a:r>
            <a:rPr lang="es-GT" sz="1200" b="1" kern="1200"/>
            <a:t>¿Qué variables macroeconómicas o aspectos importantes se toman en cuenta para la elaboración del presupuesto?</a:t>
          </a:r>
          <a:endParaRPr lang="es-ES" sz="1200" kern="1200"/>
        </a:p>
      </dsp:txBody>
      <dsp:txXfrm>
        <a:off x="1361728" y="141684"/>
        <a:ext cx="3821567" cy="850107"/>
      </dsp:txXfrm>
    </dsp:sp>
    <dsp:sp modelId="{8D521D9D-9159-4855-9001-8F24A903B26F}">
      <dsp:nvSpPr>
        <dsp:cNvPr id="0" name=""/>
        <dsp:cNvSpPr/>
      </dsp:nvSpPr>
      <dsp:spPr>
        <a:xfrm>
          <a:off x="19036" y="5"/>
          <a:ext cx="1302702" cy="1000121"/>
        </a:xfrm>
        <a:prstGeom prst="roundRect">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0" tIns="95250" rIns="190500" bIns="95250" numCol="1" spcCol="1270" anchor="ctr" anchorCtr="0">
          <a:noAutofit/>
        </a:bodyPr>
        <a:lstStyle/>
        <a:p>
          <a:pPr lvl="0" algn="ctr" defTabSz="2222500">
            <a:lnSpc>
              <a:spcPct val="90000"/>
            </a:lnSpc>
            <a:spcBef>
              <a:spcPct val="0"/>
            </a:spcBef>
            <a:spcAft>
              <a:spcPct val="35000"/>
            </a:spcAft>
          </a:pPr>
          <a:endParaRPr lang="es-ES" sz="5000" kern="1200"/>
        </a:p>
      </dsp:txBody>
      <dsp:txXfrm>
        <a:off x="67858" y="48827"/>
        <a:ext cx="1205058" cy="902477"/>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C08D063-6DC2-4469-BDF9-464B541EB498}">
      <dsp:nvSpPr>
        <dsp:cNvPr id="0" name=""/>
        <dsp:cNvSpPr/>
      </dsp:nvSpPr>
      <dsp:spPr>
        <a:xfrm>
          <a:off x="2093" y="569407"/>
          <a:ext cx="1044429" cy="861435"/>
        </a:xfrm>
        <a:prstGeom prst="roundRect">
          <a:avLst>
            <a:gd name="adj" fmla="val 10000"/>
          </a:avLst>
        </a:prstGeom>
        <a:blipFill rotWithShape="0">
          <a:blip xmlns:r="http://schemas.openxmlformats.org/officeDocument/2006/relationships" r:embed="rId1"/>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838265FC-729F-4E22-8A45-F5F8E55925AE}">
      <dsp:nvSpPr>
        <dsp:cNvPr id="0" name=""/>
        <dsp:cNvSpPr/>
      </dsp:nvSpPr>
      <dsp:spPr>
        <a:xfrm>
          <a:off x="486488" y="455233"/>
          <a:ext cx="1545023" cy="1545023"/>
        </a:xfrm>
        <a:prstGeom prst="leftCircularArrow">
          <a:avLst>
            <a:gd name="adj1" fmla="val 3277"/>
            <a:gd name="adj2" fmla="val 404458"/>
            <a:gd name="adj3" fmla="val 1676731"/>
            <a:gd name="adj4" fmla="val 8521252"/>
            <a:gd name="adj5" fmla="val 3823"/>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A3F96706-CF3D-40F6-9469-572DA9BC8BDF}">
      <dsp:nvSpPr>
        <dsp:cNvPr id="0" name=""/>
        <dsp:cNvSpPr/>
      </dsp:nvSpPr>
      <dsp:spPr>
        <a:xfrm>
          <a:off x="645" y="1428302"/>
          <a:ext cx="928381" cy="369186"/>
        </a:xfrm>
        <a:prstGeom prst="roundRect">
          <a:avLst>
            <a:gd name="adj" fmla="val 10000"/>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endParaRPr lang="es-ES" sz="1200" b="1" kern="1200">
            <a:solidFill>
              <a:sysClr val="windowText" lastClr="000000"/>
            </a:solidFill>
          </a:endParaRPr>
        </a:p>
        <a:p>
          <a:pPr lvl="0" algn="ctr" defTabSz="533400">
            <a:lnSpc>
              <a:spcPct val="90000"/>
            </a:lnSpc>
            <a:spcBef>
              <a:spcPct val="0"/>
            </a:spcBef>
            <a:spcAft>
              <a:spcPct val="35000"/>
            </a:spcAft>
          </a:pPr>
          <a:r>
            <a:rPr lang="es-ES" sz="1200" b="1" kern="1200">
              <a:solidFill>
                <a:sysClr val="windowText" lastClr="000000"/>
              </a:solidFill>
            </a:rPr>
            <a:t>Diagnóstico</a:t>
          </a:r>
          <a:r>
            <a:rPr lang="es-ES" sz="1200" kern="1200">
              <a:solidFill>
                <a:sysClr val="windowText" lastClr="000000"/>
              </a:solidFill>
            </a:rPr>
            <a:t>	</a:t>
          </a:r>
        </a:p>
      </dsp:txBody>
      <dsp:txXfrm>
        <a:off x="11458" y="1439115"/>
        <a:ext cx="906755" cy="347560"/>
      </dsp:txXfrm>
    </dsp:sp>
    <dsp:sp modelId="{52B4C6F2-136D-42F5-B959-95D2AD9AA799}">
      <dsp:nvSpPr>
        <dsp:cNvPr id="0" name=""/>
        <dsp:cNvSpPr/>
      </dsp:nvSpPr>
      <dsp:spPr>
        <a:xfrm>
          <a:off x="1403672" y="569407"/>
          <a:ext cx="1044429" cy="861435"/>
        </a:xfrm>
        <a:prstGeom prst="roundRect">
          <a:avLst>
            <a:gd name="adj" fmla="val 10000"/>
          </a:avLst>
        </a:prstGeom>
        <a:blipFill rotWithShape="0">
          <a:blip xmlns:r="http://schemas.openxmlformats.org/officeDocument/2006/relationships" r:embed="rId2"/>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ED64778D-1113-4DA0-A8BA-BD66E67BD860}">
      <dsp:nvSpPr>
        <dsp:cNvPr id="0" name=""/>
        <dsp:cNvSpPr/>
      </dsp:nvSpPr>
      <dsp:spPr>
        <a:xfrm>
          <a:off x="2060209" y="-34596"/>
          <a:ext cx="1411223" cy="1411223"/>
        </a:xfrm>
        <a:prstGeom prst="circularArrow">
          <a:avLst>
            <a:gd name="adj1" fmla="val 3588"/>
            <a:gd name="adj2" fmla="val 446093"/>
            <a:gd name="adj3" fmla="val 19698924"/>
            <a:gd name="adj4" fmla="val 12896038"/>
            <a:gd name="adj5" fmla="val 4186"/>
          </a:avLst>
        </a:prstGeom>
        <a:solidFill>
          <a:schemeClr val="accent5">
            <a:hueOff val="-4966938"/>
            <a:satOff val="19906"/>
            <a:lumOff val="4314"/>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AD3AE925-4F65-4709-9BF3-37ECFA6ECDDF}">
      <dsp:nvSpPr>
        <dsp:cNvPr id="0" name=""/>
        <dsp:cNvSpPr/>
      </dsp:nvSpPr>
      <dsp:spPr>
        <a:xfrm>
          <a:off x="1626187" y="279444"/>
          <a:ext cx="928381" cy="369186"/>
        </a:xfrm>
        <a:prstGeom prst="roundRect">
          <a:avLst>
            <a:gd name="adj" fmla="val 10000"/>
          </a:avLst>
        </a:prstGeom>
        <a:solidFill>
          <a:schemeClr val="accent5">
            <a:hueOff val="-3311292"/>
            <a:satOff val="13270"/>
            <a:lumOff val="2876"/>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rPr>
            <a:t>Diseño</a:t>
          </a:r>
        </a:p>
      </dsp:txBody>
      <dsp:txXfrm>
        <a:off x="1637000" y="290257"/>
        <a:ext cx="906755" cy="347560"/>
      </dsp:txXfrm>
    </dsp:sp>
    <dsp:sp modelId="{61CA45D1-7E8C-47BA-AF23-51496063DFAF}">
      <dsp:nvSpPr>
        <dsp:cNvPr id="0" name=""/>
        <dsp:cNvSpPr/>
      </dsp:nvSpPr>
      <dsp:spPr>
        <a:xfrm>
          <a:off x="2805251" y="569407"/>
          <a:ext cx="1044429" cy="861435"/>
        </a:xfrm>
        <a:prstGeom prst="roundRect">
          <a:avLst>
            <a:gd name="adj" fmla="val 10000"/>
          </a:avLst>
        </a:prstGeom>
        <a:blipFill rotWithShape="0">
          <a:blip xmlns:r="http://schemas.openxmlformats.org/officeDocument/2006/relationships" r:embed="rId3"/>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4F5C6F41-E8B6-47E8-957C-9139E8A41A77}">
      <dsp:nvSpPr>
        <dsp:cNvPr id="0" name=""/>
        <dsp:cNvSpPr/>
      </dsp:nvSpPr>
      <dsp:spPr>
        <a:xfrm>
          <a:off x="3625544" y="588399"/>
          <a:ext cx="1411845" cy="1411845"/>
        </a:xfrm>
        <a:prstGeom prst="leftCircularArrow">
          <a:avLst>
            <a:gd name="adj1" fmla="val 3586"/>
            <a:gd name="adj2" fmla="val 445879"/>
            <a:gd name="adj3" fmla="val 1907748"/>
            <a:gd name="adj4" fmla="val 8710847"/>
            <a:gd name="adj5" fmla="val 4184"/>
          </a:avLst>
        </a:prstGeom>
        <a:solidFill>
          <a:schemeClr val="accent5">
            <a:hueOff val="-9933876"/>
            <a:satOff val="39811"/>
            <a:lumOff val="8628"/>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EDC89D0B-E609-4925-80B5-BEB6ED6A2A22}">
      <dsp:nvSpPr>
        <dsp:cNvPr id="0" name=""/>
        <dsp:cNvSpPr/>
      </dsp:nvSpPr>
      <dsp:spPr>
        <a:xfrm>
          <a:off x="2910970" y="1349411"/>
          <a:ext cx="1162380" cy="369186"/>
        </a:xfrm>
        <a:prstGeom prst="roundRect">
          <a:avLst>
            <a:gd name="adj" fmla="val 10000"/>
          </a:avLst>
        </a:prstGeom>
        <a:solidFill>
          <a:schemeClr val="accent5">
            <a:hueOff val="-6622584"/>
            <a:satOff val="26541"/>
            <a:lumOff val="5752"/>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rPr>
            <a:t>Implementación</a:t>
          </a:r>
        </a:p>
      </dsp:txBody>
      <dsp:txXfrm>
        <a:off x="2921783" y="1360224"/>
        <a:ext cx="1140754" cy="347560"/>
      </dsp:txXfrm>
    </dsp:sp>
    <dsp:sp modelId="{CE83AE7C-08AD-4669-9739-C5DAF86894A7}">
      <dsp:nvSpPr>
        <dsp:cNvPr id="0" name=""/>
        <dsp:cNvSpPr/>
      </dsp:nvSpPr>
      <dsp:spPr>
        <a:xfrm>
          <a:off x="4323829" y="569407"/>
          <a:ext cx="1044429" cy="861435"/>
        </a:xfrm>
        <a:prstGeom prst="roundRect">
          <a:avLst>
            <a:gd name="adj" fmla="val 10000"/>
          </a:avLst>
        </a:prstGeom>
        <a:blipFill rotWithShape="0">
          <a:blip xmlns:r="http://schemas.openxmlformats.org/officeDocument/2006/relationships" r:embed="rId4"/>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B4FC8661-A0ED-4932-BA95-46B8646E5426}">
      <dsp:nvSpPr>
        <dsp:cNvPr id="0" name=""/>
        <dsp:cNvSpPr/>
      </dsp:nvSpPr>
      <dsp:spPr>
        <a:xfrm>
          <a:off x="4527775" y="187863"/>
          <a:ext cx="928381" cy="369186"/>
        </a:xfrm>
        <a:prstGeom prst="roundRect">
          <a:avLst>
            <a:gd name="adj" fmla="val 10000"/>
          </a:avLst>
        </a:prstGeom>
        <a:solidFill>
          <a:schemeClr val="accent5">
            <a:hueOff val="-9933876"/>
            <a:satOff val="39811"/>
            <a:lumOff val="8628"/>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rPr>
            <a:t>Seguimiento y Evaluación</a:t>
          </a:r>
        </a:p>
      </dsp:txBody>
      <dsp:txXfrm>
        <a:off x="4538588" y="198676"/>
        <a:ext cx="906755" cy="347560"/>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DC514A-7CA9-451A-9955-6A10D1D92A2E}">
      <dsp:nvSpPr>
        <dsp:cNvPr id="0" name=""/>
        <dsp:cNvSpPr/>
      </dsp:nvSpPr>
      <dsp:spPr>
        <a:xfrm>
          <a:off x="0" y="0"/>
          <a:ext cx="1297930" cy="3495675"/>
        </a:xfrm>
        <a:prstGeom prst="roundRect">
          <a:avLst>
            <a:gd name="adj" fmla="val 10000"/>
          </a:avLst>
        </a:prstGeom>
        <a:gradFill rotWithShape="0">
          <a:gsLst>
            <a:gs pos="0">
              <a:schemeClr val="dk2">
                <a:tint val="40000"/>
                <a:hueOff val="0"/>
                <a:satOff val="0"/>
                <a:lumOff val="0"/>
                <a:alphaOff val="0"/>
                <a:shade val="51000"/>
                <a:satMod val="130000"/>
              </a:schemeClr>
            </a:gs>
            <a:gs pos="80000">
              <a:schemeClr val="dk2">
                <a:tint val="40000"/>
                <a:hueOff val="0"/>
                <a:satOff val="0"/>
                <a:lumOff val="0"/>
                <a:alphaOff val="0"/>
                <a:shade val="93000"/>
                <a:satMod val="130000"/>
              </a:schemeClr>
            </a:gs>
            <a:gs pos="100000">
              <a:schemeClr val="dk2">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s-ES" sz="2400" b="1" kern="1200">
              <a:latin typeface="Arial Black" pitchFamily="34" charset="0"/>
            </a:rPr>
            <a:t>1</a:t>
          </a:r>
        </a:p>
      </dsp:txBody>
      <dsp:txXfrm>
        <a:off x="0" y="0"/>
        <a:ext cx="1297930" cy="1048702"/>
      </dsp:txXfrm>
    </dsp:sp>
    <dsp:sp modelId="{FE09E83E-410A-47E2-9A5E-FCF1E84AD43B}">
      <dsp:nvSpPr>
        <dsp:cNvPr id="0" name=""/>
        <dsp:cNvSpPr/>
      </dsp:nvSpPr>
      <dsp:spPr>
        <a:xfrm>
          <a:off x="150169" y="789626"/>
          <a:ext cx="1038344" cy="1053993"/>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s-ES" sz="1200" b="1" kern="1200">
              <a:latin typeface="Arial" pitchFamily="34" charset="0"/>
              <a:cs typeface="Arial" pitchFamily="34" charset="0"/>
            </a:rPr>
            <a:t>¿Qué se desea cambiar?</a:t>
          </a:r>
        </a:p>
      </dsp:txBody>
      <dsp:txXfrm>
        <a:off x="180581" y="820038"/>
        <a:ext cx="977520" cy="993169"/>
      </dsp:txXfrm>
    </dsp:sp>
    <dsp:sp modelId="{BFE8884E-7398-4FD8-8EDF-EF1736573B98}">
      <dsp:nvSpPr>
        <dsp:cNvPr id="0" name=""/>
        <dsp:cNvSpPr/>
      </dsp:nvSpPr>
      <dsp:spPr>
        <a:xfrm>
          <a:off x="131115" y="2265873"/>
          <a:ext cx="1038344" cy="1053993"/>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es-ES" sz="1100" kern="1200">
              <a:latin typeface="Arial" pitchFamily="34" charset="0"/>
              <a:cs typeface="Arial" pitchFamily="34" charset="0"/>
            </a:rPr>
            <a:t>Puede ser su nivel educativo, ingresos, empleabilidad, salud, etc.</a:t>
          </a:r>
        </a:p>
      </dsp:txBody>
      <dsp:txXfrm>
        <a:off x="161527" y="2296285"/>
        <a:ext cx="977520" cy="993169"/>
      </dsp:txXfrm>
    </dsp:sp>
    <dsp:sp modelId="{245B636B-7CD9-49F5-A923-9AADF7A3ED23}">
      <dsp:nvSpPr>
        <dsp:cNvPr id="0" name=""/>
        <dsp:cNvSpPr/>
      </dsp:nvSpPr>
      <dsp:spPr>
        <a:xfrm>
          <a:off x="1396597" y="0"/>
          <a:ext cx="1297930" cy="3495675"/>
        </a:xfrm>
        <a:prstGeom prst="roundRect">
          <a:avLst>
            <a:gd name="adj" fmla="val 10000"/>
          </a:avLst>
        </a:prstGeom>
        <a:gradFill rotWithShape="0">
          <a:gsLst>
            <a:gs pos="0">
              <a:schemeClr val="dk2">
                <a:tint val="40000"/>
                <a:hueOff val="0"/>
                <a:satOff val="0"/>
                <a:lumOff val="0"/>
                <a:alphaOff val="0"/>
                <a:shade val="51000"/>
                <a:satMod val="130000"/>
              </a:schemeClr>
            </a:gs>
            <a:gs pos="80000">
              <a:schemeClr val="dk2">
                <a:tint val="40000"/>
                <a:hueOff val="0"/>
                <a:satOff val="0"/>
                <a:lumOff val="0"/>
                <a:alphaOff val="0"/>
                <a:shade val="93000"/>
                <a:satMod val="130000"/>
              </a:schemeClr>
            </a:gs>
            <a:gs pos="100000">
              <a:schemeClr val="dk2">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s-ES" sz="2400" kern="1200">
              <a:latin typeface="Arial Black" pitchFamily="34" charset="0"/>
            </a:rPr>
            <a:t>2</a:t>
          </a:r>
        </a:p>
      </dsp:txBody>
      <dsp:txXfrm>
        <a:off x="1396597" y="0"/>
        <a:ext cx="1297930" cy="1048702"/>
      </dsp:txXfrm>
    </dsp:sp>
    <dsp:sp modelId="{04CA781A-DED0-4B99-8AE7-FE332F9C6D67}">
      <dsp:nvSpPr>
        <dsp:cNvPr id="0" name=""/>
        <dsp:cNvSpPr/>
      </dsp:nvSpPr>
      <dsp:spPr>
        <a:xfrm>
          <a:off x="1516868" y="800039"/>
          <a:ext cx="1038344" cy="1053993"/>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s-ES" sz="1200" b="1" kern="1200">
              <a:latin typeface="Arial" pitchFamily="34" charset="0"/>
              <a:cs typeface="Arial" pitchFamily="34" charset="0"/>
            </a:rPr>
            <a:t>¿En quiénes?</a:t>
          </a:r>
        </a:p>
      </dsp:txBody>
      <dsp:txXfrm>
        <a:off x="1547280" y="830451"/>
        <a:ext cx="977520" cy="993169"/>
      </dsp:txXfrm>
    </dsp:sp>
    <dsp:sp modelId="{B9072C3D-26F4-4227-BFFE-D48CDF6D7FAB}">
      <dsp:nvSpPr>
        <dsp:cNvPr id="0" name=""/>
        <dsp:cNvSpPr/>
      </dsp:nvSpPr>
      <dsp:spPr>
        <a:xfrm>
          <a:off x="1526390" y="2265873"/>
          <a:ext cx="1038344" cy="1053993"/>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es-ES" sz="1100" kern="1200">
              <a:latin typeface="Arial" pitchFamily="34" charset="0"/>
              <a:cs typeface="Arial" pitchFamily="34" charset="0"/>
            </a:rPr>
            <a:t>Puede ser niños, mujeres, hogares, comunidades, etc.</a:t>
          </a:r>
        </a:p>
      </dsp:txBody>
      <dsp:txXfrm>
        <a:off x="1556802" y="2296285"/>
        <a:ext cx="977520" cy="993169"/>
      </dsp:txXfrm>
    </dsp:sp>
    <dsp:sp modelId="{90B301F2-565E-4142-8800-ACA9AEF82425}">
      <dsp:nvSpPr>
        <dsp:cNvPr id="0" name=""/>
        <dsp:cNvSpPr/>
      </dsp:nvSpPr>
      <dsp:spPr>
        <a:xfrm>
          <a:off x="2791872" y="0"/>
          <a:ext cx="1297930" cy="3495675"/>
        </a:xfrm>
        <a:prstGeom prst="roundRect">
          <a:avLst>
            <a:gd name="adj" fmla="val 10000"/>
          </a:avLst>
        </a:prstGeom>
        <a:gradFill rotWithShape="0">
          <a:gsLst>
            <a:gs pos="0">
              <a:schemeClr val="dk2">
                <a:tint val="40000"/>
                <a:hueOff val="0"/>
                <a:satOff val="0"/>
                <a:lumOff val="0"/>
                <a:alphaOff val="0"/>
                <a:shade val="51000"/>
                <a:satMod val="130000"/>
              </a:schemeClr>
            </a:gs>
            <a:gs pos="80000">
              <a:schemeClr val="dk2">
                <a:tint val="40000"/>
                <a:hueOff val="0"/>
                <a:satOff val="0"/>
                <a:lumOff val="0"/>
                <a:alphaOff val="0"/>
                <a:shade val="93000"/>
                <a:satMod val="130000"/>
              </a:schemeClr>
            </a:gs>
            <a:gs pos="100000">
              <a:schemeClr val="dk2">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s-ES" sz="2400" kern="1200">
              <a:latin typeface="Arial Black" pitchFamily="34" charset="0"/>
            </a:rPr>
            <a:t>3</a:t>
          </a:r>
        </a:p>
      </dsp:txBody>
      <dsp:txXfrm>
        <a:off x="2791872" y="0"/>
        <a:ext cx="1297930" cy="1048702"/>
      </dsp:txXfrm>
    </dsp:sp>
    <dsp:sp modelId="{C8E14FA7-78BF-4E63-9DB8-29B292230438}">
      <dsp:nvSpPr>
        <dsp:cNvPr id="0" name=""/>
        <dsp:cNvSpPr/>
      </dsp:nvSpPr>
      <dsp:spPr>
        <a:xfrm>
          <a:off x="2931187" y="810442"/>
          <a:ext cx="1038344" cy="1053993"/>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s-ES" sz="1200" b="1" kern="1200">
              <a:latin typeface="Arial" pitchFamily="34" charset="0"/>
              <a:cs typeface="Arial" pitchFamily="34" charset="0"/>
            </a:rPr>
            <a:t>¿Cuál es el cambio?</a:t>
          </a:r>
        </a:p>
      </dsp:txBody>
      <dsp:txXfrm>
        <a:off x="2961599" y="840854"/>
        <a:ext cx="977520" cy="993169"/>
      </dsp:txXfrm>
    </dsp:sp>
    <dsp:sp modelId="{21974830-4518-4297-AA8A-4D486FD5A4B6}">
      <dsp:nvSpPr>
        <dsp:cNvPr id="0" name=""/>
        <dsp:cNvSpPr/>
      </dsp:nvSpPr>
      <dsp:spPr>
        <a:xfrm>
          <a:off x="2921665" y="2265873"/>
          <a:ext cx="1038344" cy="1053993"/>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es-ES" sz="1100" kern="1200">
              <a:latin typeface="Arial" pitchFamily="34" charset="0"/>
              <a:cs typeface="Arial" pitchFamily="34" charset="0"/>
            </a:rPr>
            <a:t>Se refiere a incrementar, disminuir o mantener una situación</a:t>
          </a:r>
        </a:p>
      </dsp:txBody>
      <dsp:txXfrm>
        <a:off x="2952077" y="2296285"/>
        <a:ext cx="977520" cy="993169"/>
      </dsp:txXfrm>
    </dsp:sp>
    <dsp:sp modelId="{21FCED0E-654A-4534-9FA6-C29BCCB71D47}">
      <dsp:nvSpPr>
        <dsp:cNvPr id="0" name=""/>
        <dsp:cNvSpPr/>
      </dsp:nvSpPr>
      <dsp:spPr>
        <a:xfrm>
          <a:off x="4188469" y="0"/>
          <a:ext cx="1297930" cy="3495675"/>
        </a:xfrm>
        <a:prstGeom prst="roundRect">
          <a:avLst>
            <a:gd name="adj" fmla="val 10000"/>
          </a:avLst>
        </a:prstGeom>
        <a:gradFill rotWithShape="0">
          <a:gsLst>
            <a:gs pos="0">
              <a:schemeClr val="dk2">
                <a:tint val="40000"/>
                <a:hueOff val="0"/>
                <a:satOff val="0"/>
                <a:lumOff val="0"/>
                <a:alphaOff val="0"/>
                <a:shade val="51000"/>
                <a:satMod val="130000"/>
              </a:schemeClr>
            </a:gs>
            <a:gs pos="80000">
              <a:schemeClr val="dk2">
                <a:tint val="40000"/>
                <a:hueOff val="0"/>
                <a:satOff val="0"/>
                <a:lumOff val="0"/>
                <a:alphaOff val="0"/>
                <a:shade val="93000"/>
                <a:satMod val="130000"/>
              </a:schemeClr>
            </a:gs>
            <a:gs pos="100000">
              <a:schemeClr val="dk2">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es-ES" sz="2400" kern="1200">
              <a:latin typeface="Arial Black" pitchFamily="34" charset="0"/>
            </a:rPr>
            <a:t>4</a:t>
          </a:r>
        </a:p>
      </dsp:txBody>
      <dsp:txXfrm>
        <a:off x="4188469" y="0"/>
        <a:ext cx="1297930" cy="1048702"/>
      </dsp:txXfrm>
    </dsp:sp>
    <dsp:sp modelId="{4BAB3961-8002-4248-80C7-DFA11FB7D9FF}">
      <dsp:nvSpPr>
        <dsp:cNvPr id="0" name=""/>
        <dsp:cNvSpPr/>
      </dsp:nvSpPr>
      <dsp:spPr>
        <a:xfrm>
          <a:off x="4316940" y="841651"/>
          <a:ext cx="1038344" cy="1053993"/>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s-ES" sz="1200" b="1" kern="1200">
              <a:latin typeface="Arial" pitchFamily="34" charset="0"/>
              <a:cs typeface="Arial" pitchFamily="34" charset="0"/>
            </a:rPr>
            <a:t>¿En qué tiempo?</a:t>
          </a:r>
        </a:p>
      </dsp:txBody>
      <dsp:txXfrm>
        <a:off x="4347352" y="872063"/>
        <a:ext cx="977520" cy="993169"/>
      </dsp:txXfrm>
    </dsp:sp>
    <dsp:sp modelId="{F0C38962-A936-4A1F-B285-4F4DEF25A906}">
      <dsp:nvSpPr>
        <dsp:cNvPr id="0" name=""/>
        <dsp:cNvSpPr/>
      </dsp:nvSpPr>
      <dsp:spPr>
        <a:xfrm>
          <a:off x="4316940" y="2265873"/>
          <a:ext cx="1038344" cy="1053993"/>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es-ES" sz="1100" kern="1200">
              <a:latin typeface="Arial" pitchFamily="34" charset="0"/>
              <a:cs typeface="Arial" pitchFamily="34" charset="0"/>
            </a:rPr>
            <a:t>Implica delimitar el tiempo en que se espera el cambio</a:t>
          </a:r>
        </a:p>
      </dsp:txBody>
      <dsp:txXfrm>
        <a:off x="4347352" y="2296285"/>
        <a:ext cx="977520" cy="993169"/>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40F9B0-8101-48A5-B73F-AF78233180FF}">
      <dsp:nvSpPr>
        <dsp:cNvPr id="0" name=""/>
        <dsp:cNvSpPr/>
      </dsp:nvSpPr>
      <dsp:spPr>
        <a:xfrm rot="10800000">
          <a:off x="197323" y="924"/>
          <a:ext cx="5158428" cy="3617651"/>
        </a:xfrm>
        <a:prstGeom prst="homePlat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73730" tIns="68580" rIns="128016" bIns="68580" numCol="1" spcCol="1270" anchor="t" anchorCtr="0">
          <a:noAutofit/>
        </a:bodyPr>
        <a:lstStyle/>
        <a:p>
          <a:pPr lvl="0" algn="l" defTabSz="800100">
            <a:lnSpc>
              <a:spcPct val="90000"/>
            </a:lnSpc>
            <a:spcBef>
              <a:spcPct val="0"/>
            </a:spcBef>
            <a:spcAft>
              <a:spcPct val="35000"/>
            </a:spcAft>
          </a:pPr>
          <a:endParaRPr lang="es-ES" sz="1800" kern="1200"/>
        </a:p>
        <a:p>
          <a:pPr lvl="0" algn="l" defTabSz="800100">
            <a:lnSpc>
              <a:spcPct val="90000"/>
            </a:lnSpc>
            <a:spcBef>
              <a:spcPct val="0"/>
            </a:spcBef>
            <a:spcAft>
              <a:spcPct val="35000"/>
            </a:spcAft>
          </a:pPr>
          <a:r>
            <a:rPr lang="es-ES" sz="1800" kern="1200"/>
            <a:t>1  Planificación</a:t>
          </a:r>
          <a:endParaRPr lang="es-ES" sz="2600" kern="1200"/>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Es la etapa inicial en la cual la Secretaría de Planificación y Programación de la Presidencia de la República, en coordinación con el Ministerio de Finanzas Públicas, orienta el proceso de planificación y proporciona a las instituciones del sector público la metodología que se utilizará en el proceso de articulación de las políticas, planes y presupuesto. La vinculación plan-presupuesto se encuentra normada en la Ley Orgánica del Presupuesto y su Reglamento(*). Esta etapa se desarrolla en el primer cuatrimestre del año, de acuerdo a la programación que se realice. </a:t>
          </a:r>
          <a:endParaRPr lang="es-ES" sz="1100" kern="1200">
            <a:latin typeface="Arial" pitchFamily="34" charset="0"/>
            <a:cs typeface="Arial" pitchFamily="34" charset="0"/>
          </a:endParaRPr>
        </a:p>
        <a:p>
          <a:pPr marL="57150" lvl="1" indent="-57150" algn="l" defTabSz="488950">
            <a:lnSpc>
              <a:spcPct val="90000"/>
            </a:lnSpc>
            <a:spcBef>
              <a:spcPct val="0"/>
            </a:spcBef>
            <a:spcAft>
              <a:spcPct val="15000"/>
            </a:spcAft>
            <a:buChar char="••"/>
          </a:pP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 Decreto No. 101-97, Ley Orgánica del Presupuesto, artículo 8, y su Reglamento contenido en el Acuerdo Gubernativo No. 540-2013, artículo 16, relacionados con la Vinculación Plan-Presupuesto.</a:t>
          </a:r>
          <a:endParaRPr lang="es-ES" sz="1100" kern="1200">
            <a:latin typeface="Arial" pitchFamily="34" charset="0"/>
            <a:cs typeface="Arial" pitchFamily="34" charset="0"/>
          </a:endParaRPr>
        </a:p>
      </dsp:txBody>
      <dsp:txXfrm rot="10800000">
        <a:off x="1101736" y="924"/>
        <a:ext cx="4254015" cy="3617651"/>
      </dsp:txXfrm>
    </dsp:sp>
    <dsp:sp modelId="{B481B69C-953C-4B7B-8A70-F59EFD1920D1}">
      <dsp:nvSpPr>
        <dsp:cNvPr id="0" name=""/>
        <dsp:cNvSpPr/>
      </dsp:nvSpPr>
      <dsp:spPr>
        <a:xfrm>
          <a:off x="708169" y="1183317"/>
          <a:ext cx="1070380" cy="1096262"/>
        </a:xfrm>
        <a:prstGeom prst="ellipse">
          <a:avLst/>
        </a:prstGeom>
        <a:blipFill rotWithShape="0">
          <a:blip xmlns:r="http://schemas.openxmlformats.org/officeDocument/2006/relationships" r:embed="rId1"/>
          <a:stretch>
            <a:fillRect/>
          </a:stretch>
        </a:blipFill>
        <a:ln w="9525"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5AD1B7-AE41-41F2-803E-1D524A64142F}">
      <dsp:nvSpPr>
        <dsp:cNvPr id="0" name=""/>
        <dsp:cNvSpPr/>
      </dsp:nvSpPr>
      <dsp:spPr>
        <a:xfrm rot="10800000">
          <a:off x="103532" y="3"/>
          <a:ext cx="5314952" cy="7153268"/>
        </a:xfrm>
        <a:prstGeom prst="homePlat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4388" tIns="68580" rIns="128016" bIns="68580" numCol="1" spcCol="1270" anchor="t" anchorCtr="0">
          <a:noAutofit/>
        </a:bodyPr>
        <a:lstStyle/>
        <a:p>
          <a:pPr lvl="0" algn="l" defTabSz="800100">
            <a:lnSpc>
              <a:spcPct val="90000"/>
            </a:lnSpc>
            <a:spcBef>
              <a:spcPct val="0"/>
            </a:spcBef>
            <a:spcAft>
              <a:spcPct val="35000"/>
            </a:spcAft>
          </a:pPr>
          <a:endParaRPr lang="es-ES" sz="1800" kern="1200"/>
        </a:p>
        <a:p>
          <a:pPr lvl="0" algn="l" defTabSz="800100">
            <a:lnSpc>
              <a:spcPct val="90000"/>
            </a:lnSpc>
            <a:spcBef>
              <a:spcPct val="0"/>
            </a:spcBef>
            <a:spcAft>
              <a:spcPct val="35000"/>
            </a:spcAft>
          </a:pPr>
          <a:r>
            <a:rPr lang="es-ES" sz="1800" kern="1200"/>
            <a:t>       2  Formulación</a:t>
          </a:r>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Fase en que las instituciones con base a su marco legal, política de gobierno, políticas públicas sectoriales y metodología de planificación y del presupuesto por programas, elaboran sus anteproyectos de presupuesto, los cuales son presentados al Ministerio de Finanzas Públicas a más tardar el 15 de julio de cada año (*). Los anteproyectos de presupuesto contienen los requerimientos financieros solicitados para generar los productos y resultados finales que la población recibe a través de la prestación de los servicios públicos esenciales (educación, salud, seguridad, etc).</a:t>
          </a:r>
          <a:endParaRPr lang="es-ES" sz="1100" kern="1200"/>
        </a:p>
        <a:p>
          <a:pPr marL="57150" lvl="1" indent="-57150" algn="just" defTabSz="488950">
            <a:lnSpc>
              <a:spcPct val="90000"/>
            </a:lnSpc>
            <a:spcBef>
              <a:spcPct val="0"/>
            </a:spcBef>
            <a:spcAft>
              <a:spcPct val="15000"/>
            </a:spcAft>
            <a:buChar char="••"/>
          </a:pPr>
          <a:endParaRPr lang="es-ES" sz="1100" kern="1200"/>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El Ministerio de Finanzas Públicas, tomando en consideración las distintas variables proporcionadas por el Banco de Guatemala, Superintendencia de Administración Tributaria (SAT) y sus propias proyecciones, elabora las estimaciones de ingresos, a partir de los cuales proyecta el presupuesto de ingresos y egresos del siguiente ejercicio fiscal, dando a conocer a las  instituciones, sus estimaciones máximas de gasto, así como sus correspondientes fuentes de financiamiento, es decir, los montos por ingresos ordinarios, préstamos, donaciones u otra fuente que podrán utilizar.</a:t>
          </a:r>
        </a:p>
        <a:p>
          <a:pPr marL="57150" lvl="1" indent="-57150" algn="just" defTabSz="488950">
            <a:lnSpc>
              <a:spcPct val="90000"/>
            </a:lnSpc>
            <a:spcBef>
              <a:spcPct val="0"/>
            </a:spcBef>
            <a:spcAft>
              <a:spcPct val="15000"/>
            </a:spcAft>
            <a:buChar char="••"/>
          </a:pPr>
          <a:endParaRPr lang="es-MX"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El resultado de esta etapa es la conformación del Proyecto de Presupuesto de Ingresos y Egresos del Estado para el siguiente ejercicio fiscal. </a:t>
          </a: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MX" sz="1100" i="0" kern="1200">
              <a:latin typeface="Arial" pitchFamily="34" charset="0"/>
              <a:cs typeface="Arial" pitchFamily="34" charset="0"/>
            </a:rPr>
            <a:t>(*) Fecha establecidad en el Artículo 24 del Acuerdo Gubernativo No. 540-2013, Reglamento de la Ley orgánica del Presupuesto, salvo que sea día inhábil, se presentará el día hábil inmediato posterior a dicha fecha.</a:t>
          </a:r>
          <a:endParaRPr lang="es-ES" sz="1100" i="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endParaRPr lang="es-ES" sz="1100" kern="1200">
            <a:latin typeface="Arial" pitchFamily="34" charset="0"/>
            <a:cs typeface="Arial" pitchFamily="34" charset="0"/>
          </a:endParaRPr>
        </a:p>
      </dsp:txBody>
      <dsp:txXfrm rot="10800000">
        <a:off x="1432270" y="3"/>
        <a:ext cx="3986214" cy="7153268"/>
      </dsp:txXfrm>
    </dsp:sp>
    <dsp:sp modelId="{4842ED5B-4E86-48F3-80F3-92FA2A263DEF}">
      <dsp:nvSpPr>
        <dsp:cNvPr id="0" name=""/>
        <dsp:cNvSpPr/>
      </dsp:nvSpPr>
      <dsp:spPr>
        <a:xfrm>
          <a:off x="-57535" y="2219320"/>
          <a:ext cx="2194645" cy="2149411"/>
        </a:xfrm>
        <a:prstGeom prst="ellipse">
          <a:avLst/>
        </a:prstGeom>
        <a:blipFill rotWithShape="0">
          <a:blip xmlns:r="http://schemas.openxmlformats.org/officeDocument/2006/relationships" r:embed="rId1"/>
          <a:stretch>
            <a:fillRect/>
          </a:stretch>
        </a:blipFill>
        <a:ln w="9525"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87518D-88D2-475B-AA77-005F874FCDB2}">
      <dsp:nvSpPr>
        <dsp:cNvPr id="0" name=""/>
        <dsp:cNvSpPr/>
      </dsp:nvSpPr>
      <dsp:spPr>
        <a:xfrm rot="10800000">
          <a:off x="-1" y="0"/>
          <a:ext cx="5486402" cy="2103884"/>
        </a:xfrm>
        <a:prstGeom prst="homePlat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8730" tIns="68580" rIns="128016" bIns="68580" numCol="1" spcCol="1270" anchor="t" anchorCtr="0">
          <a:noAutofit/>
        </a:bodyPr>
        <a:lstStyle/>
        <a:p>
          <a:pPr lvl="0" algn="l" defTabSz="800100">
            <a:lnSpc>
              <a:spcPct val="90000"/>
            </a:lnSpc>
            <a:spcBef>
              <a:spcPct val="0"/>
            </a:spcBef>
            <a:spcAft>
              <a:spcPct val="35000"/>
            </a:spcAft>
          </a:pPr>
          <a:r>
            <a:rPr lang="es-ES" sz="1800" kern="1200"/>
            <a:t>3  Presentación</a:t>
          </a:r>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De acuerdo a lo que establece la Constitución Política de la República de Guatemala en el artículo 183, literal j), corresponde dentro de las funciones del Presidente, someter al Congreso de la República, con 120 días de anticipación a la fecha en que principia el ejercicio fiscal, el proyecto de presupuesto que contenga en forma programática, el detalle de los ingresos y egresos del Estado.  Asimismo, en función del precepto constitucional indicado, la Ley Orgánica del Presupuesto, precisa en el artículo 23, que el Organismo Ejecutivo presentará el proyecto de presupuesto al Congreso de la República  más tardar el 2 de septiembre de cada año.</a:t>
          </a:r>
          <a:endParaRPr lang="es-ES" sz="1100" kern="1200"/>
        </a:p>
        <a:p>
          <a:pPr marL="57150" lvl="1" indent="-57150" algn="just" defTabSz="488950">
            <a:lnSpc>
              <a:spcPct val="90000"/>
            </a:lnSpc>
            <a:spcBef>
              <a:spcPct val="0"/>
            </a:spcBef>
            <a:spcAft>
              <a:spcPct val="15000"/>
            </a:spcAft>
            <a:buChar char="••"/>
          </a:pPr>
          <a:endParaRPr lang="es-ES" sz="1100" kern="1200">
            <a:solidFill>
              <a:sysClr val="windowText" lastClr="000000"/>
            </a:solidFill>
          </a:endParaRPr>
        </a:p>
      </dsp:txBody>
      <dsp:txXfrm rot="10800000">
        <a:off x="525970" y="0"/>
        <a:ext cx="4960431" cy="2103884"/>
      </dsp:txXfrm>
    </dsp:sp>
    <dsp:sp modelId="{13B76734-816D-4C18-A6D1-1021A6D3B998}">
      <dsp:nvSpPr>
        <dsp:cNvPr id="0" name=""/>
        <dsp:cNvSpPr/>
      </dsp:nvSpPr>
      <dsp:spPr>
        <a:xfrm>
          <a:off x="147892" y="465850"/>
          <a:ext cx="1030708" cy="1128189"/>
        </a:xfrm>
        <a:prstGeom prst="ellipse">
          <a:avLst/>
        </a:prstGeom>
        <a:blipFill rotWithShape="0">
          <a:blip xmlns:r="http://schemas.openxmlformats.org/officeDocument/2006/relationships" r:embed="rId1"/>
          <a:stretch>
            <a:fillRect/>
          </a:stretch>
        </a:blip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F4823B-6D31-45D8-ADA8-9A6AC027DE34}">
      <dsp:nvSpPr>
        <dsp:cNvPr id="0" name=""/>
        <dsp:cNvSpPr/>
      </dsp:nvSpPr>
      <dsp:spPr>
        <a:xfrm rot="10800000">
          <a:off x="20357" y="1616"/>
          <a:ext cx="5486402" cy="5862759"/>
        </a:xfrm>
        <a:prstGeom prst="homePlat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60100" tIns="68580" rIns="128016" bIns="68580" numCol="1" spcCol="1270" anchor="t" anchorCtr="0">
          <a:noAutofit/>
        </a:bodyPr>
        <a:lstStyle/>
        <a:p>
          <a:pPr lvl="0" algn="l" defTabSz="800100">
            <a:lnSpc>
              <a:spcPct val="90000"/>
            </a:lnSpc>
            <a:spcBef>
              <a:spcPct val="0"/>
            </a:spcBef>
            <a:spcAft>
              <a:spcPct val="35000"/>
            </a:spcAft>
          </a:pPr>
          <a:endParaRPr lang="es-ES" sz="1800" kern="1200"/>
        </a:p>
        <a:p>
          <a:pPr lvl="0" algn="l" defTabSz="800100">
            <a:lnSpc>
              <a:spcPct val="90000"/>
            </a:lnSpc>
            <a:spcBef>
              <a:spcPct val="0"/>
            </a:spcBef>
            <a:spcAft>
              <a:spcPct val="35000"/>
            </a:spcAft>
          </a:pPr>
          <a:r>
            <a:rPr lang="es-ES" sz="1800" kern="1200"/>
            <a:t>       4   Aprobación</a:t>
          </a:r>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Una vez presentado el proyecto de presupuesto al Congreso de la República, la Comisión de Finanzas Públicas y Moneda de ese organismo, realiza las reuniones de discusión y análisis del proyecto de presupuesto que considere conveniente, y emite el dictamen correspondiente con el cual traslada el proyecto al pleno del Congreso, quien de acuerdo a sus atribuciones contenidas en la Constitución Política de la República de Guatemala, lo aprueba, imprueba o modifica.  Si lo aprueba emite el Decreto de aprobación del Presupuesto General de Ingresos y Egresos del Estado para el ejercicio fiscal correspondiente, de no aprobarlo, entra a regir el presupuesto en vigencia del año anterior.  El Decreto además, contempla normas o disposiciones legales relativas a la ejecución presupuestaria las cuales son complementarias a las que establece la Ley Orgánica del Presupuesto.</a:t>
          </a:r>
          <a:endParaRPr lang="es-ES" sz="1100" kern="1200">
            <a:latin typeface="Arial Narrow" pitchFamily="34" charset="0"/>
            <a:cs typeface="Arial" pitchFamily="34" charset="0"/>
          </a:endParaRPr>
        </a:p>
        <a:p>
          <a:pPr marL="57150" lvl="1" indent="-57150" algn="just" defTabSz="488950">
            <a:lnSpc>
              <a:spcPct val="90000"/>
            </a:lnSpc>
            <a:spcBef>
              <a:spcPct val="0"/>
            </a:spcBef>
            <a:spcAft>
              <a:spcPct val="15000"/>
            </a:spcAft>
            <a:buChar char="••"/>
          </a:pP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Esta etapa inicia el 2 de septiembre y concluye el 30 de noviembre de cada año(*), período en que el Congreso de la República de acuerdo a la ley, debe aprobar o no, el presupuesto de la nación.</a:t>
          </a: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 La Constitución Política de la República indica en el artículo 171, literal b) como una de las funciones del Congreso, la de aprobar, modificar o improbar a más tardar 30 días antes de entrar en vigencia el presupuesto de ingresos y egresos del Estado, es decir, el último día de noviembre.</a:t>
          </a: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endParaRPr lang="es-ES" sz="1100" kern="1200">
            <a:latin typeface="Arial" pitchFamily="34" charset="0"/>
            <a:cs typeface="Arial" pitchFamily="34" charset="0"/>
          </a:endParaRPr>
        </a:p>
      </dsp:txBody>
      <dsp:txXfrm rot="10800000">
        <a:off x="1391957" y="1616"/>
        <a:ext cx="4114802" cy="5862759"/>
      </dsp:txXfrm>
    </dsp:sp>
    <dsp:sp modelId="{DDEC06A1-AAA8-4BBB-9C48-00E85118E039}">
      <dsp:nvSpPr>
        <dsp:cNvPr id="0" name=""/>
        <dsp:cNvSpPr/>
      </dsp:nvSpPr>
      <dsp:spPr>
        <a:xfrm>
          <a:off x="19054" y="1545756"/>
          <a:ext cx="1919379" cy="2775887"/>
        </a:xfrm>
        <a:prstGeom prst="ellipse">
          <a:avLst/>
        </a:prstGeom>
        <a:blipFill rotWithShape="0">
          <a:blip xmlns:r="http://schemas.openxmlformats.org/officeDocument/2006/relationships" r:embed="rId1"/>
          <a:stretch>
            <a:fillRect/>
          </a:stretch>
        </a:blip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2F10D2-30A7-4B16-9A94-B1D08AAE5214}">
      <dsp:nvSpPr>
        <dsp:cNvPr id="0" name=""/>
        <dsp:cNvSpPr/>
      </dsp:nvSpPr>
      <dsp:spPr>
        <a:xfrm rot="10800000">
          <a:off x="95257" y="920"/>
          <a:ext cx="5400660" cy="4293933"/>
        </a:xfrm>
        <a:prstGeom prst="homePlat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20258" tIns="68580" rIns="128016" bIns="68580" numCol="1" spcCol="1270" anchor="t" anchorCtr="0">
          <a:noAutofit/>
        </a:bodyPr>
        <a:lstStyle/>
        <a:p>
          <a:pPr lvl="0" algn="l" defTabSz="800100">
            <a:lnSpc>
              <a:spcPct val="90000"/>
            </a:lnSpc>
            <a:spcBef>
              <a:spcPct val="0"/>
            </a:spcBef>
            <a:spcAft>
              <a:spcPct val="35000"/>
            </a:spcAft>
          </a:pPr>
          <a:r>
            <a:rPr lang="es-ES" sz="1800" kern="1200"/>
            <a:t>            5  Ejecución</a:t>
          </a:r>
        </a:p>
        <a:p>
          <a:pPr marL="57150" lvl="1" indent="-57150" algn="just" defTabSz="488950">
            <a:lnSpc>
              <a:spcPct val="90000"/>
            </a:lnSpc>
            <a:spcBef>
              <a:spcPct val="0"/>
            </a:spcBef>
            <a:spcAft>
              <a:spcPct val="15000"/>
            </a:spcAft>
            <a:buChar char="••"/>
          </a:pPr>
          <a:endParaRPr lang="es-ES" sz="1100" kern="1200"/>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Una vez que el Congreso de la República ha emitido el Decreto que contiene la Ley del Presupuesto General de Ingresos y Egresos del Estado para el año correspondiente, inicia la etapa de ejecución presupuestaria, que no es más que el conjunto de acciones que las instituciones realizan para llevar a cabo sus planes de trabajo, traducidos éstos en resultados, programas, alcance de metas.  Para ello realizan la compra de los bienes y la contratación de servicios llamados insumos, que son necesarios en la prestación de los servicios que se brindan a la población.</a:t>
          </a:r>
          <a:endParaRPr lang="es-ES" sz="1100" kern="1200"/>
        </a:p>
        <a:p>
          <a:pPr marL="57150" lvl="1" indent="-57150" algn="just" defTabSz="488950">
            <a:lnSpc>
              <a:spcPct val="90000"/>
            </a:lnSpc>
            <a:spcBef>
              <a:spcPct val="0"/>
            </a:spcBef>
            <a:spcAft>
              <a:spcPct val="15000"/>
            </a:spcAft>
            <a:buChar char="••"/>
          </a:pPr>
          <a:endParaRPr lang="es-ES" sz="1100" kern="1200"/>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En esta etapa se realiza la programación financiera de los recursos, así como de ser necesario, las modificaciones presupuestarias que bajo el principio de flexibilidad, han de realizarse en función del alcance de los resultados previstos a nivel institucional, y de los productos a nivel de los distintos programas que se llevan a cabo.</a:t>
          </a:r>
        </a:p>
        <a:p>
          <a:pPr marL="57150" lvl="1" indent="-57150" algn="just" defTabSz="488950">
            <a:lnSpc>
              <a:spcPct val="90000"/>
            </a:lnSpc>
            <a:spcBef>
              <a:spcPct val="0"/>
            </a:spcBef>
            <a:spcAft>
              <a:spcPct val="15000"/>
            </a:spcAft>
            <a:buChar char="••"/>
          </a:pPr>
          <a:endParaRPr lang="es-MX" sz="1100" kern="1200">
            <a:solidFill>
              <a:sysClr val="windowText" lastClr="000000"/>
            </a:solidFill>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Esta etapa está comprendida del 1 de enero al 31 de diciembre de cada año, toda vez que bajo el principio de anualidad del presupuesto, un ejercicio fiscal es independiente de otro.</a:t>
          </a:r>
          <a:endParaRPr lang="es-ES" sz="1100" kern="1200">
            <a:latin typeface="Arial" pitchFamily="34" charset="0"/>
            <a:cs typeface="Arial" pitchFamily="34" charset="0"/>
          </a:endParaRPr>
        </a:p>
      </dsp:txBody>
      <dsp:txXfrm rot="10800000">
        <a:off x="1168740" y="920"/>
        <a:ext cx="4327177" cy="4293933"/>
      </dsp:txXfrm>
    </dsp:sp>
    <dsp:sp modelId="{1E531468-DB60-4504-93B7-F3F2E8970C68}">
      <dsp:nvSpPr>
        <dsp:cNvPr id="0" name=""/>
        <dsp:cNvSpPr/>
      </dsp:nvSpPr>
      <dsp:spPr>
        <a:xfrm>
          <a:off x="130997" y="1133172"/>
          <a:ext cx="1535235" cy="1716263"/>
        </a:xfrm>
        <a:prstGeom prst="ellipse">
          <a:avLst/>
        </a:prstGeom>
        <a:blipFill rotWithShape="0">
          <a:blip xmlns:r="http://schemas.openxmlformats.org/officeDocument/2006/relationships" r:embed="rId1"/>
          <a:stretch>
            <a:fillRect/>
          </a:stretch>
        </a:blip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EAE68E-5A9F-4579-8D89-6DCB40AEA78A}">
      <dsp:nvSpPr>
        <dsp:cNvPr id="0" name=""/>
        <dsp:cNvSpPr/>
      </dsp:nvSpPr>
      <dsp:spPr>
        <a:xfrm rot="10800000">
          <a:off x="248599" y="327"/>
          <a:ext cx="5109567" cy="2961619"/>
        </a:xfrm>
        <a:prstGeom prst="homePlat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17088" tIns="68580" rIns="128016" bIns="68580" numCol="1" spcCol="1270" anchor="t" anchorCtr="0">
          <a:noAutofit/>
        </a:bodyPr>
        <a:lstStyle/>
        <a:p>
          <a:pPr lvl="0" algn="l" defTabSz="800100">
            <a:lnSpc>
              <a:spcPct val="90000"/>
            </a:lnSpc>
            <a:spcBef>
              <a:spcPct val="0"/>
            </a:spcBef>
            <a:spcAft>
              <a:spcPct val="35000"/>
            </a:spcAft>
          </a:pPr>
          <a:r>
            <a:rPr lang="es-ES" sz="1800" kern="1200"/>
            <a:t>6  Seguimiento</a:t>
          </a:r>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Consiste en el proceso continuo de medición de los avances de las metas previstas, así como del monitoreo de indicadores y resultados. Dicho proceso se encuentra a cargo de las instituciones del sector público responsables de los distintos programas de gobierno, con el propósito de mejorar la toma de decisiones en las situaciones que son de interés de los ciudadanos. Con el seguimiento puede introducirse, de ser necesario, los correctivos oportunos en el desempeño de los programas y propiciar su mejora, principalmente porque las situaciones varían a lo largo del tiempo, o bien, surgen nuevas contingencias o variables exógenas que deben considerarse como parte de la ejecución física de los programas.</a:t>
          </a:r>
          <a:endParaRPr lang="es-ES" sz="1100" kern="1200">
            <a:latin typeface="Arial" pitchFamily="34" charset="0"/>
            <a:cs typeface="Arial" pitchFamily="34" charset="0"/>
          </a:endParaRPr>
        </a:p>
      </dsp:txBody>
      <dsp:txXfrm rot="10800000">
        <a:off x="989004" y="327"/>
        <a:ext cx="4369162" cy="2961619"/>
      </dsp:txXfrm>
    </dsp:sp>
    <dsp:sp modelId="{0ED8E537-F884-449D-A114-775D2FED5B05}">
      <dsp:nvSpPr>
        <dsp:cNvPr id="0" name=""/>
        <dsp:cNvSpPr/>
      </dsp:nvSpPr>
      <dsp:spPr>
        <a:xfrm>
          <a:off x="85719" y="666759"/>
          <a:ext cx="1422618" cy="1533516"/>
        </a:xfrm>
        <a:prstGeom prst="ellipse">
          <a:avLst/>
        </a:prstGeom>
        <a:blipFill rotWithShape="0">
          <a:blip xmlns:r="http://schemas.openxmlformats.org/officeDocument/2006/relationships" r:embed="rId1"/>
          <a:stretch>
            <a:fillRect/>
          </a:stretch>
        </a:blip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9C424A-06D6-47FF-A170-94D3C7C6F640}">
      <dsp:nvSpPr>
        <dsp:cNvPr id="0" name=""/>
        <dsp:cNvSpPr/>
      </dsp:nvSpPr>
      <dsp:spPr>
        <a:xfrm rot="10800000">
          <a:off x="-1" y="47629"/>
          <a:ext cx="5612132" cy="3181341"/>
        </a:xfrm>
        <a:prstGeom prst="homePlat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8246" tIns="68580" rIns="128016" bIns="68580" numCol="1" spcCol="1270" anchor="t" anchorCtr="0">
          <a:noAutofit/>
        </a:bodyPr>
        <a:lstStyle/>
        <a:p>
          <a:pPr lvl="0" algn="l" defTabSz="800100">
            <a:lnSpc>
              <a:spcPct val="90000"/>
            </a:lnSpc>
            <a:spcBef>
              <a:spcPct val="0"/>
            </a:spcBef>
            <a:spcAft>
              <a:spcPct val="35000"/>
            </a:spcAft>
          </a:pPr>
          <a:r>
            <a:rPr lang="es-ES" sz="1800" kern="1200"/>
            <a:t>7  Evaluación</a:t>
          </a:r>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Esta etapa tiene como propósito principal analizar en forma crítica el avance de la ejecución física y financiera. Esta etapa indica si las metas planteadas se están alcanzando o no, así como los motivos o situaciones que han influido positiva o negativamente en los programas o actividades que se realizan, analiza también si se han mejorado o no los servicios, y si se alcanzarán o no los resultados planteados y por qué. La evaluación puede realizarse en distintos niveles, no obstante en cada uno de ellos, se requiere de especialistas en la materia que se evalúa por cuanto ha de realizarse con metodologías y recursos apropiados.</a:t>
          </a:r>
          <a:endParaRPr lang="es-ES" sz="1100" kern="1200">
            <a:latin typeface="Arial" pitchFamily="34" charset="0"/>
            <a:cs typeface="Arial" pitchFamily="34" charset="0"/>
          </a:endParaRPr>
        </a:p>
        <a:p>
          <a:pPr marL="57150" lvl="1" indent="-57150" algn="l" defTabSz="488950">
            <a:lnSpc>
              <a:spcPct val="90000"/>
            </a:lnSpc>
            <a:spcBef>
              <a:spcPct val="0"/>
            </a:spcBef>
            <a:spcAft>
              <a:spcPct val="15000"/>
            </a:spcAft>
            <a:buChar char="••"/>
          </a:pP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En la metodología del presupuesto por resultados, la evaluación se realiza al final de cada intervención gubernamental, con lo que se verificará si éstas contribuyeron o no al logro de los resultados previstos con los que se pretende un cambio en la situación del ciudadano y su entorno.</a:t>
          </a:r>
          <a:endParaRPr lang="es-ES" sz="1100" kern="1200">
            <a:latin typeface="Arial" pitchFamily="34" charset="0"/>
            <a:cs typeface="Arial" pitchFamily="34" charset="0"/>
          </a:endParaRPr>
        </a:p>
      </dsp:txBody>
      <dsp:txXfrm rot="10800000">
        <a:off x="795334" y="47629"/>
        <a:ext cx="4816797" cy="3181341"/>
      </dsp:txXfrm>
    </dsp:sp>
    <dsp:sp modelId="{ABA25058-6E1F-403B-89C9-5D33ED9F73BD}">
      <dsp:nvSpPr>
        <dsp:cNvPr id="0" name=""/>
        <dsp:cNvSpPr/>
      </dsp:nvSpPr>
      <dsp:spPr>
        <a:xfrm>
          <a:off x="7" y="839245"/>
          <a:ext cx="1428936" cy="1579288"/>
        </a:xfrm>
        <a:prstGeom prst="ellipse">
          <a:avLst/>
        </a:prstGeom>
        <a:blipFill rotWithShape="0">
          <a:blip xmlns:r="http://schemas.openxmlformats.org/officeDocument/2006/relationships" r:embed="rId1"/>
          <a:stretch>
            <a:fillRect/>
          </a:stretch>
        </a:blip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BD965B-EB47-4973-A7A8-1AF0EAF26C89}">
      <dsp:nvSpPr>
        <dsp:cNvPr id="0" name=""/>
        <dsp:cNvSpPr/>
      </dsp:nvSpPr>
      <dsp:spPr>
        <a:xfrm rot="10800000">
          <a:off x="-1" y="133350"/>
          <a:ext cx="5829302" cy="2933698"/>
        </a:xfrm>
        <a:prstGeom prst="homePlat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60296" tIns="68580" rIns="128016" bIns="68580" numCol="1" spcCol="1270" anchor="t" anchorCtr="0">
          <a:noAutofit/>
        </a:bodyPr>
        <a:lstStyle/>
        <a:p>
          <a:pPr lvl="0" algn="l" defTabSz="800100">
            <a:lnSpc>
              <a:spcPct val="90000"/>
            </a:lnSpc>
            <a:spcBef>
              <a:spcPct val="0"/>
            </a:spcBef>
            <a:spcAft>
              <a:spcPct val="35000"/>
            </a:spcAft>
          </a:pPr>
          <a:r>
            <a:rPr lang="es-ES" sz="1800" kern="1200"/>
            <a:t>8 Liquidación</a:t>
          </a:r>
        </a:p>
        <a:p>
          <a:pPr marL="57150" lvl="1" indent="-57150" algn="just" defTabSz="488950">
            <a:lnSpc>
              <a:spcPct val="90000"/>
            </a:lnSpc>
            <a:spcBef>
              <a:spcPct val="0"/>
            </a:spcBef>
            <a:spcAft>
              <a:spcPct val="15000"/>
            </a:spcAft>
            <a:buChar char="••"/>
          </a:pPr>
          <a:r>
            <a:rPr lang="es-MX" sz="1100" kern="1200">
              <a:latin typeface="Arial" pitchFamily="34" charset="0"/>
              <a:cs typeface="Arial" pitchFamily="34" charset="0"/>
            </a:rPr>
            <a:t>De acuerdo con lo que establece la Constitución Política de la República de Guatemala en el artículo 241, al Congreso de la República le corresponde </a:t>
          </a:r>
          <a:r>
            <a:rPr lang="es-ES" sz="1100" kern="1200">
              <a:latin typeface="Arial" pitchFamily="34" charset="0"/>
              <a:cs typeface="Arial" pitchFamily="34" charset="0"/>
            </a:rPr>
            <a:t>aprobar o improbar anualmente, en forma total o parcial, la liquidación presupuestaria del ejercicio fiscal anterior, tomando en consideración el informe que la Contraloría General de Cuentas emite con base a la liquidación del presupuesto que le traslada el Organismo Ejecutivo por conducto del Ministerio de Finanzas Públicas. </a:t>
          </a:r>
        </a:p>
        <a:p>
          <a:pPr marL="57150" lvl="1" indent="-57150" algn="just" defTabSz="488950">
            <a:lnSpc>
              <a:spcPct val="90000"/>
            </a:lnSpc>
            <a:spcBef>
              <a:spcPct val="0"/>
            </a:spcBef>
            <a:spcAft>
              <a:spcPct val="15000"/>
            </a:spcAft>
            <a:buChar char="••"/>
          </a:pPr>
          <a:endParaRPr lang="es-ES" sz="1100" kern="1200">
            <a:latin typeface="Arial" pitchFamily="34" charset="0"/>
            <a:cs typeface="Arial" pitchFamily="34" charset="0"/>
          </a:endParaRPr>
        </a:p>
        <a:p>
          <a:pPr marL="57150" lvl="1" indent="-57150" algn="just" defTabSz="488950">
            <a:lnSpc>
              <a:spcPct val="90000"/>
            </a:lnSpc>
            <a:spcBef>
              <a:spcPct val="0"/>
            </a:spcBef>
            <a:spcAft>
              <a:spcPct val="15000"/>
            </a:spcAft>
            <a:buChar char="••"/>
          </a:pPr>
          <a:r>
            <a:rPr lang="es-ES" sz="1100" kern="1200">
              <a:latin typeface="Arial" pitchFamily="34" charset="0"/>
              <a:cs typeface="Arial" pitchFamily="34" charset="0"/>
            </a:rPr>
            <a:t>La Liquidación Presupuestaria es el documento que presenta los resultados de la ejecución presupuestaria tanto de ingresos como de egresos, así como  el resultado financiero producto de las diferentes actividades efectuadas por las instituciones públicas, por tanto constituye también un documento de rendición de cuentas. La Constitución no establece temporalidad para su aprobación ó improbación.</a:t>
          </a:r>
        </a:p>
      </dsp:txBody>
      <dsp:txXfrm rot="10800000">
        <a:off x="733423" y="133350"/>
        <a:ext cx="5095878" cy="2933698"/>
      </dsp:txXfrm>
    </dsp:sp>
    <dsp:sp modelId="{905425A4-62A8-4F83-956F-F06379861119}">
      <dsp:nvSpPr>
        <dsp:cNvPr id="0" name=""/>
        <dsp:cNvSpPr/>
      </dsp:nvSpPr>
      <dsp:spPr>
        <a:xfrm>
          <a:off x="37991" y="942977"/>
          <a:ext cx="1114534" cy="1314444"/>
        </a:xfrm>
        <a:prstGeom prst="ellipse">
          <a:avLst/>
        </a:prstGeom>
        <a:blipFill rotWithShape="0">
          <a:blip xmlns:r="http://schemas.openxmlformats.org/officeDocument/2006/relationships" r:embed="rId1"/>
          <a:stretch>
            <a:fillRect/>
          </a:stretch>
        </a:blip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093877-FEAE-4591-B8E5-4926A5D20562}">
      <dsp:nvSpPr>
        <dsp:cNvPr id="0" name=""/>
        <dsp:cNvSpPr/>
      </dsp:nvSpPr>
      <dsp:spPr>
        <a:xfrm>
          <a:off x="97196" y="72898"/>
          <a:ext cx="1379186" cy="1279655"/>
        </a:xfrm>
        <a:prstGeom prst="ellipse">
          <a:avLst/>
        </a:prstGeom>
        <a:blipFill rotWithShape="0">
          <a:blip xmlns:r="http://schemas.openxmlformats.org/officeDocument/2006/relationships" r:embed="rId1">
            <a:duotone>
              <a:schemeClr val="accent1">
                <a:shade val="45000"/>
                <a:satMod val="135000"/>
              </a:schemeClr>
              <a:prstClr val="white"/>
            </a:duotone>
            <a:extLst>
              <a:ext uri="{BEBA8EAE-BF5A-486C-A8C5-ECC9F3942E4B}">
                <a14:imgProps xmlns:a14="http://schemas.microsoft.com/office/drawing/2010/main">
                  <a14:imgLayer r:embed="rId2">
                    <a14:imgEffect>
                      <a14:brightnessContrast bright="20000"/>
                    </a14:imgEffect>
                  </a14:imgLayer>
                </a14:imgProps>
              </a:ext>
            </a:extLst>
          </a:blip>
          <a:stretch>
            <a:fillRect/>
          </a:stretch>
        </a:blipFill>
        <a:ln>
          <a:noFill/>
        </a:ln>
        <a:effectLst/>
      </dsp:spPr>
      <dsp:style>
        <a:lnRef idx="0">
          <a:scrgbClr r="0" g="0" b="0"/>
        </a:lnRef>
        <a:fillRef idx="1">
          <a:scrgbClr r="0" g="0" b="0"/>
        </a:fillRef>
        <a:effectRef idx="0">
          <a:scrgbClr r="0" g="0" b="0"/>
        </a:effectRef>
        <a:fontRef idx="minor"/>
      </dsp:style>
    </dsp:sp>
    <dsp:sp modelId="{DE41AF3E-B9A5-4D3D-B069-1E9D9A9AB6DA}">
      <dsp:nvSpPr>
        <dsp:cNvPr id="0" name=""/>
        <dsp:cNvSpPr/>
      </dsp:nvSpPr>
      <dsp:spPr>
        <a:xfrm>
          <a:off x="3385295" y="3283267"/>
          <a:ext cx="570011" cy="364807"/>
        </a:xfrm>
        <a:prstGeom prst="downArrow">
          <a:avLst/>
        </a:prstGeom>
        <a:solidFill>
          <a:schemeClr val="tx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D3539D9-E9B2-4324-9950-C043AC82A23B}">
      <dsp:nvSpPr>
        <dsp:cNvPr id="0" name=""/>
        <dsp:cNvSpPr/>
      </dsp:nvSpPr>
      <dsp:spPr>
        <a:xfrm>
          <a:off x="0" y="864253"/>
          <a:ext cx="1780598" cy="29150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s-GT" sz="1400" b="1" kern="1200"/>
            <a:t>En un vistazo: </a:t>
          </a:r>
        </a:p>
        <a:p>
          <a:pPr lvl="0" algn="ctr" defTabSz="622300">
            <a:lnSpc>
              <a:spcPct val="90000"/>
            </a:lnSpc>
            <a:spcBef>
              <a:spcPct val="0"/>
            </a:spcBef>
            <a:spcAft>
              <a:spcPct val="35000"/>
            </a:spcAft>
          </a:pPr>
          <a:r>
            <a:rPr lang="es-GT" sz="1400" b="1" kern="1200"/>
            <a:t>¿A cuánto asciende el presupuesto 2019?</a:t>
          </a:r>
        </a:p>
        <a:p>
          <a:pPr lvl="0" algn="ctr" defTabSz="622300">
            <a:lnSpc>
              <a:spcPct val="90000"/>
            </a:lnSpc>
            <a:spcBef>
              <a:spcPct val="0"/>
            </a:spcBef>
            <a:spcAft>
              <a:spcPct val="35000"/>
            </a:spcAft>
          </a:pPr>
          <a:endParaRPr lang="es-GT" sz="1200" kern="1200"/>
        </a:p>
        <a:p>
          <a:pPr lvl="0" algn="ctr" defTabSz="622300">
            <a:lnSpc>
              <a:spcPct val="90000"/>
            </a:lnSpc>
            <a:spcBef>
              <a:spcPct val="0"/>
            </a:spcBef>
            <a:spcAft>
              <a:spcPct val="35000"/>
            </a:spcAft>
          </a:pPr>
          <a:r>
            <a:rPr lang="es-GT" sz="1400" b="1" kern="1200"/>
            <a:t>Asciende a Q.87,715.1 millones</a:t>
          </a:r>
          <a:endParaRPr lang="es-ES" sz="1300" b="1" kern="1200"/>
        </a:p>
      </dsp:txBody>
      <dsp:txXfrm>
        <a:off x="0" y="864253"/>
        <a:ext cx="1780598" cy="2915028"/>
      </dsp:txXfrm>
    </dsp:sp>
    <dsp:sp modelId="{CDBE3D70-84A9-48D8-98F6-31942E665DE4}">
      <dsp:nvSpPr>
        <dsp:cNvPr id="0" name=""/>
        <dsp:cNvSpPr/>
      </dsp:nvSpPr>
      <dsp:spPr>
        <a:xfrm rot="19966160">
          <a:off x="2408475" y="891775"/>
          <a:ext cx="1244091" cy="1733596"/>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endParaRPr lang="es-GT" sz="1050" b="1" kern="1200"/>
        </a:p>
        <a:p>
          <a:pPr lvl="0" algn="ctr" defTabSz="466725">
            <a:lnSpc>
              <a:spcPct val="90000"/>
            </a:lnSpc>
            <a:spcBef>
              <a:spcPct val="0"/>
            </a:spcBef>
            <a:spcAft>
              <a:spcPct val="35000"/>
            </a:spcAft>
          </a:pPr>
          <a:r>
            <a:rPr lang="es-GT" sz="1050" b="1" kern="1200"/>
            <a:t>Crece 10.6% respecto del presupuesto vigente 2018. </a:t>
          </a:r>
          <a:endParaRPr lang="es-ES" sz="1050" b="1" kern="1200"/>
        </a:p>
      </dsp:txBody>
      <dsp:txXfrm>
        <a:off x="2590668" y="1145654"/>
        <a:ext cx="879705" cy="1225838"/>
      </dsp:txXfrm>
    </dsp:sp>
    <dsp:sp modelId="{ADC8493E-1D02-4F90-A7B1-3DB4BBE6010B}">
      <dsp:nvSpPr>
        <dsp:cNvPr id="0" name=""/>
        <dsp:cNvSpPr/>
      </dsp:nvSpPr>
      <dsp:spPr>
        <a:xfrm rot="1003057">
          <a:off x="3706981" y="813739"/>
          <a:ext cx="1222852" cy="1778463"/>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endParaRPr lang="es-GT" sz="1000" b="1" kern="1200"/>
        </a:p>
        <a:p>
          <a:pPr lvl="0" algn="ctr" defTabSz="444500">
            <a:lnSpc>
              <a:spcPct val="90000"/>
            </a:lnSpc>
            <a:spcBef>
              <a:spcPct val="0"/>
            </a:spcBef>
            <a:spcAft>
              <a:spcPct val="35000"/>
            </a:spcAft>
          </a:pPr>
          <a:endParaRPr lang="es-GT" sz="1000" b="1" kern="1200"/>
        </a:p>
        <a:p>
          <a:pPr lvl="0" algn="ctr" defTabSz="444500">
            <a:lnSpc>
              <a:spcPct val="90000"/>
            </a:lnSpc>
            <a:spcBef>
              <a:spcPct val="0"/>
            </a:spcBef>
            <a:spcAft>
              <a:spcPct val="35000"/>
            </a:spcAft>
          </a:pPr>
          <a:r>
            <a:rPr lang="es-GT" sz="1000" b="1" kern="1200"/>
            <a:t>Crece 14.2% respecto del presupuesto ejecutado 2018.</a:t>
          </a:r>
          <a:endParaRPr lang="es-ES" sz="1000" b="1" kern="1200"/>
        </a:p>
      </dsp:txBody>
      <dsp:txXfrm>
        <a:off x="3886064" y="1074189"/>
        <a:ext cx="864686" cy="1257563"/>
      </dsp:txXfrm>
    </dsp:sp>
    <dsp:sp modelId="{AA0F9C53-4967-493D-9513-617066F625C1}">
      <dsp:nvSpPr>
        <dsp:cNvPr id="0" name=""/>
        <dsp:cNvSpPr/>
      </dsp:nvSpPr>
      <dsp:spPr>
        <a:xfrm>
          <a:off x="2768389" y="3"/>
          <a:ext cx="1783860" cy="1477367"/>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s-ES" sz="1050" b="1" kern="1200"/>
            <a:t>Crece 12.2%respecto del presupuesto aprobado 2018. </a:t>
          </a:r>
        </a:p>
      </dsp:txBody>
      <dsp:txXfrm>
        <a:off x="3029629" y="216358"/>
        <a:ext cx="1261380" cy="1044657"/>
      </dsp:txXfrm>
    </dsp:sp>
    <dsp:sp modelId="{438027CE-0D1E-4154-9CB9-6DF3ADC002F7}">
      <dsp:nvSpPr>
        <dsp:cNvPr id="0" name=""/>
        <dsp:cNvSpPr/>
      </dsp:nvSpPr>
      <dsp:spPr>
        <a:xfrm>
          <a:off x="1896696" y="93819"/>
          <a:ext cx="3526211" cy="3403252"/>
        </a:xfrm>
        <a:prstGeom prst="funnel">
          <a:avLst/>
        </a:prstGeom>
        <a:solidFill>
          <a:schemeClr val="accent1">
            <a:alpha val="40000"/>
            <a:tint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6D28DA-C21E-4411-AA3E-9E62B420A744}">
      <dsp:nvSpPr>
        <dsp:cNvPr id="0" name=""/>
        <dsp:cNvSpPr/>
      </dsp:nvSpPr>
      <dsp:spPr>
        <a:xfrm>
          <a:off x="1215727" y="40049"/>
          <a:ext cx="4161447" cy="2880321"/>
        </a:xfrm>
        <a:prstGeom prst="cloudCallout">
          <a:avLst/>
        </a:prstGeom>
        <a:blipFill rotWithShape="0">
          <a:blip xmlns:r="http://schemas.openxmlformats.org/officeDocument/2006/relationships" r:embed="rId1">
            <a:duotone>
              <a:schemeClr val="bg2">
                <a:shade val="45000"/>
                <a:satMod val="135000"/>
              </a:schemeClr>
              <a:prstClr val="white"/>
            </a:duotone>
          </a:blip>
          <a:tile tx="0" ty="0" sx="100000" sy="100000" flip="none" algn="tl"/>
        </a:blipFill>
        <a:ln w="25400" cap="flat" cmpd="sng" algn="ctr">
          <a:solidFill>
            <a:schemeClr val="dk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es-ES" sz="1100" kern="1200">
              <a:latin typeface="Arial" pitchFamily="34" charset="0"/>
              <a:cs typeface="Arial" pitchFamily="34" charset="0"/>
            </a:rPr>
            <a:t>Conocer las etapas del proceso presupuestario, permite a las personas:</a:t>
          </a:r>
        </a:p>
        <a:p>
          <a:pPr marL="180000" lvl="0" indent="-457200" algn="l" defTabSz="488950">
            <a:lnSpc>
              <a:spcPct val="90000"/>
            </a:lnSpc>
            <a:spcBef>
              <a:spcPct val="0"/>
            </a:spcBef>
            <a:spcAft>
              <a:spcPct val="35000"/>
            </a:spcAft>
          </a:pPr>
          <a:r>
            <a:rPr lang="es-ES" sz="1100" kern="1200">
              <a:latin typeface="Arial" pitchFamily="34" charset="0"/>
              <a:cs typeface="Arial" pitchFamily="34" charset="0"/>
            </a:rPr>
            <a:t>a) saber en qué momento se solicitan los  recursos, </a:t>
          </a:r>
        </a:p>
        <a:p>
          <a:pPr marL="180000" lvl="0" indent="-457200" algn="l" defTabSz="488950">
            <a:lnSpc>
              <a:spcPct val="90000"/>
            </a:lnSpc>
            <a:spcBef>
              <a:spcPct val="0"/>
            </a:spcBef>
            <a:spcAft>
              <a:spcPct val="35000"/>
            </a:spcAft>
          </a:pPr>
          <a:r>
            <a:rPr lang="es-ES" sz="1100" kern="1200">
              <a:latin typeface="Arial" pitchFamily="34" charset="0"/>
              <a:cs typeface="Arial" pitchFamily="34" charset="0"/>
            </a:rPr>
            <a:t>b) qué instituciones los utilizarán, </a:t>
          </a:r>
        </a:p>
        <a:p>
          <a:pPr marL="180000" lvl="0" indent="-457200" algn="l" defTabSz="488950">
            <a:lnSpc>
              <a:spcPct val="90000"/>
            </a:lnSpc>
            <a:spcBef>
              <a:spcPct val="0"/>
            </a:spcBef>
            <a:spcAft>
              <a:spcPct val="35000"/>
            </a:spcAft>
          </a:pPr>
          <a:r>
            <a:rPr lang="es-ES" sz="1100" kern="1200">
              <a:latin typeface="Arial" pitchFamily="34" charset="0"/>
              <a:cs typeface="Arial" pitchFamily="34" charset="0"/>
            </a:rPr>
            <a:t>c) en qué período el Congreso de la República aprueba o  no el presupuesto, </a:t>
          </a:r>
        </a:p>
        <a:p>
          <a:pPr marL="180000" lvl="0" indent="-457200" algn="l" defTabSz="488950">
            <a:lnSpc>
              <a:spcPct val="90000"/>
            </a:lnSpc>
            <a:spcBef>
              <a:spcPct val="0"/>
            </a:spcBef>
            <a:spcAft>
              <a:spcPct val="35000"/>
            </a:spcAft>
          </a:pPr>
          <a:r>
            <a:rPr lang="es-ES" sz="1100" kern="1200">
              <a:latin typeface="Arial" pitchFamily="34" charset="0"/>
              <a:cs typeface="Arial" pitchFamily="34" charset="0"/>
            </a:rPr>
            <a:t>d) a partir de qué fecha se puede disponer </a:t>
          </a:r>
        </a:p>
        <a:p>
          <a:pPr marL="180000" lvl="0" indent="-457200" algn="l" defTabSz="488950">
            <a:lnSpc>
              <a:spcPct val="90000"/>
            </a:lnSpc>
            <a:spcBef>
              <a:spcPct val="0"/>
            </a:spcBef>
            <a:spcAft>
              <a:spcPct val="35000"/>
            </a:spcAft>
          </a:pPr>
          <a:r>
            <a:rPr lang="es-ES" sz="1100" kern="1200">
              <a:latin typeface="Arial" pitchFamily="34" charset="0"/>
              <a:cs typeface="Arial" pitchFamily="34" charset="0"/>
            </a:rPr>
            <a:t>    de los recursos para iniciar el  desarrollo </a:t>
          </a:r>
        </a:p>
        <a:p>
          <a:pPr marL="180000" lvl="0" indent="-457200" algn="l" defTabSz="488950">
            <a:lnSpc>
              <a:spcPct val="90000"/>
            </a:lnSpc>
            <a:spcBef>
              <a:spcPct val="0"/>
            </a:spcBef>
            <a:spcAft>
              <a:spcPct val="35000"/>
            </a:spcAft>
          </a:pPr>
          <a:r>
            <a:rPr lang="es-ES" sz="1100" kern="1200">
              <a:latin typeface="Arial" pitchFamily="34" charset="0"/>
              <a:cs typeface="Arial" pitchFamily="34" charset="0"/>
            </a:rPr>
            <a:t>    de los programas, y proyectos, y </a:t>
          </a:r>
        </a:p>
        <a:p>
          <a:pPr marL="180000" lvl="0" indent="-457200" algn="l" defTabSz="488950">
            <a:lnSpc>
              <a:spcPct val="90000"/>
            </a:lnSpc>
            <a:spcBef>
              <a:spcPct val="0"/>
            </a:spcBef>
            <a:spcAft>
              <a:spcPct val="35000"/>
            </a:spcAft>
          </a:pPr>
          <a:r>
            <a:rPr lang="es-ES" sz="1100" kern="1200">
              <a:latin typeface="Arial" pitchFamily="34" charset="0"/>
              <a:cs typeface="Arial" pitchFamily="34" charset="0"/>
            </a:rPr>
            <a:t>e) cuándo inicia la prestación de los servicios </a:t>
          </a:r>
        </a:p>
        <a:p>
          <a:pPr marL="180000" lvl="0" indent="-457200" algn="l" defTabSz="488950">
            <a:lnSpc>
              <a:spcPct val="90000"/>
            </a:lnSpc>
            <a:spcBef>
              <a:spcPct val="0"/>
            </a:spcBef>
            <a:spcAft>
              <a:spcPct val="35000"/>
            </a:spcAft>
          </a:pPr>
          <a:r>
            <a:rPr lang="es-ES" sz="1100" kern="1200">
              <a:latin typeface="Arial" pitchFamily="34" charset="0"/>
              <a:cs typeface="Arial" pitchFamily="34" charset="0"/>
            </a:rPr>
            <a:t>     públicos que requieren los ciudadanos.</a:t>
          </a:r>
          <a:endParaRPr lang="es-ES" sz="1100" kern="1200"/>
        </a:p>
      </dsp:txBody>
      <dsp:txXfrm>
        <a:off x="1881559" y="40049"/>
        <a:ext cx="3495615" cy="2880321"/>
      </dsp:txXfrm>
    </dsp:sp>
    <dsp:sp modelId="{01DF5AC3-645B-4D2F-9AC5-96160E84FBCF}">
      <dsp:nvSpPr>
        <dsp:cNvPr id="0" name=""/>
        <dsp:cNvSpPr/>
      </dsp:nvSpPr>
      <dsp:spPr>
        <a:xfrm>
          <a:off x="284494" y="1201666"/>
          <a:ext cx="642286" cy="855564"/>
        </a:xfrm>
        <a:prstGeom prst="ellipse">
          <a:avLst/>
        </a:prstGeom>
        <a:blipFill rotWithShape="0">
          <a:blip xmlns:r="http://schemas.openxmlformats.org/officeDocument/2006/relationships" r:embed="rId2"/>
          <a:stretch>
            <a:fillRect/>
          </a:stretch>
        </a:blip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911350">
            <a:lnSpc>
              <a:spcPct val="90000"/>
            </a:lnSpc>
            <a:spcBef>
              <a:spcPct val="0"/>
            </a:spcBef>
            <a:spcAft>
              <a:spcPct val="35000"/>
            </a:spcAft>
          </a:pPr>
          <a:r>
            <a:rPr lang="es-ES" sz="4300" kern="1200"/>
            <a:t>:</a:t>
          </a:r>
        </a:p>
      </dsp:txBody>
      <dsp:txXfrm>
        <a:off x="378555" y="1326960"/>
        <a:ext cx="454164" cy="604976"/>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FA4638-960F-42D0-8367-33C2B165160C}">
      <dsp:nvSpPr>
        <dsp:cNvPr id="0" name=""/>
        <dsp:cNvSpPr/>
      </dsp:nvSpPr>
      <dsp:spPr>
        <a:xfrm>
          <a:off x="1965532" y="0"/>
          <a:ext cx="1368945" cy="1409700"/>
        </a:xfrm>
        <a:prstGeom prst="roundRect">
          <a:avLst>
            <a:gd name="adj" fmla="val 5000"/>
          </a:avLst>
        </a:prstGeom>
        <a:solidFill>
          <a:srgbClr val="00B0F0"/>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0" tIns="24003" rIns="31115" bIns="0" numCol="1" spcCol="1270" anchor="t" anchorCtr="0">
          <a:noAutofit/>
        </a:bodyPr>
        <a:lstStyle/>
        <a:p>
          <a:pPr lvl="0" algn="r" defTabSz="311150">
            <a:lnSpc>
              <a:spcPct val="90000"/>
            </a:lnSpc>
            <a:spcBef>
              <a:spcPct val="0"/>
            </a:spcBef>
            <a:spcAft>
              <a:spcPct val="35000"/>
            </a:spcAft>
          </a:pPr>
          <a:r>
            <a:rPr lang="es-ES" sz="700" b="1" kern="1200">
              <a:solidFill>
                <a:sysClr val="windowText" lastClr="000000"/>
              </a:solidFill>
            </a:rPr>
            <a:t>:)</a:t>
          </a:r>
        </a:p>
      </dsp:txBody>
      <dsp:txXfrm rot="16200000">
        <a:off x="1524449" y="441082"/>
        <a:ext cx="1155954" cy="273789"/>
      </dsp:txXfrm>
    </dsp:sp>
    <dsp:sp modelId="{CFB9CE87-3520-432F-B98A-D618C53704FF}">
      <dsp:nvSpPr>
        <dsp:cNvPr id="0" name=""/>
        <dsp:cNvSpPr/>
      </dsp:nvSpPr>
      <dsp:spPr>
        <a:xfrm>
          <a:off x="2277831" y="0"/>
          <a:ext cx="1019864" cy="1409700"/>
        </a:xfrm>
        <a:prstGeom prst="rect">
          <a:avLst/>
        </a:prstGeom>
        <a:noFill/>
        <a:ln>
          <a:noFill/>
        </a:ln>
        <a:effectLst/>
        <a:scene3d>
          <a:camera prst="orthographicFront"/>
          <a:lightRig rig="chilly" dir="t"/>
        </a:scene3d>
        <a:sp3d/>
      </dsp:spPr>
      <dsp:style>
        <a:lnRef idx="0">
          <a:scrgbClr r="0" g="0" b="0"/>
        </a:lnRef>
        <a:fillRef idx="1">
          <a:scrgbClr r="0" g="0" b="0"/>
        </a:fillRef>
        <a:effectRef idx="0">
          <a:scrgbClr r="0" g="0" b="0"/>
        </a:effectRef>
        <a:fontRef idx="minor">
          <a:schemeClr val="lt1"/>
        </a:fontRef>
      </dsp:style>
      <dsp:txBody>
        <a:bodyPr spcFirstLastPara="0" vert="horz" wrap="square" lIns="0" tIns="51435" rIns="0" bIns="0" numCol="1" spcCol="1270" anchor="t" anchorCtr="0">
          <a:noAutofit/>
        </a:bodyPr>
        <a:lstStyle/>
        <a:p>
          <a:pPr lvl="0" algn="ctr" defTabSz="666750">
            <a:lnSpc>
              <a:spcPct val="90000"/>
            </a:lnSpc>
            <a:spcBef>
              <a:spcPct val="0"/>
            </a:spcBef>
            <a:spcAft>
              <a:spcPct val="35000"/>
            </a:spcAft>
          </a:pPr>
          <a:endParaRPr lang="es-ES" sz="1500" b="1" kern="1200">
            <a:solidFill>
              <a:sysClr val="windowText" lastClr="000000"/>
            </a:solidFill>
          </a:endParaRPr>
        </a:p>
        <a:p>
          <a:pPr lvl="0" algn="ctr" defTabSz="666750">
            <a:lnSpc>
              <a:spcPct val="90000"/>
            </a:lnSpc>
            <a:spcBef>
              <a:spcPct val="0"/>
            </a:spcBef>
            <a:spcAft>
              <a:spcPct val="35000"/>
            </a:spcAft>
          </a:pPr>
          <a:r>
            <a:rPr lang="es-ES" sz="1500" b="1" kern="1200">
              <a:solidFill>
                <a:sysClr val="windowText" lastClr="000000"/>
              </a:solidFill>
            </a:rPr>
            <a:t>Presupuesto de Ingresos</a:t>
          </a:r>
        </a:p>
        <a:p>
          <a:pPr lvl="0" algn="ctr" defTabSz="666750">
            <a:lnSpc>
              <a:spcPct val="90000"/>
            </a:lnSpc>
            <a:spcBef>
              <a:spcPct val="0"/>
            </a:spcBef>
            <a:spcAft>
              <a:spcPct val="35000"/>
            </a:spcAft>
          </a:pPr>
          <a:r>
            <a:rPr lang="es-ES" sz="1500" b="1" kern="1200">
              <a:solidFill>
                <a:sysClr val="windowText" lastClr="000000"/>
              </a:solidFill>
            </a:rPr>
            <a:t>Q.87,715.0 millones</a:t>
          </a:r>
        </a:p>
      </dsp:txBody>
      <dsp:txXfrm>
        <a:off x="2277831" y="0"/>
        <a:ext cx="1019864" cy="1409700"/>
      </dsp:txXfrm>
    </dsp:sp>
    <dsp:sp modelId="{4F781F30-08F6-4EDC-8797-235BD019600F}">
      <dsp:nvSpPr>
        <dsp:cNvPr id="0" name=""/>
        <dsp:cNvSpPr/>
      </dsp:nvSpPr>
      <dsp:spPr>
        <a:xfrm>
          <a:off x="0" y="0"/>
          <a:ext cx="1900125" cy="1409700"/>
        </a:xfrm>
        <a:prstGeom prst="roundRect">
          <a:avLst>
            <a:gd name="adj" fmla="val 5000"/>
          </a:avLst>
        </a:prstGeom>
        <a:blipFill rotWithShape="0">
          <a:blip xmlns:r="http://schemas.openxmlformats.org/officeDocument/2006/relationships" r:embed="rId1"/>
          <a:stretch>
            <a:fillRect/>
          </a:stretch>
        </a:blip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0" tIns="24003" rIns="31115" bIns="0" numCol="1" spcCol="1270" anchor="t" anchorCtr="0">
          <a:noAutofit/>
        </a:bodyPr>
        <a:lstStyle/>
        <a:p>
          <a:pPr lvl="0" algn="r" defTabSz="311150">
            <a:lnSpc>
              <a:spcPct val="90000"/>
            </a:lnSpc>
            <a:spcBef>
              <a:spcPct val="0"/>
            </a:spcBef>
            <a:spcAft>
              <a:spcPct val="35000"/>
            </a:spcAft>
          </a:pPr>
          <a:endParaRPr lang="es-ES" sz="700" b="1" kern="1200">
            <a:solidFill>
              <a:sysClr val="windowText" lastClr="000000"/>
            </a:solidFill>
            <a:latin typeface="Arial" pitchFamily="34" charset="0"/>
            <a:cs typeface="Arial" pitchFamily="34" charset="0"/>
          </a:endParaRPr>
        </a:p>
      </dsp:txBody>
      <dsp:txXfrm rot="16200000">
        <a:off x="-387964" y="387964"/>
        <a:ext cx="1155954" cy="380025"/>
      </dsp:txXfrm>
    </dsp:sp>
    <dsp:sp modelId="{647D1897-71A2-4B3C-80AA-99209EE9C2C5}">
      <dsp:nvSpPr>
        <dsp:cNvPr id="0" name=""/>
        <dsp:cNvSpPr/>
      </dsp:nvSpPr>
      <dsp:spPr>
        <a:xfrm rot="5400000">
          <a:off x="1702374" y="1104376"/>
          <a:ext cx="207212" cy="285018"/>
        </a:xfrm>
        <a:prstGeom prst="flowChartExtract">
          <a:avLst/>
        </a:prstGeom>
        <a:solidFill>
          <a:schemeClr val="lt1">
            <a:hueOff val="0"/>
            <a:satOff val="0"/>
            <a:lumOff val="0"/>
            <a:alphaOff val="0"/>
          </a:schemeClr>
        </a:solidFill>
        <a:ln w="9525" cap="flat" cmpd="sng" algn="ctr">
          <a:solidFill>
            <a:schemeClr val="accent2">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ECB8C4DC-BF2A-46D9-BAB8-EE68BDD30EBB}">
      <dsp:nvSpPr>
        <dsp:cNvPr id="0" name=""/>
        <dsp:cNvSpPr/>
      </dsp:nvSpPr>
      <dsp:spPr>
        <a:xfrm>
          <a:off x="3402920" y="0"/>
          <a:ext cx="649102" cy="1409700"/>
        </a:xfrm>
        <a:prstGeom prst="roundRect">
          <a:avLst>
            <a:gd name="adj" fmla="val 5000"/>
          </a:avLst>
        </a:prstGeom>
        <a:solidFill>
          <a:srgbClr val="FFC000"/>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0" tIns="24003" rIns="31115" bIns="0" numCol="1" spcCol="1270" anchor="t" anchorCtr="0">
          <a:noAutofit/>
        </a:bodyPr>
        <a:lstStyle/>
        <a:p>
          <a:pPr lvl="0" algn="ctr" defTabSz="311150">
            <a:lnSpc>
              <a:spcPct val="90000"/>
            </a:lnSpc>
            <a:spcBef>
              <a:spcPct val="0"/>
            </a:spcBef>
            <a:spcAft>
              <a:spcPct val="35000"/>
            </a:spcAft>
          </a:pPr>
          <a:r>
            <a:rPr lang="es-ES" sz="700" b="1" kern="1200">
              <a:solidFill>
                <a:sysClr val="windowText" lastClr="000000"/>
              </a:solidFill>
            </a:rPr>
            <a:t>:)</a:t>
          </a:r>
        </a:p>
      </dsp:txBody>
      <dsp:txXfrm rot="16200000">
        <a:off x="2889853" y="513066"/>
        <a:ext cx="1155954" cy="129820"/>
      </dsp:txXfrm>
    </dsp:sp>
    <dsp:sp modelId="{AC0BB16B-2ABD-43E0-BB06-BF6B56663877}">
      <dsp:nvSpPr>
        <dsp:cNvPr id="0" name=""/>
        <dsp:cNvSpPr/>
      </dsp:nvSpPr>
      <dsp:spPr>
        <a:xfrm rot="5400000">
          <a:off x="3318551" y="1163584"/>
          <a:ext cx="207212" cy="285018"/>
        </a:xfrm>
        <a:prstGeom prst="flowChartExtract">
          <a:avLst/>
        </a:prstGeom>
        <a:solidFill>
          <a:schemeClr val="lt1">
            <a:hueOff val="0"/>
            <a:satOff val="0"/>
            <a:lumOff val="0"/>
            <a:alphaOff val="0"/>
          </a:schemeClr>
        </a:solidFill>
        <a:ln w="9525" cap="flat" cmpd="sng" algn="ctr">
          <a:solidFill>
            <a:schemeClr val="accent3">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2356BAD0-56ED-4F46-BD73-43FC367509E4}">
      <dsp:nvSpPr>
        <dsp:cNvPr id="0" name=""/>
        <dsp:cNvSpPr/>
      </dsp:nvSpPr>
      <dsp:spPr>
        <a:xfrm>
          <a:off x="3623439" y="0"/>
          <a:ext cx="483580" cy="1409700"/>
        </a:xfrm>
        <a:prstGeom prst="rect">
          <a:avLst/>
        </a:prstGeom>
        <a:noFill/>
        <a:ln>
          <a:noFill/>
        </a:ln>
        <a:effectLst/>
        <a:scene3d>
          <a:camera prst="orthographicFront"/>
          <a:lightRig rig="chilly" dir="t"/>
        </a:scene3d>
        <a:sp3d/>
      </dsp:spPr>
      <dsp:style>
        <a:lnRef idx="0">
          <a:scrgbClr r="0" g="0" b="0"/>
        </a:lnRef>
        <a:fillRef idx="1">
          <a:scrgbClr r="0" g="0" b="0"/>
        </a:fillRef>
        <a:effectRef idx="0">
          <a:scrgbClr r="0" g="0" b="0"/>
        </a:effectRef>
        <a:fontRef idx="minor">
          <a:schemeClr val="lt1"/>
        </a:fontRef>
      </dsp:style>
      <dsp:txBody>
        <a:bodyPr spcFirstLastPara="0" vert="horz" wrap="square" lIns="0" tIns="205740" rIns="0" bIns="0" numCol="1" spcCol="1270" anchor="t" anchorCtr="0">
          <a:noAutofit/>
        </a:bodyPr>
        <a:lstStyle/>
        <a:p>
          <a:pPr lvl="0" algn="ctr" defTabSz="2667000">
            <a:lnSpc>
              <a:spcPct val="90000"/>
            </a:lnSpc>
            <a:spcBef>
              <a:spcPct val="0"/>
            </a:spcBef>
            <a:spcAft>
              <a:spcPct val="35000"/>
            </a:spcAft>
          </a:pPr>
          <a:r>
            <a:rPr lang="es-ES" sz="6000" b="1" kern="1200">
              <a:solidFill>
                <a:sysClr val="windowText" lastClr="000000"/>
              </a:solidFill>
            </a:rPr>
            <a:t>=</a:t>
          </a:r>
        </a:p>
      </dsp:txBody>
      <dsp:txXfrm>
        <a:off x="3623439" y="0"/>
        <a:ext cx="483580" cy="1409700"/>
      </dsp:txXfrm>
    </dsp:sp>
    <dsp:sp modelId="{ABFFD634-7788-4567-B1B1-2C9F3CBCBD77}">
      <dsp:nvSpPr>
        <dsp:cNvPr id="0" name=""/>
        <dsp:cNvSpPr/>
      </dsp:nvSpPr>
      <dsp:spPr>
        <a:xfrm>
          <a:off x="4146125" y="0"/>
          <a:ext cx="1416809" cy="1409700"/>
        </a:xfrm>
        <a:prstGeom prst="roundRect">
          <a:avLst>
            <a:gd name="adj" fmla="val 5000"/>
          </a:avLst>
        </a:prstGeom>
        <a:solidFill>
          <a:schemeClr val="bg2">
            <a:lumMod val="7500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0" tIns="24003" rIns="31115" bIns="0" numCol="1" spcCol="1270" anchor="t" anchorCtr="0">
          <a:noAutofit/>
        </a:bodyPr>
        <a:lstStyle/>
        <a:p>
          <a:pPr lvl="0" algn="r" defTabSz="311150">
            <a:lnSpc>
              <a:spcPct val="90000"/>
            </a:lnSpc>
            <a:spcBef>
              <a:spcPct val="0"/>
            </a:spcBef>
            <a:spcAft>
              <a:spcPct val="35000"/>
            </a:spcAft>
          </a:pPr>
          <a:r>
            <a:rPr lang="es-ES" sz="700" b="1" kern="1200">
              <a:solidFill>
                <a:sysClr val="windowText" lastClr="000000"/>
              </a:solidFill>
            </a:rPr>
            <a:t>:)</a:t>
          </a:r>
        </a:p>
      </dsp:txBody>
      <dsp:txXfrm rot="16200000">
        <a:off x="3709829" y="436296"/>
        <a:ext cx="1155954" cy="283361"/>
      </dsp:txXfrm>
    </dsp:sp>
    <dsp:sp modelId="{4D77172E-E36D-4C92-BD38-27FD21D37373}">
      <dsp:nvSpPr>
        <dsp:cNvPr id="0" name=""/>
        <dsp:cNvSpPr/>
      </dsp:nvSpPr>
      <dsp:spPr>
        <a:xfrm rot="5400000">
          <a:off x="4079419" y="1152063"/>
          <a:ext cx="207212" cy="285018"/>
        </a:xfrm>
        <a:prstGeom prst="flowChartExtract">
          <a:avLst/>
        </a:prstGeom>
        <a:solidFill>
          <a:schemeClr val="lt1">
            <a:hueOff val="0"/>
            <a:satOff val="0"/>
            <a:lumOff val="0"/>
            <a:alphaOff val="0"/>
          </a:schemeClr>
        </a:solidFill>
        <a:ln w="9525" cap="flat" cmpd="sng" algn="ctr">
          <a:solidFill>
            <a:schemeClr val="accent4">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sp>
    <dsp:sp modelId="{D89AA663-AA9D-484E-9834-AB7521455620}">
      <dsp:nvSpPr>
        <dsp:cNvPr id="0" name=""/>
        <dsp:cNvSpPr/>
      </dsp:nvSpPr>
      <dsp:spPr>
        <a:xfrm>
          <a:off x="4464527" y="0"/>
          <a:ext cx="1055523" cy="1409700"/>
        </a:xfrm>
        <a:prstGeom prst="rect">
          <a:avLst/>
        </a:prstGeom>
        <a:noFill/>
        <a:ln>
          <a:noFill/>
        </a:ln>
        <a:effectLst/>
        <a:scene3d>
          <a:camera prst="orthographicFront"/>
          <a:lightRig rig="chilly" dir="t"/>
        </a:scene3d>
        <a:sp3d/>
      </dsp:spPr>
      <dsp:style>
        <a:lnRef idx="0">
          <a:scrgbClr r="0" g="0" b="0"/>
        </a:lnRef>
        <a:fillRef idx="1">
          <a:scrgbClr r="0" g="0" b="0"/>
        </a:fillRef>
        <a:effectRef idx="0">
          <a:scrgbClr r="0" g="0" b="0"/>
        </a:effectRef>
        <a:fontRef idx="minor">
          <a:schemeClr val="lt1"/>
        </a:fontRef>
      </dsp:style>
      <dsp:txBody>
        <a:bodyPr spcFirstLastPara="0" vert="horz" wrap="square" lIns="0" tIns="51435" rIns="0" bIns="0" numCol="1" spcCol="1270" anchor="t" anchorCtr="0">
          <a:noAutofit/>
        </a:bodyPr>
        <a:lstStyle/>
        <a:p>
          <a:pPr lvl="0" algn="ctr" defTabSz="666750">
            <a:lnSpc>
              <a:spcPct val="90000"/>
            </a:lnSpc>
            <a:spcBef>
              <a:spcPct val="0"/>
            </a:spcBef>
            <a:spcAft>
              <a:spcPct val="35000"/>
            </a:spcAft>
          </a:pPr>
          <a:endParaRPr lang="es-ES" sz="1500" b="1" kern="1200">
            <a:solidFill>
              <a:sysClr val="windowText" lastClr="000000"/>
            </a:solidFill>
          </a:endParaRPr>
        </a:p>
        <a:p>
          <a:pPr lvl="0" algn="ctr" defTabSz="666750">
            <a:lnSpc>
              <a:spcPct val="90000"/>
            </a:lnSpc>
            <a:spcBef>
              <a:spcPct val="0"/>
            </a:spcBef>
            <a:spcAft>
              <a:spcPct val="35000"/>
            </a:spcAft>
          </a:pPr>
          <a:r>
            <a:rPr lang="es-ES" sz="1500" b="1" kern="1200">
              <a:solidFill>
                <a:sysClr val="windowText" lastClr="000000"/>
              </a:solidFill>
            </a:rPr>
            <a:t>Presupuesto de Egresos</a:t>
          </a:r>
        </a:p>
        <a:p>
          <a:pPr lvl="0" algn="ctr" defTabSz="666750">
            <a:lnSpc>
              <a:spcPct val="90000"/>
            </a:lnSpc>
            <a:spcBef>
              <a:spcPct val="0"/>
            </a:spcBef>
            <a:spcAft>
              <a:spcPct val="35000"/>
            </a:spcAft>
          </a:pPr>
          <a:r>
            <a:rPr lang="es-ES" sz="1500" b="1" kern="1200">
              <a:solidFill>
                <a:sysClr val="windowText" lastClr="000000"/>
              </a:solidFill>
            </a:rPr>
            <a:t>Q.87,715.0 millones</a:t>
          </a:r>
        </a:p>
      </dsp:txBody>
      <dsp:txXfrm>
        <a:off x="4464527" y="0"/>
        <a:ext cx="1055523" cy="1409700"/>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4E1FE6-E375-4892-B007-44C290DEBB36}">
      <dsp:nvSpPr>
        <dsp:cNvPr id="0" name=""/>
        <dsp:cNvSpPr/>
      </dsp:nvSpPr>
      <dsp:spPr>
        <a:xfrm>
          <a:off x="0" y="0"/>
          <a:ext cx="1806922" cy="2609850"/>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endParaRPr lang="es-ES" sz="1400" b="1" kern="1200">
            <a:solidFill>
              <a:sysClr val="windowText" lastClr="000000"/>
            </a:solidFill>
          </a:endParaRPr>
        </a:p>
        <a:p>
          <a:pPr lvl="0" algn="ctr" defTabSz="622300">
            <a:lnSpc>
              <a:spcPct val="90000"/>
            </a:lnSpc>
            <a:spcBef>
              <a:spcPct val="0"/>
            </a:spcBef>
            <a:spcAft>
              <a:spcPct val="35000"/>
            </a:spcAft>
          </a:pPr>
          <a:r>
            <a:rPr lang="es-ES" sz="1100" b="1" kern="1200">
              <a:solidFill>
                <a:sysClr val="windowText" lastClr="000000"/>
              </a:solidFill>
            </a:rPr>
            <a:t>Para consultar otros documentos disponibles relacionados con el tema presupuestario, puedes ingresar a la página de internet del Ministerio de Finanzas Públicas</a:t>
          </a:r>
          <a:endParaRPr lang="es-ES" sz="1100" kern="1200">
            <a:solidFill>
              <a:sysClr val="windowText" lastClr="000000"/>
            </a:solidFill>
          </a:endParaRPr>
        </a:p>
      </dsp:txBody>
      <dsp:txXfrm>
        <a:off x="0" y="1043940"/>
        <a:ext cx="1806922" cy="1043940"/>
      </dsp:txXfrm>
    </dsp:sp>
    <dsp:sp modelId="{27022259-1388-4D5E-9BF9-1740C017F1E6}">
      <dsp:nvSpPr>
        <dsp:cNvPr id="0" name=""/>
        <dsp:cNvSpPr/>
      </dsp:nvSpPr>
      <dsp:spPr>
        <a:xfrm>
          <a:off x="470160" y="156591"/>
          <a:ext cx="869080" cy="869080"/>
        </a:xfrm>
        <a:prstGeom prst="ellipse">
          <a:avLst/>
        </a:prstGeom>
        <a:blipFill rotWithShape="0">
          <a:blip xmlns:r="http://schemas.openxmlformats.org/officeDocument/2006/relationships" r:embed="rId2"/>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500CB096-5E0D-4C6F-9D07-A3E167AEFB07}">
      <dsp:nvSpPr>
        <dsp:cNvPr id="0" name=""/>
        <dsp:cNvSpPr/>
      </dsp:nvSpPr>
      <dsp:spPr>
        <a:xfrm>
          <a:off x="1862369" y="0"/>
          <a:ext cx="1685460" cy="2609850"/>
        </a:xfrm>
        <a:prstGeom prst="roundRect">
          <a:avLst>
            <a:gd name="adj" fmla="val 10000"/>
          </a:avLst>
        </a:prstGeom>
        <a:blipFill rotWithShape="0">
          <a:blip xmlns:r="http://schemas.openxmlformats.org/officeDocument/2006/relationships" r:embed="rId3"/>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s-ES" sz="1400" b="1" kern="1200">
              <a:solidFill>
                <a:sysClr val="windowText" lastClr="000000"/>
              </a:solidFill>
            </a:rPr>
            <a:t>www.minfin.gob.gt</a:t>
          </a:r>
          <a:endParaRPr lang="es-ES" sz="1400" kern="1200">
            <a:solidFill>
              <a:sysClr val="windowText" lastClr="000000"/>
            </a:solidFill>
          </a:endParaRPr>
        </a:p>
      </dsp:txBody>
      <dsp:txXfrm>
        <a:off x="1862369" y="1043940"/>
        <a:ext cx="1685460" cy="1043940"/>
      </dsp:txXfrm>
    </dsp:sp>
    <dsp:sp modelId="{69A24C6E-6EDC-4AB2-9D3A-D2D9131D33FB}">
      <dsp:nvSpPr>
        <dsp:cNvPr id="0" name=""/>
        <dsp:cNvSpPr/>
      </dsp:nvSpPr>
      <dsp:spPr>
        <a:xfrm>
          <a:off x="2270559" y="156591"/>
          <a:ext cx="869080" cy="869080"/>
        </a:xfrm>
        <a:prstGeom prst="ellipse">
          <a:avLst/>
        </a:prstGeom>
        <a:blipFill rotWithShape="0">
          <a:blip xmlns:r="http://schemas.openxmlformats.org/officeDocument/2006/relationships" r:embed="rId4"/>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F0CDE7C4-F816-4D6F-8BC4-5A178992E7D2}">
      <dsp:nvSpPr>
        <dsp:cNvPr id="0" name=""/>
        <dsp:cNvSpPr/>
      </dsp:nvSpPr>
      <dsp:spPr>
        <a:xfrm>
          <a:off x="3603277" y="0"/>
          <a:ext cx="1806922" cy="2609850"/>
        </a:xfrm>
        <a:prstGeom prst="roundRect">
          <a:avLst>
            <a:gd name="adj" fmla="val 10000"/>
          </a:avLst>
        </a:prstGeom>
        <a:blipFill rotWithShape="0">
          <a:blip xmlns:r="http://schemas.openxmlformats.org/officeDocument/2006/relationships" r:embed="rId5"/>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endParaRPr lang="es-ES" sz="1400" b="1" kern="1200">
            <a:solidFill>
              <a:sysClr val="windowText" lastClr="000000"/>
            </a:solidFill>
          </a:endParaRPr>
        </a:p>
        <a:p>
          <a:pPr lvl="0" algn="ctr" defTabSz="622300">
            <a:lnSpc>
              <a:spcPct val="90000"/>
            </a:lnSpc>
            <a:spcBef>
              <a:spcPct val="0"/>
            </a:spcBef>
            <a:spcAft>
              <a:spcPct val="35000"/>
            </a:spcAft>
          </a:pPr>
          <a:endParaRPr lang="es-ES" sz="1400" b="1" kern="1200">
            <a:solidFill>
              <a:sysClr val="windowText" lastClr="000000"/>
            </a:solidFill>
          </a:endParaRPr>
        </a:p>
        <a:p>
          <a:pPr lvl="0" algn="ctr" defTabSz="622300">
            <a:lnSpc>
              <a:spcPct val="90000"/>
            </a:lnSpc>
            <a:spcBef>
              <a:spcPct val="0"/>
            </a:spcBef>
            <a:spcAft>
              <a:spcPct val="35000"/>
            </a:spcAft>
          </a:pPr>
          <a:r>
            <a:rPr lang="es-ES" sz="1100" b="1" kern="1200">
              <a:solidFill>
                <a:sysClr val="windowText" lastClr="000000"/>
              </a:solidFill>
            </a:rPr>
            <a:t>O bien, puedes visitar la Unidad de Acceso a la Información Pública ubicada en la Planta Baja del Edificio del Ministerio de Finanzas Públicas.</a:t>
          </a:r>
        </a:p>
        <a:p>
          <a:pPr lvl="0" algn="ctr" defTabSz="622300">
            <a:lnSpc>
              <a:spcPct val="90000"/>
            </a:lnSpc>
            <a:spcBef>
              <a:spcPct val="0"/>
            </a:spcBef>
            <a:spcAft>
              <a:spcPct val="35000"/>
            </a:spcAft>
          </a:pPr>
          <a:r>
            <a:rPr lang="es-ES" sz="1100" b="1" kern="1200">
              <a:solidFill>
                <a:sysClr val="windowText" lastClr="000000"/>
              </a:solidFill>
            </a:rPr>
            <a:t>8a. avenida 20-59, Zona 1, Ciudad</a:t>
          </a:r>
          <a:r>
            <a:rPr lang="es-ES" sz="1400" b="1" kern="1200">
              <a:solidFill>
                <a:sysClr val="windowText" lastClr="000000"/>
              </a:solidFill>
            </a:rPr>
            <a:t>. </a:t>
          </a:r>
          <a:endParaRPr lang="es-ES" sz="1400" kern="1200">
            <a:solidFill>
              <a:sysClr val="windowText" lastClr="000000"/>
            </a:solidFill>
          </a:endParaRPr>
        </a:p>
      </dsp:txBody>
      <dsp:txXfrm>
        <a:off x="3603277" y="1043940"/>
        <a:ext cx="1806922" cy="1043940"/>
      </dsp:txXfrm>
    </dsp:sp>
    <dsp:sp modelId="{552BABE9-F6B9-4F88-B58A-409884D55187}">
      <dsp:nvSpPr>
        <dsp:cNvPr id="0" name=""/>
        <dsp:cNvSpPr/>
      </dsp:nvSpPr>
      <dsp:spPr>
        <a:xfrm>
          <a:off x="4070959" y="156591"/>
          <a:ext cx="869080" cy="869080"/>
        </a:xfrm>
        <a:prstGeom prst="ellipse">
          <a:avLst/>
        </a:prstGeom>
        <a:blipFill rotWithShape="0">
          <a:blip xmlns:r="http://schemas.openxmlformats.org/officeDocument/2006/relationships" r:embed="rId6"/>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A7CA6914-D98D-43FC-B29A-C57D7586FC7D}">
      <dsp:nvSpPr>
        <dsp:cNvPr id="0" name=""/>
        <dsp:cNvSpPr/>
      </dsp:nvSpPr>
      <dsp:spPr>
        <a:xfrm flipH="1">
          <a:off x="2566479" y="2342686"/>
          <a:ext cx="258226" cy="267163"/>
        </a:xfrm>
        <a:prstGeom prst="leftRightArrow">
          <a:avLst/>
        </a:prstGeom>
        <a:solidFill>
          <a:schemeClr val="accent2">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A2D6FD-4103-4C7F-A3F0-DFC54E132BA3}">
      <dsp:nvSpPr>
        <dsp:cNvPr id="0" name=""/>
        <dsp:cNvSpPr/>
      </dsp:nvSpPr>
      <dsp:spPr>
        <a:xfrm>
          <a:off x="2130761" y="628021"/>
          <a:ext cx="3260388" cy="1187427"/>
        </a:xfrm>
        <a:prstGeom prst="ellipse">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7620" tIns="7620" rIns="7620" bIns="7620" numCol="1" spcCol="1270" anchor="t" anchorCtr="0">
          <a:noAutofit/>
        </a:bodyPr>
        <a:lstStyle/>
        <a:p>
          <a:pPr marL="114300" lvl="1" indent="-114300" algn="ctr" defTabSz="533400">
            <a:lnSpc>
              <a:spcPct val="90000"/>
            </a:lnSpc>
            <a:spcBef>
              <a:spcPct val="0"/>
            </a:spcBef>
            <a:spcAft>
              <a:spcPct val="15000"/>
            </a:spcAft>
            <a:buChar char="••"/>
          </a:pPr>
          <a:r>
            <a:rPr lang="es-GT" sz="1200" kern="1200"/>
            <a:t>La mayor parte de recursos  para financiar el presupuesto 2019 se obtendrán de los  “ingresos tributarios” los que se estima cubrirán el 73.0%.</a:t>
          </a:r>
          <a:endParaRPr lang="es-ES" sz="1200" kern="1200"/>
        </a:p>
        <a:p>
          <a:pPr marL="114300" lvl="1" indent="-114300" algn="ctr" defTabSz="533400">
            <a:lnSpc>
              <a:spcPct val="90000"/>
            </a:lnSpc>
            <a:spcBef>
              <a:spcPct val="0"/>
            </a:spcBef>
            <a:spcAft>
              <a:spcPct val="15000"/>
            </a:spcAft>
            <a:buChar char="••"/>
          </a:pPr>
          <a:endParaRPr lang="es-ES" sz="1200" kern="1200">
            <a:solidFill>
              <a:sysClr val="windowText" lastClr="000000"/>
            </a:solidFill>
          </a:endParaRPr>
        </a:p>
      </dsp:txBody>
      <dsp:txXfrm>
        <a:off x="2608234" y="801916"/>
        <a:ext cx="2305442" cy="839637"/>
      </dsp:txXfrm>
    </dsp:sp>
    <dsp:sp modelId="{D69FA060-BE1A-4E5D-AFF7-D800FD349849}">
      <dsp:nvSpPr>
        <dsp:cNvPr id="0" name=""/>
        <dsp:cNvSpPr/>
      </dsp:nvSpPr>
      <dsp:spPr>
        <a:xfrm>
          <a:off x="731649" y="0"/>
          <a:ext cx="1466361" cy="1187427"/>
        </a:xfrm>
        <a:prstGeom prst="wedgeEllipseCallou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GT" sz="1200" b="1" kern="1200"/>
            <a:t>¿Qué cantidad de ingresos se estima que se obtendrán en 2019?</a:t>
          </a:r>
          <a:endParaRPr lang="es-ES" sz="1200" kern="1200"/>
        </a:p>
      </dsp:txBody>
      <dsp:txXfrm>
        <a:off x="946393" y="173895"/>
        <a:ext cx="1036873" cy="839637"/>
      </dsp:txXfrm>
    </dsp:sp>
    <dsp:sp modelId="{6176FAA9-BADA-4BF0-AA67-B83A0B789406}">
      <dsp:nvSpPr>
        <dsp:cNvPr id="0" name=""/>
        <dsp:cNvSpPr/>
      </dsp:nvSpPr>
      <dsp:spPr>
        <a:xfrm rot="21411252">
          <a:off x="5010595" y="138953"/>
          <a:ext cx="45726" cy="53519"/>
        </a:xfrm>
        <a:prstGeom prst="rightArrow">
          <a:avLst>
            <a:gd name="adj1" fmla="val 75000"/>
            <a:gd name="adj2" fmla="val 50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sp>
    <dsp:sp modelId="{0FCA85C0-3A40-4A15-BD90-05934940E709}">
      <dsp:nvSpPr>
        <dsp:cNvPr id="0" name=""/>
        <dsp:cNvSpPr/>
      </dsp:nvSpPr>
      <dsp:spPr>
        <a:xfrm>
          <a:off x="58489" y="981793"/>
          <a:ext cx="975879" cy="1187427"/>
        </a:xfrm>
        <a:prstGeom prst="roundRect">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32410" tIns="116205" rIns="232410" bIns="116205" numCol="1" spcCol="1270" anchor="ctr" anchorCtr="0">
          <a:noAutofit/>
        </a:bodyPr>
        <a:lstStyle/>
        <a:p>
          <a:pPr lvl="0" algn="ctr" defTabSz="2711450">
            <a:lnSpc>
              <a:spcPct val="90000"/>
            </a:lnSpc>
            <a:spcBef>
              <a:spcPct val="0"/>
            </a:spcBef>
            <a:spcAft>
              <a:spcPct val="35000"/>
            </a:spcAft>
          </a:pPr>
          <a:endParaRPr lang="es-ES" sz="6100" kern="1200">
            <a:solidFill>
              <a:sysClr val="windowText" lastClr="000000"/>
            </a:solidFill>
          </a:endParaRPr>
        </a:p>
      </dsp:txBody>
      <dsp:txXfrm>
        <a:off x="106127" y="1029431"/>
        <a:ext cx="880603" cy="109215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23A9A6-33C0-49D2-89F6-9C8D60F64A52}">
      <dsp:nvSpPr>
        <dsp:cNvPr id="0" name=""/>
        <dsp:cNvSpPr/>
      </dsp:nvSpPr>
      <dsp:spPr>
        <a:xfrm rot="16200000">
          <a:off x="345502" y="1749054"/>
          <a:ext cx="2634548" cy="717629"/>
        </a:xfrm>
        <a:prstGeom prst="flowChartManualOperation">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0" tIns="0" rIns="88900" bIns="0" numCol="1" spcCol="1270" anchor="ctr" anchorCtr="0">
          <a:noAutofit/>
        </a:bodyPr>
        <a:lstStyle/>
        <a:p>
          <a:pPr lvl="0" algn="ctr" defTabSz="622300">
            <a:lnSpc>
              <a:spcPct val="90000"/>
            </a:lnSpc>
            <a:spcBef>
              <a:spcPct val="0"/>
            </a:spcBef>
            <a:spcAft>
              <a:spcPct val="35000"/>
            </a:spcAft>
          </a:pPr>
          <a:endParaRPr lang="es-ES" sz="1400" kern="1200">
            <a:solidFill>
              <a:sysClr val="windowText" lastClr="000000"/>
            </a:solidFill>
          </a:endParaRPr>
        </a:p>
      </dsp:txBody>
      <dsp:txXfrm rot="5400000">
        <a:off x="1303961" y="1317505"/>
        <a:ext cx="717629" cy="1580728"/>
      </dsp:txXfrm>
    </dsp:sp>
    <dsp:sp modelId="{E05F37E9-328F-4BC6-A690-8F1A41BAF425}">
      <dsp:nvSpPr>
        <dsp:cNvPr id="0" name=""/>
        <dsp:cNvSpPr/>
      </dsp:nvSpPr>
      <dsp:spPr>
        <a:xfrm rot="16200000">
          <a:off x="-1452866" y="1582585"/>
          <a:ext cx="4276725" cy="1111553"/>
        </a:xfrm>
        <a:prstGeom prst="flowChartManualOperation">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0" tIns="0" rIns="76200" bIns="0" numCol="1" spcCol="1270" anchor="ctr" anchorCtr="0">
          <a:noAutofit/>
        </a:bodyPr>
        <a:lstStyle/>
        <a:p>
          <a:pPr lvl="0" algn="l" defTabSz="533400">
            <a:lnSpc>
              <a:spcPct val="90000"/>
            </a:lnSpc>
            <a:spcBef>
              <a:spcPct val="0"/>
            </a:spcBef>
            <a:spcAft>
              <a:spcPct val="35000"/>
            </a:spcAft>
          </a:pPr>
          <a:r>
            <a:rPr lang="es-GT" sz="1200" b="1" kern="1200"/>
            <a:t>De forma global:</a:t>
          </a:r>
        </a:p>
        <a:p>
          <a:pPr lvl="0" algn="l" defTabSz="533400">
            <a:lnSpc>
              <a:spcPct val="90000"/>
            </a:lnSpc>
            <a:spcBef>
              <a:spcPct val="0"/>
            </a:spcBef>
            <a:spcAft>
              <a:spcPct val="35000"/>
            </a:spcAft>
          </a:pPr>
          <a:endParaRPr lang="es-GT" sz="1200" b="1" kern="1200"/>
        </a:p>
        <a:p>
          <a:pPr lvl="0" algn="l" defTabSz="533400">
            <a:lnSpc>
              <a:spcPct val="90000"/>
            </a:lnSpc>
            <a:spcBef>
              <a:spcPct val="0"/>
            </a:spcBef>
            <a:spcAft>
              <a:spcPct val="35000"/>
            </a:spcAft>
          </a:pPr>
          <a:r>
            <a:rPr lang="es-GT" sz="1200" b="1" kern="1200"/>
            <a:t>¿Cómo se integra el Presupuesto de egresos para 2019?</a:t>
          </a:r>
        </a:p>
        <a:p>
          <a:pPr lvl="0" algn="ctr" defTabSz="533400">
            <a:lnSpc>
              <a:spcPct val="90000"/>
            </a:lnSpc>
            <a:spcBef>
              <a:spcPct val="0"/>
            </a:spcBef>
            <a:spcAft>
              <a:spcPct val="35000"/>
            </a:spcAft>
          </a:pPr>
          <a:endParaRPr lang="es-ES" sz="1200" kern="1200"/>
        </a:p>
        <a:p>
          <a:pPr lvl="0" algn="ctr" defTabSz="533400">
            <a:lnSpc>
              <a:spcPct val="90000"/>
            </a:lnSpc>
            <a:spcBef>
              <a:spcPct val="0"/>
            </a:spcBef>
            <a:spcAft>
              <a:spcPct val="35000"/>
            </a:spcAft>
          </a:pPr>
          <a:endParaRPr lang="es-ES" sz="1200" kern="1200"/>
        </a:p>
        <a:p>
          <a:pPr lvl="0" algn="ctr" defTabSz="533400">
            <a:lnSpc>
              <a:spcPct val="90000"/>
            </a:lnSpc>
            <a:spcBef>
              <a:spcPct val="0"/>
            </a:spcBef>
            <a:spcAft>
              <a:spcPct val="35000"/>
            </a:spcAft>
          </a:pPr>
          <a:r>
            <a:rPr lang="es-GT" sz="1200" b="1" kern="1200"/>
            <a:t>Puedes ver la gráfica anterior y la siguiente</a:t>
          </a:r>
          <a:r>
            <a:rPr lang="es-GT" sz="700" b="1" kern="1200"/>
            <a:t>.</a:t>
          </a:r>
          <a:endParaRPr lang="es-ES" sz="700" kern="1200"/>
        </a:p>
      </dsp:txBody>
      <dsp:txXfrm rot="5400000">
        <a:off x="129720" y="855344"/>
        <a:ext cx="1111553" cy="2566035"/>
      </dsp:txXfrm>
    </dsp:sp>
    <dsp:sp modelId="{0944A078-F751-44CF-A7C6-A448C9BF1DCC}">
      <dsp:nvSpPr>
        <dsp:cNvPr id="0" name=""/>
        <dsp:cNvSpPr/>
      </dsp:nvSpPr>
      <dsp:spPr>
        <a:xfrm rot="16200000">
          <a:off x="1643596" y="433921"/>
          <a:ext cx="4276725" cy="3408882"/>
        </a:xfrm>
        <a:prstGeom prst="flowChartManualOperation">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0" tIns="0" rIns="76200" bIns="0" numCol="1" spcCol="1270" anchor="ctr" anchorCtr="0">
          <a:noAutofit/>
        </a:bodyPr>
        <a:lstStyle/>
        <a:p>
          <a:pPr lvl="0" algn="l" defTabSz="533400">
            <a:lnSpc>
              <a:spcPct val="90000"/>
            </a:lnSpc>
            <a:spcBef>
              <a:spcPct val="0"/>
            </a:spcBef>
            <a:spcAft>
              <a:spcPct val="35000"/>
            </a:spcAft>
          </a:pPr>
          <a:r>
            <a:rPr lang="es-GT" sz="1200" kern="1200"/>
            <a:t>De forma global el tipo de gasto de “Funcionamiento” absorbe la mayor parte de recursos. Esto es así, porque el 34.4% del total se asigna al “gasto en desarrollo humano” que es el que permite ampliar la cobertura de los servicios públicos de educación a través del pago de maestros, útiles escolares, valija didáctica, refacción escolar; también permite realizar la prestación de los servicios de salud mediante el pago de médicos, enfermeros, medicamentos, y los servicios de seguridad en los que se paga la contratación de los agentes de seguridad, adquisición de armas y municiones, entre otros.</a:t>
          </a:r>
          <a:endParaRPr lang="es-ES" sz="1200" kern="1200"/>
        </a:p>
        <a:p>
          <a:pPr lvl="0" algn="l" defTabSz="533400">
            <a:lnSpc>
              <a:spcPct val="90000"/>
            </a:lnSpc>
            <a:spcBef>
              <a:spcPct val="0"/>
            </a:spcBef>
            <a:spcAft>
              <a:spcPct val="35000"/>
            </a:spcAft>
          </a:pPr>
          <a:r>
            <a:rPr lang="es-GT" sz="1200" kern="1200"/>
            <a:t>Los gastos de administración que apoyan los programas de las instituciones representan el 9.8%, las transferencias corrientes un 22.0%.</a:t>
          </a:r>
          <a:endParaRPr lang="es-ES" sz="1200" kern="1200"/>
        </a:p>
        <a:p>
          <a:pPr lvl="0" algn="l" defTabSz="533400">
            <a:lnSpc>
              <a:spcPct val="90000"/>
            </a:lnSpc>
            <a:spcBef>
              <a:spcPct val="0"/>
            </a:spcBef>
            <a:spcAft>
              <a:spcPct val="35000"/>
            </a:spcAft>
          </a:pPr>
          <a:r>
            <a:rPr lang="es-GT" sz="1200" kern="1200"/>
            <a:t>A inversión le corresponde un 18.5% y a la deuda pública el restante 15.3%.</a:t>
          </a:r>
          <a:endParaRPr lang="es-ES" sz="1200" kern="1200"/>
        </a:p>
      </dsp:txBody>
      <dsp:txXfrm rot="5400000">
        <a:off x="2077518" y="855344"/>
        <a:ext cx="3408882" cy="256603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03C317-B2BB-477A-BBDC-9BFC7CDD5707}">
      <dsp:nvSpPr>
        <dsp:cNvPr id="0" name=""/>
        <dsp:cNvSpPr/>
      </dsp:nvSpPr>
      <dsp:spPr>
        <a:xfrm>
          <a:off x="360759" y="0"/>
          <a:ext cx="1124224" cy="925695"/>
        </a:xfrm>
        <a:prstGeom prst="roundRect">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52F8740-42FF-44E3-BB6E-BA4E5BB92EBD}">
      <dsp:nvSpPr>
        <dsp:cNvPr id="0" name=""/>
        <dsp:cNvSpPr/>
      </dsp:nvSpPr>
      <dsp:spPr>
        <a:xfrm>
          <a:off x="19055" y="1045399"/>
          <a:ext cx="1677908" cy="5618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lvl="0" algn="l" defTabSz="466725">
            <a:lnSpc>
              <a:spcPct val="90000"/>
            </a:lnSpc>
            <a:spcBef>
              <a:spcPct val="0"/>
            </a:spcBef>
            <a:spcAft>
              <a:spcPct val="35000"/>
            </a:spcAft>
          </a:pPr>
          <a:r>
            <a:rPr lang="es-GT" sz="1050" b="0" kern="1200">
              <a:solidFill>
                <a:sysClr val="windowText" lastClr="000000"/>
              </a:solidFill>
              <a:latin typeface="Arial" pitchFamily="34" charset="0"/>
              <a:cs typeface="Arial" pitchFamily="34" charset="0"/>
            </a:rPr>
            <a:t>¿A qué instituciones se le otorgan mayores recursos en el presupuesto 2019?</a:t>
          </a:r>
          <a:endParaRPr lang="es-ES" sz="1050" b="0" kern="1200">
            <a:solidFill>
              <a:sysClr val="windowText" lastClr="000000"/>
            </a:solidFill>
            <a:latin typeface="Arial" pitchFamily="34" charset="0"/>
            <a:cs typeface="Arial" pitchFamily="34" charset="0"/>
          </a:endParaRPr>
        </a:p>
      </dsp:txBody>
      <dsp:txXfrm>
        <a:off x="19055" y="1045399"/>
        <a:ext cx="1677908" cy="561887"/>
      </dsp:txXfrm>
    </dsp:sp>
    <dsp:sp modelId="{E8CD32A5-5036-4A82-A9CF-232366B2F682}">
      <dsp:nvSpPr>
        <dsp:cNvPr id="0" name=""/>
        <dsp:cNvSpPr/>
      </dsp:nvSpPr>
      <dsp:spPr>
        <a:xfrm rot="18961524">
          <a:off x="1280586" y="1387863"/>
          <a:ext cx="559963" cy="244070"/>
        </a:xfrm>
        <a:prstGeom prst="roundRect">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6FC1D83-1E02-4660-B7F9-F4DFC0C25727}">
      <dsp:nvSpPr>
        <dsp:cNvPr id="0" name=""/>
        <dsp:cNvSpPr/>
      </dsp:nvSpPr>
      <dsp:spPr>
        <a:xfrm>
          <a:off x="1834914" y="0"/>
          <a:ext cx="3726806" cy="18840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lvl="0" algn="just" defTabSz="488950">
            <a:lnSpc>
              <a:spcPct val="90000"/>
            </a:lnSpc>
            <a:spcBef>
              <a:spcPct val="0"/>
            </a:spcBef>
            <a:spcAft>
              <a:spcPct val="35000"/>
            </a:spcAft>
          </a:pPr>
          <a:r>
            <a:rPr lang="es-GT" sz="1100" kern="1200">
              <a:latin typeface="Arial" pitchFamily="34" charset="0"/>
              <a:cs typeface="Arial" pitchFamily="34" charset="0"/>
            </a:rPr>
            <a:t>Como se puede apreciar en el cuadro anterior y  gráfica siguientes, Obligaciones del Estado a cargo del Tesoro cuenta con mayores recursos derivado del cumplimiento que el presupuesto debe dar a los preceptos constitucionales y de otras leyes ordinarias, en cuanto a destinar porcentajes preestablecidos hacia ciertos fines. </a:t>
          </a:r>
        </a:p>
        <a:p>
          <a:pPr lvl="0" algn="just" defTabSz="488950">
            <a:lnSpc>
              <a:spcPct val="90000"/>
            </a:lnSpc>
            <a:spcBef>
              <a:spcPct val="0"/>
            </a:spcBef>
            <a:spcAft>
              <a:spcPct val="35000"/>
            </a:spcAft>
          </a:pPr>
          <a:endParaRPr lang="es-ES" sz="1100" kern="1200">
            <a:latin typeface="Arial" pitchFamily="34" charset="0"/>
            <a:cs typeface="Arial" pitchFamily="34" charset="0"/>
          </a:endParaRPr>
        </a:p>
        <a:p>
          <a:pPr lvl="0" algn="just" defTabSz="488950">
            <a:lnSpc>
              <a:spcPct val="90000"/>
            </a:lnSpc>
            <a:spcBef>
              <a:spcPct val="0"/>
            </a:spcBef>
            <a:spcAft>
              <a:spcPct val="35000"/>
            </a:spcAft>
          </a:pPr>
          <a:r>
            <a:rPr lang="es-GT" sz="1100" kern="1200">
              <a:latin typeface="Arial" pitchFamily="34" charset="0"/>
              <a:cs typeface="Arial" pitchFamily="34" charset="0"/>
            </a:rPr>
            <a:t>En segundo término se apoya al Ministerio de Educación, Ministerio de Salud Pública y Asistencia Social, Ministerio de Gobernación,  Ministerio de Comunicaciones, Infraestructura y Vivienda</a:t>
          </a:r>
          <a:r>
            <a:rPr lang="es-ES" sz="1100" kern="1200">
              <a:latin typeface="Arial" pitchFamily="34" charset="0"/>
              <a:cs typeface="Arial" pitchFamily="34" charset="0"/>
            </a:rPr>
            <a:t>.</a:t>
          </a:r>
        </a:p>
      </dsp:txBody>
      <dsp:txXfrm>
        <a:off x="1834914" y="0"/>
        <a:ext cx="3726806" cy="188406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CEB57C-CF35-4E4A-B1C6-7E0EDA56D664}">
      <dsp:nvSpPr>
        <dsp:cNvPr id="0" name=""/>
        <dsp:cNvSpPr/>
      </dsp:nvSpPr>
      <dsp:spPr>
        <a:xfrm>
          <a:off x="3053" y="398840"/>
          <a:ext cx="1066204" cy="1935801"/>
        </a:xfrm>
        <a:prstGeom prst="roundRect">
          <a:avLst>
            <a:gd name="adj" fmla="val 5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54864" rIns="71120" bIns="0" numCol="1" spcCol="1270" anchor="t" anchorCtr="0">
          <a:noAutofit/>
        </a:bodyPr>
        <a:lstStyle/>
        <a:p>
          <a:pPr lvl="0" algn="l" defTabSz="711200">
            <a:lnSpc>
              <a:spcPct val="90000"/>
            </a:lnSpc>
            <a:spcBef>
              <a:spcPct val="0"/>
            </a:spcBef>
            <a:spcAft>
              <a:spcPct val="35000"/>
            </a:spcAft>
          </a:pPr>
          <a:endParaRPr lang="es-ES" sz="1600" b="1" kern="1200"/>
        </a:p>
      </dsp:txBody>
      <dsp:txXfrm rot="16200000">
        <a:off x="-684004" y="1085898"/>
        <a:ext cx="1587357" cy="213240"/>
      </dsp:txXfrm>
    </dsp:sp>
    <dsp:sp modelId="{127A63E7-5E08-45FD-8475-7DC248500850}">
      <dsp:nvSpPr>
        <dsp:cNvPr id="0" name=""/>
        <dsp:cNvSpPr/>
      </dsp:nvSpPr>
      <dsp:spPr>
        <a:xfrm>
          <a:off x="216294" y="398840"/>
          <a:ext cx="794322" cy="1935801"/>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37719" rIns="0" bIns="0" numCol="1" spcCol="1270" anchor="t" anchorCtr="0">
          <a:noAutofit/>
        </a:bodyPr>
        <a:lstStyle/>
        <a:p>
          <a:pPr lvl="0" algn="l" defTabSz="488950">
            <a:lnSpc>
              <a:spcPct val="90000"/>
            </a:lnSpc>
            <a:spcBef>
              <a:spcPct val="0"/>
            </a:spcBef>
            <a:spcAft>
              <a:spcPct val="35000"/>
            </a:spcAft>
          </a:pPr>
          <a:r>
            <a:rPr lang="es-ES" sz="1100" b="1" kern="1200"/>
            <a:t>Cero tolerancia a la corrupción. </a:t>
          </a:r>
        </a:p>
        <a:p>
          <a:pPr lvl="0" algn="l" defTabSz="488950">
            <a:lnSpc>
              <a:spcPct val="90000"/>
            </a:lnSpc>
            <a:spcBef>
              <a:spcPct val="0"/>
            </a:spcBef>
            <a:spcAft>
              <a:spcPct val="35000"/>
            </a:spcAft>
          </a:pPr>
          <a:endParaRPr lang="es-ES" sz="1100" b="1" kern="1200">
            <a:solidFill>
              <a:sysClr val="windowText" lastClr="000000"/>
            </a:solidFill>
          </a:endParaRPr>
        </a:p>
        <a:p>
          <a:pPr lvl="0" algn="l" defTabSz="488950">
            <a:lnSpc>
              <a:spcPct val="90000"/>
            </a:lnSpc>
            <a:spcBef>
              <a:spcPct val="0"/>
            </a:spcBef>
            <a:spcAft>
              <a:spcPct val="35000"/>
            </a:spcAft>
          </a:pPr>
          <a:r>
            <a:rPr lang="es-ES" sz="1100" b="1" kern="1200"/>
            <a:t>Moderniza-ción del Estado.</a:t>
          </a:r>
        </a:p>
      </dsp:txBody>
      <dsp:txXfrm>
        <a:off x="216294" y="398840"/>
        <a:ext cx="794322" cy="1935801"/>
      </dsp:txXfrm>
    </dsp:sp>
    <dsp:sp modelId="{7E109832-DE9E-4735-9DAD-7AFC17513D50}">
      <dsp:nvSpPr>
        <dsp:cNvPr id="0" name=""/>
        <dsp:cNvSpPr/>
      </dsp:nvSpPr>
      <dsp:spPr>
        <a:xfrm>
          <a:off x="1109635" y="398840"/>
          <a:ext cx="1066204" cy="1935801"/>
        </a:xfrm>
        <a:prstGeom prst="roundRect">
          <a:avLst>
            <a:gd name="adj" fmla="val 5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54864" rIns="71120" bIns="0" numCol="1" spcCol="1270" anchor="t" anchorCtr="0">
          <a:noAutofit/>
        </a:bodyPr>
        <a:lstStyle/>
        <a:p>
          <a:pPr lvl="0" algn="l" defTabSz="711200">
            <a:lnSpc>
              <a:spcPct val="90000"/>
            </a:lnSpc>
            <a:spcBef>
              <a:spcPct val="0"/>
            </a:spcBef>
            <a:spcAft>
              <a:spcPct val="35000"/>
            </a:spcAft>
          </a:pPr>
          <a:endParaRPr lang="es-ES" sz="1600" b="1" kern="1200"/>
        </a:p>
      </dsp:txBody>
      <dsp:txXfrm rot="16200000">
        <a:off x="422577" y="1085898"/>
        <a:ext cx="1587357" cy="213240"/>
      </dsp:txXfrm>
    </dsp:sp>
    <dsp:sp modelId="{9B95F5EC-5BA5-45FC-8BD6-33405844E506}">
      <dsp:nvSpPr>
        <dsp:cNvPr id="0" name=""/>
        <dsp:cNvSpPr/>
      </dsp:nvSpPr>
      <dsp:spPr>
        <a:xfrm rot="5400000">
          <a:off x="1017884" y="1396344"/>
          <a:ext cx="188045" cy="159930"/>
        </a:xfrm>
        <a:prstGeom prst="flowChartExtra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935513A-6535-4C3A-B5A7-D30386AB8D30}">
      <dsp:nvSpPr>
        <dsp:cNvPr id="0" name=""/>
        <dsp:cNvSpPr/>
      </dsp:nvSpPr>
      <dsp:spPr>
        <a:xfrm>
          <a:off x="1322876" y="398840"/>
          <a:ext cx="794322" cy="1935801"/>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37719" rIns="0" bIns="0" numCol="1" spcCol="1270" anchor="t" anchorCtr="0">
          <a:noAutofit/>
        </a:bodyPr>
        <a:lstStyle/>
        <a:p>
          <a:pPr lvl="0" algn="l" defTabSz="488950">
            <a:lnSpc>
              <a:spcPct val="90000"/>
            </a:lnSpc>
            <a:spcBef>
              <a:spcPct val="0"/>
            </a:spcBef>
            <a:spcAft>
              <a:spcPct val="35000"/>
            </a:spcAft>
          </a:pPr>
          <a:r>
            <a:rPr lang="es-ES" sz="1100" b="1" kern="1200"/>
            <a:t>Seguridad alimentaria y nutricional.</a:t>
          </a:r>
        </a:p>
        <a:p>
          <a:pPr lvl="0" algn="l" defTabSz="488950">
            <a:lnSpc>
              <a:spcPct val="90000"/>
            </a:lnSpc>
            <a:spcBef>
              <a:spcPct val="0"/>
            </a:spcBef>
            <a:spcAft>
              <a:spcPct val="35000"/>
            </a:spcAft>
          </a:pPr>
          <a:endParaRPr lang="es-ES" sz="1100" b="1" kern="1200">
            <a:solidFill>
              <a:sysClr val="windowText" lastClr="000000"/>
            </a:solidFill>
          </a:endParaRPr>
        </a:p>
        <a:p>
          <a:pPr lvl="0" algn="l" defTabSz="488950">
            <a:lnSpc>
              <a:spcPct val="90000"/>
            </a:lnSpc>
            <a:spcBef>
              <a:spcPct val="0"/>
            </a:spcBef>
            <a:spcAft>
              <a:spcPct val="35000"/>
            </a:spcAft>
          </a:pPr>
          <a:r>
            <a:rPr lang="es-ES" sz="1100" b="1" kern="1200"/>
            <a:t>Salud integral.</a:t>
          </a:r>
        </a:p>
        <a:p>
          <a:pPr lvl="0" algn="l" defTabSz="488950">
            <a:lnSpc>
              <a:spcPct val="90000"/>
            </a:lnSpc>
            <a:spcBef>
              <a:spcPct val="0"/>
            </a:spcBef>
            <a:spcAft>
              <a:spcPct val="35000"/>
            </a:spcAft>
          </a:pPr>
          <a:endParaRPr lang="es-ES" sz="1100" b="1" kern="1200">
            <a:solidFill>
              <a:sysClr val="windowText" lastClr="000000"/>
            </a:solidFill>
          </a:endParaRPr>
        </a:p>
        <a:p>
          <a:pPr lvl="0" algn="l" defTabSz="488950">
            <a:lnSpc>
              <a:spcPct val="90000"/>
            </a:lnSpc>
            <a:spcBef>
              <a:spcPct val="0"/>
            </a:spcBef>
            <a:spcAft>
              <a:spcPct val="35000"/>
            </a:spcAft>
          </a:pPr>
          <a:r>
            <a:rPr lang="es-ES" sz="1100" b="1" kern="1200"/>
            <a:t>Educación integral.</a:t>
          </a:r>
        </a:p>
      </dsp:txBody>
      <dsp:txXfrm>
        <a:off x="1322876" y="398840"/>
        <a:ext cx="794322" cy="1935801"/>
      </dsp:txXfrm>
    </dsp:sp>
    <dsp:sp modelId="{198267DE-6CB5-45EE-A101-6BE8376791BC}">
      <dsp:nvSpPr>
        <dsp:cNvPr id="0" name=""/>
        <dsp:cNvSpPr/>
      </dsp:nvSpPr>
      <dsp:spPr>
        <a:xfrm>
          <a:off x="2213157" y="398840"/>
          <a:ext cx="1066204" cy="1935801"/>
        </a:xfrm>
        <a:prstGeom prst="roundRect">
          <a:avLst>
            <a:gd name="adj" fmla="val 5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54864" rIns="71120" bIns="0" numCol="1" spcCol="1270" anchor="t" anchorCtr="0">
          <a:noAutofit/>
        </a:bodyPr>
        <a:lstStyle/>
        <a:p>
          <a:pPr lvl="0" algn="l" defTabSz="711200">
            <a:lnSpc>
              <a:spcPct val="90000"/>
            </a:lnSpc>
            <a:spcBef>
              <a:spcPct val="0"/>
            </a:spcBef>
            <a:spcAft>
              <a:spcPct val="35000"/>
            </a:spcAft>
          </a:pPr>
          <a:endParaRPr lang="es-ES" sz="1600" b="1" kern="1200"/>
        </a:p>
      </dsp:txBody>
      <dsp:txXfrm rot="16200000">
        <a:off x="1526099" y="1085898"/>
        <a:ext cx="1587357" cy="213240"/>
      </dsp:txXfrm>
    </dsp:sp>
    <dsp:sp modelId="{4E11609F-EE01-414F-AEC6-9D1E982882E3}">
      <dsp:nvSpPr>
        <dsp:cNvPr id="0" name=""/>
        <dsp:cNvSpPr/>
      </dsp:nvSpPr>
      <dsp:spPr>
        <a:xfrm rot="5400000">
          <a:off x="2121406" y="1396344"/>
          <a:ext cx="188045" cy="159930"/>
        </a:xfrm>
        <a:prstGeom prst="flowChartExtra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48B51B6-E46E-4877-9D7A-627EAF257B3D}">
      <dsp:nvSpPr>
        <dsp:cNvPr id="0" name=""/>
        <dsp:cNvSpPr/>
      </dsp:nvSpPr>
      <dsp:spPr>
        <a:xfrm>
          <a:off x="2426398" y="398840"/>
          <a:ext cx="794322" cy="1935801"/>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37719" rIns="0" bIns="0" numCol="1" spcCol="1270" anchor="t" anchorCtr="0">
          <a:noAutofit/>
        </a:bodyPr>
        <a:lstStyle/>
        <a:p>
          <a:pPr lvl="0" algn="l" defTabSz="488950">
            <a:lnSpc>
              <a:spcPct val="90000"/>
            </a:lnSpc>
            <a:spcBef>
              <a:spcPct val="0"/>
            </a:spcBef>
            <a:spcAft>
              <a:spcPct val="35000"/>
            </a:spcAft>
          </a:pPr>
          <a:r>
            <a:rPr lang="es-ES" sz="1100" b="1" kern="1200"/>
            <a:t>Fomento de las Mypimes.</a:t>
          </a:r>
        </a:p>
        <a:p>
          <a:pPr lvl="0" algn="l" defTabSz="488950">
            <a:lnSpc>
              <a:spcPct val="90000"/>
            </a:lnSpc>
            <a:spcBef>
              <a:spcPct val="0"/>
            </a:spcBef>
            <a:spcAft>
              <a:spcPct val="35000"/>
            </a:spcAft>
          </a:pPr>
          <a:endParaRPr lang="es-ES" sz="1100" b="1" kern="1200">
            <a:solidFill>
              <a:sysClr val="windowText" lastClr="000000"/>
            </a:solidFill>
          </a:endParaRPr>
        </a:p>
        <a:p>
          <a:pPr lvl="0" algn="l" defTabSz="488950">
            <a:lnSpc>
              <a:spcPct val="90000"/>
            </a:lnSpc>
            <a:spcBef>
              <a:spcPct val="0"/>
            </a:spcBef>
            <a:spcAft>
              <a:spcPct val="35000"/>
            </a:spcAft>
          </a:pPr>
          <a:r>
            <a:rPr lang="es-ES" sz="1100" b="1" kern="1200"/>
            <a:t>Turismo.</a:t>
          </a:r>
        </a:p>
        <a:p>
          <a:pPr lvl="0" algn="l" defTabSz="488950">
            <a:lnSpc>
              <a:spcPct val="90000"/>
            </a:lnSpc>
            <a:spcBef>
              <a:spcPct val="0"/>
            </a:spcBef>
            <a:spcAft>
              <a:spcPct val="35000"/>
            </a:spcAft>
          </a:pPr>
          <a:endParaRPr lang="es-ES" sz="1100" b="1" kern="1200">
            <a:solidFill>
              <a:sysClr val="windowText" lastClr="000000"/>
            </a:solidFill>
          </a:endParaRPr>
        </a:p>
        <a:p>
          <a:pPr lvl="0" algn="l" defTabSz="488950">
            <a:lnSpc>
              <a:spcPct val="90000"/>
            </a:lnSpc>
            <a:spcBef>
              <a:spcPct val="0"/>
            </a:spcBef>
            <a:spcAft>
              <a:spcPct val="35000"/>
            </a:spcAft>
          </a:pPr>
          <a:r>
            <a:rPr lang="es-ES" sz="1100" b="1" kern="1200"/>
            <a:t>Construcción  de vivienda</a:t>
          </a:r>
        </a:p>
      </dsp:txBody>
      <dsp:txXfrm>
        <a:off x="2426398" y="398840"/>
        <a:ext cx="794322" cy="1935801"/>
      </dsp:txXfrm>
    </dsp:sp>
    <dsp:sp modelId="{FBBCE289-2033-468F-BFDB-8C31C08AC25B}">
      <dsp:nvSpPr>
        <dsp:cNvPr id="0" name=""/>
        <dsp:cNvSpPr/>
      </dsp:nvSpPr>
      <dsp:spPr>
        <a:xfrm>
          <a:off x="3316679" y="398840"/>
          <a:ext cx="1066204" cy="1935801"/>
        </a:xfrm>
        <a:prstGeom prst="roundRect">
          <a:avLst>
            <a:gd name="adj" fmla="val 5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54864" rIns="71120" bIns="0" numCol="1" spcCol="1270" anchor="t" anchorCtr="0">
          <a:noAutofit/>
        </a:bodyPr>
        <a:lstStyle/>
        <a:p>
          <a:pPr lvl="0" algn="l" defTabSz="711200">
            <a:lnSpc>
              <a:spcPct val="90000"/>
            </a:lnSpc>
            <a:spcBef>
              <a:spcPct val="0"/>
            </a:spcBef>
            <a:spcAft>
              <a:spcPct val="35000"/>
            </a:spcAft>
          </a:pPr>
          <a:endParaRPr lang="es-ES" sz="1600" b="1" kern="1200"/>
        </a:p>
      </dsp:txBody>
      <dsp:txXfrm rot="16200000">
        <a:off x="2629621" y="1085898"/>
        <a:ext cx="1587357" cy="213240"/>
      </dsp:txXfrm>
    </dsp:sp>
    <dsp:sp modelId="{DAF1A7AA-6E09-4034-B4F6-F6129DE0D7E3}">
      <dsp:nvSpPr>
        <dsp:cNvPr id="0" name=""/>
        <dsp:cNvSpPr/>
      </dsp:nvSpPr>
      <dsp:spPr>
        <a:xfrm rot="5400000">
          <a:off x="3224927" y="1396344"/>
          <a:ext cx="188045" cy="159930"/>
        </a:xfrm>
        <a:prstGeom prst="flowChartExtra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A1FE456-7FF1-4A26-B595-540D8A32EDAE}">
      <dsp:nvSpPr>
        <dsp:cNvPr id="0" name=""/>
        <dsp:cNvSpPr/>
      </dsp:nvSpPr>
      <dsp:spPr>
        <a:xfrm>
          <a:off x="3529920" y="398840"/>
          <a:ext cx="794322" cy="1935801"/>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37719" rIns="0" bIns="0" numCol="1" spcCol="1270" anchor="t" anchorCtr="0">
          <a:noAutofit/>
        </a:bodyPr>
        <a:lstStyle/>
        <a:p>
          <a:pPr lvl="0" algn="l" defTabSz="488950">
            <a:lnSpc>
              <a:spcPct val="90000"/>
            </a:lnSpc>
            <a:spcBef>
              <a:spcPct val="0"/>
            </a:spcBef>
            <a:spcAft>
              <a:spcPct val="35000"/>
            </a:spcAft>
          </a:pPr>
          <a:r>
            <a:rPr lang="es-ES" sz="1100" b="1" kern="1200"/>
            <a:t>Seguridad integral.</a:t>
          </a:r>
        </a:p>
        <a:p>
          <a:pPr lvl="0" algn="l" defTabSz="488950">
            <a:lnSpc>
              <a:spcPct val="90000"/>
            </a:lnSpc>
            <a:spcBef>
              <a:spcPct val="0"/>
            </a:spcBef>
            <a:spcAft>
              <a:spcPct val="35000"/>
            </a:spcAft>
          </a:pPr>
          <a:endParaRPr lang="es-ES" sz="1100" b="1" kern="1200">
            <a:solidFill>
              <a:sysClr val="windowText" lastClr="000000"/>
            </a:solidFill>
          </a:endParaRPr>
        </a:p>
        <a:p>
          <a:pPr lvl="0" algn="l" defTabSz="488950">
            <a:lnSpc>
              <a:spcPct val="90000"/>
            </a:lnSpc>
            <a:spcBef>
              <a:spcPct val="0"/>
            </a:spcBef>
            <a:spcAft>
              <a:spcPct val="35000"/>
            </a:spcAft>
          </a:pPr>
          <a:r>
            <a:rPr lang="es-ES" sz="1100" b="1" kern="1200"/>
            <a:t>Turismo.</a:t>
          </a:r>
        </a:p>
      </dsp:txBody>
      <dsp:txXfrm>
        <a:off x="3529920" y="398840"/>
        <a:ext cx="794322" cy="1935801"/>
      </dsp:txXfrm>
    </dsp:sp>
    <dsp:sp modelId="{3133A6B4-026B-4E53-9EFA-F9D5C20F5AB4}">
      <dsp:nvSpPr>
        <dsp:cNvPr id="0" name=""/>
        <dsp:cNvSpPr/>
      </dsp:nvSpPr>
      <dsp:spPr>
        <a:xfrm>
          <a:off x="4420195" y="398840"/>
          <a:ext cx="1066204" cy="1935801"/>
        </a:xfrm>
        <a:prstGeom prst="roundRect">
          <a:avLst>
            <a:gd name="adj" fmla="val 5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54864" rIns="71120" bIns="0" numCol="1" spcCol="1270" anchor="t" anchorCtr="0">
          <a:noAutofit/>
        </a:bodyPr>
        <a:lstStyle/>
        <a:p>
          <a:pPr lvl="0" algn="l" defTabSz="711200">
            <a:lnSpc>
              <a:spcPct val="90000"/>
            </a:lnSpc>
            <a:spcBef>
              <a:spcPct val="0"/>
            </a:spcBef>
            <a:spcAft>
              <a:spcPct val="35000"/>
            </a:spcAft>
          </a:pPr>
          <a:endParaRPr lang="es-ES" sz="1600" b="1" kern="1200"/>
        </a:p>
      </dsp:txBody>
      <dsp:txXfrm rot="16200000">
        <a:off x="3733137" y="1085898"/>
        <a:ext cx="1587357" cy="213240"/>
      </dsp:txXfrm>
    </dsp:sp>
    <dsp:sp modelId="{CB22D97D-EB2C-4F8D-9115-F399D37DB31B}">
      <dsp:nvSpPr>
        <dsp:cNvPr id="0" name=""/>
        <dsp:cNvSpPr/>
      </dsp:nvSpPr>
      <dsp:spPr>
        <a:xfrm rot="5400000">
          <a:off x="4328449" y="1396344"/>
          <a:ext cx="188045" cy="159930"/>
        </a:xfrm>
        <a:prstGeom prst="flowChartExtra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5B7FB54-8064-49DA-A7CE-23CC35DDE52D}">
      <dsp:nvSpPr>
        <dsp:cNvPr id="0" name=""/>
        <dsp:cNvSpPr/>
      </dsp:nvSpPr>
      <dsp:spPr>
        <a:xfrm>
          <a:off x="4633436" y="398840"/>
          <a:ext cx="794322" cy="1935801"/>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37719" rIns="0" bIns="0" numCol="1" spcCol="1270" anchor="t" anchorCtr="0">
          <a:noAutofit/>
        </a:bodyPr>
        <a:lstStyle/>
        <a:p>
          <a:pPr lvl="0" algn="l" defTabSz="488950">
            <a:lnSpc>
              <a:spcPct val="90000"/>
            </a:lnSpc>
            <a:spcBef>
              <a:spcPct val="0"/>
            </a:spcBef>
            <a:spcAft>
              <a:spcPct val="35000"/>
            </a:spcAft>
          </a:pPr>
          <a:r>
            <a:rPr lang="es-ES" sz="1100" b="1" kern="1200"/>
            <a:t>Ambiente y Recursos Naturales</a:t>
          </a:r>
          <a:r>
            <a:rPr lang="es-ES" sz="1300" b="1" kern="1200"/>
            <a:t>.</a:t>
          </a:r>
        </a:p>
      </dsp:txBody>
      <dsp:txXfrm>
        <a:off x="4633436" y="398840"/>
        <a:ext cx="794322" cy="1935801"/>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ACA94F-E61F-42FE-B586-D7A9B78E63D6}">
      <dsp:nvSpPr>
        <dsp:cNvPr id="0" name=""/>
        <dsp:cNvSpPr/>
      </dsp:nvSpPr>
      <dsp:spPr>
        <a:xfrm>
          <a:off x="1012053" y="119300"/>
          <a:ext cx="3253234" cy="3141973"/>
        </a:xfrm>
        <a:prstGeom prst="gear9">
          <a:avLst/>
        </a:prstGeom>
        <a:solidFill>
          <a:schemeClr val="lt1">
            <a:hueOff val="0"/>
            <a:satOff val="0"/>
            <a:lumOff val="0"/>
            <a:alphaOff val="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MX" sz="1400" kern="1200">
              <a:latin typeface="Arial" pitchFamily="34" charset="0"/>
              <a:cs typeface="Arial" pitchFamily="34" charset="0"/>
            </a:rPr>
            <a:t>      </a:t>
          </a:r>
        </a:p>
        <a:p>
          <a:pPr lvl="0" algn="ctr" defTabSz="622300">
            <a:lnSpc>
              <a:spcPct val="90000"/>
            </a:lnSpc>
            <a:spcBef>
              <a:spcPct val="0"/>
            </a:spcBef>
            <a:spcAft>
              <a:spcPct val="35000"/>
            </a:spcAft>
          </a:pPr>
          <a:r>
            <a:rPr lang="es-MX" sz="1100" kern="1200">
              <a:latin typeface="Arial" pitchFamily="34" charset="0"/>
              <a:cs typeface="Arial" pitchFamily="34" charset="0"/>
            </a:rPr>
            <a:t>De acuerdo al proceso presupuestario, luego de la aprobacion del  presupuesto 2019, la siguiente etapa es la de “ejecución” la cual inicia a partir del 1 de enero y concluye el 31 de diciembre del 2019.  Esta ejecución puede observarse a través del Sistema de Contabilidad Integrada (SICOIN) que se muestra en la página de internet del Ministerio de Finanzas Públicas.</a:t>
          </a:r>
          <a:endParaRPr lang="es-ES" sz="1100" kern="1200">
            <a:latin typeface="Arial" pitchFamily="34" charset="0"/>
            <a:cs typeface="Arial" pitchFamily="34" charset="0"/>
          </a:endParaRPr>
        </a:p>
      </dsp:txBody>
      <dsp:txXfrm>
        <a:off x="1657782" y="855292"/>
        <a:ext cx="1961776" cy="1615039"/>
      </dsp:txXfrm>
    </dsp:sp>
    <dsp:sp modelId="{81FC616E-A812-43CA-BE26-454037A3180E}">
      <dsp:nvSpPr>
        <dsp:cNvPr id="0" name=""/>
        <dsp:cNvSpPr/>
      </dsp:nvSpPr>
      <dsp:spPr>
        <a:xfrm>
          <a:off x="151103" y="1870354"/>
          <a:ext cx="1041822" cy="1049058"/>
        </a:xfrm>
        <a:prstGeom prst="gear6">
          <a:avLst/>
        </a:prstGeom>
        <a:solidFill>
          <a:schemeClr val="lt1">
            <a:hueOff val="0"/>
            <a:satOff val="0"/>
            <a:lumOff val="0"/>
            <a:alphaOff val="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ES" sz="1400" kern="1200"/>
            <a:t>¿Qué sigue?</a:t>
          </a:r>
        </a:p>
      </dsp:txBody>
      <dsp:txXfrm>
        <a:off x="413385" y="2135289"/>
        <a:ext cx="517258" cy="519188"/>
      </dsp:txXfrm>
    </dsp:sp>
    <dsp:sp modelId="{2611DA17-EA28-4ECA-84D4-499A905A5779}">
      <dsp:nvSpPr>
        <dsp:cNvPr id="0" name=""/>
        <dsp:cNvSpPr/>
      </dsp:nvSpPr>
      <dsp:spPr>
        <a:xfrm rot="20700000">
          <a:off x="236315" y="-3544"/>
          <a:ext cx="1193774" cy="1081245"/>
        </a:xfrm>
        <a:prstGeom prst="gear6">
          <a:avLst/>
        </a:prstGeom>
        <a:solidFill>
          <a:schemeClr val="lt1">
            <a:hueOff val="0"/>
            <a:satOff val="0"/>
            <a:lumOff val="0"/>
            <a:alphaOff val="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ES" sz="1400" kern="1200"/>
            <a:t>Y ahora ...</a:t>
          </a:r>
        </a:p>
      </dsp:txBody>
      <dsp:txXfrm rot="-20700000">
        <a:off x="504819" y="226930"/>
        <a:ext cx="656766" cy="620296"/>
      </dsp:txXfrm>
    </dsp:sp>
    <dsp:sp modelId="{46497CD8-74A5-41BB-AD52-8F215F2FF68C}">
      <dsp:nvSpPr>
        <dsp:cNvPr id="0" name=""/>
        <dsp:cNvSpPr/>
      </dsp:nvSpPr>
      <dsp:spPr>
        <a:xfrm rot="20183926">
          <a:off x="2912276" y="-36266"/>
          <a:ext cx="1512561" cy="1593546"/>
        </a:xfrm>
        <a:prstGeom prst="circularArrow">
          <a:avLst>
            <a:gd name="adj1" fmla="val 4688"/>
            <a:gd name="adj2" fmla="val 299029"/>
            <a:gd name="adj3" fmla="val 2493798"/>
            <a:gd name="adj4" fmla="val 15910330"/>
            <a:gd name="adj5" fmla="val 5469"/>
          </a:avLst>
        </a:prstGeom>
        <a:solidFill>
          <a:schemeClr val="dk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9B72939C-AE9F-4A8D-ADC3-96DD67034C3D}">
      <dsp:nvSpPr>
        <dsp:cNvPr id="0" name=""/>
        <dsp:cNvSpPr/>
      </dsp:nvSpPr>
      <dsp:spPr>
        <a:xfrm rot="20131324">
          <a:off x="173260" y="672710"/>
          <a:ext cx="1739317" cy="1739317"/>
        </a:xfrm>
        <a:prstGeom prst="leftCircularArrow">
          <a:avLst>
            <a:gd name="adj1" fmla="val 6452"/>
            <a:gd name="adj2" fmla="val 429999"/>
            <a:gd name="adj3" fmla="val 10489124"/>
            <a:gd name="adj4" fmla="val 14837806"/>
            <a:gd name="adj5" fmla="val 7527"/>
          </a:avLst>
        </a:prstGeom>
        <a:solidFill>
          <a:schemeClr val="dk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D9342149-D46B-4818-9BCC-205D1B9896F8}">
      <dsp:nvSpPr>
        <dsp:cNvPr id="0" name=""/>
        <dsp:cNvSpPr/>
      </dsp:nvSpPr>
      <dsp:spPr>
        <a:xfrm rot="2850512">
          <a:off x="1105387" y="-4892"/>
          <a:ext cx="1875334" cy="1875334"/>
        </a:xfrm>
        <a:prstGeom prst="circularArrow">
          <a:avLst>
            <a:gd name="adj1" fmla="val 5984"/>
            <a:gd name="adj2" fmla="val 394124"/>
            <a:gd name="adj3" fmla="val 13313824"/>
            <a:gd name="adj4" fmla="val 10508221"/>
            <a:gd name="adj5" fmla="val 6981"/>
          </a:avLst>
        </a:prstGeom>
        <a:solidFill>
          <a:schemeClr val="dk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B23753-5792-4F97-90B6-1DFBDBA032A7}">
      <dsp:nvSpPr>
        <dsp:cNvPr id="0" name=""/>
        <dsp:cNvSpPr/>
      </dsp:nvSpPr>
      <dsp:spPr>
        <a:xfrm>
          <a:off x="317259" y="0"/>
          <a:ext cx="2137806" cy="1595827"/>
        </a:xfrm>
        <a:prstGeom prst="round2SameRect">
          <a:avLst>
            <a:gd name="adj1" fmla="val 8000"/>
            <a:gd name="adj2" fmla="val 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970" tIns="41910" rIns="13970" bIns="13970" numCol="1" spcCol="1270" anchor="t" anchorCtr="0">
          <a:noAutofit/>
        </a:bodyPr>
        <a:lstStyle/>
        <a:p>
          <a:pPr marL="57150" lvl="1" indent="-57150" algn="ctr" defTabSz="466725">
            <a:lnSpc>
              <a:spcPct val="90000"/>
            </a:lnSpc>
            <a:spcBef>
              <a:spcPct val="0"/>
            </a:spcBef>
            <a:spcAft>
              <a:spcPct val="15000"/>
            </a:spcAft>
            <a:buChar char="••"/>
          </a:pPr>
          <a:endParaRPr lang="es-ES" sz="1050" b="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ES" sz="1050" b="0" kern="1200">
              <a:latin typeface="Arial" pitchFamily="34" charset="0"/>
              <a:cs typeface="Arial" pitchFamily="34" charset="0"/>
            </a:rPr>
            <a:t>¿Cuánto de</a:t>
          </a:r>
          <a:r>
            <a:rPr lang="es-MX" sz="1050" b="0" kern="1200">
              <a:latin typeface="Arial" pitchFamily="34" charset="0"/>
              <a:cs typeface="Arial" pitchFamily="34" charset="0"/>
            </a:rPr>
            <a:t> los recursos asignados en el presupuesto,  son ejecutados por una institución? </a:t>
          </a:r>
          <a:endParaRPr lang="es-ES" sz="1050" b="0" kern="1200">
            <a:latin typeface="Arial" pitchFamily="34" charset="0"/>
            <a:cs typeface="Arial" pitchFamily="34" charset="0"/>
          </a:endParaRPr>
        </a:p>
        <a:p>
          <a:pPr marL="57150" lvl="1" indent="-57150" algn="ctr" defTabSz="466725">
            <a:lnSpc>
              <a:spcPct val="90000"/>
            </a:lnSpc>
            <a:spcBef>
              <a:spcPct val="0"/>
            </a:spcBef>
            <a:spcAft>
              <a:spcPct val="15000"/>
            </a:spcAft>
            <a:buChar char="••"/>
          </a:pPr>
          <a:endParaRPr lang="es-ES" sz="1050" b="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MX" sz="1050" b="0" kern="1200">
              <a:latin typeface="Arial" pitchFamily="34" charset="0"/>
              <a:cs typeface="Arial" pitchFamily="34" charset="0"/>
            </a:rPr>
            <a:t>Por ejemplo: si un ministerio invirtió  el total de los recursos que le trasladaron, o fue menos y porqué razón.</a:t>
          </a:r>
          <a:endParaRPr lang="es-ES" sz="1050" b="0" kern="1200">
            <a:latin typeface="Arial" pitchFamily="34" charset="0"/>
            <a:cs typeface="Arial" pitchFamily="34" charset="0"/>
          </a:endParaRPr>
        </a:p>
      </dsp:txBody>
      <dsp:txXfrm>
        <a:off x="354651" y="37392"/>
        <a:ext cx="2063022" cy="1558435"/>
      </dsp:txXfrm>
    </dsp:sp>
    <dsp:sp modelId="{07C2AEB6-3F95-4597-810B-EA5456BBAC30}">
      <dsp:nvSpPr>
        <dsp:cNvPr id="0" name=""/>
        <dsp:cNvSpPr/>
      </dsp:nvSpPr>
      <dsp:spPr>
        <a:xfrm>
          <a:off x="317259" y="1600665"/>
          <a:ext cx="2137806" cy="686205"/>
        </a:xfrm>
        <a:prstGeom prst="rect">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0" rIns="17780" bIns="0" numCol="1" spcCol="1270" anchor="ctr" anchorCtr="0">
          <a:noAutofit/>
        </a:bodyPr>
        <a:lstStyle/>
        <a:p>
          <a:pPr lvl="0" algn="ctr" defTabSz="622300">
            <a:lnSpc>
              <a:spcPct val="90000"/>
            </a:lnSpc>
            <a:spcBef>
              <a:spcPct val="0"/>
            </a:spcBef>
            <a:spcAft>
              <a:spcPct val="35000"/>
            </a:spcAft>
          </a:pPr>
          <a:r>
            <a:rPr lang="es-ES" sz="1400" b="1" kern="1200">
              <a:latin typeface="Arial" pitchFamily="34" charset="0"/>
              <a:cs typeface="Arial" pitchFamily="34" charset="0"/>
            </a:rPr>
            <a:t>¿Cuánto?</a:t>
          </a:r>
        </a:p>
      </dsp:txBody>
      <dsp:txXfrm>
        <a:off x="317259" y="1600665"/>
        <a:ext cx="1505497" cy="686205"/>
      </dsp:txXfrm>
    </dsp:sp>
    <dsp:sp modelId="{8E71925A-FE81-44D6-B5A9-DF5E88E588BD}">
      <dsp:nvSpPr>
        <dsp:cNvPr id="0" name=""/>
        <dsp:cNvSpPr/>
      </dsp:nvSpPr>
      <dsp:spPr>
        <a:xfrm>
          <a:off x="1883232" y="1709663"/>
          <a:ext cx="748232" cy="748232"/>
        </a:xfrm>
        <a:prstGeom prst="ellipse">
          <a:avLst/>
        </a:prstGeom>
        <a:blipFill rotWithShape="0">
          <a:blip xmlns:r="http://schemas.openxmlformats.org/officeDocument/2006/relationships" r:embed="rId1"/>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FDF996CE-A09A-4475-9104-EEAF9814D0A8}">
      <dsp:nvSpPr>
        <dsp:cNvPr id="0" name=""/>
        <dsp:cNvSpPr/>
      </dsp:nvSpPr>
      <dsp:spPr>
        <a:xfrm>
          <a:off x="2816834" y="4837"/>
          <a:ext cx="2137806" cy="1595827"/>
        </a:xfrm>
        <a:prstGeom prst="round2SameRect">
          <a:avLst>
            <a:gd name="adj1" fmla="val 8000"/>
            <a:gd name="adj2" fmla="val 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970" tIns="41910" rIns="13970" bIns="13970" numCol="1" spcCol="1270" anchor="t" anchorCtr="0">
          <a:noAutofit/>
        </a:bodyPr>
        <a:lstStyle/>
        <a:p>
          <a:pPr marL="57150" lvl="1" indent="-57150" algn="ctr" defTabSz="466725">
            <a:lnSpc>
              <a:spcPct val="90000"/>
            </a:lnSpc>
            <a:spcBef>
              <a:spcPct val="0"/>
            </a:spcBef>
            <a:spcAft>
              <a:spcPct val="15000"/>
            </a:spcAft>
            <a:buChar char="••"/>
          </a:pPr>
          <a:r>
            <a:rPr lang="es-MX" sz="1050" kern="1200">
              <a:latin typeface="Arial" pitchFamily="34" charset="0"/>
              <a:cs typeface="Arial" pitchFamily="34" charset="0"/>
            </a:rPr>
            <a:t>¿En qué programas y proyectos se atenderán las necesidades de la población? </a:t>
          </a:r>
          <a:endParaRPr lang="es-ES" sz="1050" kern="1200">
            <a:latin typeface="Arial" pitchFamily="34" charset="0"/>
            <a:cs typeface="Arial" pitchFamily="34" charset="0"/>
          </a:endParaRPr>
        </a:p>
        <a:p>
          <a:pPr marL="57150" lvl="1" indent="-57150" algn="ctr" defTabSz="466725">
            <a:lnSpc>
              <a:spcPct val="90000"/>
            </a:lnSpc>
            <a:spcBef>
              <a:spcPct val="0"/>
            </a:spcBef>
            <a:spcAft>
              <a:spcPct val="15000"/>
            </a:spcAft>
            <a:buChar char="••"/>
          </a:pPr>
          <a:endParaRPr lang="es-ES" sz="105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MX" sz="1050" kern="1200">
              <a:latin typeface="Arial" pitchFamily="34" charset="0"/>
              <a:cs typeface="Arial" pitchFamily="34" charset="0"/>
            </a:rPr>
            <a:t>Es decir, si se asignan a un programa de educación, salud, infraestructura, reconstrucción u otro.</a:t>
          </a:r>
          <a:endParaRPr lang="es-ES" sz="1050" kern="1200">
            <a:latin typeface="Arial" pitchFamily="34" charset="0"/>
            <a:cs typeface="Arial" pitchFamily="34" charset="0"/>
          </a:endParaRPr>
        </a:p>
      </dsp:txBody>
      <dsp:txXfrm>
        <a:off x="2854226" y="42229"/>
        <a:ext cx="2063022" cy="1558435"/>
      </dsp:txXfrm>
    </dsp:sp>
    <dsp:sp modelId="{8D2D30CE-FBF1-4FA4-9078-02F2DC6F00AB}">
      <dsp:nvSpPr>
        <dsp:cNvPr id="0" name=""/>
        <dsp:cNvSpPr/>
      </dsp:nvSpPr>
      <dsp:spPr>
        <a:xfrm>
          <a:off x="2816834" y="1600665"/>
          <a:ext cx="2137806" cy="686205"/>
        </a:xfrm>
        <a:prstGeom prst="rect">
          <a:avLst/>
        </a:prstGeom>
        <a:solidFill>
          <a:schemeClr val="accent5">
            <a:hueOff val="-3311292"/>
            <a:satOff val="13270"/>
            <a:lumOff val="2876"/>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0" rIns="17780" bIns="0" numCol="1" spcCol="1270" anchor="ctr" anchorCtr="0">
          <a:noAutofit/>
        </a:bodyPr>
        <a:lstStyle/>
        <a:p>
          <a:pPr lvl="0" algn="ctr" defTabSz="622300">
            <a:lnSpc>
              <a:spcPct val="90000"/>
            </a:lnSpc>
            <a:spcBef>
              <a:spcPct val="0"/>
            </a:spcBef>
            <a:spcAft>
              <a:spcPct val="35000"/>
            </a:spcAft>
          </a:pPr>
          <a:r>
            <a:rPr lang="es-ES" sz="1400" b="1" kern="1200">
              <a:latin typeface="Arial" pitchFamily="34" charset="0"/>
              <a:cs typeface="Arial" pitchFamily="34" charset="0"/>
            </a:rPr>
            <a:t>¿Cómo? </a:t>
          </a:r>
        </a:p>
      </dsp:txBody>
      <dsp:txXfrm>
        <a:off x="2816834" y="1600665"/>
        <a:ext cx="1505497" cy="686205"/>
      </dsp:txXfrm>
    </dsp:sp>
    <dsp:sp modelId="{1791F9DA-4637-4180-9A9B-FD7122F1912A}">
      <dsp:nvSpPr>
        <dsp:cNvPr id="0" name=""/>
        <dsp:cNvSpPr/>
      </dsp:nvSpPr>
      <dsp:spPr>
        <a:xfrm>
          <a:off x="4382807" y="1709663"/>
          <a:ext cx="748232" cy="748232"/>
        </a:xfrm>
        <a:prstGeom prst="ellipse">
          <a:avLst/>
        </a:prstGeom>
        <a:blipFill rotWithShape="0">
          <a:blip xmlns:r="http://schemas.openxmlformats.org/officeDocument/2006/relationships" r:embed="rId2"/>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54AD7D69-3278-4F1C-BE0C-9CA634CF1BEC}">
      <dsp:nvSpPr>
        <dsp:cNvPr id="0" name=""/>
        <dsp:cNvSpPr/>
      </dsp:nvSpPr>
      <dsp:spPr>
        <a:xfrm>
          <a:off x="317259" y="2828479"/>
          <a:ext cx="2137806" cy="1595827"/>
        </a:xfrm>
        <a:prstGeom prst="round2SameRect">
          <a:avLst>
            <a:gd name="adj1" fmla="val 8000"/>
            <a:gd name="adj2" fmla="val 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970" tIns="41910" rIns="13970" bIns="13970" numCol="1" spcCol="1270" anchor="t" anchorCtr="0">
          <a:noAutofit/>
        </a:bodyPr>
        <a:lstStyle/>
        <a:p>
          <a:pPr marL="57150" lvl="1" indent="-57150" algn="ctr" defTabSz="466725">
            <a:lnSpc>
              <a:spcPct val="90000"/>
            </a:lnSpc>
            <a:spcBef>
              <a:spcPct val="0"/>
            </a:spcBef>
            <a:spcAft>
              <a:spcPct val="15000"/>
            </a:spcAft>
            <a:buChar char="••"/>
          </a:pPr>
          <a:r>
            <a:rPr lang="es-MX" sz="1050" kern="1200">
              <a:latin typeface="Arial" pitchFamily="34" charset="0"/>
              <a:cs typeface="Arial" pitchFamily="34" charset="0"/>
            </a:rPr>
            <a:t>¿En qué renglones de gasto o</a:t>
          </a:r>
          <a:r>
            <a:rPr lang="es-MX" sz="1050" b="1" kern="1200">
              <a:latin typeface="Arial" pitchFamily="34" charset="0"/>
              <a:cs typeface="Arial" pitchFamily="34" charset="0"/>
            </a:rPr>
            <a:t> </a:t>
          </a:r>
          <a:r>
            <a:rPr lang="es-MX" sz="1050" kern="1200">
              <a:latin typeface="Arial" pitchFamily="34" charset="0"/>
              <a:cs typeface="Arial" pitchFamily="34" charset="0"/>
            </a:rPr>
            <a:t>insumos básicos se utilizarán los recursos para llevar a cabo los programas y proyectos? </a:t>
          </a:r>
          <a:endParaRPr lang="es-ES" sz="1050" kern="1200">
            <a:latin typeface="Arial" pitchFamily="34" charset="0"/>
            <a:cs typeface="Arial" pitchFamily="34" charset="0"/>
          </a:endParaRPr>
        </a:p>
        <a:p>
          <a:pPr marL="57150" lvl="1" indent="-57150" algn="ctr" defTabSz="466725">
            <a:lnSpc>
              <a:spcPct val="90000"/>
            </a:lnSpc>
            <a:spcBef>
              <a:spcPct val="0"/>
            </a:spcBef>
            <a:spcAft>
              <a:spcPct val="15000"/>
            </a:spcAft>
            <a:buChar char="••"/>
          </a:pPr>
          <a:endParaRPr lang="es-ES" sz="105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MX" sz="1050" kern="1200">
              <a:latin typeface="Arial" pitchFamily="34" charset="0"/>
              <a:cs typeface="Arial" pitchFamily="34" charset="0"/>
            </a:rPr>
            <a:t>Por ejemplo: pago de maestros, médicos, enfermeros, agentes de seguridad, medicamentos, equipo médico quirúrgico, entre otros.</a:t>
          </a:r>
          <a:endParaRPr lang="es-ES" sz="1050" kern="1200">
            <a:latin typeface="Arial" pitchFamily="34" charset="0"/>
            <a:cs typeface="Arial" pitchFamily="34" charset="0"/>
          </a:endParaRPr>
        </a:p>
      </dsp:txBody>
      <dsp:txXfrm>
        <a:off x="354651" y="2865871"/>
        <a:ext cx="2063022" cy="1558435"/>
      </dsp:txXfrm>
    </dsp:sp>
    <dsp:sp modelId="{C7F3D515-DD50-4626-A68F-D06483960CD7}">
      <dsp:nvSpPr>
        <dsp:cNvPr id="0" name=""/>
        <dsp:cNvSpPr/>
      </dsp:nvSpPr>
      <dsp:spPr>
        <a:xfrm>
          <a:off x="317259" y="4424307"/>
          <a:ext cx="2137806" cy="686205"/>
        </a:xfrm>
        <a:prstGeom prst="rect">
          <a:avLst/>
        </a:prstGeom>
        <a:solidFill>
          <a:schemeClr val="accent5">
            <a:hueOff val="-6622584"/>
            <a:satOff val="26541"/>
            <a:lumOff val="5752"/>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0" rIns="17780" bIns="0" numCol="1" spcCol="1270" anchor="ctr" anchorCtr="0">
          <a:noAutofit/>
        </a:bodyPr>
        <a:lstStyle/>
        <a:p>
          <a:pPr lvl="0" algn="ctr" defTabSz="622300">
            <a:lnSpc>
              <a:spcPct val="90000"/>
            </a:lnSpc>
            <a:spcBef>
              <a:spcPct val="0"/>
            </a:spcBef>
            <a:spcAft>
              <a:spcPct val="35000"/>
            </a:spcAft>
          </a:pPr>
          <a:r>
            <a:rPr lang="es-ES" sz="1400" b="1" kern="1200">
              <a:latin typeface="Arial" pitchFamily="34" charset="0"/>
              <a:cs typeface="Arial" pitchFamily="34" charset="0"/>
            </a:rPr>
            <a:t>¿En qué?</a:t>
          </a:r>
        </a:p>
      </dsp:txBody>
      <dsp:txXfrm>
        <a:off x="317259" y="4424307"/>
        <a:ext cx="1505497" cy="686205"/>
      </dsp:txXfrm>
    </dsp:sp>
    <dsp:sp modelId="{8032B63A-1AD4-4344-8B86-0DE594DBA56C}">
      <dsp:nvSpPr>
        <dsp:cNvPr id="0" name=""/>
        <dsp:cNvSpPr/>
      </dsp:nvSpPr>
      <dsp:spPr>
        <a:xfrm>
          <a:off x="1883232" y="4533304"/>
          <a:ext cx="748232" cy="748232"/>
        </a:xfrm>
        <a:prstGeom prst="ellipse">
          <a:avLst/>
        </a:prstGeom>
        <a:blipFill rotWithShape="0">
          <a:blip xmlns:r="http://schemas.openxmlformats.org/officeDocument/2006/relationships" r:embed="rId3"/>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BA0BC2DF-26D3-4998-B7D3-8171C6808AAB}">
      <dsp:nvSpPr>
        <dsp:cNvPr id="0" name=""/>
        <dsp:cNvSpPr/>
      </dsp:nvSpPr>
      <dsp:spPr>
        <a:xfrm>
          <a:off x="2816834" y="2828479"/>
          <a:ext cx="2137806" cy="1595827"/>
        </a:xfrm>
        <a:prstGeom prst="round2SameRect">
          <a:avLst>
            <a:gd name="adj1" fmla="val 8000"/>
            <a:gd name="adj2" fmla="val 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970" tIns="41910" rIns="13970" bIns="13970" numCol="1" spcCol="1270" anchor="t" anchorCtr="0">
          <a:noAutofit/>
        </a:bodyPr>
        <a:lstStyle/>
        <a:p>
          <a:pPr marL="57150" lvl="1" indent="-57150" algn="ctr" defTabSz="466725">
            <a:lnSpc>
              <a:spcPct val="90000"/>
            </a:lnSpc>
            <a:spcBef>
              <a:spcPct val="0"/>
            </a:spcBef>
            <a:spcAft>
              <a:spcPct val="15000"/>
            </a:spcAft>
            <a:buChar char="••"/>
          </a:pPr>
          <a:endParaRPr lang="es-ES" sz="1050" b="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MX" sz="1050" b="0" kern="1200">
              <a:latin typeface="Arial" pitchFamily="34" charset="0"/>
              <a:cs typeface="Arial" pitchFamily="34" charset="0"/>
            </a:rPr>
            <a:t>¿Quién ejecutará los recursos públicos? </a:t>
          </a:r>
          <a:endParaRPr lang="es-ES" sz="1050" b="0" kern="1200">
            <a:latin typeface="Arial" pitchFamily="34" charset="0"/>
            <a:cs typeface="Arial" pitchFamily="34" charset="0"/>
          </a:endParaRPr>
        </a:p>
        <a:p>
          <a:pPr marL="57150" lvl="1" indent="-57150" algn="ctr" defTabSz="466725">
            <a:lnSpc>
              <a:spcPct val="90000"/>
            </a:lnSpc>
            <a:spcBef>
              <a:spcPct val="0"/>
            </a:spcBef>
            <a:spcAft>
              <a:spcPct val="15000"/>
            </a:spcAft>
            <a:buChar char="••"/>
          </a:pPr>
          <a:endParaRPr lang="es-ES" sz="1050" b="0" kern="1200">
            <a:solidFill>
              <a:sysClr val="windowText" lastClr="000000"/>
            </a:solidFill>
            <a:latin typeface="Arial" pitchFamily="34" charset="0"/>
            <a:cs typeface="Arial" pitchFamily="34" charset="0"/>
          </a:endParaRPr>
        </a:p>
        <a:p>
          <a:pPr marL="57150" lvl="1" indent="-57150" algn="ctr" defTabSz="466725">
            <a:lnSpc>
              <a:spcPct val="90000"/>
            </a:lnSpc>
            <a:spcBef>
              <a:spcPct val="0"/>
            </a:spcBef>
            <a:spcAft>
              <a:spcPct val="15000"/>
            </a:spcAft>
            <a:buChar char="••"/>
          </a:pPr>
          <a:r>
            <a:rPr lang="es-MX" sz="1050" b="0" kern="1200">
              <a:latin typeface="Arial" pitchFamily="34" charset="0"/>
              <a:cs typeface="Arial" pitchFamily="34" charset="0"/>
            </a:rPr>
            <a:t>Identifica a la institución. </a:t>
          </a:r>
          <a:r>
            <a:rPr lang="es-MX" sz="1050" kern="1200">
              <a:latin typeface="Arial" pitchFamily="34" charset="0"/>
              <a:cs typeface="Arial" pitchFamily="34" charset="0"/>
            </a:rPr>
            <a:t>Por ejemplo: un Ministerio, una Secretaría, Dependencia, entre otros.</a:t>
          </a:r>
          <a:endParaRPr lang="es-ES" sz="1050" b="0" kern="1200">
            <a:latin typeface="Arial" pitchFamily="34" charset="0"/>
            <a:cs typeface="Arial" pitchFamily="34" charset="0"/>
          </a:endParaRPr>
        </a:p>
      </dsp:txBody>
      <dsp:txXfrm>
        <a:off x="2854226" y="2865871"/>
        <a:ext cx="2063022" cy="1558435"/>
      </dsp:txXfrm>
    </dsp:sp>
    <dsp:sp modelId="{67B19B78-E67C-4DAE-9406-C841A8EA3785}">
      <dsp:nvSpPr>
        <dsp:cNvPr id="0" name=""/>
        <dsp:cNvSpPr/>
      </dsp:nvSpPr>
      <dsp:spPr>
        <a:xfrm>
          <a:off x="2816834" y="4424307"/>
          <a:ext cx="2137806" cy="686205"/>
        </a:xfrm>
        <a:prstGeom prst="rect">
          <a:avLst/>
        </a:prstGeom>
        <a:solidFill>
          <a:schemeClr val="accent5">
            <a:hueOff val="-9933876"/>
            <a:satOff val="39811"/>
            <a:lumOff val="8628"/>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0" rIns="17780" bIns="0" numCol="1" spcCol="1270" anchor="ctr" anchorCtr="0">
          <a:noAutofit/>
        </a:bodyPr>
        <a:lstStyle/>
        <a:p>
          <a:pPr lvl="0" algn="ctr" defTabSz="622300">
            <a:lnSpc>
              <a:spcPct val="90000"/>
            </a:lnSpc>
            <a:spcBef>
              <a:spcPct val="0"/>
            </a:spcBef>
            <a:spcAft>
              <a:spcPct val="35000"/>
            </a:spcAft>
          </a:pPr>
          <a:r>
            <a:rPr lang="es-ES" sz="1400" b="1" kern="1200">
              <a:latin typeface="Arial" pitchFamily="34" charset="0"/>
              <a:cs typeface="Arial" pitchFamily="34" charset="0"/>
            </a:rPr>
            <a:t>¿Quién?</a:t>
          </a:r>
        </a:p>
      </dsp:txBody>
      <dsp:txXfrm>
        <a:off x="2816834" y="4424307"/>
        <a:ext cx="1505497" cy="686205"/>
      </dsp:txXfrm>
    </dsp:sp>
    <dsp:sp modelId="{8F7CD839-5479-4E5B-99E5-611569D31859}">
      <dsp:nvSpPr>
        <dsp:cNvPr id="0" name=""/>
        <dsp:cNvSpPr/>
      </dsp:nvSpPr>
      <dsp:spPr>
        <a:xfrm>
          <a:off x="4382807" y="4533304"/>
          <a:ext cx="748232" cy="748232"/>
        </a:xfrm>
        <a:prstGeom prst="ellipse">
          <a:avLst/>
        </a:prstGeom>
        <a:blipFill rotWithShape="0">
          <a:blip xmlns:r="http://schemas.openxmlformats.org/officeDocument/2006/relationships" r:embed="rId4"/>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E0F62B-30D0-4E00-BDDD-A9E944B73A5E}">
      <dsp:nvSpPr>
        <dsp:cNvPr id="0" name=""/>
        <dsp:cNvSpPr/>
      </dsp:nvSpPr>
      <dsp:spPr>
        <a:xfrm>
          <a:off x="993864" y="0"/>
          <a:ext cx="4443594" cy="1133475"/>
        </a:xfrm>
        <a:prstGeom prst="leftArrow">
          <a:avLst/>
        </a:prstGeom>
        <a:solidFill>
          <a:schemeClr val="accent2">
            <a:lumMod val="20000"/>
            <a:lumOff val="80000"/>
            <a:alpha val="9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endParaRPr lang="es-ES" sz="1100" kern="1200">
            <a:latin typeface="Arial" pitchFamily="34" charset="0"/>
            <a:cs typeface="Arial" pitchFamily="34" charset="0"/>
          </a:endParaRPr>
        </a:p>
        <a:p>
          <a:pPr marL="114300" lvl="1" indent="-114300" algn="l" defTabSz="533400">
            <a:lnSpc>
              <a:spcPct val="90000"/>
            </a:lnSpc>
            <a:spcBef>
              <a:spcPct val="0"/>
            </a:spcBef>
            <a:spcAft>
              <a:spcPct val="15000"/>
            </a:spcAft>
            <a:buChar char="••"/>
          </a:pPr>
          <a:r>
            <a:rPr lang="es-ES" sz="1200" kern="1200">
              <a:latin typeface="Arial" pitchFamily="34" charset="0"/>
              <a:cs typeface="Arial" pitchFamily="34" charset="0"/>
            </a:rPr>
            <a:t>¿Qué resultados se brindarán a los ciudadanos como consecuencia de las acciones o gestión de gobierno?</a:t>
          </a:r>
        </a:p>
      </dsp:txBody>
      <dsp:txXfrm>
        <a:off x="1277233" y="283369"/>
        <a:ext cx="4160225" cy="566737"/>
      </dsp:txXfrm>
    </dsp:sp>
    <dsp:sp modelId="{9C90B117-3CDA-42B9-89EC-1424C7DFDC44}">
      <dsp:nvSpPr>
        <dsp:cNvPr id="0" name=""/>
        <dsp:cNvSpPr/>
      </dsp:nvSpPr>
      <dsp:spPr>
        <a:xfrm>
          <a:off x="1315" y="0"/>
          <a:ext cx="992548" cy="1133475"/>
        </a:xfrm>
        <a:prstGeom prst="roundRect">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endParaRPr lang="es-ES" sz="1400" b="1" kern="1200">
            <a:latin typeface="Arial" pitchFamily="34" charset="0"/>
            <a:cs typeface="Arial" pitchFamily="34" charset="0"/>
          </a:endParaRPr>
        </a:p>
      </dsp:txBody>
      <dsp:txXfrm>
        <a:off x="49767" y="48452"/>
        <a:ext cx="895644" cy="1036571"/>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1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2.xml><?xml version="1.0" encoding="utf-8"?>
<dgm:layoutDef xmlns:dgm="http://schemas.openxmlformats.org/drawingml/2006/diagram" xmlns:a="http://schemas.openxmlformats.org/drawingml/2006/main" uniqueId="urn:microsoft.com/office/officeart/2005/8/layout/vList3#1">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vList3#2">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vList3#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vList3#4">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vList3#5">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vList3#6">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vList3#7">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vList3#8">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funnel1">
  <dgm:title val=""/>
  <dgm:desc val=""/>
  <dgm:catLst>
    <dgm:cat type="relationship" pri="2000"/>
    <dgm:cat type="process" pri="27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4"/>
      <dgm:resizeHandles val="exact"/>
    </dgm:varLst>
    <dgm:alg type="composite">
      <dgm:param type="ar" val="1.25"/>
    </dgm:alg>
    <dgm:shape xmlns:r="http://schemas.openxmlformats.org/officeDocument/2006/relationships" r:blip="">
      <dgm:adjLst/>
    </dgm:shape>
    <dgm:presOf/>
    <dgm:choose name="Name1">
      <dgm:if name="Name2" axis="ch" ptType="node" func="cnt" op="equ" val="2">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w" for="ch" forName="item1" refType="w" fact="0.35"/>
          <dgm:constr type="h" for="ch" forName="item1" refType="w" fact="0.35"/>
          <dgm:constr type="t" for="ch" forName="item1" refType="h" fact="0.05"/>
          <dgm:constr type="l" for="ch" forName="item1" refType="w" fact="0.125"/>
          <dgm:constr type="primFontSz" for="ch" forName="item1" op="equ" val="65"/>
          <dgm:constr type="w" for="ch" forName="funnel" refType="w" fact="0.7"/>
          <dgm:constr type="h" for="ch" forName="funnel" refType="h" fact="0.7"/>
          <dgm:constr type="t" for="ch" forName="funnel"/>
          <dgm:constr type="l" for="ch" forName="funnel"/>
        </dgm:constrLst>
      </dgm:if>
      <dgm:else name="Name3">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primFontSz" for="ch" forName="rectangle" val="65"/>
          <dgm:constr type="w" for="ch" forName="item1" refType="w" fact="0.225"/>
          <dgm:constr type="h" for="ch" forName="item1" refType="w" fact="0.225"/>
          <dgm:constr type="t" for="ch" forName="item1" refType="h" fact="0.336"/>
          <dgm:constr type="l" for="ch" forName="item1" refType="w" fact="0.261"/>
          <dgm:constr type="primFontSz" for="ch" forName="item1" val="65"/>
          <dgm:constr type="w" for="ch" forName="item2" refType="w" fact="0.225"/>
          <dgm:constr type="h" for="ch" forName="item2" refType="w" fact="0.225"/>
          <dgm:constr type="t" for="ch" forName="item2" refType="h" fact="0.125"/>
          <dgm:constr type="l" for="ch" forName="item2" refType="w" fact="0.1"/>
          <dgm:constr type="primFontSz" for="ch" forName="item2" refType="primFontSz" refFor="ch" refForName="item1" op="equ"/>
          <dgm:constr type="w" for="ch" forName="item3" refType="w" fact="0.225"/>
          <dgm:constr type="h" for="ch" forName="item3" refType="w" fact="0.225"/>
          <dgm:constr type="t" for="ch" forName="item3" refType="h" fact="0.057"/>
          <dgm:constr type="l" for="ch" forName="item3" refType="w" fact="0.33"/>
          <dgm:constr type="primFontSz" for="ch" forName="item3" refType="primFontSz" refFor="ch" refForName="item1" op="equ"/>
          <dgm:constr type="w" for="ch" forName="funnel" refType="w" fact="0.7"/>
          <dgm:constr type="h" for="ch" forName="funnel" refType="h" fact="0.7"/>
          <dgm:constr type="t" for="ch" forName="funnel"/>
          <dgm:constr type="l" for="ch" forName="funnel"/>
        </dgm:constrLst>
      </dgm:else>
    </dgm:choose>
    <dgm:ruleLst/>
    <dgm:choose name="Name4">
      <dgm:if name="Name5" axis="ch" ptType="node" func="cnt" op="gte" val="1">
        <dgm:layoutNode name="ellipse" styleLbl="trBgShp">
          <dgm:alg type="sp"/>
          <dgm:shape xmlns:r="http://schemas.openxmlformats.org/officeDocument/2006/relationships" type="ellipse" r:blip="">
            <dgm:adjLst/>
          </dgm:shape>
          <dgm:presOf/>
          <dgm:constrLst/>
          <dgm:ruleLst/>
        </dgm:layoutNode>
        <dgm:layoutNode name="arrow1" styleLbl="fgShp">
          <dgm:alg type="sp"/>
          <dgm:shape xmlns:r="http://schemas.openxmlformats.org/officeDocument/2006/relationships" type="downArrow" r:blip="">
            <dgm:adjLst/>
          </dgm:shape>
          <dgm:presOf/>
          <dgm:constrLst/>
          <dgm:ruleLst/>
        </dgm:layoutNode>
        <dgm:layoutNode name="rectangle" styleLbl="revTx">
          <dgm:varLst>
            <dgm:bulletEnabled val="1"/>
          </dgm:varLst>
          <dgm:alg type="tx">
            <dgm:param type="txAnchorHorzCh" val="ctr"/>
          </dgm:alg>
          <dgm:shape xmlns:r="http://schemas.openxmlformats.org/officeDocument/2006/relationships" type="rect" r:blip="">
            <dgm:adjLst/>
          </dgm:shape>
          <dgm:choose name="Name6">
            <dgm:if name="Name7" axis="ch" ptType="node" func="cnt" op="equ" val="1">
              <dgm:presOf axis="ch desOrSelf" ptType="node node" st="1 1" cnt="1 0"/>
            </dgm:if>
            <dgm:if name="Name8" axis="ch" ptType="node" func="cnt" op="equ" val="2">
              <dgm:presOf axis="ch desOrSelf" ptType="node node" st="2 1" cnt="1 0"/>
            </dgm:if>
            <dgm:if name="Name9" axis="ch" ptType="node" func="cnt" op="equ" val="3">
              <dgm:presOf axis="ch desOrSelf" ptType="node node" st="3 1" cnt="1 0"/>
            </dgm:if>
            <dgm:else name="Name10">
              <dgm:presOf axis="ch desOrSelf" ptType="node node" st="4 1" cnt="1 0"/>
            </dgm:else>
          </dgm:choose>
          <dgm:constrLst/>
          <dgm:ruleLst>
            <dgm:rule type="primFontSz" val="5" fact="NaN" max="NaN"/>
          </dgm:ruleLst>
        </dgm:layoutNode>
        <dgm:forEach name="Name11" axis="ch" ptType="node" st="2" cnt="1">
          <dgm:layoutNode name="item1" styleLbl="node1">
            <dgm:varLst>
              <dgm:bulletEnabled val="1"/>
            </dgm:varLst>
            <dgm:alg type="tx">
              <dgm:param type="txAnchorVertCh" val="mid"/>
            </dgm:alg>
            <dgm:shape xmlns:r="http://schemas.openxmlformats.org/officeDocument/2006/relationships" type="ellipse" r:blip="">
              <dgm:adjLst/>
            </dgm:shape>
            <dgm:choose name="Name12">
              <dgm:if name="Name13" axis="root ch" ptType="all node" func="cnt" op="equ" val="1">
                <dgm:presOf/>
              </dgm:if>
              <dgm:if name="Name14" axis="root ch" ptType="all node" func="cnt" op="equ" val="2">
                <dgm:presOf axis="root ch desOrSelf" ptType="all node node" st="1 1 1" cnt="0 1 0"/>
              </dgm:if>
              <dgm:if name="Name15" axis="root ch" ptType="all node" func="cnt" op="equ" val="3">
                <dgm:presOf axis="root ch desOrSelf" ptType="all node node" st="1 2 1" cnt="0 1 0"/>
              </dgm:if>
              <dgm:else name="Name16">
                <dgm:presOf axis="root ch desOrSelf" ptType="all node node" st="1 3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17" axis="ch" ptType="node" st="3" cnt="1">
          <dgm:layoutNode name="item2" styleLbl="node1">
            <dgm:varLst>
              <dgm:bulletEnabled val="1"/>
            </dgm:varLst>
            <dgm:alg type="tx">
              <dgm:param type="txAnchorVertCh" val="mid"/>
            </dgm:alg>
            <dgm:shape xmlns:r="http://schemas.openxmlformats.org/officeDocument/2006/relationships" type="ellipse" r:blip="">
              <dgm:adjLst/>
            </dgm:shape>
            <dgm:choose name="Name18">
              <dgm:if name="Name19" axis="root ch" ptType="all node" func="cnt" op="equ" val="1">
                <dgm:presOf/>
              </dgm:if>
              <dgm:if name="Name20" axis="root ch" ptType="all node" func="cnt" op="equ" val="2">
                <dgm:presOf/>
              </dgm:if>
              <dgm:if name="Name21" axis="root ch" ptType="all node" func="cnt" op="equ" val="3">
                <dgm:presOf axis="root ch desOrSelf" ptType="all node node" st="1 1 1" cnt="0 1 0"/>
              </dgm:if>
              <dgm:else name="Name22">
                <dgm:presOf axis="root ch desOrSelf" ptType="all node node" st="1 2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23" axis="ch" ptType="node" st="4" cnt="1">
          <dgm:layoutNode name="item3" styleLbl="node1">
            <dgm:varLst>
              <dgm:bulletEnabled val="1"/>
            </dgm:varLst>
            <dgm:alg type="tx">
              <dgm:param type="txAnchorVertCh" val="mid"/>
            </dgm:alg>
            <dgm:shape xmlns:r="http://schemas.openxmlformats.org/officeDocument/2006/relationships" type="ellipse" r:blip="">
              <dgm:adjLst/>
            </dgm:shape>
            <dgm:choose name="Name24">
              <dgm:if name="Name25" axis="root ch" ptType="all node" func="cnt" op="equ" val="1">
                <dgm:presOf/>
              </dgm:if>
              <dgm:if name="Name26" axis="root ch" ptType="all node" func="cnt" op="equ" val="2">
                <dgm:presOf/>
              </dgm:if>
              <dgm:if name="Name27" axis="root ch" ptType="all node" func="cnt" op="equ" val="3">
                <dgm:presOf/>
              </dgm:if>
              <dgm:else name="Name28">
                <dgm:presOf axis="root ch desOrSelf" ptType="all node node" st="1 1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layoutNode name="funnel" styleLbl="trAlignAcc1">
          <dgm:alg type="sp"/>
          <dgm:shape xmlns:r="http://schemas.openxmlformats.org/officeDocument/2006/relationships" type="funnel" r:blip="">
            <dgm:adjLst/>
          </dgm:shape>
          <dgm:presOf/>
          <dgm:constrLst/>
          <dgm:ruleLst/>
        </dgm:layoutNode>
      </dgm:if>
      <dgm:else name="Name29"/>
    </dgm:choose>
  </dgm:layoutNode>
</dgm:layoutDef>
</file>

<file path=word/diagrams/layout20.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hProcess7#1">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presOf axis="self"/>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presOf axis="self"/>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hList7#3">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List1#1">
  <dgm:title val=""/>
  <dgm:desc val=""/>
  <dgm:catLst>
    <dgm:cat type="list" pri="20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8.xml><?xml version="1.0" encoding="utf-8"?>
<dgm:layoutDef xmlns:dgm="http://schemas.openxmlformats.org/drawingml/2006/diagram" xmlns:a="http://schemas.openxmlformats.org/drawingml/2006/main" uniqueId="urn:microsoft.com/office/officeart/2005/8/layout/bList2#1">
  <dgm:title val=""/>
  <dgm:desc val=""/>
  <dgm:catLst>
    <dgm:cat type="list" pri="7000"/>
    <dgm:cat type="convert" pri="16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rawings/_rels/drawing11.xml.rels><?xml version="1.0" encoding="UTF-8" standalone="yes"?>
<Relationships xmlns="http://schemas.openxmlformats.org/package/2006/relationships"><Relationship Id="rId1" Type="http://schemas.openxmlformats.org/officeDocument/2006/relationships/image" Target="../media/image16.png"/></Relationships>
</file>

<file path=word/drawings/drawing1.xml><?xml version="1.0" encoding="utf-8"?>
<c:userShapes xmlns:c="http://schemas.openxmlformats.org/drawingml/2006/chart">
  <cdr:relSizeAnchor xmlns:cdr="http://schemas.openxmlformats.org/drawingml/2006/chartDrawing">
    <cdr:from>
      <cdr:x>0.00496</cdr:x>
      <cdr:y>0.88882</cdr:y>
    </cdr:from>
    <cdr:to>
      <cdr:x>0.58901</cdr:x>
      <cdr:y>1</cdr:y>
    </cdr:to>
    <cdr:sp macro="" textlink="">
      <cdr:nvSpPr>
        <cdr:cNvPr id="2" name="1 CuadroTexto"/>
        <cdr:cNvSpPr txBox="1"/>
      </cdr:nvSpPr>
      <cdr:spPr>
        <a:xfrm xmlns:a="http://schemas.openxmlformats.org/drawingml/2006/main">
          <a:off x="32982" y="3521861"/>
          <a:ext cx="3883729" cy="44053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ES" sz="800" b="0">
              <a:latin typeface="Arial" pitchFamily="34" charset="0"/>
              <a:cs typeface="Arial" pitchFamily="34" charset="0"/>
            </a:rPr>
            <a:t>*proyectado</a:t>
          </a:r>
        </a:p>
        <a:p xmlns:a="http://schemas.openxmlformats.org/drawingml/2006/main">
          <a:endParaRPr lang="es-ES" sz="100" b="0">
            <a:latin typeface="Arial" pitchFamily="34" charset="0"/>
            <a:cs typeface="Arial" pitchFamily="34" charset="0"/>
          </a:endParaRPr>
        </a:p>
        <a:p xmlns:a="http://schemas.openxmlformats.org/drawingml/2006/main">
          <a:r>
            <a:rPr lang="es-ES" sz="800" b="0">
              <a:latin typeface="Arial" pitchFamily="34" charset="0"/>
              <a:cs typeface="Arial" pitchFamily="34" charset="0"/>
            </a:rPr>
            <a:t>Fuente: </a:t>
          </a:r>
          <a:r>
            <a:rPr lang="es-ES" sz="800" b="0" baseline="0">
              <a:latin typeface="Arial" pitchFamily="34" charset="0"/>
              <a:cs typeface="Arial" pitchFamily="34" charset="0"/>
            </a:rPr>
            <a:t>Banco de Guatemala</a:t>
          </a:r>
          <a:endParaRPr lang="es-ES" sz="800" b="0">
            <a:latin typeface="Arial" pitchFamily="34" charset="0"/>
            <a:cs typeface="Arial" pitchFamily="34"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cdr:x>
      <cdr:y>0.91019</cdr:y>
    </cdr:from>
    <cdr:to>
      <cdr:x>0.75006</cdr:x>
      <cdr:y>0.95795</cdr:y>
    </cdr:to>
    <cdr:sp macro="" textlink="">
      <cdr:nvSpPr>
        <cdr:cNvPr id="2" name="1 CuadroTexto"/>
        <cdr:cNvSpPr txBox="1"/>
      </cdr:nvSpPr>
      <cdr:spPr>
        <a:xfrm xmlns:a="http://schemas.openxmlformats.org/drawingml/2006/main">
          <a:off x="0" y="4447462"/>
          <a:ext cx="4296119" cy="23337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ES" sz="1000" b="1"/>
            <a:t>Fuente: Ministerio de Finanzas Públicas</a:t>
          </a:r>
        </a:p>
      </cdr:txBody>
    </cdr:sp>
  </cdr:relSizeAnchor>
</c:userShapes>
</file>

<file path=word/drawings/drawing11.xml><?xml version="1.0" encoding="utf-8"?>
<c:userShapes xmlns:c="http://schemas.openxmlformats.org/drawingml/2006/chart">
  <cdr:relSizeAnchor xmlns:cdr="http://schemas.openxmlformats.org/drawingml/2006/chartDrawing">
    <cdr:from>
      <cdr:x>0</cdr:x>
      <cdr:y>0.95145</cdr:y>
    </cdr:from>
    <cdr:to>
      <cdr:x>1</cdr:x>
      <cdr:y>1</cdr:y>
    </cdr:to>
    <cdr:sp macro="" textlink="">
      <cdr:nvSpPr>
        <cdr:cNvPr id="2" name="1 CuadroTexto"/>
        <cdr:cNvSpPr txBox="1"/>
      </cdr:nvSpPr>
      <cdr:spPr>
        <a:xfrm xmlns:a="http://schemas.openxmlformats.org/drawingml/2006/main">
          <a:off x="0" y="4653002"/>
          <a:ext cx="5314951" cy="23675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ES" sz="1000" b="1"/>
            <a:t>Fuente: Ministerio de Finanzas Públicas</a:t>
          </a:r>
        </a:p>
      </cdr:txBody>
    </cdr:sp>
  </cdr:relSizeAnchor>
  <cdr:relSizeAnchor xmlns:cdr="http://schemas.openxmlformats.org/drawingml/2006/chartDrawing">
    <cdr:from>
      <cdr:x>0</cdr:x>
      <cdr:y>0</cdr:y>
    </cdr:from>
    <cdr:to>
      <cdr:x>0.00437</cdr:x>
      <cdr:y>0.00455</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24386" cy="24386"/>
        </a:xfrm>
        <a:prstGeom xmlns:a="http://schemas.openxmlformats.org/drawingml/2006/main" prst="rect">
          <a:avLst/>
        </a:prstGeom>
      </cdr:spPr>
    </cdr:pic>
  </cdr:relSizeAnchor>
</c:userShapes>
</file>

<file path=word/drawings/drawing12.xml><?xml version="1.0" encoding="utf-8"?>
<c:userShapes xmlns:c="http://schemas.openxmlformats.org/drawingml/2006/chart">
  <cdr:relSizeAnchor xmlns:cdr="http://schemas.openxmlformats.org/drawingml/2006/chartDrawing">
    <cdr:from>
      <cdr:x>0.01615</cdr:x>
      <cdr:y>0.96444</cdr:y>
    </cdr:from>
    <cdr:to>
      <cdr:x>0.33456</cdr:x>
      <cdr:y>1</cdr:y>
    </cdr:to>
    <cdr:sp macro="" textlink="">
      <cdr:nvSpPr>
        <cdr:cNvPr id="2" name="1 CuadroTexto"/>
        <cdr:cNvSpPr txBox="1"/>
      </cdr:nvSpPr>
      <cdr:spPr>
        <a:xfrm xmlns:a="http://schemas.openxmlformats.org/drawingml/2006/main">
          <a:off x="125064" y="6457950"/>
          <a:ext cx="2465737" cy="2381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ES" sz="1000" b="1"/>
            <a:t>Fuente: Ministerio de Finanzas Públicas</a:t>
          </a:r>
        </a:p>
      </cdr:txBody>
    </cdr:sp>
  </cdr:relSizeAnchor>
</c:userShapes>
</file>

<file path=word/drawings/drawing13.xml><?xml version="1.0" encoding="utf-8"?>
<c:userShapes xmlns:c="http://schemas.openxmlformats.org/drawingml/2006/chart">
  <cdr:relSizeAnchor xmlns:cdr="http://schemas.openxmlformats.org/drawingml/2006/chartDrawing">
    <cdr:from>
      <cdr:x>0.01118</cdr:x>
      <cdr:y>0.93393</cdr:y>
    </cdr:from>
    <cdr:to>
      <cdr:x>0.34142</cdr:x>
      <cdr:y>0.97788</cdr:y>
    </cdr:to>
    <cdr:sp macro="" textlink="">
      <cdr:nvSpPr>
        <cdr:cNvPr id="2" name="1 CuadroTexto"/>
        <cdr:cNvSpPr txBox="1"/>
      </cdr:nvSpPr>
      <cdr:spPr>
        <a:xfrm xmlns:a="http://schemas.openxmlformats.org/drawingml/2006/main">
          <a:off x="65815" y="4020842"/>
          <a:ext cx="1943959" cy="18920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ES" sz="1000" b="1"/>
            <a:t>Fuente: Ministerio de Finanzas</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0.8253</cdr:y>
    </cdr:from>
    <cdr:to>
      <cdr:x>0.53745</cdr:x>
      <cdr:y>0.91401</cdr:y>
    </cdr:to>
    <cdr:sp macro="" textlink="">
      <cdr:nvSpPr>
        <cdr:cNvPr id="2" name="1 CuadroTexto"/>
        <cdr:cNvSpPr txBox="1"/>
      </cdr:nvSpPr>
      <cdr:spPr>
        <a:xfrm xmlns:a="http://schemas.openxmlformats.org/drawingml/2006/main">
          <a:off x="0" y="2774912"/>
          <a:ext cx="3015226" cy="29828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endParaRPr lang="es-ES" sz="1000" b="1"/>
        </a:p>
        <a:p xmlns:a="http://schemas.openxmlformats.org/drawingml/2006/main">
          <a:r>
            <a:rPr lang="es-ES" sz="800" b="0">
              <a:latin typeface="Arial" pitchFamily="34" charset="0"/>
              <a:cs typeface="Arial" pitchFamily="34" charset="0"/>
            </a:rPr>
            <a:t>* con base al presupuesto aprobado</a:t>
          </a:r>
        </a:p>
        <a:p xmlns:a="http://schemas.openxmlformats.org/drawingml/2006/main">
          <a:r>
            <a:rPr lang="es-ES" sz="800" b="0">
              <a:latin typeface="Arial" pitchFamily="34" charset="0"/>
              <a:cs typeface="Arial" pitchFamily="34" charset="0"/>
            </a:rPr>
            <a:t>** proyectado</a:t>
          </a:r>
        </a:p>
        <a:p xmlns:a="http://schemas.openxmlformats.org/drawingml/2006/main">
          <a:r>
            <a:rPr lang="es-ES" sz="800" b="0">
              <a:latin typeface="Arial" pitchFamily="34" charset="0"/>
              <a:cs typeface="Arial" pitchFamily="34" charset="0"/>
            </a:rPr>
            <a:t>Fuente: Ministerio de Finanzas Públicas</a:t>
          </a: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0.89362</cdr:y>
    </cdr:from>
    <cdr:to>
      <cdr:x>0.57521</cdr:x>
      <cdr:y>1</cdr:y>
    </cdr:to>
    <cdr:sp macro="" textlink="">
      <cdr:nvSpPr>
        <cdr:cNvPr id="2" name="1 CuadroTexto"/>
        <cdr:cNvSpPr txBox="1"/>
      </cdr:nvSpPr>
      <cdr:spPr>
        <a:xfrm xmlns:a="http://schemas.openxmlformats.org/drawingml/2006/main">
          <a:off x="0" y="2868723"/>
          <a:ext cx="3228153" cy="34120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ES" sz="800" b="0"/>
            <a:t>* Presupuesto Aprobado</a:t>
          </a:r>
        </a:p>
        <a:p xmlns:a="http://schemas.openxmlformats.org/drawingml/2006/main">
          <a:r>
            <a:rPr lang="es-ES" sz="800" b="0"/>
            <a:t>Fuente: Ministerio de Finanzas Públicas. SICOIN.</a:t>
          </a:r>
        </a:p>
      </cdr:txBody>
    </cdr:sp>
  </cdr:relSizeAnchor>
</c:userShapes>
</file>

<file path=word/drawings/drawing4.xml><?xml version="1.0" encoding="utf-8"?>
<c:userShapes xmlns:c="http://schemas.openxmlformats.org/drawingml/2006/chart">
  <cdr:relSizeAnchor xmlns:cdr="http://schemas.openxmlformats.org/drawingml/2006/chartDrawing">
    <cdr:from>
      <cdr:x>0.03098</cdr:x>
      <cdr:y>0.87815</cdr:y>
    </cdr:from>
    <cdr:to>
      <cdr:x>0.5985</cdr:x>
      <cdr:y>0.99543</cdr:y>
    </cdr:to>
    <cdr:sp macro="" textlink="">
      <cdr:nvSpPr>
        <cdr:cNvPr id="2" name="1 CuadroTexto"/>
        <cdr:cNvSpPr txBox="1"/>
      </cdr:nvSpPr>
      <cdr:spPr>
        <a:xfrm xmlns:a="http://schemas.openxmlformats.org/drawingml/2006/main">
          <a:off x="202434" y="3663600"/>
          <a:ext cx="3708261" cy="48929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ES" sz="900" b="0"/>
            <a:t>*   </a:t>
          </a:r>
          <a:r>
            <a:rPr lang="es-ES" sz="900" b="0" baseline="0"/>
            <a:t> c</a:t>
          </a:r>
          <a:r>
            <a:rPr lang="es-ES" sz="900" b="0"/>
            <a:t>ifras preliminares</a:t>
          </a:r>
        </a:p>
        <a:p xmlns:a="http://schemas.openxmlformats.org/drawingml/2006/main">
          <a:r>
            <a:rPr lang="es-ES" sz="900" b="0"/>
            <a:t>** proyectado</a:t>
          </a:r>
        </a:p>
        <a:p xmlns:a="http://schemas.openxmlformats.org/drawingml/2006/main">
          <a:r>
            <a:rPr lang="es-ES" sz="900" b="0"/>
            <a:t>Fuente: Ministerio de Finanzas Públicas. SICOIN.</a:t>
          </a: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0.94229</cdr:y>
    </cdr:from>
    <cdr:to>
      <cdr:x>0.64486</cdr:x>
      <cdr:y>0.99798</cdr:y>
    </cdr:to>
    <cdr:sp macro="" textlink="">
      <cdr:nvSpPr>
        <cdr:cNvPr id="2" name="1 CuadroTexto"/>
        <cdr:cNvSpPr txBox="1"/>
      </cdr:nvSpPr>
      <cdr:spPr>
        <a:xfrm xmlns:a="http://schemas.openxmlformats.org/drawingml/2006/main">
          <a:off x="0" y="3940169"/>
          <a:ext cx="4164474" cy="23286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ES" sz="1000" b="1"/>
            <a:t>Fuente: Ministerio de Finanzas Públicas. SICOIN.</a:t>
          </a:r>
        </a:p>
      </cdr:txBody>
    </cdr:sp>
  </cdr:relSizeAnchor>
</c:userShapes>
</file>

<file path=word/drawings/drawing6.xml><?xml version="1.0" encoding="utf-8"?>
<c:userShapes xmlns:c="http://schemas.openxmlformats.org/drawingml/2006/chart">
  <cdr:relSizeAnchor xmlns:cdr="http://schemas.openxmlformats.org/drawingml/2006/chartDrawing">
    <cdr:from>
      <cdr:x>0.02716</cdr:x>
      <cdr:y>0.89334</cdr:y>
    </cdr:from>
    <cdr:to>
      <cdr:x>0.59758</cdr:x>
      <cdr:y>0.99774</cdr:y>
    </cdr:to>
    <cdr:sp macro="" textlink="">
      <cdr:nvSpPr>
        <cdr:cNvPr id="2" name="1 CuadroTexto"/>
        <cdr:cNvSpPr txBox="1"/>
      </cdr:nvSpPr>
      <cdr:spPr>
        <a:xfrm xmlns:a="http://schemas.openxmlformats.org/drawingml/2006/main">
          <a:off x="152374" y="3965230"/>
          <a:ext cx="3200184" cy="46339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ES" sz="1000" b="0"/>
            <a:t>* Presupuesto Aprobado</a:t>
          </a:r>
        </a:p>
        <a:p xmlns:a="http://schemas.openxmlformats.org/drawingml/2006/main">
          <a:r>
            <a:rPr lang="es-ES" sz="1000" b="0"/>
            <a:t>Fuente: Ministerio de Finanzas Públicas. SICOIN.</a:t>
          </a:r>
        </a:p>
      </cdr:txBody>
    </cdr:sp>
  </cdr:relSizeAnchor>
</c:userShapes>
</file>

<file path=word/drawings/drawing7.xml><?xml version="1.0" encoding="utf-8"?>
<c:userShapes xmlns:c="http://schemas.openxmlformats.org/drawingml/2006/chart">
  <cdr:relSizeAnchor xmlns:cdr="http://schemas.openxmlformats.org/drawingml/2006/chartDrawing">
    <cdr:from>
      <cdr:x>0</cdr:x>
      <cdr:y>0.94992</cdr:y>
    </cdr:from>
    <cdr:to>
      <cdr:x>0.32558</cdr:x>
      <cdr:y>1</cdr:y>
    </cdr:to>
    <cdr:sp macro="" textlink="">
      <cdr:nvSpPr>
        <cdr:cNvPr id="2" name="1 CuadroTexto"/>
        <cdr:cNvSpPr txBox="1"/>
      </cdr:nvSpPr>
      <cdr:spPr>
        <a:xfrm xmlns:a="http://schemas.openxmlformats.org/drawingml/2006/main">
          <a:off x="0" y="3990163"/>
          <a:ext cx="1826577" cy="21036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ES" sz="800" b="0"/>
            <a:t>Fuente: Ministerio de Finanzas Públicas</a:t>
          </a:r>
        </a:p>
      </cdr:txBody>
    </cdr:sp>
  </cdr:relSizeAnchor>
</c:userShapes>
</file>

<file path=word/drawings/drawing8.xml><?xml version="1.0" encoding="utf-8"?>
<c:userShapes xmlns:c="http://schemas.openxmlformats.org/drawingml/2006/chart">
  <cdr:relSizeAnchor xmlns:cdr="http://schemas.openxmlformats.org/drawingml/2006/chartDrawing">
    <cdr:from>
      <cdr:x>0</cdr:x>
      <cdr:y>0.94928</cdr:y>
    </cdr:from>
    <cdr:to>
      <cdr:x>0.45849</cdr:x>
      <cdr:y>0.9834</cdr:y>
    </cdr:to>
    <cdr:sp macro="" textlink="">
      <cdr:nvSpPr>
        <cdr:cNvPr id="2" name="1 CuadroTexto"/>
        <cdr:cNvSpPr txBox="1"/>
      </cdr:nvSpPr>
      <cdr:spPr>
        <a:xfrm xmlns:a="http://schemas.openxmlformats.org/drawingml/2006/main">
          <a:off x="0" y="4358203"/>
          <a:ext cx="2573105" cy="15664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ES" sz="800" b="0">
              <a:latin typeface="Arial" pitchFamily="34" charset="0"/>
              <a:cs typeface="Arial" pitchFamily="34" charset="0"/>
            </a:rPr>
            <a:t>Fuente: Ministerio de Finanzas Públicas</a:t>
          </a:r>
        </a:p>
      </cdr:txBody>
    </cdr:sp>
  </cdr:relSizeAnchor>
</c:userShapes>
</file>

<file path=word/drawings/drawing9.xml><?xml version="1.0" encoding="utf-8"?>
<c:userShapes xmlns:c="http://schemas.openxmlformats.org/drawingml/2006/chart">
  <cdr:relSizeAnchor xmlns:cdr="http://schemas.openxmlformats.org/drawingml/2006/chartDrawing">
    <cdr:from>
      <cdr:x>0.01151</cdr:x>
      <cdr:y>0.94222</cdr:y>
    </cdr:from>
    <cdr:to>
      <cdr:x>0.63872</cdr:x>
      <cdr:y>0.99031</cdr:y>
    </cdr:to>
    <cdr:sp macro="" textlink="">
      <cdr:nvSpPr>
        <cdr:cNvPr id="2" name="1 CuadroTexto"/>
        <cdr:cNvSpPr txBox="1"/>
      </cdr:nvSpPr>
      <cdr:spPr>
        <a:xfrm xmlns:a="http://schemas.openxmlformats.org/drawingml/2006/main">
          <a:off x="66675" y="4882207"/>
          <a:ext cx="3632299" cy="24918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s-ES" sz="1000" b="1" i="0"/>
            <a:t>Fuente: Ministerio de Finanzas Públicas</a:t>
          </a:r>
        </a:p>
      </cdr:txBody>
    </cdr:sp>
  </cdr:relSizeAnchor>
  <cdr:relSizeAnchor xmlns:cdr="http://schemas.openxmlformats.org/drawingml/2006/chartDrawing">
    <cdr:from>
      <cdr:x>0.08059</cdr:x>
      <cdr:y>0.13603</cdr:y>
    </cdr:from>
    <cdr:to>
      <cdr:x>0.33356</cdr:x>
      <cdr:y>0.20404</cdr:y>
    </cdr:to>
    <cdr:sp macro="" textlink="">
      <cdr:nvSpPr>
        <cdr:cNvPr id="3" name="2 CuadroTexto"/>
        <cdr:cNvSpPr txBox="1"/>
      </cdr:nvSpPr>
      <cdr:spPr>
        <a:xfrm xmlns:a="http://schemas.openxmlformats.org/drawingml/2006/main">
          <a:off x="466725" y="704862"/>
          <a:ext cx="1465000" cy="352401"/>
        </a:xfrm>
        <a:prstGeom xmlns:a="http://schemas.openxmlformats.org/drawingml/2006/main" prst="rect">
          <a:avLst/>
        </a:prstGeom>
        <a:noFill xmlns:a="http://schemas.openxmlformats.org/drawingml/2006/main"/>
        <a:ln xmlns:a="http://schemas.openxmlformats.org/drawingml/2006/main">
          <a:solidFill>
            <a:schemeClr val="bg1"/>
          </a:solidFill>
        </a:ln>
        <a:effectLst xmlns:a="http://schemas.openxmlformats.org/drawingml/2006/main"/>
      </cdr:spPr>
      <cdr:style>
        <a:lnRef xmlns:a="http://schemas.openxmlformats.org/drawingml/2006/main" idx="1">
          <a:schemeClr val="accent3"/>
        </a:lnRef>
        <a:fillRef xmlns:a="http://schemas.openxmlformats.org/drawingml/2006/main" idx="2">
          <a:schemeClr val="accent3"/>
        </a:fillRef>
        <a:effectRef xmlns:a="http://schemas.openxmlformats.org/drawingml/2006/main" idx="1">
          <a:schemeClr val="accent3"/>
        </a:effectRef>
        <a:fontRef xmlns:a="http://schemas.openxmlformats.org/drawingml/2006/main" idx="minor">
          <a:schemeClr val="dk1"/>
        </a:fontRef>
      </cdr:style>
      <cdr:txBody>
        <a:bodyPr xmlns:a="http://schemas.openxmlformats.org/drawingml/2006/main" vertOverflow="clip" wrap="square" rtlCol="0"/>
        <a:lstStyle xmlns:a="http://schemas.openxmlformats.org/drawingml/2006/main"/>
        <a:p xmlns:a="http://schemas.openxmlformats.org/drawingml/2006/main">
          <a:r>
            <a:rPr lang="es-ES" sz="1100" b="1"/>
            <a:t>Total: Q.87,715.1 m</a:t>
          </a:r>
          <a:r>
            <a:rPr lang="es-ES" sz="1100"/>
            <a:t>.</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El Presupuesto General de Ingresos y Egresos del Estado para el Ejercicio Fiscal 2019 fue aprobado por el Congreso de la República de Guatemala, mediante Decreto No. 25-2018, y su publicación se realizó en el Diario de Centro América el 27 de diciembre de 2018.</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A4BC65C-3072-412E-B7CA-4D775EE46B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56</Pages>
  <Words>9477</Words>
  <Characters>52125</Characters>
  <Application>Microsoft Office Word</Application>
  <DocSecurity>0</DocSecurity>
  <Lines>434</Lines>
  <Paragraphs>122</Paragraphs>
  <ScaleCrop>false</ScaleCrop>
  <HeadingPairs>
    <vt:vector size="2" baseType="variant">
      <vt:variant>
        <vt:lpstr>Título</vt:lpstr>
      </vt:variant>
      <vt:variant>
        <vt:i4>1</vt:i4>
      </vt:variant>
    </vt:vector>
  </HeadingPairs>
  <TitlesOfParts>
    <vt:vector size="1" baseType="lpstr">
      <vt:lpstr>Presupuesto Ciudadano</vt:lpstr>
    </vt:vector>
  </TitlesOfParts>
  <Company>Microsoft</Company>
  <LinksUpToDate>false</LinksUpToDate>
  <CharactersWithSpaces>61480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Presupuesto Ciudadano</dc:title>
  <dc:creator>transpfis08</dc:creator>
  <cp:lastModifiedBy>José Antonio Menéndez Letona</cp:lastModifiedBy>
  <cp:revision>20</cp:revision>
  <cp:lastPrinted>2019-02-27T23:24:00Z</cp:lastPrinted>
  <dcterms:created xsi:type="dcterms:W3CDTF">2019-02-27T23:04:00Z</dcterms:created>
  <dcterms:modified xsi:type="dcterms:W3CDTF">2019-03-01T16:59:00Z</dcterms:modified>
</cp:coreProperties>
</file>