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89" w:rsidRDefault="00AC3B89" w:rsidP="00AC3B89">
      <w:pPr>
        <w:jc w:val="center"/>
        <w:rPr>
          <w:rFonts w:ascii="Arial" w:hAnsi="Arial" w:cs="Arial"/>
          <w:b/>
        </w:rPr>
      </w:pPr>
    </w:p>
    <w:p w:rsidR="00547616" w:rsidRDefault="00547616" w:rsidP="00AC3B89">
      <w:pPr>
        <w:jc w:val="center"/>
        <w:rPr>
          <w:rFonts w:ascii="Arial" w:hAnsi="Arial" w:cs="Arial"/>
          <w:b/>
        </w:rPr>
      </w:pPr>
    </w:p>
    <w:p w:rsidR="00547616" w:rsidRPr="002D27CF" w:rsidRDefault="00547616" w:rsidP="00AC3B89">
      <w:pPr>
        <w:jc w:val="center"/>
        <w:rPr>
          <w:rFonts w:ascii="Arial" w:hAnsi="Arial" w:cs="Arial"/>
          <w:b/>
        </w:rPr>
      </w:pPr>
    </w:p>
    <w:p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:rsidR="00AC3B89" w:rsidRPr="002D27CF" w:rsidRDefault="00AC3B89" w:rsidP="00D74BA4">
      <w:pPr>
        <w:rPr>
          <w:rFonts w:ascii="Arial" w:hAnsi="Arial" w:cs="Arial"/>
          <w:b/>
        </w:rPr>
      </w:pPr>
    </w:p>
    <w:p w:rsidR="00AC3B89" w:rsidRPr="002D27CF" w:rsidRDefault="00AC3B89" w:rsidP="006B287F">
      <w:pPr>
        <w:rPr>
          <w:rFonts w:ascii="Arial" w:hAnsi="Arial" w:cs="Arial"/>
          <w:b/>
        </w:rPr>
      </w:pPr>
    </w:p>
    <w:p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:rsidR="00AC3B89" w:rsidRPr="002D27CF" w:rsidRDefault="001F0B0A" w:rsidP="00AC3B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48"/>
          <w:lang w:val="es-ES" w:eastAsia="es-ES"/>
        </w:rPr>
        <mc:AlternateContent>
          <mc:Choice Requires="wps">
            <w:drawing>
              <wp:inline distT="0" distB="0" distL="0" distR="0">
                <wp:extent cx="5791200" cy="1171575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91200" cy="1171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448B" w:rsidRDefault="000D448B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Informe de Ejecución Presupuestaria</w:t>
                            </w:r>
                          </w:p>
                          <w:p w:rsidR="000D448B" w:rsidRPr="001D7566" w:rsidRDefault="000D448B" w:rsidP="001D75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 30 de abril de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0D448B" w:rsidRDefault="000D448B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Informe de Ejecución Presupuestaria</w:t>
                      </w:r>
                    </w:p>
                    <w:p w:rsidR="000D448B" w:rsidRPr="001D7566" w:rsidRDefault="000D448B" w:rsidP="001D75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 30 de abril de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:rsidR="00AC3B89" w:rsidRDefault="00AC3B89" w:rsidP="00AC3B89">
      <w:pPr>
        <w:jc w:val="center"/>
        <w:rPr>
          <w:rFonts w:ascii="Arial" w:hAnsi="Arial" w:cs="Arial"/>
          <w:b/>
        </w:rPr>
      </w:pPr>
    </w:p>
    <w:p w:rsidR="004F58BB" w:rsidRDefault="004F58BB" w:rsidP="00AC3B89">
      <w:pPr>
        <w:jc w:val="center"/>
        <w:rPr>
          <w:rFonts w:ascii="Arial" w:hAnsi="Arial" w:cs="Arial"/>
          <w:b/>
        </w:rPr>
      </w:pPr>
    </w:p>
    <w:p w:rsidR="004F58BB" w:rsidRDefault="004F58BB" w:rsidP="00AC3B89">
      <w:pPr>
        <w:jc w:val="center"/>
        <w:rPr>
          <w:rFonts w:ascii="Arial" w:hAnsi="Arial" w:cs="Arial"/>
          <w:b/>
        </w:rPr>
      </w:pPr>
    </w:p>
    <w:p w:rsidR="004F58BB" w:rsidRDefault="004F58BB" w:rsidP="00AC3B89">
      <w:pPr>
        <w:jc w:val="center"/>
        <w:rPr>
          <w:rFonts w:ascii="Arial" w:hAnsi="Arial" w:cs="Arial"/>
          <w:b/>
        </w:rPr>
      </w:pPr>
    </w:p>
    <w:p w:rsidR="004F58BB" w:rsidRDefault="004F58BB" w:rsidP="00AC3B89">
      <w:pPr>
        <w:jc w:val="center"/>
        <w:rPr>
          <w:rFonts w:ascii="Arial" w:hAnsi="Arial" w:cs="Arial"/>
          <w:b/>
        </w:rPr>
      </w:pPr>
    </w:p>
    <w:p w:rsidR="004F58BB" w:rsidRDefault="004F58BB" w:rsidP="00AC3B89">
      <w:pPr>
        <w:jc w:val="center"/>
        <w:rPr>
          <w:rFonts w:ascii="Arial" w:hAnsi="Arial" w:cs="Arial"/>
          <w:b/>
        </w:rPr>
      </w:pPr>
    </w:p>
    <w:p w:rsidR="004F58BB" w:rsidRDefault="004F58BB" w:rsidP="00AC3B89">
      <w:pPr>
        <w:jc w:val="center"/>
        <w:rPr>
          <w:rFonts w:ascii="Arial" w:hAnsi="Arial" w:cs="Arial"/>
          <w:b/>
        </w:rPr>
      </w:pPr>
    </w:p>
    <w:p w:rsidR="004F58BB" w:rsidRDefault="004F58BB" w:rsidP="00AC3B89">
      <w:pPr>
        <w:jc w:val="center"/>
        <w:rPr>
          <w:rFonts w:ascii="Arial" w:hAnsi="Arial" w:cs="Arial"/>
          <w:b/>
        </w:rPr>
      </w:pPr>
    </w:p>
    <w:p w:rsidR="004F58BB" w:rsidRDefault="004F58BB" w:rsidP="00AC3B89">
      <w:pPr>
        <w:jc w:val="center"/>
        <w:rPr>
          <w:rFonts w:ascii="Arial" w:hAnsi="Arial" w:cs="Arial"/>
          <w:b/>
        </w:rPr>
      </w:pPr>
    </w:p>
    <w:p w:rsidR="004F58BB" w:rsidRDefault="004F58BB" w:rsidP="00AC3B89">
      <w:pPr>
        <w:jc w:val="center"/>
        <w:rPr>
          <w:rFonts w:ascii="Arial" w:hAnsi="Arial" w:cs="Arial"/>
          <w:b/>
        </w:rPr>
      </w:pPr>
    </w:p>
    <w:p w:rsidR="004F58BB" w:rsidRDefault="004F58BB" w:rsidP="00AC3B89">
      <w:pPr>
        <w:jc w:val="center"/>
        <w:rPr>
          <w:rFonts w:ascii="Arial" w:hAnsi="Arial" w:cs="Arial"/>
          <w:b/>
        </w:rPr>
      </w:pPr>
    </w:p>
    <w:p w:rsidR="004F58BB" w:rsidRPr="002D27CF" w:rsidRDefault="004F58BB" w:rsidP="00AC3B89">
      <w:pPr>
        <w:jc w:val="center"/>
        <w:rPr>
          <w:rFonts w:ascii="Arial" w:hAnsi="Arial" w:cs="Arial"/>
          <w:b/>
        </w:rPr>
      </w:pPr>
    </w:p>
    <w:p w:rsidR="00AC3B89" w:rsidRPr="002D27CF" w:rsidRDefault="001F0B0A" w:rsidP="00AC3B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48"/>
          <w:lang w:val="es-ES" w:eastAsia="es-ES"/>
        </w:rPr>
        <mc:AlternateContent>
          <mc:Choice Requires="wps">
            <w:drawing>
              <wp:inline distT="0" distB="0" distL="0" distR="0">
                <wp:extent cx="6248400" cy="666750"/>
                <wp:effectExtent l="9525" t="9525" r="0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48400" cy="666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448B" w:rsidRDefault="000D448B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FEDERACIÓN NACIONAL DE FÚTBOL DE </w:t>
                            </w:r>
                          </w:p>
                          <w:p w:rsidR="000D448B" w:rsidRDefault="000D448B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GUATEMALA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92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0D448B" w:rsidRDefault="000D448B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FEDERACIÓN NACIONAL DE FÚTBOL DE </w:t>
                      </w:r>
                    </w:p>
                    <w:p w:rsidR="000D448B" w:rsidRDefault="000D448B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GUATEMALA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:rsidR="006B287F" w:rsidRDefault="006B287F" w:rsidP="00AC3B89">
      <w:pPr>
        <w:jc w:val="center"/>
        <w:rPr>
          <w:rFonts w:ascii="Arial" w:hAnsi="Arial" w:cs="Arial"/>
          <w:b/>
        </w:rPr>
      </w:pPr>
    </w:p>
    <w:p w:rsidR="006B287F" w:rsidRPr="002D27CF" w:rsidRDefault="006B287F" w:rsidP="00AC3B89">
      <w:pPr>
        <w:jc w:val="center"/>
        <w:rPr>
          <w:rFonts w:ascii="Arial" w:hAnsi="Arial" w:cs="Arial"/>
          <w:b/>
        </w:rPr>
      </w:pPr>
    </w:p>
    <w:p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:rsidR="00AC3B89" w:rsidRDefault="001F0B0A" w:rsidP="00AC3B89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inline distT="0" distB="0" distL="0" distR="0">
                <wp:extent cx="2066925" cy="219075"/>
                <wp:effectExtent l="9525" t="9525" r="0" b="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6925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448B" w:rsidRDefault="000D448B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40"/>
                                <w:szCs w:val="40"/>
                              </w:rPr>
                              <w:t>Dirección Financiera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16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" filled="f" stroked="f">
                <v:stroke joinstyle="round"/>
                <o:lock v:ext="edit" shapetype="t"/>
                <v:textbox style="mso-fit-shape-to-text:t">
                  <w:txbxContent>
                    <w:p w:rsidR="000D448B" w:rsidRDefault="000D448B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40"/>
                          <w:szCs w:val="40"/>
                        </w:rPr>
                        <w:t>Dirección Financiera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0B99" w:rsidRDefault="00350B99" w:rsidP="00AC3B89">
      <w:pPr>
        <w:jc w:val="center"/>
        <w:rPr>
          <w:rFonts w:ascii="Arial" w:hAnsi="Arial" w:cs="Arial"/>
          <w:noProof/>
          <w:sz w:val="32"/>
          <w:szCs w:val="32"/>
        </w:rPr>
      </w:pPr>
    </w:p>
    <w:p w:rsidR="004F66A9" w:rsidRDefault="004F66A9" w:rsidP="00AC3B89">
      <w:pPr>
        <w:jc w:val="center"/>
        <w:rPr>
          <w:rFonts w:ascii="Arial" w:hAnsi="Arial" w:cs="Arial"/>
          <w:noProof/>
          <w:sz w:val="32"/>
          <w:szCs w:val="32"/>
        </w:rPr>
      </w:pPr>
    </w:p>
    <w:p w:rsidR="00DC1985" w:rsidRDefault="00DC1985" w:rsidP="00FC020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4F58BB" w:rsidRDefault="004F58BB" w:rsidP="00FC020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4F58BB" w:rsidRDefault="004F58BB" w:rsidP="00FC020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4F58BB" w:rsidRDefault="004F58BB" w:rsidP="00FC020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4F58BB" w:rsidRDefault="004F58BB" w:rsidP="00FC020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547616" w:rsidRDefault="00547616" w:rsidP="00547616">
      <w:pPr>
        <w:tabs>
          <w:tab w:val="left" w:pos="4395"/>
        </w:tabs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4F58BB" w:rsidRDefault="004F58BB" w:rsidP="00FC020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C020B" w:rsidRPr="002D27CF" w:rsidRDefault="00AC3B89" w:rsidP="00FC020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lastRenderedPageBreak/>
        <w:t>INFORME DE EJECUCIÓN PRESUPUESTARIA</w:t>
      </w:r>
    </w:p>
    <w:p w:rsidR="00AC3B89" w:rsidRPr="002D27CF" w:rsidRDefault="00B13F11" w:rsidP="00FC020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  AL </w:t>
      </w:r>
      <w:r w:rsidR="00ED287E">
        <w:rPr>
          <w:rFonts w:ascii="Arial" w:hAnsi="Arial" w:cs="Arial"/>
          <w:b/>
          <w:lang w:val="es-MX"/>
        </w:rPr>
        <w:t>30</w:t>
      </w:r>
      <w:r w:rsidR="008359AF">
        <w:rPr>
          <w:rFonts w:ascii="Arial" w:hAnsi="Arial" w:cs="Arial"/>
          <w:b/>
          <w:lang w:val="es-MX"/>
        </w:rPr>
        <w:t xml:space="preserve"> </w:t>
      </w:r>
      <w:r w:rsidR="000F4CCC">
        <w:rPr>
          <w:rFonts w:ascii="Arial" w:hAnsi="Arial" w:cs="Arial"/>
          <w:b/>
          <w:lang w:val="es-MX"/>
        </w:rPr>
        <w:t xml:space="preserve">DE </w:t>
      </w:r>
      <w:r w:rsidR="00ED287E">
        <w:rPr>
          <w:rFonts w:ascii="Arial" w:hAnsi="Arial" w:cs="Arial"/>
          <w:b/>
          <w:lang w:val="es-MX"/>
        </w:rPr>
        <w:t xml:space="preserve">ABRIL </w:t>
      </w:r>
      <w:r w:rsidR="00AC3B89" w:rsidRPr="002D27CF">
        <w:rPr>
          <w:rFonts w:ascii="Arial" w:hAnsi="Arial" w:cs="Arial"/>
          <w:b/>
          <w:lang w:val="es-MX"/>
        </w:rPr>
        <w:t xml:space="preserve">DEL EJERCICIO FISCAL </w:t>
      </w:r>
      <w:r w:rsidR="0037521D">
        <w:rPr>
          <w:rFonts w:ascii="Arial" w:hAnsi="Arial" w:cs="Arial"/>
          <w:b/>
          <w:lang w:val="es-MX"/>
        </w:rPr>
        <w:t>201</w:t>
      </w:r>
      <w:r w:rsidR="001D7566">
        <w:rPr>
          <w:rFonts w:ascii="Arial" w:hAnsi="Arial" w:cs="Arial"/>
          <w:b/>
          <w:lang w:val="es-MX"/>
        </w:rPr>
        <w:t>8</w:t>
      </w:r>
    </w:p>
    <w:p w:rsidR="00AC3B89" w:rsidRDefault="00E02CC0" w:rsidP="00FC020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FEDERACIÓN NACIONAL DE FÚTBOL DE GUATEMALA</w:t>
      </w:r>
    </w:p>
    <w:p w:rsidR="002C35C7" w:rsidRPr="002D27CF" w:rsidRDefault="002C35C7" w:rsidP="00FC020B">
      <w:pPr>
        <w:spacing w:line="240" w:lineRule="auto"/>
        <w:jc w:val="center"/>
        <w:rPr>
          <w:rFonts w:ascii="Arial" w:hAnsi="Arial" w:cs="Arial"/>
          <w:b/>
        </w:rPr>
      </w:pPr>
    </w:p>
    <w:p w:rsidR="002D27CF" w:rsidRPr="00F756D3" w:rsidRDefault="00F756D3" w:rsidP="00372339">
      <w:pPr>
        <w:pStyle w:val="Textoindependiente"/>
        <w:spacing w:line="360" w:lineRule="auto"/>
        <w:jc w:val="both"/>
        <w:rPr>
          <w:rFonts w:eastAsia="Calibri" w:cs="Arial"/>
          <w:sz w:val="22"/>
          <w:szCs w:val="22"/>
          <w:lang w:val="es-MX" w:eastAsia="en-US"/>
        </w:rPr>
      </w:pPr>
      <w:r w:rsidRPr="00F756D3">
        <w:rPr>
          <w:rFonts w:eastAsia="Calibri" w:cs="Arial"/>
          <w:sz w:val="22"/>
          <w:szCs w:val="22"/>
          <w:lang w:val="es-MX" w:eastAsia="en-US"/>
        </w:rPr>
        <w:t>El uso de las as</w:t>
      </w:r>
      <w:r w:rsidR="00283B7D">
        <w:rPr>
          <w:rFonts w:eastAsia="Calibri" w:cs="Arial"/>
          <w:sz w:val="22"/>
          <w:szCs w:val="22"/>
          <w:lang w:val="es-MX" w:eastAsia="en-US"/>
        </w:rPr>
        <w:t>ignaciones presupuestarias está</w:t>
      </w:r>
      <w:r w:rsidRPr="00F756D3">
        <w:rPr>
          <w:rFonts w:eastAsia="Calibri" w:cs="Arial"/>
          <w:sz w:val="22"/>
          <w:szCs w:val="22"/>
          <w:lang w:val="es-MX" w:eastAsia="en-US"/>
        </w:rPr>
        <w:t xml:space="preserve"> enfocad</w:t>
      </w:r>
      <w:r w:rsidR="00682757">
        <w:rPr>
          <w:rFonts w:eastAsia="Calibri" w:cs="Arial"/>
          <w:sz w:val="22"/>
          <w:szCs w:val="22"/>
          <w:lang w:val="es-MX" w:eastAsia="en-US"/>
        </w:rPr>
        <w:t>o</w:t>
      </w:r>
      <w:r w:rsidRPr="00F756D3">
        <w:rPr>
          <w:rFonts w:eastAsia="Calibri" w:cs="Arial"/>
          <w:sz w:val="22"/>
          <w:szCs w:val="22"/>
          <w:lang w:val="es-MX" w:eastAsia="en-US"/>
        </w:rPr>
        <w:t xml:space="preserve"> a desarrollar y promover el deporte del Fútbol en cualquiera de sus formas en todo el territorio de Guatemala, así como incentivar la práctica de este deporte a escala nacional y con ello fomentar cada vez más el deporte en Guatemala</w:t>
      </w:r>
      <w:r w:rsidR="00682757">
        <w:rPr>
          <w:rFonts w:eastAsia="Calibri" w:cs="Arial"/>
          <w:sz w:val="22"/>
          <w:szCs w:val="22"/>
          <w:lang w:val="es-MX" w:eastAsia="en-US"/>
        </w:rPr>
        <w:t>, cumpliendo con las normativas aplicables</w:t>
      </w:r>
      <w:r w:rsidR="002D27CF" w:rsidRPr="00F756D3">
        <w:rPr>
          <w:rFonts w:eastAsia="Calibri" w:cs="Arial"/>
          <w:sz w:val="22"/>
          <w:szCs w:val="22"/>
          <w:lang w:val="es-MX" w:eastAsia="en-US"/>
        </w:rPr>
        <w:t>.</w:t>
      </w:r>
    </w:p>
    <w:p w:rsidR="00F756D3" w:rsidRDefault="00F756D3" w:rsidP="0037233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66639F" w:rsidRDefault="008602E9" w:rsidP="00372339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La </w:t>
      </w:r>
      <w:r w:rsidR="00692B8C">
        <w:rPr>
          <w:rFonts w:ascii="Arial" w:hAnsi="Arial" w:cs="Arial"/>
          <w:lang w:val="es-MX"/>
        </w:rPr>
        <w:t>Federación Nacional de Fútbol</w:t>
      </w:r>
      <w:r w:rsidR="000243EC">
        <w:rPr>
          <w:rFonts w:ascii="Arial" w:hAnsi="Arial" w:cs="Arial"/>
          <w:lang w:val="es-MX"/>
        </w:rPr>
        <w:t xml:space="preserve"> de Guatemala</w:t>
      </w:r>
      <w:r w:rsidR="006B287F">
        <w:rPr>
          <w:rFonts w:ascii="Arial" w:hAnsi="Arial" w:cs="Arial"/>
          <w:lang w:val="es-MX"/>
        </w:rPr>
        <w:t xml:space="preserve"> </w:t>
      </w:r>
      <w:r w:rsidR="00FC2844">
        <w:rPr>
          <w:rFonts w:ascii="Arial" w:hAnsi="Arial" w:cs="Arial"/>
          <w:lang w:val="es-MX"/>
        </w:rPr>
        <w:t>posee</w:t>
      </w:r>
      <w:r w:rsidR="004D56AC">
        <w:rPr>
          <w:rFonts w:ascii="Arial" w:hAnsi="Arial" w:cs="Arial"/>
          <w:lang w:val="es-MX"/>
        </w:rPr>
        <w:t xml:space="preserve"> un</w:t>
      </w:r>
      <w:r>
        <w:rPr>
          <w:rFonts w:ascii="Arial" w:hAnsi="Arial" w:cs="Arial"/>
          <w:lang w:val="es-MX"/>
        </w:rPr>
        <w:t xml:space="preserve">a asignación presupuestaria </w:t>
      </w:r>
      <w:r w:rsidR="006B287F">
        <w:rPr>
          <w:rFonts w:ascii="Arial" w:hAnsi="Arial" w:cs="Arial"/>
          <w:lang w:val="es-MX"/>
        </w:rPr>
        <w:t>que</w:t>
      </w:r>
      <w:r w:rsidR="004D56AC">
        <w:rPr>
          <w:rFonts w:ascii="Arial" w:hAnsi="Arial" w:cs="Arial"/>
          <w:lang w:val="es-MX"/>
        </w:rPr>
        <w:t xml:space="preserve"> asc</w:t>
      </w:r>
      <w:r w:rsidR="00CC692D">
        <w:rPr>
          <w:rFonts w:ascii="Arial" w:hAnsi="Arial" w:cs="Arial"/>
          <w:lang w:val="es-MX"/>
        </w:rPr>
        <w:t>i</w:t>
      </w:r>
      <w:r w:rsidR="004D56AC">
        <w:rPr>
          <w:rFonts w:ascii="Arial" w:hAnsi="Arial" w:cs="Arial"/>
          <w:lang w:val="es-MX"/>
        </w:rPr>
        <w:t>end</w:t>
      </w:r>
      <w:r w:rsidR="00CC692D">
        <w:rPr>
          <w:rFonts w:ascii="Arial" w:hAnsi="Arial" w:cs="Arial"/>
          <w:lang w:val="es-MX"/>
        </w:rPr>
        <w:t>e</w:t>
      </w:r>
      <w:r w:rsidR="004D56AC">
        <w:rPr>
          <w:rFonts w:ascii="Arial" w:hAnsi="Arial" w:cs="Arial"/>
          <w:lang w:val="es-MX"/>
        </w:rPr>
        <w:t xml:space="preserve"> a la cantidad </w:t>
      </w:r>
      <w:r w:rsidR="004D56AC" w:rsidRPr="00723DD9">
        <w:rPr>
          <w:rFonts w:ascii="Arial" w:hAnsi="Arial" w:cs="Arial"/>
          <w:lang w:val="es-MX"/>
        </w:rPr>
        <w:t>de</w:t>
      </w:r>
      <w:r w:rsidR="00692B8C">
        <w:rPr>
          <w:rFonts w:ascii="Arial" w:hAnsi="Arial" w:cs="Arial"/>
          <w:lang w:val="es-MX"/>
        </w:rPr>
        <w:t xml:space="preserve"> </w:t>
      </w:r>
      <w:r w:rsidR="004B2FCB" w:rsidRPr="00723DD9">
        <w:rPr>
          <w:rFonts w:ascii="Arial" w:hAnsi="Arial" w:cs="Arial"/>
          <w:b/>
          <w:lang w:val="es-MX"/>
        </w:rPr>
        <w:t>Q</w:t>
      </w:r>
      <w:r w:rsidR="007D3C38" w:rsidRPr="00723DD9">
        <w:rPr>
          <w:rFonts w:ascii="Arial" w:hAnsi="Arial" w:cs="Arial"/>
          <w:b/>
          <w:lang w:val="es-MX"/>
        </w:rPr>
        <w:t>.</w:t>
      </w:r>
      <w:r w:rsidR="00E27F84">
        <w:rPr>
          <w:rFonts w:ascii="Arial" w:hAnsi="Arial" w:cs="Arial"/>
          <w:b/>
          <w:lang w:val="es-MX"/>
        </w:rPr>
        <w:t>16</w:t>
      </w:r>
      <w:r w:rsidR="00692B8C">
        <w:rPr>
          <w:rFonts w:ascii="Arial" w:hAnsi="Arial" w:cs="Arial"/>
          <w:b/>
          <w:lang w:val="es-MX"/>
        </w:rPr>
        <w:t>,</w:t>
      </w:r>
      <w:r w:rsidR="00E27F84">
        <w:rPr>
          <w:rFonts w:ascii="Arial" w:hAnsi="Arial" w:cs="Arial"/>
          <w:b/>
          <w:lang w:val="es-MX"/>
        </w:rPr>
        <w:t>116</w:t>
      </w:r>
      <w:r w:rsidR="00692B8C">
        <w:rPr>
          <w:rFonts w:ascii="Arial" w:hAnsi="Arial" w:cs="Arial"/>
          <w:b/>
          <w:lang w:val="es-MX"/>
        </w:rPr>
        <w:t>,</w:t>
      </w:r>
      <w:r w:rsidR="00E27F84">
        <w:rPr>
          <w:rFonts w:ascii="Arial" w:hAnsi="Arial" w:cs="Arial"/>
          <w:b/>
          <w:lang w:val="es-MX"/>
        </w:rPr>
        <w:t>321</w:t>
      </w:r>
      <w:r w:rsidR="00692B8C">
        <w:rPr>
          <w:rFonts w:ascii="Arial" w:hAnsi="Arial" w:cs="Arial"/>
          <w:b/>
          <w:lang w:val="es-MX"/>
        </w:rPr>
        <w:t>.00</w:t>
      </w:r>
      <w:r w:rsidR="006B287F" w:rsidRPr="00723DD9">
        <w:rPr>
          <w:rFonts w:ascii="Arial" w:hAnsi="Arial" w:cs="Arial"/>
          <w:lang w:val="es-MX"/>
        </w:rPr>
        <w:t>;</w:t>
      </w:r>
      <w:r w:rsidR="004D56AC" w:rsidRPr="00723DD9">
        <w:rPr>
          <w:rFonts w:ascii="Arial" w:hAnsi="Arial" w:cs="Arial"/>
          <w:lang w:val="es-MX"/>
        </w:rPr>
        <w:t xml:space="preserve"> </w:t>
      </w:r>
      <w:r w:rsidR="00ED287E">
        <w:rPr>
          <w:rFonts w:ascii="Arial" w:hAnsi="Arial" w:cs="Arial"/>
          <w:lang w:val="es-MX"/>
        </w:rPr>
        <w:t>al 30</w:t>
      </w:r>
      <w:r w:rsidR="00E27F84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de </w:t>
      </w:r>
      <w:r w:rsidR="00ED287E">
        <w:rPr>
          <w:rFonts w:ascii="Arial" w:hAnsi="Arial" w:cs="Arial"/>
          <w:lang w:val="es-MX"/>
        </w:rPr>
        <w:t xml:space="preserve">abril </w:t>
      </w:r>
      <w:r>
        <w:rPr>
          <w:rFonts w:ascii="Arial" w:hAnsi="Arial" w:cs="Arial"/>
          <w:lang w:val="es-MX"/>
        </w:rPr>
        <w:t xml:space="preserve">existe una ejecución financiera y presupuestaria </w:t>
      </w:r>
      <w:r w:rsidR="004B2FCB" w:rsidRPr="00723DD9">
        <w:rPr>
          <w:rFonts w:ascii="Arial" w:hAnsi="Arial" w:cs="Arial"/>
          <w:lang w:val="es-MX"/>
        </w:rPr>
        <w:t xml:space="preserve">de </w:t>
      </w:r>
      <w:r w:rsidR="004B2FCB" w:rsidRPr="00723DD9">
        <w:rPr>
          <w:rFonts w:ascii="Arial" w:hAnsi="Arial" w:cs="Arial"/>
          <w:b/>
          <w:lang w:val="es-MX"/>
        </w:rPr>
        <w:t>Q</w:t>
      </w:r>
      <w:r w:rsidR="009C1A0F" w:rsidRPr="00723DD9">
        <w:rPr>
          <w:rFonts w:ascii="Arial" w:hAnsi="Arial" w:cs="Arial"/>
          <w:b/>
          <w:lang w:val="es-MX"/>
        </w:rPr>
        <w:t>.</w:t>
      </w:r>
      <w:r w:rsidR="00ED287E">
        <w:rPr>
          <w:rFonts w:ascii="Arial" w:hAnsi="Arial" w:cs="Arial"/>
          <w:b/>
          <w:lang w:val="es-MX"/>
        </w:rPr>
        <w:t>3,728,212.10</w:t>
      </w:r>
      <w:r w:rsidR="00E27F84">
        <w:rPr>
          <w:rFonts w:ascii="Arial" w:hAnsi="Arial" w:cs="Arial"/>
          <w:lang w:val="es-MX"/>
        </w:rPr>
        <w:t xml:space="preserve">, </w:t>
      </w:r>
      <w:r w:rsidR="00692B8C">
        <w:rPr>
          <w:rFonts w:ascii="Arial" w:hAnsi="Arial" w:cs="Arial"/>
          <w:lang w:val="es-MX"/>
        </w:rPr>
        <w:t>lo que</w:t>
      </w:r>
      <w:r w:rsidR="004B2FCB" w:rsidRPr="00723DD9">
        <w:rPr>
          <w:rFonts w:ascii="Arial" w:hAnsi="Arial" w:cs="Arial"/>
          <w:lang w:val="es-MX"/>
        </w:rPr>
        <w:t xml:space="preserve"> representa </w:t>
      </w:r>
      <w:r w:rsidR="00ED287E">
        <w:rPr>
          <w:rFonts w:ascii="Arial" w:hAnsi="Arial" w:cs="Arial"/>
          <w:lang w:val="es-MX"/>
        </w:rPr>
        <w:t xml:space="preserve">un </w:t>
      </w:r>
      <w:r w:rsidR="00ED287E">
        <w:rPr>
          <w:rFonts w:ascii="Arial" w:hAnsi="Arial" w:cs="Arial"/>
          <w:b/>
          <w:lang w:val="es-MX"/>
        </w:rPr>
        <w:t>23.13</w:t>
      </w:r>
      <w:r w:rsidR="004B2FCB" w:rsidRPr="00723DD9">
        <w:rPr>
          <w:rFonts w:ascii="Arial" w:hAnsi="Arial" w:cs="Arial"/>
          <w:b/>
          <w:lang w:val="es-MX"/>
        </w:rPr>
        <w:t>%</w:t>
      </w:r>
      <w:r>
        <w:rPr>
          <w:rFonts w:ascii="Arial" w:hAnsi="Arial" w:cs="Arial"/>
          <w:lang w:val="es-MX"/>
        </w:rPr>
        <w:t xml:space="preserve"> del presupuesto vigente</w:t>
      </w:r>
      <w:r w:rsidR="00761DDB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representado </w:t>
      </w:r>
      <w:r w:rsidR="00761DDB">
        <w:rPr>
          <w:rFonts w:ascii="Arial" w:hAnsi="Arial" w:cs="Arial"/>
          <w:lang w:val="es-MX"/>
        </w:rPr>
        <w:t>en la siguiente gráfica</w:t>
      </w:r>
      <w:r>
        <w:rPr>
          <w:rFonts w:ascii="Arial" w:hAnsi="Arial" w:cs="Arial"/>
          <w:b/>
          <w:lang w:val="es-MX"/>
        </w:rPr>
        <w:t>;</w:t>
      </w:r>
    </w:p>
    <w:p w:rsidR="00372339" w:rsidRDefault="00372339" w:rsidP="00372339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372339" w:rsidRDefault="00372339" w:rsidP="007512F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7512F3" w:rsidRPr="002D27CF" w:rsidRDefault="0034144E" w:rsidP="007512F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Gráfica No.</w:t>
      </w:r>
      <w:r w:rsidR="007512F3" w:rsidRPr="002D27CF">
        <w:rPr>
          <w:rFonts w:ascii="Arial" w:hAnsi="Arial" w:cs="Arial"/>
          <w:b/>
          <w:lang w:val="es-MX"/>
        </w:rPr>
        <w:t>1</w:t>
      </w:r>
    </w:p>
    <w:p w:rsidR="007512F3" w:rsidRPr="002D27CF" w:rsidRDefault="0034144E" w:rsidP="007512F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Ejecución Presupuestaria</w:t>
      </w:r>
      <w:r w:rsidR="007512F3" w:rsidRPr="002D27CF">
        <w:rPr>
          <w:rFonts w:ascii="Arial" w:hAnsi="Arial" w:cs="Arial"/>
          <w:b/>
          <w:lang w:val="es-MX"/>
        </w:rPr>
        <w:t xml:space="preserve"> Acumulada  </w:t>
      </w:r>
    </w:p>
    <w:p w:rsidR="00ED287E" w:rsidRDefault="00FE3736" w:rsidP="00ED28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Al</w:t>
      </w:r>
      <w:r w:rsidR="00B22F7A">
        <w:rPr>
          <w:rFonts w:ascii="Arial" w:hAnsi="Arial" w:cs="Arial"/>
          <w:b/>
          <w:lang w:val="es-MX"/>
        </w:rPr>
        <w:t xml:space="preserve"> </w:t>
      </w:r>
      <w:r w:rsidR="00ED287E">
        <w:rPr>
          <w:rFonts w:ascii="Arial" w:hAnsi="Arial" w:cs="Arial"/>
          <w:b/>
          <w:lang w:val="es-MX"/>
        </w:rPr>
        <w:t>30</w:t>
      </w:r>
      <w:r w:rsidR="00A158A6">
        <w:rPr>
          <w:rFonts w:ascii="Arial" w:hAnsi="Arial" w:cs="Arial"/>
          <w:b/>
          <w:lang w:val="es-MX"/>
        </w:rPr>
        <w:t xml:space="preserve"> de </w:t>
      </w:r>
      <w:r w:rsidR="00ED287E">
        <w:rPr>
          <w:rFonts w:ascii="Arial" w:hAnsi="Arial" w:cs="Arial"/>
          <w:b/>
          <w:lang w:val="es-MX"/>
        </w:rPr>
        <w:t xml:space="preserve">abril </w:t>
      </w:r>
      <w:r w:rsidR="0037521D">
        <w:rPr>
          <w:rFonts w:ascii="Arial" w:hAnsi="Arial" w:cs="Arial"/>
          <w:b/>
          <w:lang w:val="es-MX"/>
        </w:rPr>
        <w:t>201</w:t>
      </w:r>
      <w:r w:rsidR="00FE529B">
        <w:rPr>
          <w:rFonts w:ascii="Arial" w:hAnsi="Arial" w:cs="Arial"/>
          <w:b/>
          <w:lang w:val="es-MX"/>
        </w:rPr>
        <w:t>8</w:t>
      </w:r>
      <w:r w:rsidR="00ED287E">
        <w:rPr>
          <w:noProof/>
          <w:lang w:val="es-ES" w:eastAsia="es-ES"/>
        </w:rPr>
        <w:drawing>
          <wp:anchor distT="0" distB="0" distL="114300" distR="114300" simplePos="0" relativeHeight="251699200" behindDoc="1" locked="0" layoutInCell="1" allowOverlap="1" wp14:anchorId="7041CE78" wp14:editId="0BEFB26D">
            <wp:simplePos x="0" y="0"/>
            <wp:positionH relativeFrom="margin">
              <wp:posOffset>710565</wp:posOffset>
            </wp:positionH>
            <wp:positionV relativeFrom="paragraph">
              <wp:posOffset>195580</wp:posOffset>
            </wp:positionV>
            <wp:extent cx="4610100" cy="3105150"/>
            <wp:effectExtent l="0" t="0" r="0" b="0"/>
            <wp:wrapTopAndBottom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87E" w:rsidRDefault="00ED287E" w:rsidP="00ED28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ED287E" w:rsidRDefault="00ED287E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ED287E" w:rsidRDefault="00ED287E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DB3386" w:rsidRDefault="00DB3386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DB3386" w:rsidRDefault="00DB3386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DB3386" w:rsidRDefault="00DB3386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DB3386" w:rsidRDefault="00DB3386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DB3386" w:rsidRDefault="00DB3386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EF1145" w:rsidRPr="00D035CA" w:rsidRDefault="00D035C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el siguiente cuadro se detalla la ejecución presupuestaria por fuente de financiamiento, con sus correspondientes porcentajes de ejecución. </w:t>
      </w:r>
      <w:r w:rsidR="008E73E2">
        <w:rPr>
          <w:rFonts w:ascii="Arial" w:hAnsi="Arial" w:cs="Arial"/>
          <w:lang w:val="es-MX"/>
        </w:rPr>
        <w:t xml:space="preserve">Todos los gastos </w:t>
      </w:r>
      <w:r>
        <w:rPr>
          <w:rFonts w:ascii="Arial" w:hAnsi="Arial" w:cs="Arial"/>
          <w:lang w:val="es-MX"/>
        </w:rPr>
        <w:t xml:space="preserve">fueron ejecutados conforme al comportamiento de los ingresos, clasificados de la siguiente manera. </w:t>
      </w:r>
    </w:p>
    <w:p w:rsidR="002C35C7" w:rsidRPr="0013372B" w:rsidRDefault="002C35C7" w:rsidP="0013372B">
      <w:pPr>
        <w:spacing w:after="0" w:line="360" w:lineRule="auto"/>
        <w:jc w:val="center"/>
        <w:rPr>
          <w:rFonts w:ascii="Arial" w:hAnsi="Arial" w:cs="Arial"/>
          <w:lang w:val="es-MX"/>
        </w:rPr>
      </w:pPr>
    </w:p>
    <w:p w:rsidR="00AC3B89" w:rsidRPr="002D27CF" w:rsidRDefault="002563F3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Cuadro No.</w:t>
      </w:r>
      <w:r w:rsidR="00CA2778">
        <w:rPr>
          <w:rFonts w:ascii="Arial" w:hAnsi="Arial" w:cs="Arial"/>
          <w:b/>
          <w:lang w:val="es-MX"/>
        </w:rPr>
        <w:t>1</w:t>
      </w:r>
    </w:p>
    <w:p w:rsidR="00AC3B89" w:rsidRPr="002D27CF" w:rsidRDefault="0034144E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Ejecución presupuestaria</w:t>
      </w:r>
      <w:r w:rsidR="00AC3B89" w:rsidRPr="002D27CF">
        <w:rPr>
          <w:rFonts w:ascii="Arial" w:hAnsi="Arial" w:cs="Arial"/>
          <w:b/>
          <w:lang w:val="es-MX"/>
        </w:rPr>
        <w:t xml:space="preserve"> </w:t>
      </w:r>
      <w:r w:rsidRPr="002D27CF">
        <w:rPr>
          <w:rFonts w:ascii="Arial" w:hAnsi="Arial" w:cs="Arial"/>
          <w:b/>
          <w:lang w:val="es-MX"/>
        </w:rPr>
        <w:t>acumulada por fuente</w:t>
      </w:r>
      <w:r w:rsidR="00AC3B89" w:rsidRPr="002D27CF">
        <w:rPr>
          <w:rFonts w:ascii="Arial" w:hAnsi="Arial" w:cs="Arial"/>
          <w:b/>
          <w:lang w:val="es-MX"/>
        </w:rPr>
        <w:t xml:space="preserve"> de financiamiento</w:t>
      </w:r>
    </w:p>
    <w:p w:rsidR="00FC2844" w:rsidRDefault="00FE3736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Al</w:t>
      </w:r>
      <w:r w:rsidR="00C61C38">
        <w:rPr>
          <w:rFonts w:ascii="Arial" w:hAnsi="Arial" w:cs="Arial"/>
          <w:b/>
          <w:lang w:val="es-MX"/>
        </w:rPr>
        <w:t xml:space="preserve"> </w:t>
      </w:r>
      <w:r w:rsidR="00B50704">
        <w:rPr>
          <w:rFonts w:ascii="Arial" w:hAnsi="Arial" w:cs="Arial"/>
          <w:b/>
          <w:lang w:val="es-MX"/>
        </w:rPr>
        <w:t>30</w:t>
      </w:r>
      <w:r w:rsidR="00A158A6">
        <w:rPr>
          <w:rFonts w:ascii="Arial" w:hAnsi="Arial" w:cs="Arial"/>
          <w:b/>
          <w:lang w:val="es-MX"/>
        </w:rPr>
        <w:t xml:space="preserve"> de </w:t>
      </w:r>
      <w:r w:rsidR="00B50704">
        <w:rPr>
          <w:rFonts w:ascii="Arial" w:hAnsi="Arial" w:cs="Arial"/>
          <w:b/>
          <w:lang w:val="es-MX"/>
        </w:rPr>
        <w:t xml:space="preserve">abril </w:t>
      </w:r>
      <w:r w:rsidR="0037521D">
        <w:rPr>
          <w:rFonts w:ascii="Arial" w:hAnsi="Arial" w:cs="Arial"/>
          <w:b/>
          <w:lang w:val="es-MX"/>
        </w:rPr>
        <w:t>201</w:t>
      </w:r>
      <w:r w:rsidR="00FA41CC">
        <w:rPr>
          <w:rFonts w:ascii="Arial" w:hAnsi="Arial" w:cs="Arial"/>
          <w:b/>
          <w:lang w:val="es-MX"/>
        </w:rPr>
        <w:t>8</w:t>
      </w:r>
    </w:p>
    <w:p w:rsidR="00B50704" w:rsidRDefault="00B50704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tbl>
      <w:tblPr>
        <w:tblW w:w="90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999"/>
        <w:gridCol w:w="1348"/>
        <w:gridCol w:w="1348"/>
        <w:gridCol w:w="1348"/>
        <w:gridCol w:w="1348"/>
      </w:tblGrid>
      <w:tr w:rsidR="00B50704" w:rsidRPr="00B50704" w:rsidTr="00B50704">
        <w:trPr>
          <w:trHeight w:val="50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B5070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FF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B5070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 xml:space="preserve"> DESCRIPCIÓN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B5070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B5070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 xml:space="preserve">EJECUCIÓN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B5070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SALDO POR EJECUTAR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B50704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% EJECUTADO</w:t>
            </w:r>
          </w:p>
        </w:tc>
      </w:tr>
      <w:tr w:rsidR="00B50704" w:rsidRPr="00B50704" w:rsidTr="00B50704">
        <w:trPr>
          <w:trHeight w:val="5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 Disminución de Caja y Bancos de Recursos del Tesoro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1,098,111.00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918,116.94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179,994.06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83.61%</w:t>
            </w:r>
          </w:p>
        </w:tc>
      </w:tr>
      <w:tr w:rsidR="00B50704" w:rsidRPr="00B50704" w:rsidTr="00B50704">
        <w:trPr>
          <w:trHeight w:val="559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22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 Ingresos Ordinarios de Aporte Constitucional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5,939,620.00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1,321,526.73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4,618,093.27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22.25%</w:t>
            </w:r>
          </w:p>
        </w:tc>
      </w:tr>
      <w:tr w:rsidR="00B50704" w:rsidRPr="00B50704" w:rsidTr="00B50704">
        <w:trPr>
          <w:trHeight w:val="2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31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 Ingresos Propios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9,078,590.00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1,488,568.43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7,590,021.57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16.40%</w:t>
            </w:r>
          </w:p>
        </w:tc>
      </w:tr>
      <w:tr w:rsidR="00B50704" w:rsidRPr="00B50704" w:rsidTr="00B50704">
        <w:trPr>
          <w:trHeight w:val="54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32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 Disminución de Caja y Bancos de Ingresos Propios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0.00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0.00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0.00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04" w:rsidRPr="00B50704" w:rsidRDefault="00B50704" w:rsidP="00B507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0.00%</w:t>
            </w:r>
          </w:p>
        </w:tc>
      </w:tr>
      <w:tr w:rsidR="00B50704" w:rsidRPr="00B50704" w:rsidTr="00B50704">
        <w:trPr>
          <w:trHeight w:val="2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0704" w:rsidRPr="00B50704" w:rsidRDefault="00B50704" w:rsidP="00B50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0704" w:rsidRPr="00B50704" w:rsidRDefault="00B50704" w:rsidP="00B50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TOTAL GENERAL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0704" w:rsidRPr="00B50704" w:rsidRDefault="00B50704" w:rsidP="00B50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16,116,321.00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0704" w:rsidRPr="00B50704" w:rsidRDefault="00B50704" w:rsidP="00B50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3,728,212.10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0704" w:rsidRPr="00B50704" w:rsidRDefault="00B50704" w:rsidP="00B507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12,388,108.90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B50704" w:rsidRPr="00B50704" w:rsidRDefault="00B50704" w:rsidP="00B50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B50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23.13%</w:t>
            </w:r>
          </w:p>
        </w:tc>
      </w:tr>
    </w:tbl>
    <w:p w:rsidR="0013372B" w:rsidRDefault="00DC61A8" w:rsidP="006F5455">
      <w:pPr>
        <w:spacing w:before="40" w:after="0"/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</w:t>
      </w:r>
      <w:r w:rsidR="00AC3B89" w:rsidRPr="002D27CF">
        <w:rPr>
          <w:rFonts w:ascii="Arial" w:hAnsi="Arial" w:cs="Arial"/>
          <w:sz w:val="14"/>
          <w:lang w:val="es-MX"/>
        </w:rPr>
        <w:t xml:space="preserve">Fuente: Sistema de </w:t>
      </w:r>
      <w:r w:rsidR="0034144E" w:rsidRPr="002D27CF">
        <w:rPr>
          <w:rFonts w:ascii="Arial" w:hAnsi="Arial" w:cs="Arial"/>
          <w:sz w:val="14"/>
          <w:lang w:val="es-MX"/>
        </w:rPr>
        <w:t>Contabilidad Integrada</w:t>
      </w:r>
      <w:r w:rsidR="00AC3B89" w:rsidRPr="002D27CF">
        <w:rPr>
          <w:rFonts w:ascii="Arial" w:hAnsi="Arial" w:cs="Arial"/>
          <w:sz w:val="14"/>
          <w:lang w:val="es-MX"/>
        </w:rPr>
        <w:t xml:space="preserve"> Gubernamental</w:t>
      </w:r>
    </w:p>
    <w:p w:rsidR="00DC61A8" w:rsidRPr="00090848" w:rsidRDefault="00DC61A8" w:rsidP="00DC61A8">
      <w:pPr>
        <w:spacing w:after="0" w:line="360" w:lineRule="auto"/>
        <w:rPr>
          <w:rFonts w:ascii="Arial" w:hAnsi="Arial" w:cs="Arial"/>
          <w:lang w:val="es-MX"/>
        </w:rPr>
      </w:pPr>
    </w:p>
    <w:p w:rsidR="00886CFB" w:rsidRDefault="00EF1145" w:rsidP="00886CFB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7E6DEF">
        <w:rPr>
          <w:rFonts w:ascii="Arial" w:hAnsi="Arial" w:cs="Arial"/>
          <w:b/>
          <w:lang w:val="es-MX"/>
        </w:rPr>
        <w:t>Fuente</w:t>
      </w:r>
      <w:r>
        <w:rPr>
          <w:rFonts w:ascii="Arial" w:hAnsi="Arial" w:cs="Arial"/>
          <w:b/>
          <w:lang w:val="es-MX"/>
        </w:rPr>
        <w:t xml:space="preserve"> de Financiamiento</w:t>
      </w:r>
      <w:r w:rsidRPr="007E6DEF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1</w:t>
      </w:r>
      <w:r w:rsidRPr="007E6DEF">
        <w:rPr>
          <w:rFonts w:ascii="Arial" w:hAnsi="Arial" w:cs="Arial"/>
          <w:b/>
          <w:lang w:val="es-MX"/>
        </w:rPr>
        <w:t>2</w:t>
      </w:r>
      <w:r>
        <w:rPr>
          <w:rFonts w:ascii="Arial" w:hAnsi="Arial" w:cs="Arial"/>
          <w:b/>
          <w:lang w:val="es-MX"/>
        </w:rPr>
        <w:t>, Disminución de Caja y Bancos de Recursos del Tesoro</w:t>
      </w:r>
      <w:r w:rsidRPr="007E6DEF">
        <w:rPr>
          <w:rFonts w:ascii="Arial" w:hAnsi="Arial" w:cs="Arial"/>
          <w:b/>
          <w:lang w:val="es-MX"/>
        </w:rPr>
        <w:t>:</w:t>
      </w:r>
      <w:r w:rsidR="00886CFB">
        <w:rPr>
          <w:rFonts w:ascii="Arial" w:hAnsi="Arial" w:cs="Arial"/>
          <w:b/>
          <w:lang w:val="es-MX"/>
        </w:rPr>
        <w:t xml:space="preserve"> </w:t>
      </w:r>
    </w:p>
    <w:p w:rsidR="00163100" w:rsidRPr="004D644B" w:rsidRDefault="00BD5DF2" w:rsidP="002C6A40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la presente fuente de financiamiento fueron ejecutados gastos de indemnizaciones y vacaciones pagadas por retiro en concepto de prestaciones laborales al personal que prestó sus servicios a esta institución; el pago de nóminas del personal administrativo durante los meses de enero y febrero, así como los pagos por asignaciones de</w:t>
      </w:r>
      <w:r w:rsidR="006B76B2">
        <w:rPr>
          <w:rFonts w:ascii="Arial" w:hAnsi="Arial" w:cs="Arial"/>
          <w:lang w:val="es-MX"/>
        </w:rPr>
        <w:t xml:space="preserve"> años anteriores</w:t>
      </w:r>
      <w:r>
        <w:rPr>
          <w:rFonts w:ascii="Arial" w:hAnsi="Arial" w:cs="Arial"/>
          <w:lang w:val="es-MX"/>
        </w:rPr>
        <w:t xml:space="preserve"> a las Asociaciones de Fútbol Departamentales</w:t>
      </w:r>
      <w:r w:rsidR="006B76B2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</w:t>
      </w:r>
      <w:r w:rsidR="006B76B2">
        <w:rPr>
          <w:rFonts w:ascii="Arial" w:hAnsi="Arial" w:cs="Arial"/>
          <w:lang w:val="es-MX"/>
        </w:rPr>
        <w:t xml:space="preserve">registrados en el acta de reconocimiento de deuda; presentando una ejecución de Q.918,116.94, equivalente al </w:t>
      </w:r>
      <w:r w:rsidR="006B76B2">
        <w:rPr>
          <w:rFonts w:ascii="Arial" w:hAnsi="Arial" w:cs="Arial"/>
          <w:b/>
          <w:lang w:val="es-MX"/>
        </w:rPr>
        <w:t xml:space="preserve">83.61% </w:t>
      </w:r>
      <w:r w:rsidR="006B76B2">
        <w:rPr>
          <w:rFonts w:ascii="Arial" w:hAnsi="Arial" w:cs="Arial"/>
          <w:lang w:val="es-MX"/>
        </w:rPr>
        <w:t>del presupuesto vigente</w:t>
      </w:r>
      <w:r w:rsidR="004D644B">
        <w:rPr>
          <w:rFonts w:ascii="Arial" w:hAnsi="Arial" w:cs="Arial"/>
          <w:lang w:val="es-MX"/>
        </w:rPr>
        <w:t xml:space="preserve">.  </w:t>
      </w:r>
      <w:r w:rsidR="006B76B2">
        <w:rPr>
          <w:rFonts w:ascii="Arial" w:hAnsi="Arial" w:cs="Arial"/>
          <w:lang w:val="es-MX"/>
        </w:rPr>
        <w:t>Cabe mencionar que los fondos de esta fuente de financiamiento</w:t>
      </w:r>
      <w:r w:rsidR="004D644B">
        <w:rPr>
          <w:rFonts w:ascii="Arial" w:hAnsi="Arial" w:cs="Arial"/>
          <w:lang w:val="es-MX"/>
        </w:rPr>
        <w:t xml:space="preserve"> corre</w:t>
      </w:r>
      <w:r w:rsidR="00886CFB" w:rsidRPr="00886CFB">
        <w:rPr>
          <w:rFonts w:ascii="Arial" w:hAnsi="Arial" w:cs="Arial"/>
          <w:lang w:val="es-MX"/>
        </w:rPr>
        <w:t>sponde</w:t>
      </w:r>
      <w:r w:rsidR="006B76B2">
        <w:rPr>
          <w:rFonts w:ascii="Arial" w:hAnsi="Arial" w:cs="Arial"/>
          <w:lang w:val="es-MX"/>
        </w:rPr>
        <w:t>n</w:t>
      </w:r>
      <w:r w:rsidR="00886CFB" w:rsidRPr="00886CFB">
        <w:rPr>
          <w:rFonts w:ascii="Arial" w:hAnsi="Arial" w:cs="Arial"/>
          <w:lang w:val="es-MX"/>
        </w:rPr>
        <w:t xml:space="preserve"> a </w:t>
      </w:r>
      <w:r w:rsidR="006B76B2">
        <w:rPr>
          <w:rFonts w:ascii="Arial" w:hAnsi="Arial" w:cs="Arial"/>
          <w:lang w:val="es-MX"/>
        </w:rPr>
        <w:t>los saldos</w:t>
      </w:r>
      <w:r w:rsidR="00163100">
        <w:rPr>
          <w:rFonts w:ascii="Arial" w:hAnsi="Arial" w:cs="Arial"/>
          <w:lang w:val="es-MX"/>
        </w:rPr>
        <w:t xml:space="preserve"> rema</w:t>
      </w:r>
      <w:r w:rsidR="00886CFB">
        <w:rPr>
          <w:rFonts w:ascii="Arial" w:hAnsi="Arial" w:cs="Arial"/>
          <w:lang w:val="es-MX"/>
        </w:rPr>
        <w:t>nentes del ejercicio fiscal 2017</w:t>
      </w:r>
      <w:r w:rsidR="00163100">
        <w:rPr>
          <w:rFonts w:ascii="Arial" w:hAnsi="Arial" w:cs="Arial"/>
          <w:lang w:val="es-MX"/>
        </w:rPr>
        <w:t>,</w:t>
      </w:r>
      <w:r w:rsidR="006B76B2">
        <w:rPr>
          <w:rFonts w:ascii="Arial" w:hAnsi="Arial" w:cs="Arial"/>
          <w:lang w:val="es-MX"/>
        </w:rPr>
        <w:t xml:space="preserve"> de los aportes</w:t>
      </w:r>
      <w:r w:rsidR="00163100">
        <w:rPr>
          <w:rFonts w:ascii="Arial" w:hAnsi="Arial" w:cs="Arial"/>
          <w:lang w:val="es-MX"/>
        </w:rPr>
        <w:t xml:space="preserve"> proporcionados por la Confederación Deportiva Autónoma de Guatemala CDAG</w:t>
      </w:r>
      <w:r w:rsidR="006B76B2">
        <w:rPr>
          <w:rFonts w:ascii="Arial" w:hAnsi="Arial" w:cs="Arial"/>
          <w:lang w:val="es-MX"/>
        </w:rPr>
        <w:t>.</w:t>
      </w:r>
    </w:p>
    <w:p w:rsidR="00EF1145" w:rsidRDefault="00EF1145" w:rsidP="002C6A40">
      <w:pPr>
        <w:spacing w:after="0" w:line="360" w:lineRule="auto"/>
        <w:rPr>
          <w:rFonts w:ascii="Arial" w:hAnsi="Arial" w:cs="Arial"/>
          <w:b/>
          <w:lang w:val="es-MX"/>
        </w:rPr>
      </w:pPr>
    </w:p>
    <w:p w:rsidR="007E6DEF" w:rsidRPr="007E6DEF" w:rsidRDefault="007E6DEF" w:rsidP="002C6A40">
      <w:pPr>
        <w:spacing w:after="0" w:line="360" w:lineRule="auto"/>
        <w:rPr>
          <w:rFonts w:ascii="Arial" w:hAnsi="Arial" w:cs="Arial"/>
          <w:b/>
          <w:lang w:val="es-MX"/>
        </w:rPr>
      </w:pPr>
      <w:r w:rsidRPr="007E6DEF">
        <w:rPr>
          <w:rFonts w:ascii="Arial" w:hAnsi="Arial" w:cs="Arial"/>
          <w:b/>
          <w:lang w:val="es-MX"/>
        </w:rPr>
        <w:t>Fuente</w:t>
      </w:r>
      <w:r w:rsidR="00C0508F">
        <w:rPr>
          <w:rFonts w:ascii="Arial" w:hAnsi="Arial" w:cs="Arial"/>
          <w:b/>
          <w:lang w:val="es-MX"/>
        </w:rPr>
        <w:t xml:space="preserve"> de Financiamiento</w:t>
      </w:r>
      <w:r w:rsidRPr="007E6DEF">
        <w:rPr>
          <w:rFonts w:ascii="Arial" w:hAnsi="Arial" w:cs="Arial"/>
          <w:b/>
          <w:lang w:val="es-MX"/>
        </w:rPr>
        <w:t xml:space="preserve"> 22</w:t>
      </w:r>
      <w:r w:rsidR="00C0508F">
        <w:rPr>
          <w:rFonts w:ascii="Arial" w:hAnsi="Arial" w:cs="Arial"/>
          <w:b/>
          <w:lang w:val="es-MX"/>
        </w:rPr>
        <w:t>,</w:t>
      </w:r>
      <w:r w:rsidR="007C0625">
        <w:rPr>
          <w:rFonts w:ascii="Arial" w:hAnsi="Arial" w:cs="Arial"/>
          <w:b/>
          <w:lang w:val="es-MX"/>
        </w:rPr>
        <w:t xml:space="preserve"> Ingresos Ordinarios de</w:t>
      </w:r>
      <w:r w:rsidRPr="007E6DEF">
        <w:rPr>
          <w:rFonts w:ascii="Arial" w:hAnsi="Arial" w:cs="Arial"/>
          <w:b/>
          <w:lang w:val="es-MX"/>
        </w:rPr>
        <w:t xml:space="preserve"> Aporte Constitucional:</w:t>
      </w:r>
    </w:p>
    <w:p w:rsidR="007E6DEF" w:rsidRDefault="00551A91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Considerando que los fondos registrados en la presente fuente de financiamiento provienes de aportes de</w:t>
      </w:r>
      <w:r w:rsidR="00E657F7">
        <w:rPr>
          <w:rFonts w:ascii="Arial" w:hAnsi="Arial" w:cs="Arial"/>
          <w:lang w:val="es-MX"/>
        </w:rPr>
        <w:t xml:space="preserve"> la Confederación Deport</w:t>
      </w:r>
      <w:r w:rsidR="008D24EA">
        <w:rPr>
          <w:rFonts w:ascii="Arial" w:hAnsi="Arial" w:cs="Arial"/>
          <w:lang w:val="es-MX"/>
        </w:rPr>
        <w:t>iva Autónoma de Guatemala CDAG</w:t>
      </w:r>
      <w:r w:rsidR="00E657F7">
        <w:rPr>
          <w:rFonts w:ascii="Arial" w:hAnsi="Arial" w:cs="Arial"/>
          <w:lang w:val="es-MX"/>
        </w:rPr>
        <w:t xml:space="preserve">, </w:t>
      </w:r>
      <w:r w:rsidR="008D24EA">
        <w:rPr>
          <w:rFonts w:ascii="Arial" w:hAnsi="Arial" w:cs="Arial"/>
          <w:lang w:val="es-MX"/>
        </w:rPr>
        <w:t>según el</w:t>
      </w:r>
      <w:r w:rsidR="00E657F7">
        <w:rPr>
          <w:rFonts w:ascii="Arial" w:hAnsi="Arial" w:cs="Arial"/>
          <w:lang w:val="es-MX"/>
        </w:rPr>
        <w:t xml:space="preserve"> Decreto 76-97</w:t>
      </w:r>
      <w:r w:rsidR="00C2152E">
        <w:rPr>
          <w:rFonts w:ascii="Arial" w:hAnsi="Arial" w:cs="Arial"/>
          <w:lang w:val="es-MX"/>
        </w:rPr>
        <w:t xml:space="preserve"> Ley Nacional para el Desarrollo de la Cultura Física y el Deporte</w:t>
      </w:r>
      <w:r w:rsidR="006F3F90" w:rsidRPr="00B86F8C">
        <w:rPr>
          <w:rFonts w:ascii="Arial" w:hAnsi="Arial" w:cs="Arial"/>
          <w:lang w:val="es-MX"/>
        </w:rPr>
        <w:t xml:space="preserve">, </w:t>
      </w:r>
      <w:r w:rsidR="00586E82">
        <w:rPr>
          <w:rFonts w:ascii="Arial" w:hAnsi="Arial" w:cs="Arial"/>
          <w:lang w:val="es-MX"/>
        </w:rPr>
        <w:t xml:space="preserve">los </w:t>
      </w:r>
      <w:r>
        <w:rPr>
          <w:rFonts w:ascii="Arial" w:hAnsi="Arial" w:cs="Arial"/>
          <w:lang w:val="es-MX"/>
        </w:rPr>
        <w:t>cuales</w:t>
      </w:r>
      <w:r w:rsidR="00586E82">
        <w:rPr>
          <w:rFonts w:ascii="Arial" w:hAnsi="Arial" w:cs="Arial"/>
          <w:lang w:val="es-MX"/>
        </w:rPr>
        <w:t xml:space="preserve"> deben </w:t>
      </w:r>
      <w:r w:rsidR="008D24EA">
        <w:rPr>
          <w:rFonts w:ascii="Arial" w:hAnsi="Arial" w:cs="Arial"/>
          <w:lang w:val="es-MX"/>
        </w:rPr>
        <w:t>estar distribuido</w:t>
      </w:r>
      <w:r>
        <w:rPr>
          <w:rFonts w:ascii="Arial" w:hAnsi="Arial" w:cs="Arial"/>
          <w:lang w:val="es-MX"/>
        </w:rPr>
        <w:t>s</w:t>
      </w:r>
      <w:r w:rsidR="00A63C29">
        <w:rPr>
          <w:rFonts w:ascii="Arial" w:hAnsi="Arial" w:cs="Arial"/>
          <w:lang w:val="es-MX"/>
        </w:rPr>
        <w:t xml:space="preserve"> de la siguiente manera: 50% como </w:t>
      </w:r>
      <w:r w:rsidR="00775BD3">
        <w:rPr>
          <w:rFonts w:ascii="Arial" w:hAnsi="Arial" w:cs="Arial"/>
          <w:lang w:val="es-MX"/>
        </w:rPr>
        <w:t>mínimo</w:t>
      </w:r>
      <w:r w:rsidR="00A63C29">
        <w:rPr>
          <w:rFonts w:ascii="Arial" w:hAnsi="Arial" w:cs="Arial"/>
          <w:lang w:val="es-MX"/>
        </w:rPr>
        <w:t xml:space="preserve"> para la </w:t>
      </w:r>
      <w:r w:rsidR="00775BD3">
        <w:rPr>
          <w:rFonts w:ascii="Arial" w:hAnsi="Arial" w:cs="Arial"/>
          <w:lang w:val="es-MX"/>
        </w:rPr>
        <w:t>Promoción</w:t>
      </w:r>
      <w:r w:rsidR="00A63C29">
        <w:rPr>
          <w:rFonts w:ascii="Arial" w:hAnsi="Arial" w:cs="Arial"/>
          <w:lang w:val="es-MX"/>
        </w:rPr>
        <w:t xml:space="preserve"> Deportiva a nivel </w:t>
      </w:r>
      <w:r w:rsidR="00A63C29">
        <w:rPr>
          <w:rFonts w:ascii="Arial" w:hAnsi="Arial" w:cs="Arial"/>
          <w:lang w:val="es-MX"/>
        </w:rPr>
        <w:lastRenderedPageBreak/>
        <w:t xml:space="preserve">nacional; 30% para </w:t>
      </w:r>
      <w:r w:rsidR="00775BD3">
        <w:rPr>
          <w:rFonts w:ascii="Arial" w:hAnsi="Arial" w:cs="Arial"/>
          <w:lang w:val="es-MX"/>
        </w:rPr>
        <w:t>Atención</w:t>
      </w:r>
      <w:r w:rsidR="00A63C29">
        <w:rPr>
          <w:rFonts w:ascii="Arial" w:hAnsi="Arial" w:cs="Arial"/>
          <w:lang w:val="es-MX"/>
        </w:rPr>
        <w:t xml:space="preserve"> y Desarrollo de Progra</w:t>
      </w:r>
      <w:r w:rsidR="0050555F">
        <w:rPr>
          <w:rFonts w:ascii="Arial" w:hAnsi="Arial" w:cs="Arial"/>
          <w:lang w:val="es-MX"/>
        </w:rPr>
        <w:t xml:space="preserve">mas </w:t>
      </w:r>
      <w:r w:rsidR="00775BD3">
        <w:rPr>
          <w:rFonts w:ascii="Arial" w:hAnsi="Arial" w:cs="Arial"/>
          <w:lang w:val="es-MX"/>
        </w:rPr>
        <w:t>Técnicos</w:t>
      </w:r>
      <w:r w:rsidR="0050555F">
        <w:rPr>
          <w:rFonts w:ascii="Arial" w:hAnsi="Arial" w:cs="Arial"/>
          <w:lang w:val="es-MX"/>
        </w:rPr>
        <w:t xml:space="preserve"> y 20% para gastos administrativos y de funcionamiento</w:t>
      </w:r>
      <w:r w:rsidR="00E657F7">
        <w:rPr>
          <w:rFonts w:ascii="Arial" w:hAnsi="Arial" w:cs="Arial"/>
          <w:lang w:val="es-MX"/>
        </w:rPr>
        <w:t xml:space="preserve">; </w:t>
      </w:r>
      <w:r w:rsidR="00CB2CB7">
        <w:rPr>
          <w:rFonts w:ascii="Arial" w:hAnsi="Arial" w:cs="Arial"/>
          <w:lang w:val="es-MX"/>
        </w:rPr>
        <w:t>también</w:t>
      </w:r>
      <w:r w:rsidR="00D46F38">
        <w:rPr>
          <w:rFonts w:ascii="Arial" w:hAnsi="Arial" w:cs="Arial"/>
          <w:lang w:val="es-MX"/>
        </w:rPr>
        <w:t xml:space="preserve"> se</w:t>
      </w:r>
      <w:r w:rsidR="00CB2CB7">
        <w:rPr>
          <w:rFonts w:ascii="Arial" w:hAnsi="Arial" w:cs="Arial"/>
          <w:lang w:val="es-MX"/>
        </w:rPr>
        <w:t xml:space="preserve"> incluye</w:t>
      </w:r>
      <w:r w:rsidR="00D46F38">
        <w:rPr>
          <w:rFonts w:ascii="Arial" w:hAnsi="Arial" w:cs="Arial"/>
          <w:lang w:val="es-MX"/>
        </w:rPr>
        <w:t xml:space="preserve"> en esta fuente,</w:t>
      </w:r>
      <w:r w:rsidR="00CB2CB7">
        <w:rPr>
          <w:rFonts w:ascii="Arial" w:hAnsi="Arial" w:cs="Arial"/>
          <w:lang w:val="es-MX"/>
        </w:rPr>
        <w:t xml:space="preserve"> </w:t>
      </w:r>
      <w:r w:rsidR="00E657F7">
        <w:rPr>
          <w:rFonts w:ascii="Arial" w:hAnsi="Arial" w:cs="Arial"/>
          <w:lang w:val="es-MX"/>
        </w:rPr>
        <w:t>el aporte del C</w:t>
      </w:r>
      <w:r>
        <w:rPr>
          <w:rFonts w:ascii="Arial" w:hAnsi="Arial" w:cs="Arial"/>
          <w:lang w:val="es-MX"/>
        </w:rPr>
        <w:t>omité Olímpico Guatemalteco COG; la cual al</w:t>
      </w:r>
      <w:r w:rsidR="007E6DEF">
        <w:rPr>
          <w:rFonts w:ascii="Arial" w:hAnsi="Arial" w:cs="Arial"/>
          <w:lang w:val="es-MX"/>
        </w:rPr>
        <w:t xml:space="preserve"> </w:t>
      </w:r>
      <w:r w:rsidR="008D24EA">
        <w:rPr>
          <w:rFonts w:ascii="Arial" w:hAnsi="Arial" w:cs="Arial"/>
          <w:lang w:val="es-MX"/>
        </w:rPr>
        <w:t xml:space="preserve">mes de </w:t>
      </w:r>
      <w:r w:rsidR="004D644B">
        <w:rPr>
          <w:rFonts w:ascii="Arial" w:hAnsi="Arial" w:cs="Arial"/>
          <w:lang w:val="es-MX"/>
        </w:rPr>
        <w:t xml:space="preserve">abril </w:t>
      </w:r>
      <w:r>
        <w:rPr>
          <w:rFonts w:ascii="Arial" w:hAnsi="Arial" w:cs="Arial"/>
          <w:lang w:val="es-MX"/>
        </w:rPr>
        <w:t>alcanzó una ejecución de</w:t>
      </w:r>
      <w:r w:rsidR="008D24EA">
        <w:rPr>
          <w:rFonts w:ascii="Arial" w:hAnsi="Arial" w:cs="Arial"/>
          <w:lang w:val="es-MX"/>
        </w:rPr>
        <w:t xml:space="preserve"> </w:t>
      </w:r>
      <w:r w:rsidR="007C0625">
        <w:rPr>
          <w:rFonts w:ascii="Arial" w:hAnsi="Arial" w:cs="Arial"/>
          <w:lang w:val="es-MX"/>
        </w:rPr>
        <w:t>Q.</w:t>
      </w:r>
      <w:r w:rsidR="004D644B">
        <w:rPr>
          <w:rFonts w:ascii="Arial" w:hAnsi="Arial" w:cs="Arial"/>
          <w:lang w:val="es-MX"/>
        </w:rPr>
        <w:t>1,321,526.73</w:t>
      </w:r>
      <w:r w:rsidR="0088781D">
        <w:rPr>
          <w:rFonts w:ascii="Arial" w:hAnsi="Arial" w:cs="Arial"/>
          <w:lang w:val="es-MX"/>
        </w:rPr>
        <w:t xml:space="preserve"> </w:t>
      </w:r>
      <w:r w:rsidR="00E0387A">
        <w:rPr>
          <w:rFonts w:ascii="Arial" w:hAnsi="Arial" w:cs="Arial"/>
          <w:lang w:val="es-MX"/>
        </w:rPr>
        <w:t xml:space="preserve">equivalentes al </w:t>
      </w:r>
      <w:r w:rsidR="004D644B">
        <w:rPr>
          <w:rFonts w:ascii="Arial" w:hAnsi="Arial" w:cs="Arial"/>
          <w:b/>
          <w:lang w:val="es-MX"/>
        </w:rPr>
        <w:t>22.25</w:t>
      </w:r>
      <w:r w:rsidR="00FD53BE">
        <w:rPr>
          <w:rFonts w:ascii="Arial" w:hAnsi="Arial" w:cs="Arial"/>
          <w:b/>
          <w:lang w:val="es-MX"/>
        </w:rPr>
        <w:t>%</w:t>
      </w:r>
      <w:r w:rsidR="007E6DEF">
        <w:rPr>
          <w:rFonts w:ascii="Arial" w:hAnsi="Arial" w:cs="Arial"/>
          <w:b/>
          <w:lang w:val="es-MX"/>
        </w:rPr>
        <w:t xml:space="preserve"> </w:t>
      </w:r>
      <w:r w:rsidR="00586E82">
        <w:rPr>
          <w:rFonts w:ascii="Arial" w:hAnsi="Arial" w:cs="Arial"/>
          <w:lang w:val="es-MX"/>
        </w:rPr>
        <w:t>del presupuesto vigente, integrado</w:t>
      </w:r>
      <w:r w:rsidR="00865950">
        <w:rPr>
          <w:rFonts w:ascii="Arial" w:hAnsi="Arial" w:cs="Arial"/>
          <w:lang w:val="es-MX"/>
        </w:rPr>
        <w:t xml:space="preserve"> de la siguiente </w:t>
      </w:r>
      <w:r w:rsidR="00A20704">
        <w:rPr>
          <w:rFonts w:ascii="Arial" w:hAnsi="Arial" w:cs="Arial"/>
          <w:lang w:val="es-MX"/>
        </w:rPr>
        <w:t>forma</w:t>
      </w:r>
      <w:r w:rsidR="00865950">
        <w:rPr>
          <w:rFonts w:ascii="Arial" w:hAnsi="Arial" w:cs="Arial"/>
          <w:lang w:val="es-MX"/>
        </w:rPr>
        <w:t>:</w:t>
      </w:r>
    </w:p>
    <w:p w:rsidR="0088781D" w:rsidRDefault="0088781D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992009" w:rsidRPr="00FD4A87" w:rsidRDefault="00992009" w:rsidP="007A44A1">
      <w:pPr>
        <w:spacing w:after="0" w:line="360" w:lineRule="auto"/>
        <w:jc w:val="both"/>
        <w:rPr>
          <w:rFonts w:ascii="Arial" w:hAnsi="Arial" w:cs="Arial"/>
          <w:lang w:eastAsia="es-ES"/>
        </w:rPr>
      </w:pPr>
      <w:r w:rsidRPr="00945AB2">
        <w:rPr>
          <w:rFonts w:ascii="Arial" w:hAnsi="Arial" w:cs="Arial"/>
          <w:lang w:eastAsia="es-ES"/>
        </w:rPr>
        <w:t xml:space="preserve">Para los gastos de </w:t>
      </w:r>
      <w:r w:rsidRPr="00945AB2">
        <w:rPr>
          <w:rFonts w:ascii="Arial" w:hAnsi="Arial" w:cs="Arial"/>
          <w:b/>
          <w:lang w:eastAsia="es-ES"/>
        </w:rPr>
        <w:t>promo</w:t>
      </w:r>
      <w:r w:rsidR="00945AB2" w:rsidRPr="00945AB2">
        <w:rPr>
          <w:rFonts w:ascii="Arial" w:hAnsi="Arial" w:cs="Arial"/>
          <w:b/>
          <w:lang w:eastAsia="es-ES"/>
        </w:rPr>
        <w:t>ción deportiva a nivel nacional</w:t>
      </w:r>
      <w:r w:rsidR="00D23B8A">
        <w:rPr>
          <w:rFonts w:ascii="Arial" w:hAnsi="Arial" w:cs="Arial"/>
          <w:b/>
          <w:lang w:eastAsia="es-ES"/>
        </w:rPr>
        <w:t>,</w:t>
      </w:r>
      <w:r w:rsidR="00400A5A" w:rsidRPr="00945AB2">
        <w:rPr>
          <w:rFonts w:ascii="Arial" w:hAnsi="Arial" w:cs="Arial"/>
          <w:b/>
          <w:lang w:eastAsia="es-ES"/>
        </w:rPr>
        <w:t xml:space="preserve"> </w:t>
      </w:r>
      <w:r w:rsidR="000D448B">
        <w:rPr>
          <w:rFonts w:ascii="Arial" w:hAnsi="Arial" w:cs="Arial"/>
          <w:lang w:eastAsia="es-ES"/>
        </w:rPr>
        <w:t>al</w:t>
      </w:r>
      <w:r w:rsidR="00D23B8A" w:rsidRPr="00D23B8A">
        <w:rPr>
          <w:rFonts w:ascii="Arial" w:hAnsi="Arial" w:cs="Arial"/>
          <w:lang w:eastAsia="es-ES"/>
        </w:rPr>
        <w:t xml:space="preserve"> mes de </w:t>
      </w:r>
      <w:r w:rsidR="00183A25">
        <w:rPr>
          <w:rFonts w:ascii="Arial" w:hAnsi="Arial" w:cs="Arial"/>
          <w:lang w:eastAsia="es-ES"/>
        </w:rPr>
        <w:t xml:space="preserve">abril </w:t>
      </w:r>
      <w:r w:rsidR="00763446" w:rsidRPr="00945AB2">
        <w:rPr>
          <w:rFonts w:ascii="Arial" w:hAnsi="Arial" w:cs="Arial"/>
          <w:lang w:eastAsia="es-ES"/>
        </w:rPr>
        <w:t>la ejecución</w:t>
      </w:r>
      <w:r w:rsidR="000B094A" w:rsidRPr="00945AB2">
        <w:rPr>
          <w:rFonts w:ascii="Arial" w:hAnsi="Arial" w:cs="Arial"/>
          <w:lang w:eastAsia="es-ES"/>
        </w:rPr>
        <w:t xml:space="preserve"> </w:t>
      </w:r>
      <w:r w:rsidR="00694DC1" w:rsidRPr="00945AB2">
        <w:rPr>
          <w:rFonts w:ascii="Arial" w:hAnsi="Arial" w:cs="Arial"/>
          <w:lang w:eastAsia="es-ES"/>
        </w:rPr>
        <w:t>ascendió a la cantidad de</w:t>
      </w:r>
      <w:r w:rsidR="00763446" w:rsidRPr="00945AB2">
        <w:rPr>
          <w:rFonts w:ascii="Arial" w:hAnsi="Arial" w:cs="Arial"/>
          <w:lang w:eastAsia="es-ES"/>
        </w:rPr>
        <w:t xml:space="preserve"> Q.</w:t>
      </w:r>
      <w:r w:rsidR="000D448B">
        <w:rPr>
          <w:rFonts w:ascii="Arial" w:hAnsi="Arial" w:cs="Arial"/>
          <w:lang w:eastAsia="es-ES"/>
        </w:rPr>
        <w:t>703</w:t>
      </w:r>
      <w:r w:rsidRPr="00945AB2">
        <w:rPr>
          <w:rFonts w:ascii="Arial" w:hAnsi="Arial" w:cs="Arial"/>
          <w:lang w:eastAsia="es-ES"/>
        </w:rPr>
        <w:t>,</w:t>
      </w:r>
      <w:r w:rsidR="000D448B">
        <w:rPr>
          <w:rFonts w:ascii="Arial" w:hAnsi="Arial" w:cs="Arial"/>
          <w:lang w:eastAsia="es-ES"/>
        </w:rPr>
        <w:t>205</w:t>
      </w:r>
      <w:r w:rsidR="00183A25">
        <w:rPr>
          <w:rFonts w:ascii="Arial" w:hAnsi="Arial" w:cs="Arial"/>
          <w:lang w:eastAsia="es-ES"/>
        </w:rPr>
        <w:t>.</w:t>
      </w:r>
      <w:r w:rsidR="000D448B">
        <w:rPr>
          <w:rFonts w:ascii="Arial" w:hAnsi="Arial" w:cs="Arial"/>
          <w:lang w:eastAsia="es-ES"/>
        </w:rPr>
        <w:t>85</w:t>
      </w:r>
      <w:r w:rsidR="00694DC1" w:rsidRPr="00945AB2">
        <w:rPr>
          <w:rFonts w:ascii="Arial" w:hAnsi="Arial" w:cs="Arial"/>
          <w:lang w:eastAsia="es-ES"/>
        </w:rPr>
        <w:t xml:space="preserve">, </w:t>
      </w:r>
      <w:r w:rsidR="009418F1" w:rsidRPr="00945AB2">
        <w:rPr>
          <w:rFonts w:ascii="Arial" w:hAnsi="Arial" w:cs="Arial"/>
          <w:lang w:eastAsia="es-ES"/>
        </w:rPr>
        <w:t xml:space="preserve">el cual corresponde a </w:t>
      </w:r>
      <w:r w:rsidR="000D448B">
        <w:rPr>
          <w:rFonts w:ascii="Arial" w:hAnsi="Arial" w:cs="Arial"/>
          <w:lang w:eastAsia="es-ES"/>
        </w:rPr>
        <w:t>pagos por compra de hielo para crioterapias, alimentos para llevar a cabo los Juegos Nacionales 2017-2018, asignaciones trimestrales a las Asociaciones Deportivas Departamentales de Fútbol afiliadas a esta Federación y el aporte económico que se brinda en apoyo a la Liga Nacional de Fútbol Playa, así como el pago de nóminas del personal que labora en las áreas sustantivas de esta institución</w:t>
      </w:r>
      <w:r w:rsidR="00324C2D">
        <w:rPr>
          <w:rFonts w:ascii="Arial" w:hAnsi="Arial" w:cs="Arial"/>
          <w:lang w:eastAsia="es-ES"/>
        </w:rPr>
        <w:t>. P</w:t>
      </w:r>
      <w:r w:rsidR="00D23B8A">
        <w:rPr>
          <w:rFonts w:ascii="Arial" w:hAnsi="Arial" w:cs="Arial"/>
          <w:lang w:eastAsia="es-ES"/>
        </w:rPr>
        <w:t xml:space="preserve">ara los </w:t>
      </w:r>
      <w:r w:rsidR="00D23B8A" w:rsidRPr="00945AB2">
        <w:rPr>
          <w:rFonts w:ascii="Arial" w:hAnsi="Arial" w:cs="Arial"/>
          <w:b/>
          <w:lang w:eastAsia="es-ES"/>
        </w:rPr>
        <w:t>gastos de atención y desarrollo de programas técnicos</w:t>
      </w:r>
      <w:r w:rsidR="00D23B8A">
        <w:rPr>
          <w:rFonts w:ascii="Arial" w:hAnsi="Arial" w:cs="Arial"/>
          <w:b/>
          <w:lang w:eastAsia="es-ES"/>
        </w:rPr>
        <w:t xml:space="preserve"> </w:t>
      </w:r>
      <w:r w:rsidR="00D23B8A">
        <w:rPr>
          <w:rFonts w:ascii="Arial" w:hAnsi="Arial" w:cs="Arial"/>
          <w:lang w:eastAsia="es-ES"/>
        </w:rPr>
        <w:t>l</w:t>
      </w:r>
      <w:r w:rsidR="00D23B8A" w:rsidRPr="00945AB2">
        <w:rPr>
          <w:rFonts w:ascii="Arial" w:hAnsi="Arial" w:cs="Arial"/>
          <w:lang w:eastAsia="es-ES"/>
        </w:rPr>
        <w:t>a ejecución fue de Q.</w:t>
      </w:r>
      <w:r w:rsidR="000D448B">
        <w:rPr>
          <w:rFonts w:ascii="Arial" w:hAnsi="Arial" w:cs="Arial"/>
          <w:lang w:eastAsia="es-ES"/>
        </w:rPr>
        <w:t>431</w:t>
      </w:r>
      <w:r w:rsidR="00FD4A87">
        <w:rPr>
          <w:rFonts w:ascii="Arial" w:hAnsi="Arial" w:cs="Arial"/>
          <w:lang w:eastAsia="es-ES"/>
        </w:rPr>
        <w:t>,</w:t>
      </w:r>
      <w:r w:rsidR="000D448B">
        <w:rPr>
          <w:rFonts w:ascii="Arial" w:hAnsi="Arial" w:cs="Arial"/>
          <w:lang w:eastAsia="es-ES"/>
        </w:rPr>
        <w:t>042</w:t>
      </w:r>
      <w:r w:rsidR="00324C2D">
        <w:rPr>
          <w:rFonts w:ascii="Arial" w:hAnsi="Arial" w:cs="Arial"/>
          <w:lang w:eastAsia="es-ES"/>
        </w:rPr>
        <w:t>.</w:t>
      </w:r>
      <w:r w:rsidR="000D448B">
        <w:rPr>
          <w:rFonts w:ascii="Arial" w:hAnsi="Arial" w:cs="Arial"/>
          <w:lang w:eastAsia="es-ES"/>
        </w:rPr>
        <w:t>25</w:t>
      </w:r>
      <w:r w:rsidR="00D23B8A">
        <w:rPr>
          <w:rFonts w:ascii="Arial" w:hAnsi="Arial" w:cs="Arial"/>
          <w:lang w:eastAsia="es-ES"/>
        </w:rPr>
        <w:t xml:space="preserve"> </w:t>
      </w:r>
      <w:r w:rsidR="009237CC">
        <w:rPr>
          <w:rFonts w:ascii="Arial" w:hAnsi="Arial" w:cs="Arial"/>
          <w:lang w:eastAsia="es-ES"/>
        </w:rPr>
        <w:t xml:space="preserve">la </w:t>
      </w:r>
      <w:r w:rsidR="00084326" w:rsidRPr="00945AB2">
        <w:rPr>
          <w:rFonts w:ascii="Arial" w:hAnsi="Arial" w:cs="Arial"/>
          <w:lang w:eastAsia="es-ES"/>
        </w:rPr>
        <w:t>cual corresponde a pago de nómina</w:t>
      </w:r>
      <w:r w:rsidR="000D448B">
        <w:rPr>
          <w:rFonts w:ascii="Arial" w:hAnsi="Arial" w:cs="Arial"/>
          <w:lang w:eastAsia="es-ES"/>
        </w:rPr>
        <w:t xml:space="preserve"> y cuotas patronales</w:t>
      </w:r>
      <w:r w:rsidR="00084326" w:rsidRPr="00945AB2">
        <w:rPr>
          <w:rFonts w:ascii="Arial" w:hAnsi="Arial" w:cs="Arial"/>
          <w:lang w:eastAsia="es-ES"/>
        </w:rPr>
        <w:t xml:space="preserve"> </w:t>
      </w:r>
      <w:r w:rsidR="000D448B">
        <w:rPr>
          <w:rFonts w:ascii="Arial" w:hAnsi="Arial" w:cs="Arial"/>
          <w:lang w:eastAsia="es-ES"/>
        </w:rPr>
        <w:t>del</w:t>
      </w:r>
      <w:r w:rsidR="000763D3">
        <w:rPr>
          <w:rFonts w:ascii="Arial" w:hAnsi="Arial" w:cs="Arial"/>
          <w:lang w:eastAsia="es-ES"/>
        </w:rPr>
        <w:t xml:space="preserve"> personal </w:t>
      </w:r>
      <w:r w:rsidR="000D448B">
        <w:rPr>
          <w:rFonts w:ascii="Arial" w:hAnsi="Arial" w:cs="Arial"/>
          <w:lang w:eastAsia="es-ES"/>
        </w:rPr>
        <w:t>que presta sus servicios en las instalaciones de Proyecto Goal</w:t>
      </w:r>
      <w:r w:rsidR="00084326" w:rsidRPr="00945AB2">
        <w:rPr>
          <w:rFonts w:ascii="Arial" w:hAnsi="Arial" w:cs="Arial"/>
          <w:lang w:eastAsia="es-ES"/>
        </w:rPr>
        <w:t>,</w:t>
      </w:r>
      <w:r w:rsidR="0056150D">
        <w:rPr>
          <w:rFonts w:ascii="Arial" w:hAnsi="Arial" w:cs="Arial"/>
          <w:lang w:eastAsia="es-ES"/>
        </w:rPr>
        <w:t xml:space="preserve"> </w:t>
      </w:r>
      <w:r w:rsidR="00474AC2">
        <w:rPr>
          <w:rFonts w:ascii="Arial" w:hAnsi="Arial" w:cs="Arial"/>
          <w:lang w:eastAsia="es-ES"/>
        </w:rPr>
        <w:t>compra de una computadora portátil para la Dirección de Asociaciones Departamentales de la Fedefut</w:t>
      </w:r>
      <w:r w:rsidR="00352496">
        <w:rPr>
          <w:rFonts w:ascii="Arial" w:hAnsi="Arial" w:cs="Arial"/>
          <w:lang w:eastAsia="es-ES"/>
        </w:rPr>
        <w:t xml:space="preserve"> y compra de</w:t>
      </w:r>
      <w:r w:rsidR="008F23C7">
        <w:rPr>
          <w:rFonts w:ascii="Arial" w:hAnsi="Arial" w:cs="Arial"/>
          <w:lang w:eastAsia="es-ES"/>
        </w:rPr>
        <w:t xml:space="preserve"> </w:t>
      </w:r>
      <w:r w:rsidR="00352496">
        <w:rPr>
          <w:rFonts w:ascii="Arial" w:hAnsi="Arial" w:cs="Arial"/>
          <w:lang w:eastAsia="es-ES"/>
        </w:rPr>
        <w:t>varios</w:t>
      </w:r>
      <w:r w:rsidR="00FD4A87">
        <w:rPr>
          <w:rFonts w:ascii="Arial" w:hAnsi="Arial" w:cs="Arial"/>
          <w:lang w:eastAsia="es-ES"/>
        </w:rPr>
        <w:t xml:space="preserve"> </w:t>
      </w:r>
      <w:r w:rsidR="000D448B">
        <w:rPr>
          <w:rFonts w:ascii="Arial" w:hAnsi="Arial" w:cs="Arial"/>
          <w:lang w:eastAsia="es-ES"/>
        </w:rPr>
        <w:t xml:space="preserve">materiales y suministros para el buen funcionamiento </w:t>
      </w:r>
      <w:r w:rsidR="00352496">
        <w:rPr>
          <w:rFonts w:ascii="Arial" w:hAnsi="Arial" w:cs="Arial"/>
          <w:lang w:eastAsia="es-ES"/>
        </w:rPr>
        <w:t>de Proyecto Goal</w:t>
      </w:r>
      <w:r w:rsidR="00474AC2">
        <w:rPr>
          <w:rFonts w:ascii="Arial" w:hAnsi="Arial" w:cs="Arial"/>
          <w:lang w:eastAsia="es-ES"/>
        </w:rPr>
        <w:t xml:space="preserve">, </w:t>
      </w:r>
      <w:r w:rsidR="00FD4A87">
        <w:rPr>
          <w:rFonts w:ascii="Arial" w:hAnsi="Arial" w:cs="Arial"/>
          <w:lang w:eastAsia="es-ES"/>
        </w:rPr>
        <w:t xml:space="preserve">y para </w:t>
      </w:r>
      <w:r w:rsidR="00FD4A87">
        <w:rPr>
          <w:rFonts w:ascii="Arial" w:hAnsi="Arial" w:cs="Arial"/>
          <w:b/>
          <w:lang w:eastAsia="es-ES"/>
        </w:rPr>
        <w:t xml:space="preserve">gastos administrativos y de funcionamiento </w:t>
      </w:r>
      <w:r w:rsidR="00FD4A87">
        <w:rPr>
          <w:rFonts w:ascii="Arial" w:hAnsi="Arial" w:cs="Arial"/>
          <w:lang w:eastAsia="es-ES"/>
        </w:rPr>
        <w:t>la ejecución fue de Q.12,562.50 el cual corresponde a pago de nómina adicional correspondiente al mes de marzo de 2018.</w:t>
      </w:r>
    </w:p>
    <w:p w:rsidR="007E6DEF" w:rsidRDefault="007E6DEF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D257A8" w:rsidRDefault="00D257A8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Los pagos financiados con fondos del Comité Olímpico Guatemalteco ascendieron a la cantidad de Q.174,716.13, correspondientes a los pagos de nóminas del Asesor de Desarrollo Técnico, Entrenador Principal de Fútbol Playa, Entrenador de Selecciones y Asistente de entrenadores.</w:t>
      </w:r>
    </w:p>
    <w:p w:rsidR="00D257A8" w:rsidRPr="00945AB2" w:rsidRDefault="00D257A8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D62EA3" w:rsidRPr="00945AB2" w:rsidRDefault="00867598" w:rsidP="007A44A1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 w:rsidRPr="00945AB2">
        <w:rPr>
          <w:rFonts w:ascii="Arial" w:hAnsi="Arial" w:cs="Arial"/>
          <w:lang w:val="es-MX"/>
        </w:rPr>
        <w:t>Cabe mencionar que los</w:t>
      </w:r>
      <w:r w:rsidR="00021B32" w:rsidRPr="00945AB2">
        <w:rPr>
          <w:rFonts w:ascii="Arial" w:hAnsi="Arial" w:cs="Arial"/>
          <w:lang w:val="es-MX"/>
        </w:rPr>
        <w:t xml:space="preserve"> recursos fueron ejecutados, cumpliendo con la normativa</w:t>
      </w:r>
      <w:r w:rsidR="008A4AA4" w:rsidRPr="00945AB2">
        <w:rPr>
          <w:rFonts w:ascii="Arial" w:hAnsi="Arial" w:cs="Arial"/>
          <w:lang w:val="es-MX"/>
        </w:rPr>
        <w:t xml:space="preserve"> de observa</w:t>
      </w:r>
      <w:r w:rsidR="00283B7D" w:rsidRPr="00945AB2">
        <w:rPr>
          <w:rFonts w:ascii="Arial" w:hAnsi="Arial" w:cs="Arial"/>
          <w:lang w:val="es-MX"/>
        </w:rPr>
        <w:t>n</w:t>
      </w:r>
      <w:r w:rsidR="008A4AA4" w:rsidRPr="00945AB2">
        <w:rPr>
          <w:rFonts w:ascii="Arial" w:hAnsi="Arial" w:cs="Arial"/>
          <w:lang w:val="es-MX"/>
        </w:rPr>
        <w:t>ci</w:t>
      </w:r>
      <w:r w:rsidR="00283B7D" w:rsidRPr="00945AB2">
        <w:rPr>
          <w:rFonts w:ascii="Arial" w:hAnsi="Arial" w:cs="Arial"/>
          <w:lang w:val="es-MX"/>
        </w:rPr>
        <w:t>a</w:t>
      </w:r>
      <w:r w:rsidR="00021B32" w:rsidRPr="00945AB2">
        <w:rPr>
          <w:rFonts w:ascii="Arial" w:hAnsi="Arial" w:cs="Arial"/>
          <w:lang w:val="es-MX"/>
        </w:rPr>
        <w:t xml:space="preserve"> general para el ejercicio </w:t>
      </w:r>
      <w:r w:rsidR="008A4AA4" w:rsidRPr="00945AB2">
        <w:rPr>
          <w:rFonts w:ascii="Arial" w:hAnsi="Arial" w:cs="Arial"/>
          <w:lang w:val="es-MX"/>
        </w:rPr>
        <w:t>fiscal 201</w:t>
      </w:r>
      <w:r w:rsidR="00D257A8">
        <w:rPr>
          <w:rFonts w:ascii="Arial" w:hAnsi="Arial" w:cs="Arial"/>
          <w:lang w:val="es-MX"/>
        </w:rPr>
        <w:t>8</w:t>
      </w:r>
      <w:r w:rsidR="008A4AA4" w:rsidRPr="00945AB2">
        <w:rPr>
          <w:rFonts w:ascii="Arial" w:hAnsi="Arial" w:cs="Arial"/>
          <w:lang w:val="es-MX"/>
        </w:rPr>
        <w:t xml:space="preserve"> emitidas</w:t>
      </w:r>
      <w:r w:rsidR="00021B32" w:rsidRPr="00945AB2">
        <w:rPr>
          <w:rFonts w:ascii="Arial" w:hAnsi="Arial" w:cs="Arial"/>
          <w:lang w:val="es-MX"/>
        </w:rPr>
        <w:t xml:space="preserve"> por el Ministerio de Finanzas Públicas</w:t>
      </w:r>
      <w:r w:rsidR="00F82116" w:rsidRPr="00945AB2">
        <w:rPr>
          <w:rFonts w:ascii="Arial" w:hAnsi="Arial" w:cs="Arial"/>
          <w:lang w:val="es-MX"/>
        </w:rPr>
        <w:t xml:space="preserve"> y del Decreto </w:t>
      </w:r>
      <w:r w:rsidR="0061208E">
        <w:rPr>
          <w:rFonts w:ascii="Arial" w:hAnsi="Arial" w:cs="Arial"/>
          <w:lang w:val="es-MX"/>
        </w:rPr>
        <w:t xml:space="preserve"> </w:t>
      </w:r>
      <w:r w:rsidR="00021B32" w:rsidRPr="00945AB2">
        <w:rPr>
          <w:rFonts w:ascii="Arial" w:hAnsi="Arial" w:cs="Arial"/>
          <w:lang w:val="es-MX"/>
        </w:rPr>
        <w:t xml:space="preserve"> </w:t>
      </w:r>
      <w:r w:rsidR="008A4AA4" w:rsidRPr="00945AB2">
        <w:rPr>
          <w:rFonts w:ascii="Arial" w:hAnsi="Arial" w:cs="Arial"/>
          <w:lang w:val="es-MX"/>
        </w:rPr>
        <w:t>necesidades</w:t>
      </w:r>
      <w:r w:rsidR="00021B32" w:rsidRPr="00945AB2">
        <w:rPr>
          <w:rFonts w:ascii="Arial" w:hAnsi="Arial" w:cs="Arial"/>
          <w:lang w:val="es-MX"/>
        </w:rPr>
        <w:t xml:space="preserve"> </w:t>
      </w:r>
      <w:r w:rsidR="008A4AA4" w:rsidRPr="00945AB2">
        <w:rPr>
          <w:rFonts w:ascii="Arial" w:hAnsi="Arial" w:cs="Arial"/>
          <w:lang w:val="es-MX"/>
        </w:rPr>
        <w:t>de suma importancia</w:t>
      </w:r>
      <w:r w:rsidR="00021B32" w:rsidRPr="00945AB2">
        <w:rPr>
          <w:rFonts w:ascii="Arial" w:hAnsi="Arial" w:cs="Arial"/>
          <w:lang w:val="es-MX"/>
        </w:rPr>
        <w:t xml:space="preserve"> </w:t>
      </w:r>
      <w:r w:rsidR="004050E8" w:rsidRPr="00945AB2">
        <w:rPr>
          <w:rFonts w:ascii="Arial" w:hAnsi="Arial" w:cs="Arial"/>
          <w:lang w:val="es-MX"/>
        </w:rPr>
        <w:t>y así</w:t>
      </w:r>
      <w:r w:rsidR="00021B32" w:rsidRPr="00945AB2">
        <w:rPr>
          <w:rFonts w:ascii="Arial" w:hAnsi="Arial" w:cs="Arial"/>
          <w:lang w:val="es-MX"/>
        </w:rPr>
        <w:t xml:space="preserve"> dar cumplimiento a los Estatutos de la Federación Nacional de Fútbol de Guatemala </w:t>
      </w:r>
      <w:r w:rsidR="004050E8" w:rsidRPr="00945AB2">
        <w:rPr>
          <w:rFonts w:ascii="Arial" w:hAnsi="Arial" w:cs="Arial"/>
          <w:lang w:val="es-MX"/>
        </w:rPr>
        <w:t>para</w:t>
      </w:r>
      <w:r w:rsidR="00021B32" w:rsidRPr="00945AB2">
        <w:rPr>
          <w:rFonts w:ascii="Arial" w:hAnsi="Arial" w:cs="Arial"/>
          <w:lang w:val="es-MX"/>
        </w:rPr>
        <w:t xml:space="preserve"> cumplir con los objetivos trazados </w:t>
      </w:r>
      <w:r w:rsidR="00F73979" w:rsidRPr="00945AB2">
        <w:rPr>
          <w:rFonts w:ascii="Arial" w:hAnsi="Arial" w:cs="Arial"/>
          <w:lang w:val="es-MX"/>
        </w:rPr>
        <w:t>por esta institución para el ejercicio fiscal</w:t>
      </w:r>
      <w:r w:rsidR="00945AB2" w:rsidRPr="00945AB2">
        <w:rPr>
          <w:rFonts w:ascii="Arial" w:hAnsi="Arial" w:cs="Arial"/>
          <w:lang w:val="es-MX"/>
        </w:rPr>
        <w:t xml:space="preserve"> 2018</w:t>
      </w:r>
      <w:r w:rsidR="00021B32" w:rsidRPr="00945AB2">
        <w:rPr>
          <w:rFonts w:ascii="Arial" w:hAnsi="Arial" w:cs="Arial"/>
          <w:lang w:val="es-MX"/>
        </w:rPr>
        <w:t>.</w:t>
      </w:r>
    </w:p>
    <w:p w:rsidR="00A25ABF" w:rsidRDefault="00A25ABF" w:rsidP="007A44A1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992009" w:rsidRDefault="00992009" w:rsidP="004050E8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7E6DEF">
        <w:rPr>
          <w:rFonts w:ascii="Arial" w:hAnsi="Arial" w:cs="Arial"/>
          <w:b/>
          <w:lang w:val="es-MX"/>
        </w:rPr>
        <w:t>Fuente</w:t>
      </w:r>
      <w:r w:rsidR="00C0508F">
        <w:rPr>
          <w:rFonts w:ascii="Arial" w:hAnsi="Arial" w:cs="Arial"/>
          <w:b/>
          <w:lang w:val="es-MX"/>
        </w:rPr>
        <w:t xml:space="preserve"> de Financiamiento</w:t>
      </w:r>
      <w:r w:rsidRPr="007E6DEF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31</w:t>
      </w:r>
      <w:r w:rsidR="00C0508F">
        <w:rPr>
          <w:rFonts w:ascii="Arial" w:hAnsi="Arial" w:cs="Arial"/>
          <w:b/>
          <w:lang w:val="es-MX"/>
        </w:rPr>
        <w:t>,</w:t>
      </w:r>
      <w:r w:rsidRPr="007E6DEF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Ingresos Propios</w:t>
      </w:r>
      <w:r w:rsidRPr="007E6DEF">
        <w:rPr>
          <w:rFonts w:ascii="Arial" w:hAnsi="Arial" w:cs="Arial"/>
          <w:b/>
          <w:lang w:val="es-MX"/>
        </w:rPr>
        <w:t>:</w:t>
      </w:r>
    </w:p>
    <w:p w:rsidR="002C333E" w:rsidRDefault="004050E8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A57E57">
        <w:rPr>
          <w:rFonts w:ascii="Arial" w:hAnsi="Arial" w:cs="Arial"/>
          <w:lang w:val="es-MX"/>
        </w:rPr>
        <w:t>El presupuesto financiado por la generación de recursos propi</w:t>
      </w:r>
      <w:r w:rsidR="009237CC">
        <w:rPr>
          <w:rFonts w:ascii="Arial" w:hAnsi="Arial" w:cs="Arial"/>
          <w:lang w:val="es-MX"/>
        </w:rPr>
        <w:t>o</w:t>
      </w:r>
      <w:r w:rsidRPr="00A57E57">
        <w:rPr>
          <w:rFonts w:ascii="Arial" w:hAnsi="Arial" w:cs="Arial"/>
          <w:lang w:val="es-MX"/>
        </w:rPr>
        <w:t>s,</w:t>
      </w:r>
      <w:r>
        <w:rPr>
          <w:rFonts w:ascii="Arial" w:hAnsi="Arial" w:cs="Arial"/>
          <w:lang w:val="es-MX"/>
        </w:rPr>
        <w:t xml:space="preserve"> </w:t>
      </w:r>
      <w:r w:rsidRPr="00A57E57">
        <w:rPr>
          <w:rFonts w:ascii="Arial" w:hAnsi="Arial" w:cs="Arial"/>
          <w:lang w:val="es-MX"/>
        </w:rPr>
        <w:t xml:space="preserve">fuente de financiamiento 31 </w:t>
      </w:r>
      <w:r w:rsidR="00071322">
        <w:rPr>
          <w:rFonts w:ascii="Arial" w:hAnsi="Arial" w:cs="Arial"/>
          <w:lang w:val="es-MX"/>
        </w:rPr>
        <w:t>Ingresos P</w:t>
      </w:r>
      <w:r w:rsidRPr="00A57E57">
        <w:rPr>
          <w:rFonts w:ascii="Arial" w:hAnsi="Arial" w:cs="Arial"/>
          <w:lang w:val="es-MX"/>
        </w:rPr>
        <w:t>ropios,</w:t>
      </w:r>
      <w:r w:rsidR="00071322">
        <w:rPr>
          <w:rFonts w:ascii="Arial" w:hAnsi="Arial" w:cs="Arial"/>
          <w:lang w:val="es-MX"/>
        </w:rPr>
        <w:t xml:space="preserve"> </w:t>
      </w:r>
      <w:r w:rsidRPr="00A57E57">
        <w:rPr>
          <w:rFonts w:ascii="Arial" w:hAnsi="Arial" w:cs="Arial"/>
          <w:lang w:val="es-MX"/>
        </w:rPr>
        <w:t>derivado de l</w:t>
      </w:r>
      <w:r>
        <w:rPr>
          <w:rFonts w:ascii="Arial" w:hAnsi="Arial" w:cs="Arial"/>
          <w:lang w:val="es-MX"/>
        </w:rPr>
        <w:t>os</w:t>
      </w:r>
      <w:r w:rsidRPr="00A57E57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derechos de tra</w:t>
      </w:r>
      <w:r w:rsidR="00000A15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>smisión, patrocinios</w:t>
      </w:r>
      <w:r w:rsidR="00B47FF8">
        <w:rPr>
          <w:rFonts w:ascii="Arial" w:hAnsi="Arial" w:cs="Arial"/>
          <w:lang w:val="es-MX"/>
        </w:rPr>
        <w:t>, arrendamientos, derechos de inscripción, licencias federativas</w:t>
      </w:r>
      <w:r w:rsidR="00A215AC">
        <w:rPr>
          <w:rFonts w:ascii="Arial" w:hAnsi="Arial" w:cs="Arial"/>
          <w:lang w:val="es-MX"/>
        </w:rPr>
        <w:t>, servicios de capacitación</w:t>
      </w:r>
      <w:r w:rsidR="00B47FF8">
        <w:rPr>
          <w:rFonts w:ascii="Arial" w:hAnsi="Arial" w:cs="Arial"/>
          <w:lang w:val="es-MX"/>
        </w:rPr>
        <w:t xml:space="preserve"> y otros</w:t>
      </w:r>
      <w:r>
        <w:rPr>
          <w:rFonts w:ascii="Arial" w:hAnsi="Arial" w:cs="Arial"/>
          <w:lang w:val="es-MX"/>
        </w:rPr>
        <w:t>;</w:t>
      </w:r>
      <w:r w:rsidR="00071322">
        <w:rPr>
          <w:rFonts w:ascii="Arial" w:hAnsi="Arial" w:cs="Arial"/>
          <w:lang w:val="es-MX"/>
        </w:rPr>
        <w:t xml:space="preserve"> </w:t>
      </w:r>
      <w:r w:rsidR="00071322" w:rsidRPr="00A57E57">
        <w:rPr>
          <w:rFonts w:ascii="Arial" w:hAnsi="Arial" w:cs="Arial"/>
          <w:lang w:val="es-MX"/>
        </w:rPr>
        <w:t xml:space="preserve">alcanzó </w:t>
      </w:r>
      <w:r w:rsidR="00071322" w:rsidRPr="001D779E">
        <w:rPr>
          <w:rFonts w:ascii="Arial" w:hAnsi="Arial" w:cs="Arial"/>
          <w:lang w:val="es-MX"/>
        </w:rPr>
        <w:t>un</w:t>
      </w:r>
      <w:r w:rsidR="00C0508F">
        <w:rPr>
          <w:rFonts w:ascii="Arial" w:hAnsi="Arial" w:cs="Arial"/>
          <w:lang w:val="es-MX"/>
        </w:rPr>
        <w:t xml:space="preserve">a ejecución de </w:t>
      </w:r>
      <w:r w:rsidR="00C0508F">
        <w:rPr>
          <w:rFonts w:ascii="Arial" w:hAnsi="Arial" w:cs="Arial"/>
          <w:lang w:val="es-MX"/>
        </w:rPr>
        <w:lastRenderedPageBreak/>
        <w:t>Q.</w:t>
      </w:r>
      <w:r w:rsidR="00A215E3">
        <w:rPr>
          <w:rFonts w:ascii="Arial" w:eastAsia="Times New Roman" w:hAnsi="Arial" w:cs="Arial"/>
          <w:lang w:eastAsia="es-GT"/>
        </w:rPr>
        <w:t>1,488</w:t>
      </w:r>
      <w:r w:rsidR="007E0AF3" w:rsidRPr="007E0AF3">
        <w:rPr>
          <w:rFonts w:ascii="Arial" w:eastAsia="Times New Roman" w:hAnsi="Arial" w:cs="Arial"/>
          <w:lang w:eastAsia="es-GT"/>
        </w:rPr>
        <w:t>,</w:t>
      </w:r>
      <w:r w:rsidR="00A215E3">
        <w:rPr>
          <w:rFonts w:ascii="Arial" w:eastAsia="Times New Roman" w:hAnsi="Arial" w:cs="Arial"/>
          <w:lang w:eastAsia="es-GT"/>
        </w:rPr>
        <w:t>568</w:t>
      </w:r>
      <w:r w:rsidR="007E0AF3" w:rsidRPr="007E0AF3">
        <w:rPr>
          <w:rFonts w:ascii="Arial" w:eastAsia="Times New Roman" w:hAnsi="Arial" w:cs="Arial"/>
          <w:lang w:eastAsia="es-GT"/>
        </w:rPr>
        <w:t>.</w:t>
      </w:r>
      <w:r w:rsidR="00A215E3">
        <w:rPr>
          <w:rFonts w:ascii="Arial" w:eastAsia="Times New Roman" w:hAnsi="Arial" w:cs="Arial"/>
          <w:lang w:eastAsia="es-GT"/>
        </w:rPr>
        <w:t xml:space="preserve">43 </w:t>
      </w:r>
      <w:r w:rsidR="00992009">
        <w:rPr>
          <w:rFonts w:ascii="Arial" w:hAnsi="Arial" w:cs="Arial"/>
          <w:lang w:val="es-MX"/>
        </w:rPr>
        <w:t xml:space="preserve">equivalente al </w:t>
      </w:r>
      <w:r w:rsidR="00A215E3">
        <w:rPr>
          <w:rFonts w:ascii="Arial" w:hAnsi="Arial" w:cs="Arial"/>
          <w:b/>
          <w:lang w:val="es-MX"/>
        </w:rPr>
        <w:t>16.4</w:t>
      </w:r>
      <w:r w:rsidR="007E0AF3">
        <w:rPr>
          <w:rFonts w:ascii="Arial" w:hAnsi="Arial" w:cs="Arial"/>
          <w:b/>
          <w:lang w:val="es-MX"/>
        </w:rPr>
        <w:t>0</w:t>
      </w:r>
      <w:r w:rsidR="00071322" w:rsidRPr="00DD4096">
        <w:rPr>
          <w:rFonts w:ascii="Arial" w:hAnsi="Arial" w:cs="Arial"/>
          <w:b/>
          <w:lang w:val="es-MX"/>
        </w:rPr>
        <w:t>%</w:t>
      </w:r>
      <w:r w:rsidR="00071322">
        <w:rPr>
          <w:rFonts w:ascii="Arial" w:hAnsi="Arial" w:cs="Arial"/>
          <w:lang w:val="es-MX"/>
        </w:rPr>
        <w:t xml:space="preserve"> de</w:t>
      </w:r>
      <w:r w:rsidR="003873F4">
        <w:rPr>
          <w:rFonts w:ascii="Arial" w:hAnsi="Arial" w:cs="Arial"/>
          <w:lang w:val="es-MX"/>
        </w:rPr>
        <w:t>l presupuesto vigente</w:t>
      </w:r>
      <w:r w:rsidR="00071322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los cuales </w:t>
      </w:r>
      <w:r w:rsidRPr="00A57E57">
        <w:rPr>
          <w:rFonts w:ascii="Arial" w:hAnsi="Arial" w:cs="Arial"/>
          <w:lang w:val="es-MX"/>
        </w:rPr>
        <w:t>fue</w:t>
      </w:r>
      <w:r>
        <w:rPr>
          <w:rFonts w:ascii="Arial" w:hAnsi="Arial" w:cs="Arial"/>
          <w:lang w:val="es-MX"/>
        </w:rPr>
        <w:t>ron</w:t>
      </w:r>
      <w:r w:rsidRPr="00A57E57">
        <w:rPr>
          <w:rFonts w:ascii="Arial" w:hAnsi="Arial" w:cs="Arial"/>
          <w:lang w:val="es-MX"/>
        </w:rPr>
        <w:t xml:space="preserve"> utilizado</w:t>
      </w:r>
      <w:r>
        <w:rPr>
          <w:rFonts w:ascii="Arial" w:hAnsi="Arial" w:cs="Arial"/>
          <w:lang w:val="es-MX"/>
        </w:rPr>
        <w:t>s</w:t>
      </w:r>
      <w:r w:rsidRPr="00A57E57">
        <w:rPr>
          <w:rFonts w:ascii="Arial" w:hAnsi="Arial" w:cs="Arial"/>
          <w:lang w:val="es-MX"/>
        </w:rPr>
        <w:t xml:space="preserve"> conforme el comportamiento de</w:t>
      </w:r>
      <w:r>
        <w:rPr>
          <w:rFonts w:ascii="Arial" w:hAnsi="Arial" w:cs="Arial"/>
          <w:lang w:val="es-MX"/>
        </w:rPr>
        <w:t xml:space="preserve"> su</w:t>
      </w:r>
      <w:r w:rsidRPr="00A57E57">
        <w:rPr>
          <w:rFonts w:ascii="Arial" w:hAnsi="Arial" w:cs="Arial"/>
          <w:lang w:val="es-MX"/>
        </w:rPr>
        <w:t xml:space="preserve"> recaudación</w:t>
      </w:r>
      <w:r>
        <w:rPr>
          <w:rFonts w:ascii="Arial" w:hAnsi="Arial" w:cs="Arial"/>
          <w:lang w:val="es-MX"/>
        </w:rPr>
        <w:t xml:space="preserve">. </w:t>
      </w:r>
    </w:p>
    <w:p w:rsidR="001B048A" w:rsidRDefault="001B048A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2C333E" w:rsidRDefault="001B048A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Dicha ejecución está integrada por los pagos de, nóminas de personal temporal y permanente que prestan sus servicios a esta Federación Nacional de Fútbol en las áreas administrativas y de apoyo,</w:t>
      </w:r>
      <w:r w:rsidR="00BC73DE">
        <w:rPr>
          <w:rFonts w:ascii="Arial" w:hAnsi="Arial" w:cs="Arial"/>
          <w:lang w:val="es-MX"/>
        </w:rPr>
        <w:t xml:space="preserve"> las cuales empezaron a pagarse a partir del mes de marzo con dicha fuente,</w:t>
      </w:r>
      <w:r>
        <w:rPr>
          <w:rFonts w:ascii="Arial" w:hAnsi="Arial" w:cs="Arial"/>
          <w:lang w:val="es-MX"/>
        </w:rPr>
        <w:t xml:space="preserve"> así como sus correspondientes cuotas patronales, </w:t>
      </w:r>
      <w:r w:rsidR="0006727A">
        <w:rPr>
          <w:rFonts w:ascii="Arial" w:hAnsi="Arial" w:cs="Arial"/>
          <w:lang w:val="es-MX"/>
        </w:rPr>
        <w:t>ascendiendo a la cantidad de Q.8</w:t>
      </w:r>
      <w:r>
        <w:rPr>
          <w:rFonts w:ascii="Arial" w:hAnsi="Arial" w:cs="Arial"/>
          <w:lang w:val="es-MX"/>
        </w:rPr>
        <w:t>66,154.64</w:t>
      </w:r>
      <w:r w:rsidR="009445D0">
        <w:rPr>
          <w:rFonts w:ascii="Arial" w:hAnsi="Arial" w:cs="Arial"/>
          <w:lang w:val="es-MX"/>
        </w:rPr>
        <w:t>;</w:t>
      </w:r>
      <w:r w:rsidR="00197B4A">
        <w:rPr>
          <w:rFonts w:ascii="Arial" w:hAnsi="Arial" w:cs="Arial"/>
          <w:lang w:val="es-MX"/>
        </w:rPr>
        <w:t xml:space="preserve"> pago por servicios básicos de energía eléctrica, telefonía, correspondencia, extracción de basura y servicios de impresión, la cantidad de Q.99,979.62; servicio de transporte a jugadores de las diferentes Selecciones Nacionales concentrados en las instalaciones de Proyecto Goal Q.17,951.40; pago por el arrendamiento de las fotocopiadoras, servicio de mantenimiento a vehículos de la institución, servicios a aires acondicionados y el servicio por cambio de chapa a puertas, la cantidad de Q.15,215.00; pagos por servicios técnicos y profesionales prestados a esta institución como asesores jurídicos, servicios méd</w:t>
      </w:r>
      <w:r w:rsidR="00BA6965">
        <w:rPr>
          <w:rFonts w:ascii="Arial" w:hAnsi="Arial" w:cs="Arial"/>
          <w:lang w:val="es-MX"/>
        </w:rPr>
        <w:t xml:space="preserve">ico sanitarios y servicios de arbitraje la cantidad de Q.181,839.77; pago por impuestos, derechos y tasas, por servicios de atención y protocolo, de vigilancia y seguridad, entre otros gastos varios, la cantidad de Q.112,015.00; </w:t>
      </w:r>
      <w:r>
        <w:rPr>
          <w:rFonts w:ascii="Arial" w:hAnsi="Arial" w:cs="Arial"/>
          <w:lang w:val="es-MX"/>
        </w:rPr>
        <w:t xml:space="preserve"> </w:t>
      </w:r>
      <w:r w:rsidR="0006727A">
        <w:rPr>
          <w:rFonts w:ascii="Arial" w:hAnsi="Arial" w:cs="Arial"/>
          <w:lang w:val="es-MX"/>
        </w:rPr>
        <w:t>la compra de materiales y suministros tales como alimentos, resmas de papel, cuadernos, libretas, folder, renovaciones de suscripciones de periódicos, tintas y tóner para impresoras, combustibles y lubricantes, timbres fiscales y notariales, entre otros útiles de oficina, eléctricos y de limpieza, la cantidad de Q.69,971.91</w:t>
      </w:r>
      <w:r w:rsidR="007E1FCA">
        <w:rPr>
          <w:rFonts w:ascii="Arial" w:hAnsi="Arial" w:cs="Arial"/>
          <w:lang w:val="es-MX"/>
        </w:rPr>
        <w:t>; también se incluye el pago de indemnizaciones y vacaciones pagadas por retiro al personal que prestó sus servicios a esta institución, en concepto de prestaciones laborales, la cantidad de Q.125,441.09</w:t>
      </w:r>
      <w:r w:rsidR="002C333E">
        <w:rPr>
          <w:rFonts w:ascii="Arial" w:hAnsi="Arial" w:cs="Arial"/>
          <w:lang w:val="es-MX"/>
        </w:rPr>
        <w:t>.</w:t>
      </w:r>
    </w:p>
    <w:p w:rsidR="002C333E" w:rsidRDefault="002C333E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090848" w:rsidRDefault="00C34BCC" w:rsidP="00090848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continuación, se presenta</w:t>
      </w:r>
      <w:r w:rsidR="00671229">
        <w:rPr>
          <w:rFonts w:ascii="Arial" w:hAnsi="Arial" w:cs="Arial"/>
          <w:lang w:val="es-MX"/>
        </w:rPr>
        <w:t xml:space="preserve"> una gráfica de barras que manifiesta la ejecución por fuente de financiamiento detal</w:t>
      </w:r>
      <w:r w:rsidR="002C6A40">
        <w:rPr>
          <w:rFonts w:ascii="Arial" w:hAnsi="Arial" w:cs="Arial"/>
          <w:lang w:val="es-MX"/>
        </w:rPr>
        <w:t>lando los límites de ejecución.</w:t>
      </w:r>
    </w:p>
    <w:p w:rsidR="00090848" w:rsidRDefault="00090848" w:rsidP="002C6A40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2C333E" w:rsidRDefault="002C333E" w:rsidP="002C6A40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2C333E" w:rsidRDefault="002C333E" w:rsidP="002C6A40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2C333E" w:rsidRDefault="002C333E" w:rsidP="002C6A40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2C333E" w:rsidRDefault="002C333E" w:rsidP="002C333E">
      <w:pPr>
        <w:spacing w:after="0" w:line="240" w:lineRule="auto"/>
        <w:rPr>
          <w:rFonts w:ascii="Arial" w:hAnsi="Arial" w:cs="Arial"/>
          <w:b/>
          <w:lang w:val="es-MX"/>
        </w:rPr>
      </w:pPr>
    </w:p>
    <w:p w:rsidR="00D257A8" w:rsidRDefault="00D257A8" w:rsidP="002C333E">
      <w:pPr>
        <w:spacing w:after="0" w:line="240" w:lineRule="auto"/>
        <w:rPr>
          <w:rFonts w:ascii="Arial" w:hAnsi="Arial" w:cs="Arial"/>
          <w:b/>
          <w:lang w:val="es-MX"/>
        </w:rPr>
      </w:pPr>
    </w:p>
    <w:p w:rsidR="00D257A8" w:rsidRDefault="00D257A8" w:rsidP="002C333E">
      <w:pPr>
        <w:spacing w:after="0" w:line="240" w:lineRule="auto"/>
        <w:rPr>
          <w:rFonts w:ascii="Arial" w:hAnsi="Arial" w:cs="Arial"/>
          <w:b/>
          <w:lang w:val="es-MX"/>
        </w:rPr>
      </w:pPr>
    </w:p>
    <w:p w:rsidR="00D257A8" w:rsidRDefault="00D257A8" w:rsidP="002C333E">
      <w:pPr>
        <w:spacing w:after="0" w:line="240" w:lineRule="auto"/>
        <w:rPr>
          <w:rFonts w:ascii="Arial" w:hAnsi="Arial" w:cs="Arial"/>
          <w:b/>
          <w:lang w:val="es-MX"/>
        </w:rPr>
      </w:pPr>
    </w:p>
    <w:p w:rsidR="00D257A8" w:rsidRDefault="00D257A8" w:rsidP="002C333E">
      <w:pPr>
        <w:spacing w:after="0" w:line="240" w:lineRule="auto"/>
        <w:rPr>
          <w:rFonts w:ascii="Arial" w:hAnsi="Arial" w:cs="Arial"/>
          <w:b/>
          <w:lang w:val="es-MX"/>
        </w:rPr>
      </w:pPr>
    </w:p>
    <w:p w:rsidR="00D257A8" w:rsidRDefault="00D257A8" w:rsidP="002C333E">
      <w:pPr>
        <w:spacing w:after="0" w:line="240" w:lineRule="auto"/>
        <w:rPr>
          <w:rFonts w:ascii="Arial" w:hAnsi="Arial" w:cs="Arial"/>
          <w:b/>
          <w:lang w:val="es-MX"/>
        </w:rPr>
      </w:pPr>
    </w:p>
    <w:p w:rsidR="00DC456C" w:rsidRPr="002D27CF" w:rsidRDefault="00731DB7" w:rsidP="002C333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lastRenderedPageBreak/>
        <w:t>Gráfica No.</w:t>
      </w:r>
      <w:r w:rsidR="00147BD1">
        <w:rPr>
          <w:rFonts w:ascii="Arial" w:hAnsi="Arial" w:cs="Arial"/>
          <w:b/>
          <w:lang w:val="es-MX"/>
        </w:rPr>
        <w:t>2</w:t>
      </w:r>
    </w:p>
    <w:p w:rsidR="00DC456C" w:rsidRPr="002D27CF" w:rsidRDefault="00466EFC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Federación Nacional de Fútbol de Guatemala</w:t>
      </w:r>
    </w:p>
    <w:p w:rsidR="002C6A40" w:rsidRPr="002D27CF" w:rsidRDefault="00731DB7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Ejecución del</w:t>
      </w:r>
      <w:r w:rsidR="00DC456C" w:rsidRPr="002D27CF">
        <w:rPr>
          <w:rFonts w:ascii="Arial" w:hAnsi="Arial" w:cs="Arial"/>
          <w:b/>
          <w:lang w:val="es-MX"/>
        </w:rPr>
        <w:t xml:space="preserve"> </w:t>
      </w:r>
      <w:r w:rsidRPr="002D27CF">
        <w:rPr>
          <w:rFonts w:ascii="Arial" w:hAnsi="Arial" w:cs="Arial"/>
          <w:b/>
          <w:lang w:val="es-MX"/>
        </w:rPr>
        <w:t>Presupuesto Acumulado</w:t>
      </w:r>
    </w:p>
    <w:p w:rsidR="00CA2B76" w:rsidRDefault="008F0DD3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B43BD7">
        <w:rPr>
          <w:rFonts w:ascii="Arial" w:hAnsi="Arial" w:cs="Arial"/>
          <w:b/>
          <w:lang w:val="es-MX"/>
        </w:rPr>
        <w:t>30</w:t>
      </w:r>
      <w:r w:rsidR="00A158A6">
        <w:rPr>
          <w:rFonts w:ascii="Arial" w:hAnsi="Arial" w:cs="Arial"/>
          <w:b/>
          <w:lang w:val="es-MX"/>
        </w:rPr>
        <w:t xml:space="preserve"> de </w:t>
      </w:r>
      <w:r w:rsidR="00B43BD7">
        <w:rPr>
          <w:rFonts w:ascii="Arial" w:hAnsi="Arial" w:cs="Arial"/>
          <w:b/>
          <w:lang w:val="es-MX"/>
        </w:rPr>
        <w:t xml:space="preserve">abril </w:t>
      </w:r>
      <w:r w:rsidR="0037521D">
        <w:rPr>
          <w:rFonts w:ascii="Arial" w:hAnsi="Arial" w:cs="Arial"/>
          <w:b/>
          <w:lang w:val="es-MX"/>
        </w:rPr>
        <w:t>201</w:t>
      </w:r>
      <w:r w:rsidR="00CA2B76">
        <w:rPr>
          <w:rFonts w:ascii="Arial" w:hAnsi="Arial" w:cs="Arial"/>
          <w:b/>
          <w:lang w:val="es-MX"/>
        </w:rPr>
        <w:t>8</w:t>
      </w:r>
    </w:p>
    <w:p w:rsidR="002C333E" w:rsidRDefault="002C333E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766FFB" w:rsidRDefault="002C333E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01248" behindDoc="1" locked="0" layoutInCell="1" allowOverlap="1" wp14:anchorId="2CB5B939" wp14:editId="65EEF079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495925" cy="3028950"/>
            <wp:effectExtent l="0" t="0" r="0" b="0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33E" w:rsidRDefault="002C333E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C333E" w:rsidRDefault="002C333E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C333E" w:rsidRDefault="002C333E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C333E" w:rsidRDefault="002C333E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C333E" w:rsidRDefault="002C333E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C333E" w:rsidRDefault="002C333E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C333E" w:rsidRDefault="002C333E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C333E" w:rsidRDefault="002C333E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C333E" w:rsidRDefault="002C333E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C333E" w:rsidRDefault="002C333E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C333E" w:rsidRDefault="002C333E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C333E" w:rsidRDefault="002C333E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C333E" w:rsidRDefault="002C333E" w:rsidP="002C333E">
      <w:pPr>
        <w:tabs>
          <w:tab w:val="left" w:pos="7440"/>
        </w:tabs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</w:r>
    </w:p>
    <w:p w:rsidR="002C333E" w:rsidRDefault="002C333E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C333E" w:rsidRDefault="002C333E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C333E" w:rsidRDefault="002C333E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C333E" w:rsidRDefault="002C333E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C333E" w:rsidRDefault="002C333E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C333E" w:rsidRDefault="002C333E" w:rsidP="002C6A4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C333E" w:rsidRDefault="002C333E" w:rsidP="00271194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271194" w:rsidRDefault="00671229" w:rsidP="00271194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</w:t>
      </w:r>
      <w:r w:rsidR="00205BC3">
        <w:rPr>
          <w:rFonts w:ascii="Arial" w:hAnsi="Arial" w:cs="Arial"/>
          <w:lang w:val="es-MX"/>
        </w:rPr>
        <w:t>l siguiente cuadro manifiesta la</w:t>
      </w:r>
      <w:r>
        <w:rPr>
          <w:rFonts w:ascii="Arial" w:hAnsi="Arial" w:cs="Arial"/>
          <w:lang w:val="es-MX"/>
        </w:rPr>
        <w:t xml:space="preserve"> ejecución presupuestaria de esta institución a nivel de grupo</w:t>
      </w:r>
      <w:r w:rsidR="00766FFB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 xml:space="preserve">gastos. </w:t>
      </w:r>
      <w:r w:rsidR="00F74A78">
        <w:rPr>
          <w:rFonts w:ascii="Arial" w:hAnsi="Arial" w:cs="Arial"/>
          <w:lang w:val="es-MX"/>
        </w:rPr>
        <w:t>La clasificación de gastos se realizó con base a</w:t>
      </w:r>
      <w:r>
        <w:rPr>
          <w:rFonts w:ascii="Arial" w:hAnsi="Arial" w:cs="Arial"/>
          <w:lang w:val="es-MX"/>
        </w:rPr>
        <w:t>l Manual de Clasificación Presupuestaria.</w:t>
      </w:r>
    </w:p>
    <w:p w:rsidR="002C6A40" w:rsidRDefault="002C6A40" w:rsidP="00271194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766FFB" w:rsidRDefault="00766FFB" w:rsidP="00271194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</w:p>
    <w:p w:rsidR="00AC3B89" w:rsidRPr="002D27CF" w:rsidRDefault="00147BD1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Cuadro No.  2</w:t>
      </w:r>
    </w:p>
    <w:p w:rsidR="00AC3B89" w:rsidRPr="002D27CF" w:rsidRDefault="00F1386A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Federación Nacional de Fútbol de Guatemala</w:t>
      </w:r>
    </w:p>
    <w:p w:rsidR="00AC3B89" w:rsidRDefault="00A35CAA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Ejecución Presupuestaria</w:t>
      </w:r>
      <w:r w:rsidR="00AC3B89" w:rsidRPr="002D27CF">
        <w:rPr>
          <w:rFonts w:ascii="Arial" w:hAnsi="Arial" w:cs="Arial"/>
          <w:b/>
          <w:lang w:val="es-MX"/>
        </w:rPr>
        <w:t xml:space="preserve"> Acumulada </w:t>
      </w:r>
      <w:r w:rsidRPr="002D27CF">
        <w:rPr>
          <w:rFonts w:ascii="Arial" w:hAnsi="Arial" w:cs="Arial"/>
          <w:b/>
          <w:lang w:val="es-MX"/>
        </w:rPr>
        <w:t>por Grupo</w:t>
      </w:r>
      <w:r w:rsidR="00AC3B89" w:rsidRPr="002D27CF">
        <w:rPr>
          <w:rFonts w:ascii="Arial" w:hAnsi="Arial" w:cs="Arial"/>
          <w:b/>
          <w:lang w:val="es-MX"/>
        </w:rPr>
        <w:t xml:space="preserve"> de Gasto</w:t>
      </w:r>
    </w:p>
    <w:p w:rsidR="00F74A78" w:rsidRDefault="000B056D" w:rsidP="00F74A7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B43BD7">
        <w:rPr>
          <w:rFonts w:ascii="Arial" w:hAnsi="Arial" w:cs="Arial"/>
          <w:b/>
          <w:lang w:val="es-MX"/>
        </w:rPr>
        <w:t>30</w:t>
      </w:r>
      <w:r w:rsidR="00C53588">
        <w:rPr>
          <w:rFonts w:ascii="Arial" w:hAnsi="Arial" w:cs="Arial"/>
          <w:b/>
          <w:lang w:val="es-MX"/>
        </w:rPr>
        <w:t xml:space="preserve"> de </w:t>
      </w:r>
      <w:r w:rsidR="00B43BD7">
        <w:rPr>
          <w:rFonts w:ascii="Arial" w:hAnsi="Arial" w:cs="Arial"/>
          <w:b/>
          <w:lang w:val="es-MX"/>
        </w:rPr>
        <w:t xml:space="preserve">abril </w:t>
      </w:r>
      <w:r w:rsidR="00271194">
        <w:rPr>
          <w:rFonts w:ascii="Arial" w:hAnsi="Arial" w:cs="Arial"/>
          <w:b/>
          <w:lang w:val="es-MX"/>
        </w:rPr>
        <w:t>2018</w:t>
      </w:r>
    </w:p>
    <w:tbl>
      <w:tblPr>
        <w:tblW w:w="9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3183"/>
        <w:gridCol w:w="1431"/>
        <w:gridCol w:w="1431"/>
        <w:gridCol w:w="1431"/>
        <w:gridCol w:w="1431"/>
      </w:tblGrid>
      <w:tr w:rsidR="00205BC3" w:rsidRPr="00205BC3" w:rsidTr="00205BC3">
        <w:trPr>
          <w:trHeight w:val="5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GRP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 xml:space="preserve"> DESCRIPCIÓN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EJECUCIÓN ACUMULADA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SALDO POR EJECUTAR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% EJECUTADO</w:t>
            </w:r>
          </w:p>
        </w:tc>
      </w:tr>
      <w:tr w:rsidR="00205BC3" w:rsidRPr="00205BC3" w:rsidTr="00205BC3">
        <w:trPr>
          <w:trHeight w:val="34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000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 Servicios  Personales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8,457,404.00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2,129,580.38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6,327,823.62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25.18%</w:t>
            </w:r>
          </w:p>
        </w:tc>
      </w:tr>
      <w:tr w:rsidR="00205BC3" w:rsidRPr="00205BC3" w:rsidTr="00205BC3">
        <w:trPr>
          <w:trHeight w:val="34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 Servicios No Personales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4,315,394.00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602,695.70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3,712,698.30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13.97%</w:t>
            </w:r>
          </w:p>
        </w:tc>
      </w:tr>
      <w:tr w:rsidR="00205BC3" w:rsidRPr="00205BC3" w:rsidTr="00205BC3">
        <w:trPr>
          <w:trHeight w:val="34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200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 Materiales y Suministros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1,440,255.00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208,367.16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1,231,887.84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14.47%</w:t>
            </w:r>
          </w:p>
        </w:tc>
      </w:tr>
      <w:tr w:rsidR="00205BC3" w:rsidRPr="00205BC3" w:rsidTr="00205BC3">
        <w:trPr>
          <w:trHeight w:val="34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300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 Propiedad, Equipo e Intangibles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37,825.00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1,075.00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36,750.00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2.84%</w:t>
            </w:r>
          </w:p>
        </w:tc>
      </w:tr>
      <w:tr w:rsidR="00205BC3" w:rsidRPr="00205BC3" w:rsidTr="00205BC3">
        <w:trPr>
          <w:trHeight w:val="34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400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 Transferencias Corrientes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1,865,443.00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786,493.86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1,078,949.14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42.16%</w:t>
            </w:r>
          </w:p>
        </w:tc>
      </w:tr>
      <w:tr w:rsidR="00205BC3" w:rsidRPr="00205BC3" w:rsidTr="00205BC3">
        <w:trPr>
          <w:trHeight w:val="34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Total general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16,116,321.00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3,728,212.10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12,388,108.90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23.13%</w:t>
            </w:r>
          </w:p>
        </w:tc>
      </w:tr>
    </w:tbl>
    <w:p w:rsidR="001A2491" w:rsidRDefault="001A2491" w:rsidP="006F5455">
      <w:pPr>
        <w:spacing w:before="40" w:after="0"/>
        <w:rPr>
          <w:rFonts w:ascii="Arial" w:hAnsi="Arial" w:cs="Arial"/>
          <w:sz w:val="14"/>
          <w:lang w:val="es-MX"/>
        </w:rPr>
      </w:pPr>
      <w:r w:rsidRPr="002D27CF">
        <w:rPr>
          <w:rFonts w:ascii="Arial" w:hAnsi="Arial" w:cs="Arial"/>
          <w:sz w:val="14"/>
          <w:lang w:val="es-MX"/>
        </w:rPr>
        <w:t>Fuente: Sistema de Contabilidad Integrada Gubernamental</w:t>
      </w:r>
    </w:p>
    <w:p w:rsidR="00271194" w:rsidRDefault="00271194" w:rsidP="00271194">
      <w:pPr>
        <w:spacing w:after="0" w:line="240" w:lineRule="auto"/>
        <w:rPr>
          <w:rFonts w:ascii="Arial" w:hAnsi="Arial" w:cs="Arial"/>
          <w:b/>
          <w:lang w:val="es-MX"/>
        </w:rPr>
      </w:pPr>
    </w:p>
    <w:p w:rsidR="002717B9" w:rsidRPr="002D27CF" w:rsidRDefault="00A35CAA" w:rsidP="002717B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lastRenderedPageBreak/>
        <w:t>Gráfica No.</w:t>
      </w:r>
      <w:r w:rsidR="002717B9" w:rsidRPr="002D27CF">
        <w:rPr>
          <w:rFonts w:ascii="Arial" w:hAnsi="Arial" w:cs="Arial"/>
          <w:b/>
          <w:lang w:val="es-MX"/>
        </w:rPr>
        <w:t>3</w:t>
      </w:r>
    </w:p>
    <w:p w:rsidR="00F1386A" w:rsidRPr="002D27CF" w:rsidRDefault="00F1386A" w:rsidP="00F1386A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Federación Nacional de Fútbol de Guatemala</w:t>
      </w:r>
    </w:p>
    <w:p w:rsidR="002717B9" w:rsidRPr="002D27CF" w:rsidRDefault="00A35CAA" w:rsidP="002717B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Ejecución del</w:t>
      </w:r>
      <w:r w:rsidR="002717B9" w:rsidRPr="002D27CF">
        <w:rPr>
          <w:rFonts w:ascii="Arial" w:hAnsi="Arial" w:cs="Arial"/>
          <w:b/>
          <w:lang w:val="es-MX"/>
        </w:rPr>
        <w:t xml:space="preserve"> </w:t>
      </w:r>
      <w:r w:rsidRPr="002D27CF">
        <w:rPr>
          <w:rFonts w:ascii="Arial" w:hAnsi="Arial" w:cs="Arial"/>
          <w:b/>
          <w:lang w:val="es-MX"/>
        </w:rPr>
        <w:t>Presupuesto grupo</w:t>
      </w:r>
      <w:r w:rsidR="002717B9" w:rsidRPr="002D27CF">
        <w:rPr>
          <w:rFonts w:ascii="Arial" w:hAnsi="Arial" w:cs="Arial"/>
          <w:b/>
          <w:lang w:val="es-MX"/>
        </w:rPr>
        <w:t xml:space="preserve"> de gastos</w:t>
      </w:r>
    </w:p>
    <w:p w:rsidR="00CA2B76" w:rsidRDefault="00A158A6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B43BD7">
        <w:rPr>
          <w:rFonts w:ascii="Arial" w:hAnsi="Arial" w:cs="Arial"/>
          <w:b/>
          <w:lang w:val="es-MX"/>
        </w:rPr>
        <w:t>30</w:t>
      </w:r>
      <w:r w:rsidR="00801B3A">
        <w:rPr>
          <w:rFonts w:ascii="Arial" w:hAnsi="Arial" w:cs="Arial"/>
          <w:b/>
          <w:lang w:val="es-MX"/>
        </w:rPr>
        <w:t xml:space="preserve"> de </w:t>
      </w:r>
      <w:r w:rsidR="00B43BD7">
        <w:rPr>
          <w:rFonts w:ascii="Arial" w:hAnsi="Arial" w:cs="Arial"/>
          <w:b/>
          <w:lang w:val="es-MX"/>
        </w:rPr>
        <w:t xml:space="preserve">abril </w:t>
      </w:r>
      <w:r w:rsidR="0037521D">
        <w:rPr>
          <w:rFonts w:ascii="Arial" w:hAnsi="Arial" w:cs="Arial"/>
          <w:b/>
          <w:lang w:val="es-MX"/>
        </w:rPr>
        <w:t>201</w:t>
      </w:r>
      <w:r w:rsidR="00CA2B76">
        <w:rPr>
          <w:rFonts w:ascii="Arial" w:hAnsi="Arial" w:cs="Arial"/>
          <w:b/>
          <w:lang w:val="es-MX"/>
        </w:rPr>
        <w:t>8</w:t>
      </w:r>
    </w:p>
    <w:p w:rsidR="00205BC3" w:rsidRDefault="00205BC3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05BC3" w:rsidRDefault="00205BC3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03296" behindDoc="1" locked="0" layoutInCell="1" allowOverlap="1" wp14:anchorId="02F0615D" wp14:editId="0E912D8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753100" cy="4171950"/>
            <wp:effectExtent l="0" t="0" r="0" b="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BC3" w:rsidRDefault="00205BC3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05BC3" w:rsidRDefault="00205BC3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05BC3" w:rsidRDefault="00205BC3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05BC3" w:rsidRDefault="00205BC3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05BC3" w:rsidRDefault="00205BC3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05BC3" w:rsidRDefault="00205BC3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05BC3" w:rsidRDefault="00205BC3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05BC3" w:rsidRDefault="00205BC3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05BC3" w:rsidRDefault="00205BC3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05BC3" w:rsidRDefault="00205BC3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205BC3" w:rsidRDefault="00205BC3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C53588" w:rsidRDefault="00C53588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CA2B76" w:rsidRDefault="00CA2B76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C53588" w:rsidRDefault="00C53588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C53588" w:rsidRDefault="00C53588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C53588" w:rsidRDefault="00C53588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C53588" w:rsidRDefault="00C53588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C53588" w:rsidRDefault="00C53588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C53588" w:rsidRDefault="00C53588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C53588" w:rsidRDefault="00C53588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C53588" w:rsidRDefault="00C53588" w:rsidP="00CA2B76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E20CEB" w:rsidRDefault="00E20CEB" w:rsidP="00D539F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B36A0E" w:rsidRDefault="00B36A0E" w:rsidP="00B77289">
      <w:pPr>
        <w:tabs>
          <w:tab w:val="left" w:pos="1545"/>
        </w:tabs>
        <w:spacing w:after="0" w:line="240" w:lineRule="auto"/>
        <w:rPr>
          <w:rFonts w:ascii="Arial" w:hAnsi="Arial" w:cs="Arial"/>
          <w:b/>
          <w:lang w:val="es-MX"/>
        </w:rPr>
      </w:pPr>
    </w:p>
    <w:p w:rsidR="00205BC3" w:rsidRDefault="00205BC3" w:rsidP="00E46F6A">
      <w:pPr>
        <w:spacing w:after="0" w:line="360" w:lineRule="auto"/>
        <w:jc w:val="both"/>
        <w:rPr>
          <w:noProof/>
          <w:lang w:val="es-ES" w:eastAsia="es-ES"/>
        </w:rPr>
      </w:pPr>
    </w:p>
    <w:p w:rsidR="00205BC3" w:rsidRDefault="00205BC3" w:rsidP="00E46F6A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4058F9" w:rsidRDefault="00E9196E" w:rsidP="00E46F6A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Del</w:t>
      </w:r>
      <w:r w:rsidR="004058F9" w:rsidRPr="00A17DC5">
        <w:rPr>
          <w:rFonts w:ascii="Arial" w:hAnsi="Arial" w:cs="Arial"/>
          <w:lang w:val="es-MX"/>
        </w:rPr>
        <w:t xml:space="preserve"> resultado </w:t>
      </w:r>
      <w:r w:rsidR="00DA0AEB">
        <w:rPr>
          <w:rFonts w:ascii="Arial" w:hAnsi="Arial" w:cs="Arial"/>
          <w:lang w:val="es-MX"/>
        </w:rPr>
        <w:t>de las asig</w:t>
      </w:r>
      <w:r w:rsidR="00CA2B76">
        <w:rPr>
          <w:rFonts w:ascii="Arial" w:hAnsi="Arial" w:cs="Arial"/>
          <w:lang w:val="es-MX"/>
        </w:rPr>
        <w:t xml:space="preserve">naciones presupuestarias por </w:t>
      </w:r>
      <w:r w:rsidR="00DA0AEB">
        <w:rPr>
          <w:rFonts w:ascii="Arial" w:hAnsi="Arial" w:cs="Arial"/>
          <w:lang w:val="es-MX"/>
        </w:rPr>
        <w:t>tipo de gasto</w:t>
      </w:r>
      <w:r w:rsidR="0089407D" w:rsidRPr="00A17DC5">
        <w:rPr>
          <w:rFonts w:ascii="Arial" w:hAnsi="Arial" w:cs="Arial"/>
          <w:lang w:val="es-MX"/>
        </w:rPr>
        <w:t xml:space="preserve"> fue </w:t>
      </w:r>
      <w:r>
        <w:rPr>
          <w:rFonts w:ascii="Arial" w:hAnsi="Arial" w:cs="Arial"/>
          <w:lang w:val="es-MX"/>
        </w:rPr>
        <w:t xml:space="preserve">ejecutado </w:t>
      </w:r>
      <w:r w:rsidR="000F4CCC" w:rsidRPr="00A17DC5">
        <w:rPr>
          <w:rFonts w:ascii="Arial" w:hAnsi="Arial" w:cs="Arial"/>
          <w:lang w:val="es-MX"/>
        </w:rPr>
        <w:t xml:space="preserve">al </w:t>
      </w:r>
      <w:r w:rsidR="00205BC3">
        <w:rPr>
          <w:rFonts w:ascii="Arial" w:hAnsi="Arial" w:cs="Arial"/>
          <w:lang w:val="es-MX"/>
        </w:rPr>
        <w:t>30</w:t>
      </w:r>
      <w:r w:rsidR="00DE1BD7">
        <w:rPr>
          <w:rFonts w:ascii="Arial" w:hAnsi="Arial" w:cs="Arial"/>
          <w:lang w:val="es-MX"/>
        </w:rPr>
        <w:t xml:space="preserve"> </w:t>
      </w:r>
      <w:r w:rsidR="000F4CCC" w:rsidRPr="00A17DC5">
        <w:rPr>
          <w:rFonts w:ascii="Arial" w:hAnsi="Arial" w:cs="Arial"/>
          <w:lang w:val="es-MX"/>
        </w:rPr>
        <w:t xml:space="preserve">de </w:t>
      </w:r>
      <w:r w:rsidR="00205BC3">
        <w:rPr>
          <w:rFonts w:ascii="Arial" w:hAnsi="Arial" w:cs="Arial"/>
          <w:lang w:val="es-MX"/>
        </w:rPr>
        <w:t>abril</w:t>
      </w:r>
      <w:r w:rsidR="0064490F">
        <w:rPr>
          <w:rFonts w:ascii="Arial" w:hAnsi="Arial" w:cs="Arial"/>
          <w:lang w:val="es-MX"/>
        </w:rPr>
        <w:t>,</w:t>
      </w:r>
      <w:r w:rsidR="003060D9">
        <w:rPr>
          <w:rFonts w:ascii="Arial" w:hAnsi="Arial" w:cs="Arial"/>
          <w:lang w:val="es-MX"/>
        </w:rPr>
        <w:t xml:space="preserve"> </w:t>
      </w:r>
      <w:r w:rsidR="0089407D" w:rsidRPr="00A17DC5">
        <w:rPr>
          <w:rFonts w:ascii="Arial" w:hAnsi="Arial" w:cs="Arial"/>
          <w:lang w:val="es-MX"/>
        </w:rPr>
        <w:t>el valor de Q</w:t>
      </w:r>
      <w:r w:rsidR="00223F72" w:rsidRPr="00A17DC5">
        <w:rPr>
          <w:rFonts w:ascii="Arial" w:hAnsi="Arial" w:cs="Arial"/>
          <w:lang w:val="es-MX"/>
        </w:rPr>
        <w:t>.</w:t>
      </w:r>
      <w:r w:rsidR="00205BC3">
        <w:rPr>
          <w:rFonts w:ascii="Arial" w:hAnsi="Arial" w:cs="Arial"/>
          <w:lang w:val="es-MX"/>
        </w:rPr>
        <w:t>3,728</w:t>
      </w:r>
      <w:r w:rsidR="00DE1BD7">
        <w:rPr>
          <w:rFonts w:ascii="Arial" w:hAnsi="Arial" w:cs="Arial"/>
          <w:lang w:val="es-MX"/>
        </w:rPr>
        <w:t>,</w:t>
      </w:r>
      <w:r w:rsidR="00205BC3">
        <w:rPr>
          <w:rFonts w:ascii="Arial" w:hAnsi="Arial" w:cs="Arial"/>
          <w:lang w:val="es-MX"/>
        </w:rPr>
        <w:t>212</w:t>
      </w:r>
      <w:r w:rsidR="00DE1BD7">
        <w:rPr>
          <w:rFonts w:ascii="Arial" w:hAnsi="Arial" w:cs="Arial"/>
          <w:lang w:val="es-MX"/>
        </w:rPr>
        <w:t>.</w:t>
      </w:r>
      <w:r w:rsidR="00205BC3">
        <w:rPr>
          <w:rFonts w:ascii="Arial" w:hAnsi="Arial" w:cs="Arial"/>
          <w:lang w:val="es-MX"/>
        </w:rPr>
        <w:t>10</w:t>
      </w:r>
      <w:r w:rsidR="009E5FD6">
        <w:rPr>
          <w:rFonts w:ascii="Arial" w:hAnsi="Arial" w:cs="Arial"/>
          <w:lang w:val="es-MX"/>
        </w:rPr>
        <w:t xml:space="preserve"> </w:t>
      </w:r>
      <w:r w:rsidR="00DA0AEB">
        <w:rPr>
          <w:rFonts w:ascii="Arial" w:hAnsi="Arial" w:cs="Arial"/>
          <w:lang w:val="es-MX"/>
        </w:rPr>
        <w:t>en gastos de funcionamiento</w:t>
      </w:r>
      <w:r w:rsidR="00972104">
        <w:rPr>
          <w:rFonts w:ascii="Arial" w:hAnsi="Arial" w:cs="Arial"/>
          <w:lang w:val="es-MX"/>
        </w:rPr>
        <w:t>,</w:t>
      </w:r>
      <w:r w:rsidR="00B36A0E">
        <w:rPr>
          <w:rFonts w:ascii="Arial" w:hAnsi="Arial" w:cs="Arial"/>
          <w:lang w:val="es-MX"/>
        </w:rPr>
        <w:t xml:space="preserve"> </w:t>
      </w:r>
      <w:r w:rsidR="00DA0AEB">
        <w:rPr>
          <w:rFonts w:ascii="Arial" w:hAnsi="Arial" w:cs="Arial"/>
          <w:lang w:val="es-MX"/>
        </w:rPr>
        <w:t>lo que</w:t>
      </w:r>
      <w:r>
        <w:rPr>
          <w:rFonts w:ascii="Arial" w:hAnsi="Arial" w:cs="Arial"/>
          <w:lang w:val="es-MX"/>
        </w:rPr>
        <w:t xml:space="preserve"> equivale </w:t>
      </w:r>
      <w:r w:rsidR="00205BC3" w:rsidRPr="00205BC3">
        <w:rPr>
          <w:rFonts w:ascii="Arial" w:hAnsi="Arial" w:cs="Arial"/>
          <w:b/>
          <w:lang w:val="es-MX"/>
        </w:rPr>
        <w:t>23</w:t>
      </w:r>
      <w:r w:rsidR="00DE1BD7" w:rsidRPr="00205BC3">
        <w:rPr>
          <w:rFonts w:ascii="Arial" w:hAnsi="Arial" w:cs="Arial"/>
          <w:b/>
          <w:lang w:val="es-MX"/>
        </w:rPr>
        <w:t>.</w:t>
      </w:r>
      <w:r w:rsidR="00205BC3">
        <w:rPr>
          <w:rFonts w:ascii="Arial" w:hAnsi="Arial" w:cs="Arial"/>
          <w:b/>
          <w:lang w:val="es-MX"/>
        </w:rPr>
        <w:t>13</w:t>
      </w:r>
      <w:r w:rsidR="00DA0AEB" w:rsidRPr="00FB253B">
        <w:rPr>
          <w:rFonts w:ascii="Arial" w:hAnsi="Arial" w:cs="Arial"/>
          <w:b/>
          <w:lang w:val="es-MX"/>
        </w:rPr>
        <w:t>%</w:t>
      </w:r>
      <w:r w:rsidR="00DA0AEB">
        <w:rPr>
          <w:rFonts w:ascii="Arial" w:hAnsi="Arial" w:cs="Arial"/>
          <w:lang w:val="es-MX"/>
        </w:rPr>
        <w:t xml:space="preserve"> de</w:t>
      </w:r>
      <w:r>
        <w:rPr>
          <w:rFonts w:ascii="Arial" w:hAnsi="Arial" w:cs="Arial"/>
          <w:lang w:val="es-MX"/>
        </w:rPr>
        <w:t>l presupuesto vigente</w:t>
      </w:r>
      <w:r w:rsidR="00DA0AEB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>la</w:t>
      </w:r>
      <w:r w:rsidR="00DA0AEB">
        <w:rPr>
          <w:rFonts w:ascii="Arial" w:hAnsi="Arial" w:cs="Arial"/>
          <w:lang w:val="es-MX"/>
        </w:rPr>
        <w:t xml:space="preserve"> Federación</w:t>
      </w:r>
      <w:r w:rsidR="0064490F">
        <w:rPr>
          <w:rFonts w:ascii="Arial" w:hAnsi="Arial" w:cs="Arial"/>
          <w:lang w:val="es-MX"/>
        </w:rPr>
        <w:t xml:space="preserve"> Nacional de Fútbol</w:t>
      </w:r>
      <w:r w:rsidR="00E20CEB">
        <w:rPr>
          <w:rFonts w:ascii="Arial" w:hAnsi="Arial" w:cs="Arial"/>
          <w:lang w:val="es-MX"/>
        </w:rPr>
        <w:t xml:space="preserve"> de Guatemala</w:t>
      </w:r>
      <w:r w:rsidR="005916F2">
        <w:rPr>
          <w:rFonts w:ascii="Arial" w:hAnsi="Arial" w:cs="Arial"/>
          <w:lang w:val="es-MX"/>
        </w:rPr>
        <w:t xml:space="preserve"> </w:t>
      </w:r>
      <w:r w:rsidR="00537B74">
        <w:rPr>
          <w:rFonts w:ascii="Arial" w:hAnsi="Arial" w:cs="Arial"/>
          <w:lang w:val="es-MX"/>
        </w:rPr>
        <w:t>correspondiente al</w:t>
      </w:r>
      <w:r w:rsidR="00012A26">
        <w:rPr>
          <w:rFonts w:ascii="Arial" w:hAnsi="Arial" w:cs="Arial"/>
          <w:lang w:val="es-MX"/>
        </w:rPr>
        <w:t xml:space="preserve"> ejercicio fiscal 2018</w:t>
      </w:r>
      <w:r w:rsidR="00FE5030">
        <w:rPr>
          <w:rFonts w:ascii="Arial" w:hAnsi="Arial" w:cs="Arial"/>
          <w:lang w:val="es-MX"/>
        </w:rPr>
        <w:t xml:space="preserve">.  </w:t>
      </w:r>
    </w:p>
    <w:p w:rsidR="00FD49CD" w:rsidRDefault="00FD49CD" w:rsidP="00CA2B76">
      <w:pPr>
        <w:spacing w:after="0" w:line="360" w:lineRule="auto"/>
        <w:jc w:val="center"/>
        <w:rPr>
          <w:rFonts w:ascii="Arial" w:hAnsi="Arial" w:cs="Arial"/>
          <w:lang w:val="es-MX"/>
        </w:rPr>
      </w:pPr>
    </w:p>
    <w:p w:rsidR="00FD49CD" w:rsidRDefault="00FD49CD" w:rsidP="00E46F6A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 el objeto de facilitar la interpretación de la ejecución por tipo de gastos y fuente de financiamiento, en el siguiente cuadro se detallan los montos ejecutados y sus destinos hacia el funcionamiento e inversión de esta institución.</w:t>
      </w:r>
    </w:p>
    <w:p w:rsidR="00090848" w:rsidRDefault="00090848" w:rsidP="00DE1BD7">
      <w:pPr>
        <w:spacing w:after="0" w:line="240" w:lineRule="auto"/>
        <w:rPr>
          <w:rFonts w:ascii="Arial" w:hAnsi="Arial" w:cs="Arial"/>
          <w:b/>
          <w:lang w:val="es-MX"/>
        </w:rPr>
      </w:pPr>
    </w:p>
    <w:p w:rsidR="00205BC3" w:rsidRDefault="00205BC3" w:rsidP="00DE1BD7">
      <w:pPr>
        <w:spacing w:after="0" w:line="240" w:lineRule="auto"/>
        <w:rPr>
          <w:rFonts w:ascii="Arial" w:hAnsi="Arial" w:cs="Arial"/>
          <w:b/>
          <w:lang w:val="es-MX"/>
        </w:rPr>
      </w:pPr>
    </w:p>
    <w:p w:rsidR="00205BC3" w:rsidRDefault="00205BC3" w:rsidP="00DE1BD7">
      <w:pPr>
        <w:spacing w:after="0" w:line="240" w:lineRule="auto"/>
        <w:rPr>
          <w:rFonts w:ascii="Arial" w:hAnsi="Arial" w:cs="Arial"/>
          <w:b/>
          <w:lang w:val="es-MX"/>
        </w:rPr>
      </w:pPr>
    </w:p>
    <w:p w:rsidR="00205BC3" w:rsidRDefault="00205BC3" w:rsidP="00DE1BD7">
      <w:pPr>
        <w:spacing w:after="0" w:line="240" w:lineRule="auto"/>
        <w:rPr>
          <w:rFonts w:ascii="Arial" w:hAnsi="Arial" w:cs="Arial"/>
          <w:b/>
          <w:lang w:val="es-MX"/>
        </w:rPr>
      </w:pPr>
    </w:p>
    <w:p w:rsidR="00205BC3" w:rsidRDefault="00205BC3" w:rsidP="00DE1BD7">
      <w:pPr>
        <w:spacing w:after="0" w:line="240" w:lineRule="auto"/>
        <w:rPr>
          <w:rFonts w:ascii="Arial" w:hAnsi="Arial" w:cs="Arial"/>
          <w:b/>
          <w:lang w:val="es-MX"/>
        </w:rPr>
      </w:pPr>
    </w:p>
    <w:p w:rsidR="00205BC3" w:rsidRDefault="00205BC3" w:rsidP="00DE1BD7">
      <w:pPr>
        <w:spacing w:after="0" w:line="240" w:lineRule="auto"/>
        <w:rPr>
          <w:rFonts w:ascii="Arial" w:hAnsi="Arial" w:cs="Arial"/>
          <w:b/>
          <w:lang w:val="es-MX"/>
        </w:rPr>
      </w:pPr>
    </w:p>
    <w:p w:rsidR="00205BC3" w:rsidRDefault="00205BC3" w:rsidP="00DE1BD7">
      <w:pPr>
        <w:spacing w:after="0" w:line="240" w:lineRule="auto"/>
        <w:rPr>
          <w:rFonts w:ascii="Arial" w:hAnsi="Arial" w:cs="Arial"/>
          <w:b/>
          <w:lang w:val="es-MX"/>
        </w:rPr>
      </w:pPr>
    </w:p>
    <w:p w:rsidR="00090848" w:rsidRDefault="00090848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D76F2F" w:rsidRPr="002D27CF" w:rsidRDefault="00D76F2F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Cuadro No. </w:t>
      </w:r>
      <w:r w:rsidR="007D4095">
        <w:rPr>
          <w:rFonts w:ascii="Arial" w:hAnsi="Arial" w:cs="Arial"/>
          <w:b/>
          <w:lang w:val="es-MX"/>
        </w:rPr>
        <w:t>3</w:t>
      </w:r>
    </w:p>
    <w:p w:rsidR="00D76F2F" w:rsidRPr="00DA0AEB" w:rsidRDefault="00D76F2F" w:rsidP="00D76F2F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 </w:t>
      </w:r>
      <w:r w:rsidR="00DA0AEB">
        <w:rPr>
          <w:rFonts w:ascii="Arial" w:hAnsi="Arial" w:cs="Arial"/>
          <w:b/>
          <w:lang w:val="es-MX"/>
        </w:rPr>
        <w:t>Federación Nacional de Fútbol de Guatemala</w:t>
      </w:r>
    </w:p>
    <w:p w:rsidR="004B27EC" w:rsidRPr="002D27CF" w:rsidRDefault="004B27EC" w:rsidP="00D76F2F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Ejecutado por tipo de </w:t>
      </w:r>
      <w:r w:rsidR="00283B7D">
        <w:rPr>
          <w:rFonts w:ascii="Arial" w:hAnsi="Arial" w:cs="Arial"/>
          <w:b/>
          <w:lang w:val="es-MX"/>
        </w:rPr>
        <w:t>gasto y fuente de f</w:t>
      </w:r>
      <w:r>
        <w:rPr>
          <w:rFonts w:ascii="Arial" w:hAnsi="Arial" w:cs="Arial"/>
          <w:b/>
          <w:lang w:val="es-MX"/>
        </w:rPr>
        <w:t>inanciamiento</w:t>
      </w:r>
    </w:p>
    <w:p w:rsidR="001B1C99" w:rsidRDefault="00205BC3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Al 30</w:t>
      </w:r>
      <w:r w:rsidR="00E9196E">
        <w:rPr>
          <w:rFonts w:ascii="Arial" w:hAnsi="Arial" w:cs="Arial"/>
          <w:b/>
          <w:lang w:val="es-MX"/>
        </w:rPr>
        <w:t xml:space="preserve"> </w:t>
      </w:r>
      <w:r w:rsidR="00A158A6">
        <w:rPr>
          <w:rFonts w:ascii="Arial" w:hAnsi="Arial" w:cs="Arial"/>
          <w:b/>
          <w:lang w:val="es-MX"/>
        </w:rPr>
        <w:t xml:space="preserve">de </w:t>
      </w:r>
      <w:r>
        <w:rPr>
          <w:rFonts w:ascii="Arial" w:hAnsi="Arial" w:cs="Arial"/>
          <w:b/>
          <w:lang w:val="es-MX"/>
        </w:rPr>
        <w:t xml:space="preserve">abril </w:t>
      </w:r>
      <w:r w:rsidR="0037521D">
        <w:rPr>
          <w:rFonts w:ascii="Arial" w:hAnsi="Arial" w:cs="Arial"/>
          <w:b/>
          <w:lang w:val="es-MX"/>
        </w:rPr>
        <w:t>201</w:t>
      </w:r>
      <w:r w:rsidR="00012A26">
        <w:rPr>
          <w:rFonts w:ascii="Arial" w:hAnsi="Arial" w:cs="Arial"/>
          <w:b/>
          <w:lang w:val="es-MX"/>
        </w:rPr>
        <w:t>8</w:t>
      </w:r>
    </w:p>
    <w:tbl>
      <w:tblPr>
        <w:tblW w:w="9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135"/>
        <w:gridCol w:w="1409"/>
        <w:gridCol w:w="1409"/>
        <w:gridCol w:w="1409"/>
        <w:gridCol w:w="1409"/>
      </w:tblGrid>
      <w:tr w:rsidR="00205BC3" w:rsidRPr="00205BC3" w:rsidTr="00417E2A">
        <w:trPr>
          <w:trHeight w:val="581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FF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 xml:space="preserve"> DESCRIPCIÓN 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EJECUCIÓN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SALDO POR EJECUTAR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% EJECUTADO</w:t>
            </w:r>
          </w:p>
        </w:tc>
      </w:tr>
      <w:tr w:rsidR="00205BC3" w:rsidRPr="00205BC3" w:rsidTr="00417E2A">
        <w:trPr>
          <w:trHeight w:val="348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</w:tr>
      <w:tr w:rsidR="00205BC3" w:rsidRPr="00205BC3" w:rsidTr="00417E2A">
        <w:trPr>
          <w:trHeight w:val="418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 xml:space="preserve"> Total  Institución   (10+20)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eastAsia="es-GT"/>
              </w:rPr>
              <w:t>16,116,321.00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eastAsia="es-GT"/>
              </w:rPr>
              <w:t>3,728,212.10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eastAsia="es-GT"/>
              </w:rPr>
              <w:t>12,388,108.90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eastAsia="es-GT"/>
              </w:rPr>
              <w:t>23.13%</w:t>
            </w:r>
          </w:p>
        </w:tc>
      </w:tr>
      <w:tr w:rsidR="00205BC3" w:rsidRPr="00205BC3" w:rsidTr="00417E2A">
        <w:trPr>
          <w:trHeight w:val="418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 </w:t>
            </w:r>
          </w:p>
        </w:tc>
      </w:tr>
      <w:tr w:rsidR="00205BC3" w:rsidRPr="00205BC3" w:rsidTr="00417E2A">
        <w:trPr>
          <w:trHeight w:val="418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Gastos de funcionamiento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16,078,496.00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3,727,137.10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12,351,358.90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23.18%</w:t>
            </w:r>
          </w:p>
        </w:tc>
      </w:tr>
      <w:tr w:rsidR="00205BC3" w:rsidRPr="00205BC3" w:rsidTr="00417E2A">
        <w:trPr>
          <w:trHeight w:val="698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Disminución de Caja y Bancos de Recursos del Tesoro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1,098,111.00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918,116.94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179,994.06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83.61%</w:t>
            </w:r>
          </w:p>
        </w:tc>
      </w:tr>
      <w:tr w:rsidR="00205BC3" w:rsidRPr="00205BC3" w:rsidTr="00417E2A">
        <w:trPr>
          <w:trHeight w:val="698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Ingresos Ordinarios de Aporte Constitucional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5,927,270.00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1,320,451.73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4,606,818.27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22.28%</w:t>
            </w:r>
          </w:p>
        </w:tc>
      </w:tr>
      <w:tr w:rsidR="00205BC3" w:rsidRPr="00205BC3" w:rsidTr="00417E2A">
        <w:trPr>
          <w:trHeight w:val="348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Ingresos Propios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9,053,115.00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1,488,568.43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7,564,546.57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16.44%</w:t>
            </w:r>
          </w:p>
        </w:tc>
      </w:tr>
      <w:tr w:rsidR="00205BC3" w:rsidRPr="00205BC3" w:rsidTr="00417E2A">
        <w:trPr>
          <w:trHeight w:val="698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Disminución de Caja y Bancos de Ingresos Propios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0.00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0.00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0.00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0.00%</w:t>
            </w:r>
          </w:p>
        </w:tc>
      </w:tr>
      <w:tr w:rsidR="00205BC3" w:rsidRPr="00205BC3" w:rsidTr="00417E2A">
        <w:trPr>
          <w:trHeight w:val="348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</w:tr>
      <w:tr w:rsidR="00205BC3" w:rsidRPr="00205BC3" w:rsidTr="00417E2A">
        <w:trPr>
          <w:trHeight w:val="418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 xml:space="preserve">Inversión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37,825.00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1,075.00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36,750.00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2.84%</w:t>
            </w:r>
          </w:p>
        </w:tc>
      </w:tr>
      <w:tr w:rsidR="00205BC3" w:rsidRPr="00205BC3" w:rsidTr="00417E2A">
        <w:trPr>
          <w:trHeight w:val="698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 xml:space="preserve">Ingresos Ordinarios de Aporte Constitucional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12,350.00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1,075.00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11,275.00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8.70%</w:t>
            </w:r>
          </w:p>
        </w:tc>
      </w:tr>
      <w:tr w:rsidR="00205BC3" w:rsidRPr="00205BC3" w:rsidTr="00417E2A">
        <w:trPr>
          <w:trHeight w:val="348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Ingresos Propios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25,475.00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25,475.00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0.00%</w:t>
            </w:r>
          </w:p>
        </w:tc>
      </w:tr>
      <w:tr w:rsidR="00205BC3" w:rsidRPr="00205BC3" w:rsidTr="00417E2A">
        <w:trPr>
          <w:trHeight w:val="372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5BC3" w:rsidRPr="00205BC3" w:rsidRDefault="00205BC3" w:rsidP="00205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205BC3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</w:tr>
    </w:tbl>
    <w:p w:rsidR="00CA2B76" w:rsidRPr="001A2491" w:rsidRDefault="006F5455" w:rsidP="006F5455">
      <w:pPr>
        <w:spacing w:before="40" w:after="0"/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sz w:val="14"/>
          <w:lang w:val="es-MX"/>
        </w:rPr>
        <w:t xml:space="preserve"> </w:t>
      </w:r>
      <w:r w:rsidR="001A2491" w:rsidRPr="002D27CF">
        <w:rPr>
          <w:rFonts w:ascii="Arial" w:hAnsi="Arial" w:cs="Arial"/>
          <w:sz w:val="14"/>
          <w:lang w:val="es-MX"/>
        </w:rPr>
        <w:t>Fuente: Sistema de Contabilidad Integrada Gubernamental</w:t>
      </w:r>
    </w:p>
    <w:p w:rsidR="00090848" w:rsidRDefault="00090848" w:rsidP="00FD49CD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CA2B76" w:rsidRPr="00E9196E" w:rsidRDefault="00FD49CD" w:rsidP="00E9196E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estructura presupuestaria programada para la ejecución de los fondos de esta Federación para el ejercicio </w:t>
      </w:r>
      <w:r w:rsidR="00CA2B76">
        <w:rPr>
          <w:rFonts w:ascii="Arial" w:hAnsi="Arial" w:cs="Arial"/>
          <w:lang w:val="es-MX"/>
        </w:rPr>
        <w:t>fiscal 2018</w:t>
      </w:r>
      <w:r>
        <w:rPr>
          <w:rFonts w:ascii="Arial" w:hAnsi="Arial" w:cs="Arial"/>
          <w:lang w:val="es-MX"/>
        </w:rPr>
        <w:t>, está clasificada por actividades, que detalla y facilitan la interpretación del destino de los recursos hacia la iniciación, formación y especialización de los atletas federados, gastos de administración y capacitación, y sobre los aportes que son efectu</w:t>
      </w:r>
      <w:r w:rsidR="00E9196E">
        <w:rPr>
          <w:rFonts w:ascii="Arial" w:hAnsi="Arial" w:cs="Arial"/>
          <w:lang w:val="es-MX"/>
        </w:rPr>
        <w:t>ados a las Asofútbol afiliadas.</w:t>
      </w:r>
    </w:p>
    <w:p w:rsidR="00CA2B76" w:rsidRDefault="00CA2B76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3841A8" w:rsidRDefault="003841A8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3841A8" w:rsidRDefault="003841A8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3841A8" w:rsidRDefault="003841A8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DE1BD7" w:rsidRDefault="00DE1BD7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417E2A" w:rsidRDefault="00417E2A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417E2A" w:rsidRDefault="00417E2A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4F5E10" w:rsidRPr="002D27CF" w:rsidRDefault="00147BD1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Cuadro No. </w:t>
      </w:r>
      <w:r w:rsidR="007D4095">
        <w:rPr>
          <w:rFonts w:ascii="Arial" w:hAnsi="Arial" w:cs="Arial"/>
          <w:b/>
          <w:lang w:val="es-MX"/>
        </w:rPr>
        <w:t>4</w:t>
      </w:r>
    </w:p>
    <w:p w:rsidR="004F5E10" w:rsidRPr="002D27CF" w:rsidRDefault="00DA0AEB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Federación Nacional de Fútbol de Guatemala</w:t>
      </w:r>
    </w:p>
    <w:p w:rsidR="004F5E10" w:rsidRPr="002D27CF" w:rsidRDefault="004F5E10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Ejecución presupuestaria acumulada por Actividad</w:t>
      </w:r>
    </w:p>
    <w:p w:rsidR="00F00281" w:rsidRDefault="009D3065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05344" behindDoc="1" locked="0" layoutInCell="1" allowOverlap="1" wp14:anchorId="360D314F" wp14:editId="00D4C730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6334125" cy="1704975"/>
            <wp:effectExtent l="19050" t="19050" r="28575" b="28575"/>
            <wp:wrapNone/>
            <wp:docPr id="7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3:$H$12"/>
                        </a:ext>
                      </a:extLst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7049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8A6" w:rsidRPr="00C42D73">
        <w:rPr>
          <w:rFonts w:ascii="Arial" w:hAnsi="Arial" w:cs="Arial"/>
          <w:b/>
          <w:lang w:val="es-MX"/>
        </w:rPr>
        <w:t xml:space="preserve">Hasta el </w:t>
      </w:r>
      <w:r w:rsidR="00C8554A">
        <w:rPr>
          <w:rFonts w:ascii="Arial" w:hAnsi="Arial" w:cs="Arial"/>
          <w:b/>
          <w:lang w:val="es-MX"/>
        </w:rPr>
        <w:t>3</w:t>
      </w:r>
      <w:r w:rsidR="000F4D42">
        <w:rPr>
          <w:rFonts w:ascii="Arial" w:hAnsi="Arial" w:cs="Arial"/>
          <w:b/>
          <w:lang w:val="es-MX"/>
        </w:rPr>
        <w:t>0</w:t>
      </w:r>
      <w:r w:rsidR="00D43EF7">
        <w:rPr>
          <w:rFonts w:ascii="Arial" w:hAnsi="Arial" w:cs="Arial"/>
          <w:b/>
          <w:lang w:val="es-MX"/>
        </w:rPr>
        <w:t xml:space="preserve"> </w:t>
      </w:r>
      <w:r w:rsidR="00A158A6" w:rsidRPr="00C42D73">
        <w:rPr>
          <w:rFonts w:ascii="Arial" w:hAnsi="Arial" w:cs="Arial"/>
          <w:b/>
          <w:lang w:val="es-MX"/>
        </w:rPr>
        <w:t xml:space="preserve">de </w:t>
      </w:r>
      <w:r w:rsidR="000F4D42">
        <w:rPr>
          <w:rFonts w:ascii="Arial" w:hAnsi="Arial" w:cs="Arial"/>
          <w:b/>
          <w:lang w:val="es-MX"/>
        </w:rPr>
        <w:t xml:space="preserve">abril </w:t>
      </w:r>
      <w:r w:rsidR="0037521D" w:rsidRPr="00C42D73">
        <w:rPr>
          <w:rFonts w:ascii="Arial" w:hAnsi="Arial" w:cs="Arial"/>
          <w:b/>
          <w:lang w:val="es-MX"/>
        </w:rPr>
        <w:t>201</w:t>
      </w:r>
      <w:r w:rsidR="00CA2B76">
        <w:rPr>
          <w:rFonts w:ascii="Arial" w:hAnsi="Arial" w:cs="Arial"/>
          <w:b/>
          <w:lang w:val="es-MX"/>
        </w:rPr>
        <w:t>8</w:t>
      </w:r>
    </w:p>
    <w:p w:rsidR="000F4D42" w:rsidRDefault="000F4D42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0F4D42" w:rsidRDefault="000F4D42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0F4D42" w:rsidRDefault="000F4D42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0F4D42" w:rsidRDefault="000F4D42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0F4D42" w:rsidRDefault="000F4D42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0F4D42" w:rsidRDefault="000F4D42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0F4D42" w:rsidRDefault="000F4D42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0F4D42" w:rsidRDefault="000F4D42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0F4D42" w:rsidRDefault="000F4D42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0F4D42" w:rsidRDefault="000F4D42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0F4D42" w:rsidRDefault="000F4D42" w:rsidP="006F5455">
      <w:pPr>
        <w:spacing w:before="60" w:after="0"/>
        <w:rPr>
          <w:rFonts w:ascii="Arial" w:hAnsi="Arial" w:cs="Arial"/>
          <w:sz w:val="14"/>
          <w:lang w:val="es-MX"/>
        </w:rPr>
      </w:pPr>
    </w:p>
    <w:p w:rsidR="001B1C99" w:rsidRDefault="004F5E10" w:rsidP="006F5455">
      <w:pPr>
        <w:spacing w:before="60" w:after="0"/>
        <w:rPr>
          <w:rFonts w:ascii="Arial" w:hAnsi="Arial" w:cs="Arial"/>
          <w:sz w:val="14"/>
          <w:lang w:val="es-MX"/>
        </w:rPr>
      </w:pPr>
      <w:r w:rsidRPr="002D27CF">
        <w:rPr>
          <w:rFonts w:ascii="Arial" w:hAnsi="Arial" w:cs="Arial"/>
          <w:sz w:val="14"/>
          <w:lang w:val="es-MX"/>
        </w:rPr>
        <w:t xml:space="preserve">Fuente: Sistema de </w:t>
      </w:r>
      <w:r w:rsidR="00A83A4B" w:rsidRPr="002D27CF">
        <w:rPr>
          <w:rFonts w:ascii="Arial" w:hAnsi="Arial" w:cs="Arial"/>
          <w:sz w:val="14"/>
          <w:lang w:val="es-MX"/>
        </w:rPr>
        <w:t>Contabilidad Integrada</w:t>
      </w:r>
      <w:r w:rsidRPr="002D27CF">
        <w:rPr>
          <w:rFonts w:ascii="Arial" w:hAnsi="Arial" w:cs="Arial"/>
          <w:sz w:val="14"/>
          <w:lang w:val="es-MX"/>
        </w:rPr>
        <w:t xml:space="preserve"> Gubernamental</w:t>
      </w:r>
    </w:p>
    <w:p w:rsidR="00E9196E" w:rsidRDefault="00E9196E" w:rsidP="00E9196E">
      <w:pPr>
        <w:spacing w:after="0" w:line="240" w:lineRule="auto"/>
        <w:rPr>
          <w:rFonts w:ascii="Arial" w:hAnsi="Arial" w:cs="Arial"/>
          <w:b/>
          <w:lang w:val="es-MX"/>
        </w:rPr>
      </w:pPr>
    </w:p>
    <w:p w:rsidR="00E9196E" w:rsidRDefault="00E9196E" w:rsidP="00223F7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AC3B89" w:rsidRPr="00AA48E8" w:rsidRDefault="008B0094" w:rsidP="00223F7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AA48E8">
        <w:rPr>
          <w:rFonts w:ascii="Arial" w:hAnsi="Arial" w:cs="Arial"/>
          <w:b/>
          <w:lang w:val="es-MX"/>
        </w:rPr>
        <w:t xml:space="preserve">Cuadro No. </w:t>
      </w:r>
      <w:r w:rsidR="00092883" w:rsidRPr="00AA48E8">
        <w:rPr>
          <w:rFonts w:ascii="Arial" w:hAnsi="Arial" w:cs="Arial"/>
          <w:b/>
          <w:lang w:val="es-MX"/>
        </w:rPr>
        <w:t>5</w:t>
      </w:r>
    </w:p>
    <w:p w:rsidR="00D352A5" w:rsidRPr="00AA48E8" w:rsidRDefault="00D352A5" w:rsidP="00D352A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AA48E8">
        <w:rPr>
          <w:rFonts w:ascii="Arial" w:hAnsi="Arial" w:cs="Arial"/>
          <w:b/>
          <w:lang w:val="es-MX"/>
        </w:rPr>
        <w:t>Federación Nacional de Fútbol de Guatemala</w:t>
      </w:r>
    </w:p>
    <w:p w:rsidR="00AC3B89" w:rsidRPr="00AA48E8" w:rsidRDefault="00AC3B89" w:rsidP="001760F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AA48E8">
        <w:rPr>
          <w:rFonts w:ascii="Arial" w:hAnsi="Arial" w:cs="Arial"/>
          <w:b/>
          <w:lang w:val="es-MX"/>
        </w:rPr>
        <w:t xml:space="preserve">Ejecución presupuestaria acumulada por </w:t>
      </w:r>
      <w:r w:rsidR="00A83A4B" w:rsidRPr="00AA48E8">
        <w:rPr>
          <w:rFonts w:ascii="Arial" w:hAnsi="Arial" w:cs="Arial"/>
          <w:b/>
          <w:lang w:val="es-MX"/>
        </w:rPr>
        <w:t>programas y</w:t>
      </w:r>
      <w:r w:rsidRPr="00AA48E8">
        <w:rPr>
          <w:rFonts w:ascii="Arial" w:hAnsi="Arial" w:cs="Arial"/>
          <w:b/>
          <w:lang w:val="es-MX"/>
        </w:rPr>
        <w:t xml:space="preserve"> grupo de gasto </w:t>
      </w:r>
    </w:p>
    <w:p w:rsidR="00E704CA" w:rsidRDefault="0052162A" w:rsidP="001760F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Al 3</w:t>
      </w:r>
      <w:r w:rsidR="000F4D42">
        <w:rPr>
          <w:rFonts w:ascii="Arial" w:hAnsi="Arial" w:cs="Arial"/>
          <w:b/>
          <w:lang w:val="es-MX"/>
        </w:rPr>
        <w:t>0</w:t>
      </w:r>
      <w:r w:rsidR="00A158A6" w:rsidRPr="00AA48E8">
        <w:rPr>
          <w:rFonts w:ascii="Arial" w:hAnsi="Arial" w:cs="Arial"/>
          <w:b/>
          <w:lang w:val="es-MX"/>
        </w:rPr>
        <w:t xml:space="preserve"> de </w:t>
      </w:r>
      <w:r w:rsidR="000F4D42">
        <w:rPr>
          <w:rFonts w:ascii="Arial" w:hAnsi="Arial" w:cs="Arial"/>
          <w:b/>
          <w:lang w:val="es-MX"/>
        </w:rPr>
        <w:t xml:space="preserve">abril </w:t>
      </w:r>
      <w:r w:rsidR="0037521D" w:rsidRPr="00AA48E8">
        <w:rPr>
          <w:rFonts w:ascii="Arial" w:hAnsi="Arial" w:cs="Arial"/>
          <w:b/>
          <w:lang w:val="es-MX"/>
        </w:rPr>
        <w:t>201</w:t>
      </w:r>
      <w:r w:rsidR="00AA48E8" w:rsidRPr="00AA48E8">
        <w:rPr>
          <w:rFonts w:ascii="Arial" w:hAnsi="Arial" w:cs="Arial"/>
          <w:b/>
          <w:lang w:val="es-MX"/>
        </w:rPr>
        <w:t>8</w:t>
      </w:r>
    </w:p>
    <w:tbl>
      <w:tblPr>
        <w:tblW w:w="94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887"/>
        <w:gridCol w:w="1301"/>
        <w:gridCol w:w="1602"/>
        <w:gridCol w:w="1592"/>
        <w:gridCol w:w="1574"/>
      </w:tblGrid>
      <w:tr w:rsidR="000F4D42" w:rsidRPr="000F4D42" w:rsidTr="000F4D42">
        <w:trPr>
          <w:trHeight w:val="412"/>
        </w:trPr>
        <w:tc>
          <w:tcPr>
            <w:tcW w:w="94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  <w:t xml:space="preserve">Atletas Federados y Formados </w:t>
            </w:r>
          </w:p>
        </w:tc>
      </w:tr>
      <w:tr w:rsidR="000F4D42" w:rsidRPr="000F4D42" w:rsidTr="000F4D42">
        <w:trPr>
          <w:trHeight w:val="6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GRP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 xml:space="preserve"> DESCRIPCIÓN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EJECUCIÓN ACUMULADA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SALDO POR EJECUTAR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% EJECUTADO</w:t>
            </w:r>
          </w:p>
        </w:tc>
      </w:tr>
      <w:tr w:rsidR="000F4D42" w:rsidRPr="000F4D42" w:rsidTr="000F4D42">
        <w:trPr>
          <w:trHeight w:val="38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 xml:space="preserve"> Servicios  Personales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8,457,404.00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2,129,580.38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6,327,823.62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25.18%</w:t>
            </w:r>
          </w:p>
        </w:tc>
      </w:tr>
      <w:tr w:rsidR="000F4D42" w:rsidRPr="000F4D42" w:rsidTr="000F4D42">
        <w:trPr>
          <w:trHeight w:val="38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100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 xml:space="preserve"> Servicios No Personales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4,315,394.00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602,695.70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3,712,698.30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13.97%</w:t>
            </w:r>
          </w:p>
        </w:tc>
      </w:tr>
      <w:tr w:rsidR="000F4D42" w:rsidRPr="000F4D42" w:rsidTr="000F4D42">
        <w:trPr>
          <w:trHeight w:val="38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200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 xml:space="preserve"> Materiales y Suministros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1,440,255.00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208,367.16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1,231,887.84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14.47%</w:t>
            </w:r>
          </w:p>
        </w:tc>
      </w:tr>
      <w:tr w:rsidR="000F4D42" w:rsidRPr="000F4D42" w:rsidTr="000F4D42">
        <w:trPr>
          <w:trHeight w:val="38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300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 xml:space="preserve"> Propiedad, Equipo e Intangibles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37,825.00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1,075.00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36,750.00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2.84%</w:t>
            </w:r>
          </w:p>
        </w:tc>
      </w:tr>
      <w:tr w:rsidR="000F4D42" w:rsidRPr="000F4D42" w:rsidTr="000F4D42">
        <w:trPr>
          <w:trHeight w:val="38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400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 xml:space="preserve"> Transferencias corrientes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523,534.00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485,789.86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37,744.14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92.79%</w:t>
            </w:r>
          </w:p>
        </w:tc>
      </w:tr>
      <w:tr w:rsidR="000F4D42" w:rsidRPr="000F4D42" w:rsidTr="000F4D42">
        <w:trPr>
          <w:trHeight w:val="412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  <w:t xml:space="preserve"> Total general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  <w:t>14,774,412.00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  <w:t>3,427,508.10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  <w:t>11,346,903.90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  <w:t>23.20%</w:t>
            </w:r>
          </w:p>
        </w:tc>
      </w:tr>
      <w:tr w:rsidR="000F4D42" w:rsidRPr="000F4D42" w:rsidTr="000F4D42">
        <w:trPr>
          <w:trHeight w:val="412"/>
        </w:trPr>
        <w:tc>
          <w:tcPr>
            <w:tcW w:w="9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</w:pPr>
          </w:p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  <w:t xml:space="preserve"> Partidas No Asignables a Programas </w:t>
            </w:r>
          </w:p>
        </w:tc>
      </w:tr>
      <w:tr w:rsidR="000F4D42" w:rsidRPr="000F4D42" w:rsidTr="000F4D42">
        <w:trPr>
          <w:trHeight w:val="61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GRP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 xml:space="preserve"> DESCRIPCIÓN 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EJECUCIÓN ACUMULADA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SALDO POR EJECUTAR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% EJECUTADO</w:t>
            </w:r>
          </w:p>
        </w:tc>
      </w:tr>
      <w:tr w:rsidR="000F4D42" w:rsidRPr="000F4D42" w:rsidTr="000F4D42">
        <w:trPr>
          <w:trHeight w:val="3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400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 xml:space="preserve"> Transferencias corrientes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1,341,909.00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300,704.00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1,041,205.00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22.41%</w:t>
            </w:r>
          </w:p>
        </w:tc>
      </w:tr>
      <w:tr w:rsidR="000F4D42" w:rsidRPr="000F4D42" w:rsidTr="000F4D42">
        <w:trPr>
          <w:trHeight w:val="412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  <w:t xml:space="preserve"> Total general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  <w:t>1,341,909.00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  <w:t>300,704.00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  <w:t>1,041,205.00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GT"/>
              </w:rPr>
              <w:t>22.41%</w:t>
            </w:r>
          </w:p>
        </w:tc>
      </w:tr>
    </w:tbl>
    <w:p w:rsidR="0028596B" w:rsidRPr="00E06A36" w:rsidRDefault="00AC3B89" w:rsidP="006F5455">
      <w:pPr>
        <w:spacing w:before="60" w:after="0" w:line="360" w:lineRule="auto"/>
        <w:outlineLvl w:val="0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sz w:val="14"/>
          <w:lang w:val="es-MX"/>
        </w:rPr>
        <w:t xml:space="preserve">Fuente: Sistema de </w:t>
      </w:r>
      <w:r w:rsidR="00BE48C0" w:rsidRPr="002D27CF">
        <w:rPr>
          <w:rFonts w:ascii="Arial" w:hAnsi="Arial" w:cs="Arial"/>
          <w:sz w:val="14"/>
          <w:lang w:val="es-MX"/>
        </w:rPr>
        <w:t>Contabilidad Integrada</w:t>
      </w:r>
      <w:r w:rsidRPr="002D27CF">
        <w:rPr>
          <w:rFonts w:ascii="Arial" w:hAnsi="Arial" w:cs="Arial"/>
          <w:sz w:val="14"/>
          <w:lang w:val="es-MX"/>
        </w:rPr>
        <w:t xml:space="preserve"> Gubernamental</w:t>
      </w:r>
    </w:p>
    <w:p w:rsidR="00090848" w:rsidRDefault="00090848" w:rsidP="00E9196E">
      <w:pPr>
        <w:spacing w:after="0" w:line="360" w:lineRule="auto"/>
        <w:outlineLvl w:val="0"/>
        <w:rPr>
          <w:rFonts w:ascii="Arial" w:hAnsi="Arial" w:cs="Arial"/>
          <w:sz w:val="14"/>
          <w:lang w:val="es-MX"/>
        </w:rPr>
      </w:pPr>
    </w:p>
    <w:p w:rsidR="00E9196E" w:rsidRDefault="00E9196E" w:rsidP="00E9196E">
      <w:pPr>
        <w:spacing w:after="0" w:line="360" w:lineRule="auto"/>
        <w:outlineLvl w:val="0"/>
        <w:rPr>
          <w:rFonts w:ascii="Arial" w:hAnsi="Arial" w:cs="Arial"/>
          <w:sz w:val="14"/>
          <w:lang w:val="es-MX"/>
        </w:rPr>
      </w:pPr>
    </w:p>
    <w:p w:rsidR="0052162A" w:rsidRDefault="0052162A" w:rsidP="00E9196E">
      <w:pPr>
        <w:spacing w:after="0" w:line="360" w:lineRule="auto"/>
        <w:outlineLvl w:val="0"/>
        <w:rPr>
          <w:rFonts w:ascii="Arial" w:hAnsi="Arial" w:cs="Arial"/>
          <w:sz w:val="14"/>
          <w:lang w:val="es-MX"/>
        </w:rPr>
      </w:pPr>
    </w:p>
    <w:p w:rsidR="0052162A" w:rsidRDefault="0052162A" w:rsidP="00E9196E">
      <w:pPr>
        <w:spacing w:after="0" w:line="360" w:lineRule="auto"/>
        <w:outlineLvl w:val="0"/>
        <w:rPr>
          <w:rFonts w:ascii="Arial" w:hAnsi="Arial" w:cs="Arial"/>
          <w:sz w:val="14"/>
          <w:lang w:val="es-MX"/>
        </w:rPr>
      </w:pPr>
    </w:p>
    <w:p w:rsidR="0052162A" w:rsidRDefault="0052162A" w:rsidP="00E9196E">
      <w:pPr>
        <w:spacing w:after="0" w:line="360" w:lineRule="auto"/>
        <w:outlineLvl w:val="0"/>
        <w:rPr>
          <w:rFonts w:ascii="Arial" w:hAnsi="Arial" w:cs="Arial"/>
          <w:sz w:val="14"/>
          <w:lang w:val="es-MX"/>
        </w:rPr>
      </w:pPr>
    </w:p>
    <w:p w:rsidR="0052162A" w:rsidRDefault="0052162A" w:rsidP="00E9196E">
      <w:pPr>
        <w:spacing w:after="0" w:line="360" w:lineRule="auto"/>
        <w:outlineLvl w:val="0"/>
        <w:rPr>
          <w:rFonts w:ascii="Arial" w:hAnsi="Arial" w:cs="Arial"/>
          <w:sz w:val="14"/>
          <w:lang w:val="es-MX"/>
        </w:rPr>
      </w:pPr>
    </w:p>
    <w:p w:rsidR="00AC3B89" w:rsidRPr="002D27CF" w:rsidRDefault="00386924" w:rsidP="008F1CE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lastRenderedPageBreak/>
        <w:t xml:space="preserve">Cuadro No. </w:t>
      </w:r>
      <w:r w:rsidR="00092883">
        <w:rPr>
          <w:rFonts w:ascii="Arial" w:hAnsi="Arial" w:cs="Arial"/>
          <w:b/>
          <w:lang w:val="es-MX"/>
        </w:rPr>
        <w:t>6</w:t>
      </w:r>
    </w:p>
    <w:p w:rsidR="00AC3B89" w:rsidRPr="002D27CF" w:rsidRDefault="005A7EC8" w:rsidP="008F1CE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Federación Nacional de Fútbol de Guatemala</w:t>
      </w:r>
    </w:p>
    <w:p w:rsidR="00FE78B6" w:rsidRPr="002D27CF" w:rsidRDefault="00AC3B89" w:rsidP="008F1CE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Ejecución presupuestaria acumulada por Tipo de Gasto</w:t>
      </w:r>
    </w:p>
    <w:p w:rsidR="00AC3B89" w:rsidRPr="002D27CF" w:rsidRDefault="00FE78B6" w:rsidP="008F1CE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Funcionamiento e Inversión</w:t>
      </w:r>
      <w:r w:rsidR="00857E5A" w:rsidRPr="002D27CF">
        <w:rPr>
          <w:rFonts w:ascii="Arial" w:hAnsi="Arial" w:cs="Arial"/>
          <w:b/>
          <w:lang w:val="es-MX"/>
        </w:rPr>
        <w:t xml:space="preserve"> y grupo de gasto</w:t>
      </w:r>
    </w:p>
    <w:p w:rsidR="008021F8" w:rsidRDefault="00EC4E5C" w:rsidP="0028596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52162A">
        <w:rPr>
          <w:rFonts w:ascii="Arial" w:hAnsi="Arial" w:cs="Arial"/>
          <w:b/>
          <w:lang w:val="es-MX"/>
        </w:rPr>
        <w:t>3</w:t>
      </w:r>
      <w:r w:rsidR="000F4D42">
        <w:rPr>
          <w:rFonts w:ascii="Arial" w:hAnsi="Arial" w:cs="Arial"/>
          <w:b/>
          <w:lang w:val="es-MX"/>
        </w:rPr>
        <w:t>0</w:t>
      </w:r>
      <w:r w:rsidR="0052162A">
        <w:rPr>
          <w:rFonts w:ascii="Arial" w:hAnsi="Arial" w:cs="Arial"/>
          <w:b/>
          <w:lang w:val="es-MX"/>
        </w:rPr>
        <w:t xml:space="preserve"> de </w:t>
      </w:r>
      <w:r w:rsidR="000F4D42">
        <w:rPr>
          <w:rFonts w:ascii="Arial" w:hAnsi="Arial" w:cs="Arial"/>
          <w:b/>
          <w:lang w:val="es-MX"/>
        </w:rPr>
        <w:t xml:space="preserve">abril </w:t>
      </w:r>
      <w:r w:rsidR="0037521D">
        <w:rPr>
          <w:rFonts w:ascii="Arial" w:hAnsi="Arial" w:cs="Arial"/>
          <w:b/>
          <w:lang w:val="es-MX"/>
        </w:rPr>
        <w:t>201</w:t>
      </w:r>
      <w:r w:rsidR="0028596B">
        <w:rPr>
          <w:rFonts w:ascii="Arial" w:hAnsi="Arial" w:cs="Arial"/>
          <w:b/>
          <w:lang w:val="es-MX"/>
        </w:rPr>
        <w:t>8</w:t>
      </w:r>
    </w:p>
    <w:tbl>
      <w:tblPr>
        <w:tblW w:w="9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3088"/>
        <w:gridCol w:w="1388"/>
        <w:gridCol w:w="1388"/>
        <w:gridCol w:w="1388"/>
        <w:gridCol w:w="1388"/>
      </w:tblGrid>
      <w:tr w:rsidR="000F4D42" w:rsidRPr="000F4D42" w:rsidTr="000F4D42">
        <w:trPr>
          <w:trHeight w:val="439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Grupo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 xml:space="preserve"> DESCRIPCIÓN 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EJECUCION ACUMULADA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SALDO POR EJECUTAR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GT"/>
              </w:rPr>
              <w:t>% EJECUTADO</w:t>
            </w:r>
          </w:p>
        </w:tc>
      </w:tr>
      <w:tr w:rsidR="000F4D42" w:rsidRPr="000F4D42" w:rsidTr="000F4D42">
        <w:trPr>
          <w:trHeight w:val="262"/>
        </w:trPr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</w:tr>
      <w:tr w:rsidR="000F4D42" w:rsidRPr="000F4D42" w:rsidTr="000F4D42">
        <w:trPr>
          <w:trHeight w:val="315"/>
        </w:trPr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 xml:space="preserve"> Total  Institución   (</w:t>
            </w:r>
            <w:proofErr w:type="spellStart"/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a+b</w:t>
            </w:r>
            <w:proofErr w:type="spellEnd"/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 xml:space="preserve">)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eastAsia="es-GT"/>
              </w:rPr>
              <w:t>16,116,321.00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eastAsia="es-GT"/>
              </w:rPr>
              <w:t>3,728,212.10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eastAsia="es-GT"/>
              </w:rPr>
              <w:t>12,388,108.90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u w:val="single"/>
                <w:lang w:eastAsia="es-GT"/>
              </w:rPr>
              <w:t>23.13%</w:t>
            </w:r>
          </w:p>
        </w:tc>
      </w:tr>
      <w:tr w:rsidR="000F4D42" w:rsidRPr="000F4D42" w:rsidTr="000F4D42">
        <w:trPr>
          <w:trHeight w:val="315"/>
        </w:trPr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 </w:t>
            </w:r>
          </w:p>
        </w:tc>
      </w:tr>
      <w:tr w:rsidR="000F4D42" w:rsidRPr="000F4D42" w:rsidTr="000F4D42">
        <w:trPr>
          <w:trHeight w:val="351"/>
        </w:trPr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(a)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Gastos de funcionamiento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16,078,496.00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3,727,137.10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12,351,358.90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23.18%</w:t>
            </w:r>
          </w:p>
        </w:tc>
      </w:tr>
      <w:tr w:rsidR="000F4D42" w:rsidRPr="000F4D42" w:rsidTr="000F4D42">
        <w:trPr>
          <w:trHeight w:val="262"/>
        </w:trPr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000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Servicios Personales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8,457,404.00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2,129,580.38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6,327,823.62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25.18%</w:t>
            </w:r>
          </w:p>
        </w:tc>
      </w:tr>
      <w:tr w:rsidR="000F4D42" w:rsidRPr="000F4D42" w:rsidTr="000F4D42">
        <w:trPr>
          <w:trHeight w:val="262"/>
        </w:trPr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100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Servicios  no  Personales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4,315,394.00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602,695.70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3,712,698.30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13.97%</w:t>
            </w:r>
          </w:p>
        </w:tc>
      </w:tr>
      <w:tr w:rsidR="000F4D42" w:rsidRPr="000F4D42" w:rsidTr="000F4D42">
        <w:trPr>
          <w:trHeight w:val="262"/>
        </w:trPr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200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Materiales y suministros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1,440,255.00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208,367.16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1,231,887.84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14.47%</w:t>
            </w:r>
          </w:p>
        </w:tc>
      </w:tr>
      <w:tr w:rsidR="000F4D42" w:rsidRPr="000F4D42" w:rsidTr="000F4D42">
        <w:trPr>
          <w:trHeight w:val="262"/>
        </w:trPr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400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Transferencias Corrientes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1,865,443.00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786,493.86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1,078,949.14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42.16%</w:t>
            </w:r>
          </w:p>
        </w:tc>
      </w:tr>
      <w:tr w:rsidR="000F4D42" w:rsidRPr="000F4D42" w:rsidTr="000F4D42">
        <w:trPr>
          <w:trHeight w:val="262"/>
        </w:trPr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</w:tr>
      <w:tr w:rsidR="000F4D42" w:rsidRPr="000F4D42" w:rsidTr="000F4D42">
        <w:trPr>
          <w:trHeight w:val="315"/>
        </w:trPr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(b)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 xml:space="preserve">Gastos de  Inversión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37,825.00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1,075.00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36,750.00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s-GT"/>
              </w:rPr>
              <w:t>2.84%</w:t>
            </w:r>
          </w:p>
        </w:tc>
      </w:tr>
      <w:tr w:rsidR="000F4D42" w:rsidRPr="000F4D42" w:rsidTr="000F4D42">
        <w:trPr>
          <w:trHeight w:val="262"/>
        </w:trPr>
        <w:tc>
          <w:tcPr>
            <w:tcW w:w="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300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Propiedad planta y equipo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37,825.00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1,075.00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36,750.00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2.84%</w:t>
            </w:r>
          </w:p>
        </w:tc>
      </w:tr>
      <w:tr w:rsidR="000F4D42" w:rsidRPr="000F4D42" w:rsidTr="000F4D42">
        <w:trPr>
          <w:trHeight w:val="28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4D42" w:rsidRPr="000F4D42" w:rsidRDefault="000F4D42" w:rsidP="000F4D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0F4D42">
              <w:rPr>
                <w:rFonts w:ascii="Arial" w:eastAsia="Times New Roman" w:hAnsi="Arial" w:cs="Arial"/>
                <w:sz w:val="16"/>
                <w:szCs w:val="16"/>
                <w:lang w:eastAsia="es-GT"/>
              </w:rPr>
              <w:t> </w:t>
            </w:r>
          </w:p>
        </w:tc>
      </w:tr>
    </w:tbl>
    <w:p w:rsidR="00E9196E" w:rsidRPr="00E9196E" w:rsidRDefault="0052162A" w:rsidP="006F5455">
      <w:pPr>
        <w:spacing w:before="60" w:after="0"/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r w:rsidR="004925E2" w:rsidRPr="002D27CF">
        <w:rPr>
          <w:rFonts w:ascii="Arial" w:hAnsi="Arial" w:cs="Arial"/>
          <w:sz w:val="14"/>
          <w:lang w:val="es-MX"/>
        </w:rPr>
        <w:t>Fuente</w:t>
      </w:r>
      <w:r w:rsidR="00AC3B89" w:rsidRPr="002D27CF">
        <w:rPr>
          <w:rFonts w:ascii="Arial" w:hAnsi="Arial" w:cs="Arial"/>
          <w:sz w:val="14"/>
          <w:lang w:val="es-MX"/>
        </w:rPr>
        <w:t xml:space="preserve">: Sistema de </w:t>
      </w:r>
      <w:r w:rsidR="00BE48C0" w:rsidRPr="002D27CF">
        <w:rPr>
          <w:rFonts w:ascii="Arial" w:hAnsi="Arial" w:cs="Arial"/>
          <w:sz w:val="14"/>
          <w:lang w:val="es-MX"/>
        </w:rPr>
        <w:t>Contabilidad Integrada</w:t>
      </w:r>
      <w:r w:rsidR="00AC3B89" w:rsidRPr="002D27CF">
        <w:rPr>
          <w:rFonts w:ascii="Arial" w:hAnsi="Arial" w:cs="Arial"/>
          <w:sz w:val="14"/>
          <w:lang w:val="es-MX"/>
        </w:rPr>
        <w:t xml:space="preserve"> Gubernamental</w:t>
      </w:r>
    </w:p>
    <w:p w:rsidR="00AA48E8" w:rsidRDefault="00AA48E8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52162A" w:rsidRDefault="0052162A" w:rsidP="0052162A">
      <w:pPr>
        <w:spacing w:after="0" w:line="240" w:lineRule="auto"/>
        <w:rPr>
          <w:rFonts w:ascii="Arial" w:hAnsi="Arial" w:cs="Arial"/>
          <w:b/>
          <w:lang w:val="es-MX"/>
        </w:rPr>
      </w:pPr>
    </w:p>
    <w:p w:rsidR="000F4D42" w:rsidRDefault="000F4D42" w:rsidP="0052162A">
      <w:pPr>
        <w:spacing w:after="0" w:line="240" w:lineRule="auto"/>
        <w:rPr>
          <w:rFonts w:ascii="Arial" w:hAnsi="Arial" w:cs="Arial"/>
          <w:b/>
          <w:lang w:val="es-MX"/>
        </w:rPr>
      </w:pPr>
    </w:p>
    <w:p w:rsidR="00E7229E" w:rsidRPr="002D27CF" w:rsidRDefault="00BE48C0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Gráfica No.</w:t>
      </w:r>
      <w:r w:rsidR="00AA0BDF">
        <w:rPr>
          <w:rFonts w:ascii="Arial" w:hAnsi="Arial" w:cs="Arial"/>
          <w:b/>
          <w:lang w:val="es-MX"/>
        </w:rPr>
        <w:t>4</w:t>
      </w:r>
    </w:p>
    <w:p w:rsidR="00E7229E" w:rsidRPr="002D27CF" w:rsidRDefault="005A7EC8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Federación Nacional de Fútbol de Guatemala</w:t>
      </w:r>
    </w:p>
    <w:p w:rsidR="00E7229E" w:rsidRPr="002D27CF" w:rsidRDefault="00BE48C0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Ejecución del</w:t>
      </w:r>
      <w:r w:rsidR="00E7229E" w:rsidRPr="002D27CF">
        <w:rPr>
          <w:rFonts w:ascii="Arial" w:hAnsi="Arial" w:cs="Arial"/>
          <w:b/>
          <w:lang w:val="es-MX"/>
        </w:rPr>
        <w:t xml:space="preserve"> </w:t>
      </w:r>
      <w:r w:rsidRPr="002D27CF">
        <w:rPr>
          <w:rFonts w:ascii="Arial" w:hAnsi="Arial" w:cs="Arial"/>
          <w:b/>
          <w:lang w:val="es-MX"/>
        </w:rPr>
        <w:t>Presupuesto Acumulado</w:t>
      </w:r>
      <w:r w:rsidR="00AB6A11">
        <w:rPr>
          <w:rFonts w:ascii="Arial" w:hAnsi="Arial" w:cs="Arial"/>
          <w:b/>
          <w:lang w:val="es-MX"/>
        </w:rPr>
        <w:t xml:space="preserve"> funcionamiento e</w:t>
      </w:r>
      <w:r w:rsidR="00AE4DF5" w:rsidRPr="002D27CF">
        <w:rPr>
          <w:rFonts w:ascii="Arial" w:hAnsi="Arial" w:cs="Arial"/>
          <w:b/>
          <w:lang w:val="es-MX"/>
        </w:rPr>
        <w:t xml:space="preserve"> </w:t>
      </w:r>
      <w:r w:rsidR="00AB6A11">
        <w:rPr>
          <w:rFonts w:ascii="Arial" w:hAnsi="Arial" w:cs="Arial"/>
          <w:b/>
          <w:lang w:val="es-MX"/>
        </w:rPr>
        <w:t>inversión</w:t>
      </w:r>
    </w:p>
    <w:p w:rsidR="00026F94" w:rsidRDefault="00B8544F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0F4D42">
        <w:rPr>
          <w:rFonts w:ascii="Arial" w:hAnsi="Arial" w:cs="Arial"/>
          <w:b/>
          <w:lang w:val="es-MX"/>
        </w:rPr>
        <w:t>30</w:t>
      </w:r>
      <w:r w:rsidR="00A158A6">
        <w:rPr>
          <w:rFonts w:ascii="Arial" w:hAnsi="Arial" w:cs="Arial"/>
          <w:b/>
          <w:lang w:val="es-MX"/>
        </w:rPr>
        <w:t xml:space="preserve"> de </w:t>
      </w:r>
      <w:r w:rsidR="000F4D42">
        <w:rPr>
          <w:rFonts w:ascii="Arial" w:hAnsi="Arial" w:cs="Arial"/>
          <w:b/>
          <w:lang w:val="es-MX"/>
        </w:rPr>
        <w:t xml:space="preserve">abril </w:t>
      </w:r>
      <w:r w:rsidR="0037521D">
        <w:rPr>
          <w:rFonts w:ascii="Arial" w:hAnsi="Arial" w:cs="Arial"/>
          <w:b/>
          <w:lang w:val="es-MX"/>
        </w:rPr>
        <w:t>201</w:t>
      </w:r>
      <w:r w:rsidR="00FF0707">
        <w:rPr>
          <w:rFonts w:ascii="Arial" w:hAnsi="Arial" w:cs="Arial"/>
          <w:b/>
          <w:lang w:val="es-MX"/>
        </w:rPr>
        <w:t>8</w:t>
      </w:r>
    </w:p>
    <w:p w:rsidR="00F6718E" w:rsidRDefault="00F6718E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6718E" w:rsidRDefault="00F6718E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07392" behindDoc="1" locked="0" layoutInCell="1" allowOverlap="1" wp14:anchorId="3F545C7F" wp14:editId="569FFE2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410200" cy="3200400"/>
            <wp:effectExtent l="0" t="0" r="0" b="0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18E" w:rsidRDefault="00F6718E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6718E" w:rsidRDefault="00F6718E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6718E" w:rsidRDefault="00F6718E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6718E" w:rsidRDefault="00F6718E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6718E" w:rsidRDefault="00F6718E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6718E" w:rsidRDefault="00F6718E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6718E" w:rsidRDefault="00F6718E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6718E" w:rsidRDefault="00F6718E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6718E" w:rsidRDefault="00F6718E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6718E" w:rsidRDefault="00F6718E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6718E" w:rsidRDefault="00F6718E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6718E" w:rsidRDefault="00F6718E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6718E" w:rsidRDefault="00F6718E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6718E" w:rsidRDefault="00F6718E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6718E" w:rsidRDefault="00F6718E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6718E" w:rsidRDefault="00F6718E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F6718E" w:rsidRDefault="00F6718E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9D61C7" w:rsidRDefault="009D61C7" w:rsidP="00F6718E">
      <w:pPr>
        <w:tabs>
          <w:tab w:val="left" w:pos="2085"/>
        </w:tabs>
        <w:spacing w:after="0" w:line="240" w:lineRule="auto"/>
        <w:rPr>
          <w:rFonts w:ascii="Arial" w:hAnsi="Arial" w:cs="Arial"/>
          <w:b/>
          <w:lang w:val="es-MX"/>
        </w:rPr>
      </w:pPr>
    </w:p>
    <w:p w:rsidR="00090848" w:rsidRDefault="003E4DDC" w:rsidP="00452E48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L</w:t>
      </w:r>
      <w:r w:rsidR="00E26F7B">
        <w:rPr>
          <w:rFonts w:ascii="Arial" w:hAnsi="Arial" w:cs="Arial"/>
          <w:lang w:val="es-MX"/>
        </w:rPr>
        <w:t xml:space="preserve">a estructura presupuestaria para la ejecución de los ingresos percibos por esta institución, en sus distintas fuentes de financiamiento, fue programada con base a los recursos manifestados en el Manual de Clasificación Presupuestaria, los </w:t>
      </w:r>
      <w:r w:rsidR="004127D0">
        <w:rPr>
          <w:rFonts w:ascii="Arial" w:hAnsi="Arial" w:cs="Arial"/>
          <w:lang w:val="es-MX"/>
        </w:rPr>
        <w:t>cuales</w:t>
      </w:r>
      <w:r w:rsidR="00E26F7B">
        <w:rPr>
          <w:rFonts w:ascii="Arial" w:hAnsi="Arial" w:cs="Arial"/>
          <w:lang w:val="es-MX"/>
        </w:rPr>
        <w:t xml:space="preserve"> al mes de </w:t>
      </w:r>
      <w:r w:rsidR="00F6718E">
        <w:rPr>
          <w:rFonts w:ascii="Arial" w:hAnsi="Arial" w:cs="Arial"/>
          <w:lang w:val="es-MX"/>
        </w:rPr>
        <w:t xml:space="preserve">abril </w:t>
      </w:r>
      <w:r w:rsidR="00E26F7B">
        <w:rPr>
          <w:rFonts w:ascii="Arial" w:hAnsi="Arial" w:cs="Arial"/>
          <w:lang w:val="es-MX"/>
        </w:rPr>
        <w:t>reflejan la siguiente ejecución.</w:t>
      </w:r>
    </w:p>
    <w:p w:rsidR="00090848" w:rsidRDefault="00090848" w:rsidP="00F6718E">
      <w:pPr>
        <w:spacing w:after="0" w:line="360" w:lineRule="auto"/>
        <w:jc w:val="center"/>
        <w:rPr>
          <w:rFonts w:ascii="Arial" w:hAnsi="Arial" w:cs="Arial"/>
          <w:lang w:val="es-MX"/>
        </w:rPr>
      </w:pPr>
    </w:p>
    <w:p w:rsidR="00F34336" w:rsidRDefault="009607B8" w:rsidP="009607B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Cuadro No.</w:t>
      </w:r>
      <w:r>
        <w:rPr>
          <w:rFonts w:ascii="Arial" w:hAnsi="Arial" w:cs="Arial"/>
          <w:b/>
          <w:lang w:val="es-MX"/>
        </w:rPr>
        <w:t xml:space="preserve"> 7</w:t>
      </w:r>
    </w:p>
    <w:p w:rsidR="00466A2C" w:rsidRDefault="00466A2C" w:rsidP="00466A2C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Reporte de Ingresos </w:t>
      </w:r>
    </w:p>
    <w:p w:rsidR="00466A2C" w:rsidRPr="002D27CF" w:rsidRDefault="00466A2C" w:rsidP="00466A2C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Federación Nacional de Fútbol de Guatemala</w:t>
      </w:r>
    </w:p>
    <w:p w:rsidR="00466A2C" w:rsidRDefault="00F6718E" w:rsidP="00466A2C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Al 30</w:t>
      </w:r>
      <w:r w:rsidR="00466A2C">
        <w:rPr>
          <w:rFonts w:ascii="Arial" w:hAnsi="Arial" w:cs="Arial"/>
          <w:b/>
          <w:lang w:val="es-MX"/>
        </w:rPr>
        <w:t xml:space="preserve"> de </w:t>
      </w:r>
      <w:r>
        <w:rPr>
          <w:rFonts w:ascii="Arial" w:hAnsi="Arial" w:cs="Arial"/>
          <w:b/>
          <w:lang w:val="es-MX"/>
        </w:rPr>
        <w:t xml:space="preserve">abril </w:t>
      </w:r>
      <w:r w:rsidR="00466A2C">
        <w:rPr>
          <w:rFonts w:ascii="Arial" w:hAnsi="Arial" w:cs="Arial"/>
          <w:b/>
          <w:lang w:val="es-MX"/>
        </w:rPr>
        <w:t>2018</w:t>
      </w:r>
    </w:p>
    <w:tbl>
      <w:tblPr>
        <w:tblW w:w="9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2391"/>
        <w:gridCol w:w="1311"/>
        <w:gridCol w:w="1076"/>
        <w:gridCol w:w="1241"/>
        <w:gridCol w:w="1076"/>
        <w:gridCol w:w="1096"/>
      </w:tblGrid>
      <w:tr w:rsidR="00F6718E" w:rsidRPr="00F6718E" w:rsidTr="00F6718E">
        <w:trPr>
          <w:trHeight w:val="363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6718E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s-GT"/>
              </w:rPr>
              <w:t>No. De Recurso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6718E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s-GT"/>
              </w:rPr>
              <w:t>Descripción de Recurso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6718E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s-GT"/>
              </w:rPr>
              <w:t xml:space="preserve">TOTAL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6718E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s-GT"/>
              </w:rPr>
              <w:t xml:space="preserve">ENERO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6718E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s-GT"/>
              </w:rPr>
              <w:t>FEBRERO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6718E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s-GT"/>
              </w:rPr>
              <w:t>MARZO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6718E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es-GT"/>
              </w:rPr>
              <w:t>ABRIL</w:t>
            </w:r>
          </w:p>
        </w:tc>
      </w:tr>
      <w:tr w:rsidR="00F6718E" w:rsidRPr="00F6718E" w:rsidTr="00F6718E">
        <w:trPr>
          <w:trHeight w:val="49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11120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Derechos de Inscripción, Examen y Matricula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32,200.00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14,500.00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12,800.00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4,300.00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600.00</w:t>
            </w:r>
          </w:p>
        </w:tc>
      </w:tr>
      <w:tr w:rsidR="00F6718E" w:rsidRPr="00F6718E" w:rsidTr="00F6718E">
        <w:trPr>
          <w:trHeight w:val="281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11290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Tasas y Licencias Varias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343,729.00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202,829.75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42,209.50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92,009.75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6,680.00</w:t>
            </w:r>
          </w:p>
        </w:tc>
      </w:tr>
      <w:tr w:rsidR="00F6718E" w:rsidRPr="00F6718E" w:rsidTr="00F6718E">
        <w:trPr>
          <w:trHeight w:val="281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11410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De Edificios y Viviendas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0.00</w:t>
            </w:r>
          </w:p>
        </w:tc>
      </w:tr>
      <w:tr w:rsidR="00F6718E" w:rsidRPr="00F6718E" w:rsidTr="00F6718E">
        <w:trPr>
          <w:trHeight w:val="313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11990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Otros Ingresos no Tributarios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1,351,778.84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80,327.59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1,112,250.03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68,409.27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90,791.95</w:t>
            </w:r>
          </w:p>
        </w:tc>
      </w:tr>
      <w:tr w:rsidR="00F6718E" w:rsidRPr="00F6718E" w:rsidTr="00F6718E">
        <w:trPr>
          <w:trHeight w:val="281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15100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Intereses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17,931.20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6,448.76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11,482.44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0.00</w:t>
            </w:r>
          </w:p>
        </w:tc>
      </w:tr>
      <w:tr w:rsidR="00F6718E" w:rsidRPr="00F6718E" w:rsidTr="00F6718E">
        <w:trPr>
          <w:trHeight w:val="562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16220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 xml:space="preserve">De Entidades Descentralizadas y Autónomas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2,226,382.19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495,030.38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786,729.16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545,843.49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398,779.16</w:t>
            </w:r>
          </w:p>
        </w:tc>
      </w:tr>
      <w:tr w:rsidR="00F6718E" w:rsidRPr="00F6718E" w:rsidTr="00F6718E">
        <w:trPr>
          <w:trHeight w:val="281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18E" w:rsidRPr="00F6718E" w:rsidRDefault="00F6718E" w:rsidP="00F6718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18E" w:rsidRPr="00F6718E" w:rsidRDefault="00F6718E" w:rsidP="00F671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TOTAL INGRESOS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3,972,021.23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799,136.48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1,965,471.13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6718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710,562.51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718E" w:rsidRPr="00F6718E" w:rsidRDefault="00F6718E" w:rsidP="00F6718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496,851.11</w:t>
            </w:r>
          </w:p>
        </w:tc>
      </w:tr>
    </w:tbl>
    <w:p w:rsidR="00466A2C" w:rsidRPr="00F6718E" w:rsidRDefault="00F6718E" w:rsidP="00CC0F53">
      <w:pPr>
        <w:spacing w:before="60"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r w:rsidR="00CC0F53">
        <w:rPr>
          <w:rFonts w:ascii="Arial" w:hAnsi="Arial" w:cs="Arial"/>
          <w:b/>
          <w:lang w:val="es-MX"/>
        </w:rPr>
        <w:t xml:space="preserve">     </w:t>
      </w:r>
      <w:r w:rsidR="00466A2C" w:rsidRPr="00F6718E">
        <w:rPr>
          <w:rFonts w:ascii="Arial" w:hAnsi="Arial" w:cs="Arial"/>
          <w:sz w:val="14"/>
          <w:lang w:val="es-MX"/>
        </w:rPr>
        <w:t>Fuente: Sistema de Contabilidad Integrada Gubernamental</w:t>
      </w:r>
    </w:p>
    <w:p w:rsidR="00094F01" w:rsidRDefault="00094F01" w:rsidP="00466A2C">
      <w:pPr>
        <w:pStyle w:val="Sinespaciado"/>
        <w:jc w:val="center"/>
        <w:rPr>
          <w:rFonts w:ascii="Arial" w:hAnsi="Arial" w:cs="Arial"/>
          <w:b/>
          <w:lang w:val="es-MX"/>
        </w:rPr>
      </w:pPr>
    </w:p>
    <w:p w:rsidR="0052162A" w:rsidRDefault="0052162A" w:rsidP="00466A2C">
      <w:pPr>
        <w:pStyle w:val="Sinespaciado"/>
        <w:jc w:val="center"/>
        <w:rPr>
          <w:rFonts w:ascii="Arial" w:hAnsi="Arial" w:cs="Arial"/>
          <w:b/>
          <w:lang w:val="es-MX"/>
        </w:rPr>
      </w:pPr>
    </w:p>
    <w:p w:rsidR="00466A2C" w:rsidRDefault="00466A2C" w:rsidP="00466A2C">
      <w:pPr>
        <w:pStyle w:val="Sinespaciado"/>
        <w:jc w:val="center"/>
        <w:rPr>
          <w:rFonts w:ascii="Arial" w:hAnsi="Arial" w:cs="Arial"/>
          <w:b/>
          <w:lang w:val="es-MX"/>
        </w:rPr>
      </w:pPr>
      <w:r w:rsidRPr="00E26EC3">
        <w:rPr>
          <w:rFonts w:ascii="Arial" w:hAnsi="Arial" w:cs="Arial"/>
          <w:b/>
          <w:lang w:val="es-MX"/>
        </w:rPr>
        <w:t>Gráfica No. 5</w:t>
      </w:r>
    </w:p>
    <w:p w:rsidR="00466A2C" w:rsidRDefault="00466A2C" w:rsidP="00466A2C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Federación Nacional de Fútbol de Guatemala Ingresos </w:t>
      </w:r>
    </w:p>
    <w:p w:rsidR="00466A2C" w:rsidRDefault="00503CAB" w:rsidP="00466A2C">
      <w:pPr>
        <w:pStyle w:val="Sinespaciad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Al 30</w:t>
      </w:r>
      <w:r w:rsidR="00466A2C">
        <w:rPr>
          <w:rFonts w:ascii="Arial" w:hAnsi="Arial" w:cs="Arial"/>
          <w:b/>
          <w:lang w:val="es-MX"/>
        </w:rPr>
        <w:t xml:space="preserve"> de </w:t>
      </w:r>
      <w:r>
        <w:rPr>
          <w:rFonts w:ascii="Arial" w:hAnsi="Arial" w:cs="Arial"/>
          <w:b/>
          <w:lang w:val="es-MX"/>
        </w:rPr>
        <w:t>abril</w:t>
      </w:r>
      <w:r w:rsidR="0052162A">
        <w:rPr>
          <w:rFonts w:ascii="Arial" w:hAnsi="Arial" w:cs="Arial"/>
          <w:b/>
          <w:lang w:val="es-MX"/>
        </w:rPr>
        <w:t xml:space="preserve"> </w:t>
      </w:r>
      <w:r w:rsidR="00466A2C">
        <w:rPr>
          <w:rFonts w:ascii="Arial" w:hAnsi="Arial" w:cs="Arial"/>
          <w:b/>
          <w:lang w:val="es-MX"/>
        </w:rPr>
        <w:t>2018</w:t>
      </w:r>
    </w:p>
    <w:p w:rsidR="00466A2C" w:rsidRDefault="003E4DDC" w:rsidP="00466A2C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09440" behindDoc="1" locked="0" layoutInCell="1" allowOverlap="1" wp14:anchorId="6FF13F86" wp14:editId="0070F836">
            <wp:simplePos x="0" y="0"/>
            <wp:positionH relativeFrom="margin">
              <wp:posOffset>1653540</wp:posOffset>
            </wp:positionH>
            <wp:positionV relativeFrom="paragraph">
              <wp:posOffset>57785</wp:posOffset>
            </wp:positionV>
            <wp:extent cx="2857500" cy="3467100"/>
            <wp:effectExtent l="0" t="0" r="0" b="0"/>
            <wp:wrapNone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F53" w:rsidRDefault="00CC0F53" w:rsidP="00466A2C">
      <w:pPr>
        <w:spacing w:after="0" w:line="240" w:lineRule="auto"/>
        <w:rPr>
          <w:rFonts w:ascii="Arial" w:hAnsi="Arial" w:cs="Arial"/>
          <w:b/>
          <w:lang w:val="es-MX"/>
        </w:rPr>
        <w:sectPr w:rsidR="00CC0F53" w:rsidSect="0093682C">
          <w:headerReference w:type="default" r:id="rId14"/>
          <w:footerReference w:type="default" r:id="rId15"/>
          <w:pgSz w:w="12240" w:h="15840" w:code="1"/>
          <w:pgMar w:top="1948" w:right="1041" w:bottom="993" w:left="1701" w:header="426" w:footer="708" w:gutter="0"/>
          <w:cols w:space="708"/>
          <w:docGrid w:linePitch="360"/>
        </w:sectPr>
      </w:pPr>
    </w:p>
    <w:p w:rsidR="009D3065" w:rsidRDefault="009D3065" w:rsidP="005A52C3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9D3065" w:rsidRDefault="009D3065" w:rsidP="005A52C3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5A52C3" w:rsidRDefault="005A52C3" w:rsidP="005A52C3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Considerando la necesidad de reflejar la ejecución de las metas físicas programadas por esta institución, comparando la ejecución presupuesta</w:t>
      </w:r>
      <w:r w:rsidR="005465AA">
        <w:rPr>
          <w:rFonts w:ascii="Arial" w:hAnsi="Arial" w:cs="Arial"/>
          <w:lang w:val="es-MX"/>
        </w:rPr>
        <w:t>ria, a continuación, se presenta</w:t>
      </w:r>
      <w:r>
        <w:rPr>
          <w:rFonts w:ascii="Arial" w:hAnsi="Arial" w:cs="Arial"/>
          <w:lang w:val="es-MX"/>
        </w:rPr>
        <w:t xml:space="preserve"> el comparativo de la ejecución física y financiera a nivel de actividad.</w:t>
      </w:r>
    </w:p>
    <w:p w:rsidR="00585F42" w:rsidRDefault="00585F42" w:rsidP="004C1FFF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585F42" w:rsidRDefault="00585F42" w:rsidP="004C1FFF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641CBF" w:rsidRPr="00106ADC" w:rsidRDefault="00AC3B89" w:rsidP="004C1FFF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106ADC">
        <w:rPr>
          <w:rFonts w:ascii="Arial" w:hAnsi="Arial" w:cs="Arial"/>
          <w:b/>
          <w:lang w:val="es-MX"/>
        </w:rPr>
        <w:t xml:space="preserve">Cuadro No. </w:t>
      </w:r>
      <w:r w:rsidR="00476EF0" w:rsidRPr="00106ADC">
        <w:rPr>
          <w:rFonts w:ascii="Arial" w:hAnsi="Arial" w:cs="Arial"/>
          <w:b/>
          <w:lang w:val="es-MX"/>
        </w:rPr>
        <w:t>8</w:t>
      </w:r>
    </w:p>
    <w:p w:rsidR="00476EF0" w:rsidRPr="00106ADC" w:rsidRDefault="00476EF0" w:rsidP="00476EF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106ADC">
        <w:rPr>
          <w:rFonts w:ascii="Arial" w:hAnsi="Arial" w:cs="Arial"/>
          <w:b/>
          <w:lang w:val="es-MX"/>
        </w:rPr>
        <w:t>Federación Nacional de Fútbol de Guatemala</w:t>
      </w:r>
    </w:p>
    <w:p w:rsidR="00AC3B89" w:rsidRPr="00106ADC" w:rsidRDefault="00AC3B89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106ADC">
        <w:rPr>
          <w:rFonts w:ascii="Arial" w:hAnsi="Arial" w:cs="Arial"/>
          <w:b/>
          <w:lang w:val="es-MX"/>
        </w:rPr>
        <w:t>Ejecución de Metas</w:t>
      </w:r>
      <w:r w:rsidR="008245CF" w:rsidRPr="00106ADC">
        <w:rPr>
          <w:rFonts w:ascii="Arial" w:hAnsi="Arial" w:cs="Arial"/>
          <w:b/>
          <w:lang w:val="es-MX"/>
        </w:rPr>
        <w:t xml:space="preserve"> Institucionales realizadas</w:t>
      </w:r>
    </w:p>
    <w:p w:rsidR="00AB1B43" w:rsidRDefault="00A158A6" w:rsidP="0083354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106ADC">
        <w:rPr>
          <w:rFonts w:ascii="Arial" w:hAnsi="Arial" w:cs="Arial"/>
          <w:b/>
          <w:lang w:val="es-MX"/>
        </w:rPr>
        <w:t xml:space="preserve">Al </w:t>
      </w:r>
      <w:r w:rsidR="003E4DDC">
        <w:rPr>
          <w:rFonts w:ascii="Arial" w:hAnsi="Arial" w:cs="Arial"/>
          <w:b/>
          <w:lang w:val="es-MX"/>
        </w:rPr>
        <w:t xml:space="preserve">30 </w:t>
      </w:r>
      <w:r w:rsidR="005465AA">
        <w:rPr>
          <w:rFonts w:ascii="Arial" w:hAnsi="Arial" w:cs="Arial"/>
          <w:b/>
          <w:lang w:val="es-MX"/>
        </w:rPr>
        <w:t xml:space="preserve">de </w:t>
      </w:r>
      <w:r w:rsidR="003E4DDC">
        <w:rPr>
          <w:rFonts w:ascii="Arial" w:hAnsi="Arial" w:cs="Arial"/>
          <w:b/>
          <w:lang w:val="es-MX"/>
        </w:rPr>
        <w:t xml:space="preserve">abril </w:t>
      </w:r>
      <w:r w:rsidR="0037521D" w:rsidRPr="00106ADC">
        <w:rPr>
          <w:rFonts w:ascii="Arial" w:hAnsi="Arial" w:cs="Arial"/>
          <w:b/>
          <w:lang w:val="es-MX"/>
        </w:rPr>
        <w:t>201</w:t>
      </w:r>
      <w:r w:rsidR="009607B8">
        <w:rPr>
          <w:rFonts w:ascii="Arial" w:hAnsi="Arial" w:cs="Arial"/>
          <w:b/>
          <w:lang w:val="es-MX"/>
        </w:rPr>
        <w:t>8</w:t>
      </w:r>
    </w:p>
    <w:tbl>
      <w:tblPr>
        <w:tblW w:w="5022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408"/>
        <w:gridCol w:w="614"/>
        <w:gridCol w:w="4700"/>
        <w:gridCol w:w="1195"/>
        <w:gridCol w:w="846"/>
        <w:gridCol w:w="1079"/>
        <w:gridCol w:w="455"/>
        <w:gridCol w:w="1079"/>
        <w:gridCol w:w="1079"/>
        <w:gridCol w:w="544"/>
      </w:tblGrid>
      <w:tr w:rsidR="009F7E3E" w:rsidRPr="003E4DDC" w:rsidTr="009F7E3E">
        <w:trPr>
          <w:trHeight w:val="26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PG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AC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NIVEL</w:t>
            </w:r>
          </w:p>
        </w:tc>
        <w:tc>
          <w:tcPr>
            <w:tcW w:w="1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PRODUCTO Y SUBPRODUCTO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UNIDAD DE MEDIDA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PRESUPUESTO FISICO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PRESUPUESTO FINANCIERO</w:t>
            </w:r>
          </w:p>
        </w:tc>
      </w:tr>
      <w:tr w:rsidR="009F7E3E" w:rsidRPr="003E4DDC" w:rsidTr="009F7E3E">
        <w:trPr>
          <w:trHeight w:val="347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</w:p>
        </w:tc>
        <w:tc>
          <w:tcPr>
            <w:tcW w:w="1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VIGENTE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EJECUCION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VIGENTE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EJECUCION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GT"/>
              </w:rPr>
              <w:t>%</w:t>
            </w:r>
          </w:p>
        </w:tc>
      </w:tr>
      <w:tr w:rsidR="009F7E3E" w:rsidRPr="003E4DDC" w:rsidTr="009F7E3E">
        <w:trPr>
          <w:trHeight w:val="29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ATLETAS FEDERADOS Y FORMADOS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9F7E3E" w:rsidRPr="003E4DDC" w:rsidTr="009F7E3E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Servicios de Dirección y Coordinación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9F7E3E" w:rsidRPr="003E4DDC" w:rsidTr="009F7E3E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Servicios de Dirección y Coordinación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DOCUMENTO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8,123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9,195,943.00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2,049,560.77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22.29</w:t>
            </w:r>
          </w:p>
        </w:tc>
      </w:tr>
      <w:tr w:rsidR="009F7E3E" w:rsidRPr="003E4DDC" w:rsidTr="009F7E3E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Atletas Federados y Atendidos en la Etapa de Iniciación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9F7E3E" w:rsidRPr="003E4DDC" w:rsidTr="009F7E3E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Atletas Federados y Atendidos en la Etapa de Iniciación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PERSONA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10,498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1,861,436.00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417,920.74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22.45</w:t>
            </w:r>
          </w:p>
        </w:tc>
      </w:tr>
      <w:tr w:rsidR="009F7E3E" w:rsidRPr="003E4DDC" w:rsidTr="009F7E3E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Atletas Federados y Atendidos en la Etapa de Formación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9F7E3E" w:rsidRPr="003E4DDC" w:rsidTr="009F7E3E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Atletas Federados y Atendidos en la Etapa de Formación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PERSONA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1,800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1,044,933.00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233,905.58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22.38</w:t>
            </w:r>
          </w:p>
        </w:tc>
      </w:tr>
      <w:tr w:rsidR="009F7E3E" w:rsidRPr="003E4DDC" w:rsidTr="009F7E3E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Atletas Federados y Atendidos en la Etapa de Especialización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9F7E3E" w:rsidRPr="003E4DDC" w:rsidTr="009F7E3E">
        <w:trPr>
          <w:trHeight w:val="312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Atletas Federados y Atendidos en la Etapa de Especialización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PERSONA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2,672,100.00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726,121.01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DDC" w:rsidRPr="003E4DDC" w:rsidRDefault="003E4DDC" w:rsidP="003E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3E4D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27.17</w:t>
            </w:r>
          </w:p>
        </w:tc>
      </w:tr>
    </w:tbl>
    <w:p w:rsidR="00C257C0" w:rsidRDefault="009607B8" w:rsidP="00833548">
      <w:pPr>
        <w:rPr>
          <w:rFonts w:ascii="Arial" w:hAnsi="Arial" w:cs="Arial"/>
          <w:sz w:val="24"/>
          <w:lang w:val="es-MX"/>
        </w:rPr>
      </w:pPr>
      <w:r w:rsidRPr="009607B8">
        <w:rPr>
          <w:rFonts w:ascii="Arial" w:hAnsi="Arial" w:cs="Arial"/>
          <w:sz w:val="16"/>
          <w:szCs w:val="16"/>
          <w:lang w:val="es-MX"/>
        </w:rPr>
        <w:t>F</w:t>
      </w:r>
      <w:r w:rsidR="00321A69" w:rsidRPr="00152A7F">
        <w:rPr>
          <w:rFonts w:ascii="Arial" w:hAnsi="Arial" w:cs="Arial"/>
          <w:sz w:val="16"/>
          <w:lang w:val="es-MX"/>
        </w:rPr>
        <w:t xml:space="preserve">uente: Sistema de </w:t>
      </w:r>
      <w:r w:rsidR="00BD21DD" w:rsidRPr="00152A7F">
        <w:rPr>
          <w:rFonts w:ascii="Arial" w:hAnsi="Arial" w:cs="Arial"/>
          <w:sz w:val="16"/>
          <w:lang w:val="es-MX"/>
        </w:rPr>
        <w:t>Contabilidad Integrada</w:t>
      </w:r>
      <w:r w:rsidR="00321A69" w:rsidRPr="00152A7F">
        <w:rPr>
          <w:rFonts w:ascii="Arial" w:hAnsi="Arial" w:cs="Arial"/>
          <w:sz w:val="16"/>
          <w:lang w:val="es-MX"/>
        </w:rPr>
        <w:t xml:space="preserve"> Gubernamental</w:t>
      </w:r>
    </w:p>
    <w:p w:rsidR="00C257C0" w:rsidRPr="00C257C0" w:rsidRDefault="00C257C0" w:rsidP="00C257C0">
      <w:pPr>
        <w:rPr>
          <w:rFonts w:ascii="Arial" w:hAnsi="Arial" w:cs="Arial"/>
          <w:sz w:val="24"/>
          <w:lang w:val="es-MX"/>
        </w:rPr>
      </w:pPr>
    </w:p>
    <w:p w:rsidR="00C257C0" w:rsidRPr="00C257C0" w:rsidRDefault="00C257C0" w:rsidP="00C257C0">
      <w:pPr>
        <w:rPr>
          <w:rFonts w:ascii="Arial" w:hAnsi="Arial" w:cs="Arial"/>
          <w:sz w:val="24"/>
          <w:lang w:val="es-MX"/>
        </w:rPr>
      </w:pPr>
      <w:bookmarkStart w:id="0" w:name="_GoBack"/>
      <w:bookmarkEnd w:id="0"/>
    </w:p>
    <w:p w:rsidR="00C257C0" w:rsidRDefault="00C257C0" w:rsidP="00C257C0">
      <w:pPr>
        <w:rPr>
          <w:rFonts w:ascii="Arial" w:hAnsi="Arial" w:cs="Arial"/>
          <w:sz w:val="24"/>
          <w:lang w:val="es-MX"/>
        </w:rPr>
      </w:pPr>
    </w:p>
    <w:p w:rsidR="00E86288" w:rsidRPr="00C257C0" w:rsidRDefault="00C257C0" w:rsidP="00C257C0">
      <w:pPr>
        <w:tabs>
          <w:tab w:val="left" w:pos="5194"/>
        </w:tabs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ab/>
      </w:r>
    </w:p>
    <w:sectPr w:rsidR="00E86288" w:rsidRPr="00C257C0" w:rsidSect="0010400B">
      <w:pgSz w:w="15840" w:h="12240" w:orient="landscape" w:code="1"/>
      <w:pgMar w:top="1418" w:right="2092" w:bottom="993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B0" w:rsidRDefault="000A32B0" w:rsidP="00407ADA">
      <w:pPr>
        <w:spacing w:after="0" w:line="240" w:lineRule="auto"/>
      </w:pPr>
      <w:r>
        <w:separator/>
      </w:r>
    </w:p>
  </w:endnote>
  <w:endnote w:type="continuationSeparator" w:id="0">
    <w:p w:rsidR="000A32B0" w:rsidRDefault="000A32B0" w:rsidP="0040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525021"/>
      <w:docPartObj>
        <w:docPartGallery w:val="Page Numbers (Bottom of Page)"/>
        <w:docPartUnique/>
      </w:docPartObj>
    </w:sdtPr>
    <w:sdtContent>
      <w:p w:rsidR="000D448B" w:rsidRDefault="000D44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324" w:rsidRPr="00E22324">
          <w:rPr>
            <w:noProof/>
            <w:lang w:val="es-ES"/>
          </w:rPr>
          <w:t>13</w:t>
        </w:r>
        <w:r>
          <w:fldChar w:fldCharType="end"/>
        </w:r>
      </w:p>
    </w:sdtContent>
  </w:sdt>
  <w:p w:rsidR="000D448B" w:rsidRDefault="000D44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B0" w:rsidRDefault="000A32B0" w:rsidP="00407ADA">
      <w:pPr>
        <w:spacing w:after="0" w:line="240" w:lineRule="auto"/>
      </w:pPr>
      <w:r>
        <w:separator/>
      </w:r>
    </w:p>
  </w:footnote>
  <w:footnote w:type="continuationSeparator" w:id="0">
    <w:p w:rsidR="000A32B0" w:rsidRDefault="000A32B0" w:rsidP="0040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8B" w:rsidRDefault="000D448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DCEE588" wp14:editId="654873F6">
          <wp:simplePos x="0" y="0"/>
          <wp:positionH relativeFrom="column">
            <wp:posOffset>-525145</wp:posOffset>
          </wp:positionH>
          <wp:positionV relativeFrom="paragraph">
            <wp:posOffset>-86360</wp:posOffset>
          </wp:positionV>
          <wp:extent cx="1365663" cy="1025436"/>
          <wp:effectExtent l="0" t="0" r="0" b="0"/>
          <wp:wrapNone/>
          <wp:docPr id="24" name="Imagen 24" descr="C:\Users\Desktop03\Desktop\Guatemala_F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sktop03\Desktop\Guatemala_FA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663" cy="1025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48B" w:rsidRPr="008A4B31" w:rsidRDefault="000D448B" w:rsidP="008A4B31">
    <w:pPr>
      <w:pStyle w:val="Encabezado"/>
      <w:rPr>
        <w:color w:val="002060"/>
      </w:rPr>
    </w:pPr>
    <w:r>
      <w:rPr>
        <w:rStyle w:val="Textoennegrita"/>
        <w:rFonts w:ascii="Arial" w:hAnsi="Arial" w:cs="Arial"/>
        <w:color w:val="002060"/>
        <w:sz w:val="48"/>
        <w:szCs w:val="48"/>
        <w:shd w:val="clear" w:color="auto" w:fill="FFFFFF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5CF"/>
    <w:multiLevelType w:val="hybridMultilevel"/>
    <w:tmpl w:val="ADB223A2"/>
    <w:lvl w:ilvl="0" w:tplc="10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4"/>
        <w:szCs w:val="24"/>
      </w:rPr>
    </w:lvl>
    <w:lvl w:ilvl="1" w:tplc="100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100A000D">
      <w:start w:val="1"/>
      <w:numFmt w:val="bullet"/>
      <w:lvlText w:val=""/>
      <w:lvlJc w:val="left"/>
      <w:pPr>
        <w:ind w:left="251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E19164F"/>
    <w:multiLevelType w:val="hybridMultilevel"/>
    <w:tmpl w:val="322C1300"/>
    <w:lvl w:ilvl="0" w:tplc="100A000F">
      <w:start w:val="1"/>
      <w:numFmt w:val="decimal"/>
      <w:lvlText w:val="%1."/>
      <w:lvlJc w:val="left"/>
      <w:pPr>
        <w:ind w:left="502" w:hanging="360"/>
      </w:pPr>
    </w:lvl>
    <w:lvl w:ilvl="1" w:tplc="100A0019" w:tentative="1">
      <w:start w:val="1"/>
      <w:numFmt w:val="lowerLetter"/>
      <w:lvlText w:val="%2."/>
      <w:lvlJc w:val="left"/>
      <w:pPr>
        <w:ind w:left="1222" w:hanging="360"/>
      </w:pPr>
    </w:lvl>
    <w:lvl w:ilvl="2" w:tplc="100A001B" w:tentative="1">
      <w:start w:val="1"/>
      <w:numFmt w:val="lowerRoman"/>
      <w:lvlText w:val="%3."/>
      <w:lvlJc w:val="right"/>
      <w:pPr>
        <w:ind w:left="1942" w:hanging="180"/>
      </w:pPr>
    </w:lvl>
    <w:lvl w:ilvl="3" w:tplc="100A000F" w:tentative="1">
      <w:start w:val="1"/>
      <w:numFmt w:val="decimal"/>
      <w:lvlText w:val="%4."/>
      <w:lvlJc w:val="left"/>
      <w:pPr>
        <w:ind w:left="2662" w:hanging="360"/>
      </w:pPr>
    </w:lvl>
    <w:lvl w:ilvl="4" w:tplc="100A0019" w:tentative="1">
      <w:start w:val="1"/>
      <w:numFmt w:val="lowerLetter"/>
      <w:lvlText w:val="%5."/>
      <w:lvlJc w:val="left"/>
      <w:pPr>
        <w:ind w:left="3382" w:hanging="360"/>
      </w:pPr>
    </w:lvl>
    <w:lvl w:ilvl="5" w:tplc="100A001B" w:tentative="1">
      <w:start w:val="1"/>
      <w:numFmt w:val="lowerRoman"/>
      <w:lvlText w:val="%6."/>
      <w:lvlJc w:val="right"/>
      <w:pPr>
        <w:ind w:left="4102" w:hanging="180"/>
      </w:pPr>
    </w:lvl>
    <w:lvl w:ilvl="6" w:tplc="100A000F" w:tentative="1">
      <w:start w:val="1"/>
      <w:numFmt w:val="decimal"/>
      <w:lvlText w:val="%7."/>
      <w:lvlJc w:val="left"/>
      <w:pPr>
        <w:ind w:left="4822" w:hanging="360"/>
      </w:pPr>
    </w:lvl>
    <w:lvl w:ilvl="7" w:tplc="100A0019" w:tentative="1">
      <w:start w:val="1"/>
      <w:numFmt w:val="lowerLetter"/>
      <w:lvlText w:val="%8."/>
      <w:lvlJc w:val="left"/>
      <w:pPr>
        <w:ind w:left="5542" w:hanging="360"/>
      </w:pPr>
    </w:lvl>
    <w:lvl w:ilvl="8" w:tplc="1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2A6C05"/>
    <w:multiLevelType w:val="hybridMultilevel"/>
    <w:tmpl w:val="8604DA6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D7138"/>
    <w:multiLevelType w:val="hybridMultilevel"/>
    <w:tmpl w:val="E026B2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lowerLetter"/>
      <w:lvlText w:val="%2."/>
      <w:lvlJc w:val="left"/>
      <w:pPr>
        <w:ind w:left="1440" w:hanging="360"/>
      </w:pPr>
    </w:lvl>
    <w:lvl w:ilvl="2" w:tplc="100A0005">
      <w:start w:val="1"/>
      <w:numFmt w:val="lowerRoman"/>
      <w:lvlText w:val="%3."/>
      <w:lvlJc w:val="right"/>
      <w:pPr>
        <w:ind w:left="2160" w:hanging="180"/>
      </w:pPr>
    </w:lvl>
    <w:lvl w:ilvl="3" w:tplc="100A0001">
      <w:start w:val="1"/>
      <w:numFmt w:val="decimal"/>
      <w:lvlText w:val="%4."/>
      <w:lvlJc w:val="left"/>
      <w:pPr>
        <w:ind w:left="2880" w:hanging="360"/>
      </w:pPr>
    </w:lvl>
    <w:lvl w:ilvl="4" w:tplc="100A0003">
      <w:start w:val="1"/>
      <w:numFmt w:val="lowerLetter"/>
      <w:lvlText w:val="%5."/>
      <w:lvlJc w:val="left"/>
      <w:pPr>
        <w:ind w:left="3600" w:hanging="360"/>
      </w:pPr>
    </w:lvl>
    <w:lvl w:ilvl="5" w:tplc="100A0005">
      <w:start w:val="1"/>
      <w:numFmt w:val="lowerRoman"/>
      <w:lvlText w:val="%6."/>
      <w:lvlJc w:val="right"/>
      <w:pPr>
        <w:ind w:left="4320" w:hanging="180"/>
      </w:pPr>
    </w:lvl>
    <w:lvl w:ilvl="6" w:tplc="100A0001">
      <w:start w:val="1"/>
      <w:numFmt w:val="decimal"/>
      <w:lvlText w:val="%7."/>
      <w:lvlJc w:val="left"/>
      <w:pPr>
        <w:ind w:left="5040" w:hanging="360"/>
      </w:pPr>
    </w:lvl>
    <w:lvl w:ilvl="7" w:tplc="100A0003">
      <w:start w:val="1"/>
      <w:numFmt w:val="lowerLetter"/>
      <w:lvlText w:val="%8."/>
      <w:lvlJc w:val="left"/>
      <w:pPr>
        <w:ind w:left="5760" w:hanging="360"/>
      </w:pPr>
    </w:lvl>
    <w:lvl w:ilvl="8" w:tplc="100A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7A"/>
    <w:rsid w:val="00000A15"/>
    <w:rsid w:val="00003F24"/>
    <w:rsid w:val="0000500F"/>
    <w:rsid w:val="00006E3C"/>
    <w:rsid w:val="00012A26"/>
    <w:rsid w:val="000140AB"/>
    <w:rsid w:val="00015235"/>
    <w:rsid w:val="00015335"/>
    <w:rsid w:val="00021757"/>
    <w:rsid w:val="00021B32"/>
    <w:rsid w:val="00022481"/>
    <w:rsid w:val="00023D94"/>
    <w:rsid w:val="000243EC"/>
    <w:rsid w:val="0002687E"/>
    <w:rsid w:val="00026F94"/>
    <w:rsid w:val="0002753A"/>
    <w:rsid w:val="000309CA"/>
    <w:rsid w:val="00031EAD"/>
    <w:rsid w:val="00033445"/>
    <w:rsid w:val="00033C9D"/>
    <w:rsid w:val="0003429B"/>
    <w:rsid w:val="00034483"/>
    <w:rsid w:val="00034810"/>
    <w:rsid w:val="00034CA1"/>
    <w:rsid w:val="00037378"/>
    <w:rsid w:val="00037B68"/>
    <w:rsid w:val="00037BF5"/>
    <w:rsid w:val="000418C9"/>
    <w:rsid w:val="00041FA0"/>
    <w:rsid w:val="00043537"/>
    <w:rsid w:val="000440E9"/>
    <w:rsid w:val="00050016"/>
    <w:rsid w:val="0005688F"/>
    <w:rsid w:val="000574D3"/>
    <w:rsid w:val="00060176"/>
    <w:rsid w:val="000602DC"/>
    <w:rsid w:val="000605E2"/>
    <w:rsid w:val="00060EF5"/>
    <w:rsid w:val="0006196C"/>
    <w:rsid w:val="0006727A"/>
    <w:rsid w:val="000677BD"/>
    <w:rsid w:val="00067D5F"/>
    <w:rsid w:val="00071322"/>
    <w:rsid w:val="000714B6"/>
    <w:rsid w:val="000720CD"/>
    <w:rsid w:val="0007232E"/>
    <w:rsid w:val="000725C2"/>
    <w:rsid w:val="00072B67"/>
    <w:rsid w:val="0007326B"/>
    <w:rsid w:val="0007543A"/>
    <w:rsid w:val="000763D3"/>
    <w:rsid w:val="00077EBA"/>
    <w:rsid w:val="0008069F"/>
    <w:rsid w:val="00082788"/>
    <w:rsid w:val="00083E8B"/>
    <w:rsid w:val="00084326"/>
    <w:rsid w:val="000849DF"/>
    <w:rsid w:val="0009025C"/>
    <w:rsid w:val="0009073E"/>
    <w:rsid w:val="00090848"/>
    <w:rsid w:val="0009250E"/>
    <w:rsid w:val="0009261F"/>
    <w:rsid w:val="00092883"/>
    <w:rsid w:val="00092AB8"/>
    <w:rsid w:val="00092C0A"/>
    <w:rsid w:val="00093932"/>
    <w:rsid w:val="00094F01"/>
    <w:rsid w:val="000950DF"/>
    <w:rsid w:val="00095684"/>
    <w:rsid w:val="000965E6"/>
    <w:rsid w:val="0009723A"/>
    <w:rsid w:val="00097BDA"/>
    <w:rsid w:val="000A265D"/>
    <w:rsid w:val="000A32B0"/>
    <w:rsid w:val="000A526E"/>
    <w:rsid w:val="000A69DF"/>
    <w:rsid w:val="000B056D"/>
    <w:rsid w:val="000B094A"/>
    <w:rsid w:val="000B10A1"/>
    <w:rsid w:val="000B1438"/>
    <w:rsid w:val="000B51C0"/>
    <w:rsid w:val="000B614F"/>
    <w:rsid w:val="000B638A"/>
    <w:rsid w:val="000B7795"/>
    <w:rsid w:val="000C02ED"/>
    <w:rsid w:val="000C1670"/>
    <w:rsid w:val="000C1CD1"/>
    <w:rsid w:val="000C2C47"/>
    <w:rsid w:val="000C4623"/>
    <w:rsid w:val="000C7171"/>
    <w:rsid w:val="000D05CF"/>
    <w:rsid w:val="000D346F"/>
    <w:rsid w:val="000D3C60"/>
    <w:rsid w:val="000D43DB"/>
    <w:rsid w:val="000D448B"/>
    <w:rsid w:val="000D45C1"/>
    <w:rsid w:val="000D57FE"/>
    <w:rsid w:val="000D66A6"/>
    <w:rsid w:val="000D6780"/>
    <w:rsid w:val="000D7253"/>
    <w:rsid w:val="000E2516"/>
    <w:rsid w:val="000E5F0B"/>
    <w:rsid w:val="000E6CA1"/>
    <w:rsid w:val="000E7146"/>
    <w:rsid w:val="000E7481"/>
    <w:rsid w:val="000F0B7D"/>
    <w:rsid w:val="000F4CCC"/>
    <w:rsid w:val="000F4D42"/>
    <w:rsid w:val="000F4E9B"/>
    <w:rsid w:val="000F7BD5"/>
    <w:rsid w:val="000F7FEC"/>
    <w:rsid w:val="0010046E"/>
    <w:rsid w:val="00100849"/>
    <w:rsid w:val="00100F6F"/>
    <w:rsid w:val="001024B1"/>
    <w:rsid w:val="00102BF9"/>
    <w:rsid w:val="0010400B"/>
    <w:rsid w:val="00104A99"/>
    <w:rsid w:val="00106ADC"/>
    <w:rsid w:val="00112EB6"/>
    <w:rsid w:val="00114223"/>
    <w:rsid w:val="00114E3E"/>
    <w:rsid w:val="00116804"/>
    <w:rsid w:val="00116B57"/>
    <w:rsid w:val="001171FC"/>
    <w:rsid w:val="00117870"/>
    <w:rsid w:val="001202D1"/>
    <w:rsid w:val="00122778"/>
    <w:rsid w:val="001249C0"/>
    <w:rsid w:val="00124C72"/>
    <w:rsid w:val="001300DB"/>
    <w:rsid w:val="00131914"/>
    <w:rsid w:val="00132768"/>
    <w:rsid w:val="0013372B"/>
    <w:rsid w:val="001378D3"/>
    <w:rsid w:val="00141165"/>
    <w:rsid w:val="001425A7"/>
    <w:rsid w:val="001435B2"/>
    <w:rsid w:val="00143EEE"/>
    <w:rsid w:val="0014416D"/>
    <w:rsid w:val="0014493C"/>
    <w:rsid w:val="00145943"/>
    <w:rsid w:val="00145EA8"/>
    <w:rsid w:val="00145F6B"/>
    <w:rsid w:val="00147BD1"/>
    <w:rsid w:val="00151E77"/>
    <w:rsid w:val="0015227F"/>
    <w:rsid w:val="00152A7F"/>
    <w:rsid w:val="00155FC0"/>
    <w:rsid w:val="001566C2"/>
    <w:rsid w:val="00160E03"/>
    <w:rsid w:val="00161A0A"/>
    <w:rsid w:val="001628DD"/>
    <w:rsid w:val="00163100"/>
    <w:rsid w:val="00163459"/>
    <w:rsid w:val="0016361F"/>
    <w:rsid w:val="00164B24"/>
    <w:rsid w:val="00166422"/>
    <w:rsid w:val="0016684D"/>
    <w:rsid w:val="00167A70"/>
    <w:rsid w:val="00171E38"/>
    <w:rsid w:val="00172574"/>
    <w:rsid w:val="00172849"/>
    <w:rsid w:val="001760F1"/>
    <w:rsid w:val="00177C45"/>
    <w:rsid w:val="00183A25"/>
    <w:rsid w:val="00185BAB"/>
    <w:rsid w:val="00186D69"/>
    <w:rsid w:val="001908B3"/>
    <w:rsid w:val="00193F45"/>
    <w:rsid w:val="00196849"/>
    <w:rsid w:val="00197B4A"/>
    <w:rsid w:val="001A009C"/>
    <w:rsid w:val="001A2491"/>
    <w:rsid w:val="001A4E3E"/>
    <w:rsid w:val="001A7F62"/>
    <w:rsid w:val="001B048A"/>
    <w:rsid w:val="001B04FD"/>
    <w:rsid w:val="001B1C99"/>
    <w:rsid w:val="001C178A"/>
    <w:rsid w:val="001C2381"/>
    <w:rsid w:val="001C35D9"/>
    <w:rsid w:val="001C3D04"/>
    <w:rsid w:val="001C537D"/>
    <w:rsid w:val="001C549C"/>
    <w:rsid w:val="001C5F2F"/>
    <w:rsid w:val="001D05B2"/>
    <w:rsid w:val="001D0A4C"/>
    <w:rsid w:val="001D275C"/>
    <w:rsid w:val="001D4732"/>
    <w:rsid w:val="001D48EB"/>
    <w:rsid w:val="001D6318"/>
    <w:rsid w:val="001D7566"/>
    <w:rsid w:val="001D779E"/>
    <w:rsid w:val="001E0FE0"/>
    <w:rsid w:val="001E1893"/>
    <w:rsid w:val="001E7668"/>
    <w:rsid w:val="001F0B0A"/>
    <w:rsid w:val="001F2A09"/>
    <w:rsid w:val="001F3A3C"/>
    <w:rsid w:val="001F43B6"/>
    <w:rsid w:val="001F46A8"/>
    <w:rsid w:val="001F46A9"/>
    <w:rsid w:val="001F4AF1"/>
    <w:rsid w:val="001F5956"/>
    <w:rsid w:val="001F5C1E"/>
    <w:rsid w:val="001F6942"/>
    <w:rsid w:val="00200FC0"/>
    <w:rsid w:val="00202256"/>
    <w:rsid w:val="002029B3"/>
    <w:rsid w:val="0020331E"/>
    <w:rsid w:val="0020373A"/>
    <w:rsid w:val="00203C87"/>
    <w:rsid w:val="00203C9D"/>
    <w:rsid w:val="00205BC3"/>
    <w:rsid w:val="00210060"/>
    <w:rsid w:val="0021113C"/>
    <w:rsid w:val="00212501"/>
    <w:rsid w:val="00212958"/>
    <w:rsid w:val="0021536D"/>
    <w:rsid w:val="002157E1"/>
    <w:rsid w:val="0021588A"/>
    <w:rsid w:val="00215B43"/>
    <w:rsid w:val="00220337"/>
    <w:rsid w:val="00220576"/>
    <w:rsid w:val="00222609"/>
    <w:rsid w:val="002228D0"/>
    <w:rsid w:val="00222E5C"/>
    <w:rsid w:val="00223F72"/>
    <w:rsid w:val="0022700C"/>
    <w:rsid w:val="002279D8"/>
    <w:rsid w:val="00230E21"/>
    <w:rsid w:val="002320DE"/>
    <w:rsid w:val="00232CA9"/>
    <w:rsid w:val="002332C5"/>
    <w:rsid w:val="002332F5"/>
    <w:rsid w:val="002358A0"/>
    <w:rsid w:val="00235BA4"/>
    <w:rsid w:val="002366E5"/>
    <w:rsid w:val="002417DD"/>
    <w:rsid w:val="002421A2"/>
    <w:rsid w:val="00246B04"/>
    <w:rsid w:val="00247DD6"/>
    <w:rsid w:val="00247FAD"/>
    <w:rsid w:val="002514A3"/>
    <w:rsid w:val="00251661"/>
    <w:rsid w:val="00253DD1"/>
    <w:rsid w:val="002563F3"/>
    <w:rsid w:val="00256667"/>
    <w:rsid w:val="00257551"/>
    <w:rsid w:val="00257AED"/>
    <w:rsid w:val="00260061"/>
    <w:rsid w:val="00260A2D"/>
    <w:rsid w:val="00261656"/>
    <w:rsid w:val="002626EF"/>
    <w:rsid w:val="002628C4"/>
    <w:rsid w:val="00263311"/>
    <w:rsid w:val="0026359D"/>
    <w:rsid w:val="00263861"/>
    <w:rsid w:val="00263AD1"/>
    <w:rsid w:val="00263FD4"/>
    <w:rsid w:val="002654A8"/>
    <w:rsid w:val="00270575"/>
    <w:rsid w:val="0027095A"/>
    <w:rsid w:val="00271194"/>
    <w:rsid w:val="002717B9"/>
    <w:rsid w:val="002738B8"/>
    <w:rsid w:val="00280013"/>
    <w:rsid w:val="002817A3"/>
    <w:rsid w:val="00283B7D"/>
    <w:rsid w:val="002843B9"/>
    <w:rsid w:val="00284584"/>
    <w:rsid w:val="0028596B"/>
    <w:rsid w:val="00286C5E"/>
    <w:rsid w:val="00287E43"/>
    <w:rsid w:val="0029276A"/>
    <w:rsid w:val="00292C28"/>
    <w:rsid w:val="00292EEE"/>
    <w:rsid w:val="002A0F40"/>
    <w:rsid w:val="002A111C"/>
    <w:rsid w:val="002A1BE3"/>
    <w:rsid w:val="002A50A2"/>
    <w:rsid w:val="002A6911"/>
    <w:rsid w:val="002B0257"/>
    <w:rsid w:val="002B0D1A"/>
    <w:rsid w:val="002B1EB1"/>
    <w:rsid w:val="002B2794"/>
    <w:rsid w:val="002B31E1"/>
    <w:rsid w:val="002B4B29"/>
    <w:rsid w:val="002B4DC0"/>
    <w:rsid w:val="002B568E"/>
    <w:rsid w:val="002B5952"/>
    <w:rsid w:val="002B71AD"/>
    <w:rsid w:val="002C0F67"/>
    <w:rsid w:val="002C1729"/>
    <w:rsid w:val="002C181C"/>
    <w:rsid w:val="002C1F13"/>
    <w:rsid w:val="002C22BA"/>
    <w:rsid w:val="002C333E"/>
    <w:rsid w:val="002C35C7"/>
    <w:rsid w:val="002C3BAB"/>
    <w:rsid w:val="002C46AA"/>
    <w:rsid w:val="002C4978"/>
    <w:rsid w:val="002C5451"/>
    <w:rsid w:val="002C6810"/>
    <w:rsid w:val="002C6A40"/>
    <w:rsid w:val="002C6BF0"/>
    <w:rsid w:val="002D0209"/>
    <w:rsid w:val="002D27CF"/>
    <w:rsid w:val="002D441B"/>
    <w:rsid w:val="002D4A5A"/>
    <w:rsid w:val="002D4B1A"/>
    <w:rsid w:val="002E2A5C"/>
    <w:rsid w:val="002E3337"/>
    <w:rsid w:val="002E5E99"/>
    <w:rsid w:val="002E7386"/>
    <w:rsid w:val="002F050D"/>
    <w:rsid w:val="002F0BB5"/>
    <w:rsid w:val="002F1FBB"/>
    <w:rsid w:val="002F5E28"/>
    <w:rsid w:val="002F7F98"/>
    <w:rsid w:val="00300A5F"/>
    <w:rsid w:val="003010F9"/>
    <w:rsid w:val="003025D4"/>
    <w:rsid w:val="00302FF4"/>
    <w:rsid w:val="00304973"/>
    <w:rsid w:val="00304B5B"/>
    <w:rsid w:val="003050C7"/>
    <w:rsid w:val="0030544A"/>
    <w:rsid w:val="00305EA2"/>
    <w:rsid w:val="0030605E"/>
    <w:rsid w:val="003060D9"/>
    <w:rsid w:val="003062A2"/>
    <w:rsid w:val="00311EF4"/>
    <w:rsid w:val="00313D25"/>
    <w:rsid w:val="00314472"/>
    <w:rsid w:val="003161C9"/>
    <w:rsid w:val="00321A69"/>
    <w:rsid w:val="003226E6"/>
    <w:rsid w:val="00324C2D"/>
    <w:rsid w:val="003262F1"/>
    <w:rsid w:val="003279B9"/>
    <w:rsid w:val="003328DF"/>
    <w:rsid w:val="00332B4A"/>
    <w:rsid w:val="00333BB6"/>
    <w:rsid w:val="00337271"/>
    <w:rsid w:val="00337BC5"/>
    <w:rsid w:val="00337C8D"/>
    <w:rsid w:val="00337CB7"/>
    <w:rsid w:val="0034144E"/>
    <w:rsid w:val="003440C0"/>
    <w:rsid w:val="0034475A"/>
    <w:rsid w:val="00344893"/>
    <w:rsid w:val="00344D7D"/>
    <w:rsid w:val="00350B99"/>
    <w:rsid w:val="00352496"/>
    <w:rsid w:val="00353D12"/>
    <w:rsid w:val="00356453"/>
    <w:rsid w:val="003575E8"/>
    <w:rsid w:val="00363C61"/>
    <w:rsid w:val="00363EF0"/>
    <w:rsid w:val="00364711"/>
    <w:rsid w:val="00371354"/>
    <w:rsid w:val="0037138B"/>
    <w:rsid w:val="00371942"/>
    <w:rsid w:val="00372339"/>
    <w:rsid w:val="0037299F"/>
    <w:rsid w:val="00374023"/>
    <w:rsid w:val="0037521D"/>
    <w:rsid w:val="00382073"/>
    <w:rsid w:val="00382597"/>
    <w:rsid w:val="00382F73"/>
    <w:rsid w:val="003841A8"/>
    <w:rsid w:val="00385DFC"/>
    <w:rsid w:val="00386924"/>
    <w:rsid w:val="003873F4"/>
    <w:rsid w:val="0039116F"/>
    <w:rsid w:val="0039400A"/>
    <w:rsid w:val="003940F3"/>
    <w:rsid w:val="003A25B4"/>
    <w:rsid w:val="003A6155"/>
    <w:rsid w:val="003B1AB0"/>
    <w:rsid w:val="003B344F"/>
    <w:rsid w:val="003B3BD7"/>
    <w:rsid w:val="003C15FB"/>
    <w:rsid w:val="003C22FF"/>
    <w:rsid w:val="003C345D"/>
    <w:rsid w:val="003C417A"/>
    <w:rsid w:val="003C5B9A"/>
    <w:rsid w:val="003C6EC4"/>
    <w:rsid w:val="003C735E"/>
    <w:rsid w:val="003D022D"/>
    <w:rsid w:val="003D15D5"/>
    <w:rsid w:val="003D3219"/>
    <w:rsid w:val="003D3FE8"/>
    <w:rsid w:val="003D672E"/>
    <w:rsid w:val="003D6AD0"/>
    <w:rsid w:val="003D7991"/>
    <w:rsid w:val="003E02F4"/>
    <w:rsid w:val="003E0588"/>
    <w:rsid w:val="003E1071"/>
    <w:rsid w:val="003E1AB5"/>
    <w:rsid w:val="003E4732"/>
    <w:rsid w:val="003E4DDC"/>
    <w:rsid w:val="003E5412"/>
    <w:rsid w:val="003E5535"/>
    <w:rsid w:val="003E70C7"/>
    <w:rsid w:val="003E72F3"/>
    <w:rsid w:val="003F5233"/>
    <w:rsid w:val="003F589B"/>
    <w:rsid w:val="003F6B5B"/>
    <w:rsid w:val="003F715B"/>
    <w:rsid w:val="003F76BA"/>
    <w:rsid w:val="00400A5A"/>
    <w:rsid w:val="0040249E"/>
    <w:rsid w:val="0040330D"/>
    <w:rsid w:val="004050E8"/>
    <w:rsid w:val="00405421"/>
    <w:rsid w:val="004058F9"/>
    <w:rsid w:val="00406F2C"/>
    <w:rsid w:val="004072A6"/>
    <w:rsid w:val="00407ADA"/>
    <w:rsid w:val="004110C5"/>
    <w:rsid w:val="00411D9B"/>
    <w:rsid w:val="004127D0"/>
    <w:rsid w:val="00413063"/>
    <w:rsid w:val="00417AAE"/>
    <w:rsid w:val="00417E2A"/>
    <w:rsid w:val="00421810"/>
    <w:rsid w:val="0042237C"/>
    <w:rsid w:val="00422A3A"/>
    <w:rsid w:val="00424301"/>
    <w:rsid w:val="00430543"/>
    <w:rsid w:val="00430FF9"/>
    <w:rsid w:val="004310AF"/>
    <w:rsid w:val="0043280A"/>
    <w:rsid w:val="004369F9"/>
    <w:rsid w:val="00437DDF"/>
    <w:rsid w:val="00437ED9"/>
    <w:rsid w:val="004413D7"/>
    <w:rsid w:val="00443FFF"/>
    <w:rsid w:val="0044569E"/>
    <w:rsid w:val="00446E3B"/>
    <w:rsid w:val="004472B4"/>
    <w:rsid w:val="00447557"/>
    <w:rsid w:val="00447FFE"/>
    <w:rsid w:val="00452E48"/>
    <w:rsid w:val="00453B54"/>
    <w:rsid w:val="0045504F"/>
    <w:rsid w:val="00460A33"/>
    <w:rsid w:val="0046427E"/>
    <w:rsid w:val="004643AC"/>
    <w:rsid w:val="0046698B"/>
    <w:rsid w:val="00466A2C"/>
    <w:rsid w:val="00466EFC"/>
    <w:rsid w:val="00470AC8"/>
    <w:rsid w:val="00471016"/>
    <w:rsid w:val="00471491"/>
    <w:rsid w:val="00472063"/>
    <w:rsid w:val="004739D1"/>
    <w:rsid w:val="00474AC2"/>
    <w:rsid w:val="004765B2"/>
    <w:rsid w:val="0047676D"/>
    <w:rsid w:val="00476EF0"/>
    <w:rsid w:val="00477197"/>
    <w:rsid w:val="0048011A"/>
    <w:rsid w:val="00480C03"/>
    <w:rsid w:val="00480ED7"/>
    <w:rsid w:val="00480F26"/>
    <w:rsid w:val="00481052"/>
    <w:rsid w:val="00483EDB"/>
    <w:rsid w:val="004858DE"/>
    <w:rsid w:val="00485FB0"/>
    <w:rsid w:val="004920E9"/>
    <w:rsid w:val="004925E2"/>
    <w:rsid w:val="004926B0"/>
    <w:rsid w:val="00494295"/>
    <w:rsid w:val="004946A2"/>
    <w:rsid w:val="00494A5A"/>
    <w:rsid w:val="00496E6B"/>
    <w:rsid w:val="004976BD"/>
    <w:rsid w:val="00497788"/>
    <w:rsid w:val="004A1578"/>
    <w:rsid w:val="004A1B95"/>
    <w:rsid w:val="004A2716"/>
    <w:rsid w:val="004A510E"/>
    <w:rsid w:val="004A5428"/>
    <w:rsid w:val="004A5EA7"/>
    <w:rsid w:val="004A6FB4"/>
    <w:rsid w:val="004A734D"/>
    <w:rsid w:val="004B0BBF"/>
    <w:rsid w:val="004B1FC1"/>
    <w:rsid w:val="004B27EC"/>
    <w:rsid w:val="004B2FCB"/>
    <w:rsid w:val="004B4A8F"/>
    <w:rsid w:val="004B5034"/>
    <w:rsid w:val="004B7F3D"/>
    <w:rsid w:val="004C12FF"/>
    <w:rsid w:val="004C1FFF"/>
    <w:rsid w:val="004C2CC1"/>
    <w:rsid w:val="004C48DB"/>
    <w:rsid w:val="004C50B8"/>
    <w:rsid w:val="004C75AF"/>
    <w:rsid w:val="004D0EB1"/>
    <w:rsid w:val="004D13BE"/>
    <w:rsid w:val="004D41C1"/>
    <w:rsid w:val="004D56AC"/>
    <w:rsid w:val="004D5A56"/>
    <w:rsid w:val="004D644B"/>
    <w:rsid w:val="004D6928"/>
    <w:rsid w:val="004E1AF8"/>
    <w:rsid w:val="004E1F26"/>
    <w:rsid w:val="004E2F43"/>
    <w:rsid w:val="004E2F52"/>
    <w:rsid w:val="004E4309"/>
    <w:rsid w:val="004E76DA"/>
    <w:rsid w:val="004F0545"/>
    <w:rsid w:val="004F3466"/>
    <w:rsid w:val="004F4047"/>
    <w:rsid w:val="004F58BB"/>
    <w:rsid w:val="004F5E10"/>
    <w:rsid w:val="004F66A9"/>
    <w:rsid w:val="00500285"/>
    <w:rsid w:val="00500E51"/>
    <w:rsid w:val="005010C3"/>
    <w:rsid w:val="00502218"/>
    <w:rsid w:val="00503CAB"/>
    <w:rsid w:val="005052BB"/>
    <w:rsid w:val="0050555F"/>
    <w:rsid w:val="00506535"/>
    <w:rsid w:val="00506C11"/>
    <w:rsid w:val="0051222F"/>
    <w:rsid w:val="00513FA8"/>
    <w:rsid w:val="0051660C"/>
    <w:rsid w:val="00520BDE"/>
    <w:rsid w:val="0052162A"/>
    <w:rsid w:val="0052556F"/>
    <w:rsid w:val="0053064E"/>
    <w:rsid w:val="005327A6"/>
    <w:rsid w:val="00533C86"/>
    <w:rsid w:val="00533FED"/>
    <w:rsid w:val="0053415F"/>
    <w:rsid w:val="00535B4F"/>
    <w:rsid w:val="00536736"/>
    <w:rsid w:val="00537B74"/>
    <w:rsid w:val="005426BC"/>
    <w:rsid w:val="005446AD"/>
    <w:rsid w:val="005465AA"/>
    <w:rsid w:val="00547412"/>
    <w:rsid w:val="00547616"/>
    <w:rsid w:val="00551A91"/>
    <w:rsid w:val="00552F43"/>
    <w:rsid w:val="00554119"/>
    <w:rsid w:val="00555A91"/>
    <w:rsid w:val="005566C0"/>
    <w:rsid w:val="0056150D"/>
    <w:rsid w:val="00563E26"/>
    <w:rsid w:val="00564E3A"/>
    <w:rsid w:val="005650DE"/>
    <w:rsid w:val="005652EE"/>
    <w:rsid w:val="0056533F"/>
    <w:rsid w:val="005674DD"/>
    <w:rsid w:val="00570CF9"/>
    <w:rsid w:val="00571DE5"/>
    <w:rsid w:val="00574461"/>
    <w:rsid w:val="0057513B"/>
    <w:rsid w:val="00575AE6"/>
    <w:rsid w:val="005761F4"/>
    <w:rsid w:val="0057697E"/>
    <w:rsid w:val="005778D9"/>
    <w:rsid w:val="0058367B"/>
    <w:rsid w:val="00585B7A"/>
    <w:rsid w:val="00585D83"/>
    <w:rsid w:val="00585F42"/>
    <w:rsid w:val="00586E82"/>
    <w:rsid w:val="005870A6"/>
    <w:rsid w:val="00587CD2"/>
    <w:rsid w:val="005916F2"/>
    <w:rsid w:val="005940A2"/>
    <w:rsid w:val="00597631"/>
    <w:rsid w:val="005A2AB6"/>
    <w:rsid w:val="005A4A30"/>
    <w:rsid w:val="005A52C3"/>
    <w:rsid w:val="005A59C9"/>
    <w:rsid w:val="005A5B4E"/>
    <w:rsid w:val="005A7501"/>
    <w:rsid w:val="005A7EC8"/>
    <w:rsid w:val="005B0B1D"/>
    <w:rsid w:val="005B1F76"/>
    <w:rsid w:val="005B3E16"/>
    <w:rsid w:val="005B446C"/>
    <w:rsid w:val="005B4A58"/>
    <w:rsid w:val="005B5B67"/>
    <w:rsid w:val="005B5EF9"/>
    <w:rsid w:val="005B6C66"/>
    <w:rsid w:val="005B7212"/>
    <w:rsid w:val="005C1D7D"/>
    <w:rsid w:val="005C2D7A"/>
    <w:rsid w:val="005C3251"/>
    <w:rsid w:val="005C39D0"/>
    <w:rsid w:val="005C6261"/>
    <w:rsid w:val="005D022D"/>
    <w:rsid w:val="005D2AC1"/>
    <w:rsid w:val="005D6AB7"/>
    <w:rsid w:val="005D6C03"/>
    <w:rsid w:val="005D7C2F"/>
    <w:rsid w:val="005E24FA"/>
    <w:rsid w:val="005E5F9B"/>
    <w:rsid w:val="005E6479"/>
    <w:rsid w:val="005F107E"/>
    <w:rsid w:val="005F2276"/>
    <w:rsid w:val="00600232"/>
    <w:rsid w:val="00600A5E"/>
    <w:rsid w:val="00602D54"/>
    <w:rsid w:val="0060428E"/>
    <w:rsid w:val="0060439E"/>
    <w:rsid w:val="00604CB8"/>
    <w:rsid w:val="00610C76"/>
    <w:rsid w:val="0061152F"/>
    <w:rsid w:val="0061208E"/>
    <w:rsid w:val="006139BB"/>
    <w:rsid w:val="00614056"/>
    <w:rsid w:val="006149A6"/>
    <w:rsid w:val="00614C0E"/>
    <w:rsid w:val="00615360"/>
    <w:rsid w:val="006173D3"/>
    <w:rsid w:val="00621A84"/>
    <w:rsid w:val="00622C49"/>
    <w:rsid w:val="00624540"/>
    <w:rsid w:val="0062501B"/>
    <w:rsid w:val="00625DB1"/>
    <w:rsid w:val="00627DF2"/>
    <w:rsid w:val="00630F14"/>
    <w:rsid w:val="006342AB"/>
    <w:rsid w:val="00636D9D"/>
    <w:rsid w:val="00637513"/>
    <w:rsid w:val="00641CBF"/>
    <w:rsid w:val="00642E05"/>
    <w:rsid w:val="00643ED9"/>
    <w:rsid w:val="00644215"/>
    <w:rsid w:val="0064490F"/>
    <w:rsid w:val="00644A6C"/>
    <w:rsid w:val="006471EE"/>
    <w:rsid w:val="00650BC8"/>
    <w:rsid w:val="006531FE"/>
    <w:rsid w:val="00653708"/>
    <w:rsid w:val="00653BBD"/>
    <w:rsid w:val="0065655A"/>
    <w:rsid w:val="00657CB3"/>
    <w:rsid w:val="00660BBD"/>
    <w:rsid w:val="00660CA3"/>
    <w:rsid w:val="00661A98"/>
    <w:rsid w:val="00661B55"/>
    <w:rsid w:val="0066396D"/>
    <w:rsid w:val="00664EA2"/>
    <w:rsid w:val="006654CC"/>
    <w:rsid w:val="0066639F"/>
    <w:rsid w:val="006669DB"/>
    <w:rsid w:val="00666C0E"/>
    <w:rsid w:val="00667168"/>
    <w:rsid w:val="00667711"/>
    <w:rsid w:val="00670104"/>
    <w:rsid w:val="00671229"/>
    <w:rsid w:val="0067148B"/>
    <w:rsid w:val="0067351F"/>
    <w:rsid w:val="0067449E"/>
    <w:rsid w:val="00675D25"/>
    <w:rsid w:val="00676431"/>
    <w:rsid w:val="0068270D"/>
    <w:rsid w:val="00682757"/>
    <w:rsid w:val="00682C0D"/>
    <w:rsid w:val="00686B95"/>
    <w:rsid w:val="00687DF8"/>
    <w:rsid w:val="00692B37"/>
    <w:rsid w:val="00692B8C"/>
    <w:rsid w:val="0069421B"/>
    <w:rsid w:val="00694AA0"/>
    <w:rsid w:val="00694DC1"/>
    <w:rsid w:val="00696B32"/>
    <w:rsid w:val="00697D33"/>
    <w:rsid w:val="006A068D"/>
    <w:rsid w:val="006A2912"/>
    <w:rsid w:val="006A2FD2"/>
    <w:rsid w:val="006A3258"/>
    <w:rsid w:val="006A32CE"/>
    <w:rsid w:val="006A3411"/>
    <w:rsid w:val="006A47CA"/>
    <w:rsid w:val="006A760A"/>
    <w:rsid w:val="006A7CCF"/>
    <w:rsid w:val="006B0A48"/>
    <w:rsid w:val="006B287F"/>
    <w:rsid w:val="006B68F4"/>
    <w:rsid w:val="006B76B2"/>
    <w:rsid w:val="006C0D66"/>
    <w:rsid w:val="006C1B82"/>
    <w:rsid w:val="006C1D4C"/>
    <w:rsid w:val="006C2E07"/>
    <w:rsid w:val="006C5D33"/>
    <w:rsid w:val="006C6D45"/>
    <w:rsid w:val="006D00C7"/>
    <w:rsid w:val="006D2944"/>
    <w:rsid w:val="006D3140"/>
    <w:rsid w:val="006D348F"/>
    <w:rsid w:val="006D4882"/>
    <w:rsid w:val="006E496C"/>
    <w:rsid w:val="006E5DC5"/>
    <w:rsid w:val="006E7BEB"/>
    <w:rsid w:val="006E7DB9"/>
    <w:rsid w:val="006F3B82"/>
    <w:rsid w:val="006F3F90"/>
    <w:rsid w:val="006F494F"/>
    <w:rsid w:val="006F5455"/>
    <w:rsid w:val="006F56C9"/>
    <w:rsid w:val="006F5795"/>
    <w:rsid w:val="00700B1D"/>
    <w:rsid w:val="00701F7A"/>
    <w:rsid w:val="00707128"/>
    <w:rsid w:val="007107CB"/>
    <w:rsid w:val="0071198A"/>
    <w:rsid w:val="00713FD9"/>
    <w:rsid w:val="00714402"/>
    <w:rsid w:val="0071569E"/>
    <w:rsid w:val="0071669E"/>
    <w:rsid w:val="0072300C"/>
    <w:rsid w:val="0072315A"/>
    <w:rsid w:val="00723DD9"/>
    <w:rsid w:val="00723DEE"/>
    <w:rsid w:val="00724629"/>
    <w:rsid w:val="00724CC3"/>
    <w:rsid w:val="007256DE"/>
    <w:rsid w:val="00727AA5"/>
    <w:rsid w:val="00730E94"/>
    <w:rsid w:val="00731851"/>
    <w:rsid w:val="00731DB7"/>
    <w:rsid w:val="00735FF9"/>
    <w:rsid w:val="007407CF"/>
    <w:rsid w:val="00742669"/>
    <w:rsid w:val="0074480C"/>
    <w:rsid w:val="007467EC"/>
    <w:rsid w:val="00746D16"/>
    <w:rsid w:val="00747629"/>
    <w:rsid w:val="007512F3"/>
    <w:rsid w:val="00752458"/>
    <w:rsid w:val="0075295D"/>
    <w:rsid w:val="007541D9"/>
    <w:rsid w:val="00761922"/>
    <w:rsid w:val="00761DDB"/>
    <w:rsid w:val="00763446"/>
    <w:rsid w:val="00763ADB"/>
    <w:rsid w:val="007641B2"/>
    <w:rsid w:val="00765C2A"/>
    <w:rsid w:val="00765CEB"/>
    <w:rsid w:val="0076666F"/>
    <w:rsid w:val="00766FFB"/>
    <w:rsid w:val="00767DE8"/>
    <w:rsid w:val="00771C17"/>
    <w:rsid w:val="00771EA4"/>
    <w:rsid w:val="007727A9"/>
    <w:rsid w:val="00773F55"/>
    <w:rsid w:val="007745A1"/>
    <w:rsid w:val="00775730"/>
    <w:rsid w:val="00775BD3"/>
    <w:rsid w:val="00775C86"/>
    <w:rsid w:val="00776C0F"/>
    <w:rsid w:val="00780019"/>
    <w:rsid w:val="007801C8"/>
    <w:rsid w:val="00782A60"/>
    <w:rsid w:val="007846A1"/>
    <w:rsid w:val="007848CC"/>
    <w:rsid w:val="00784AFD"/>
    <w:rsid w:val="00790900"/>
    <w:rsid w:val="00791A33"/>
    <w:rsid w:val="00792DE6"/>
    <w:rsid w:val="00792FFB"/>
    <w:rsid w:val="00793E60"/>
    <w:rsid w:val="0079422D"/>
    <w:rsid w:val="00794EF5"/>
    <w:rsid w:val="007A18EB"/>
    <w:rsid w:val="007A3268"/>
    <w:rsid w:val="007A4134"/>
    <w:rsid w:val="007A44A1"/>
    <w:rsid w:val="007A6574"/>
    <w:rsid w:val="007A73B6"/>
    <w:rsid w:val="007A7439"/>
    <w:rsid w:val="007A7569"/>
    <w:rsid w:val="007B2AE9"/>
    <w:rsid w:val="007B2D30"/>
    <w:rsid w:val="007B3AE5"/>
    <w:rsid w:val="007B4FA8"/>
    <w:rsid w:val="007B5D13"/>
    <w:rsid w:val="007C0214"/>
    <w:rsid w:val="007C0625"/>
    <w:rsid w:val="007C0F7F"/>
    <w:rsid w:val="007C1DE6"/>
    <w:rsid w:val="007C28B5"/>
    <w:rsid w:val="007D060F"/>
    <w:rsid w:val="007D3C38"/>
    <w:rsid w:val="007D4095"/>
    <w:rsid w:val="007D435C"/>
    <w:rsid w:val="007D50EA"/>
    <w:rsid w:val="007D7A72"/>
    <w:rsid w:val="007E0AF3"/>
    <w:rsid w:val="007E1FCA"/>
    <w:rsid w:val="007E2CA8"/>
    <w:rsid w:val="007E31F8"/>
    <w:rsid w:val="007E401C"/>
    <w:rsid w:val="007E4025"/>
    <w:rsid w:val="007E5736"/>
    <w:rsid w:val="007E6DEF"/>
    <w:rsid w:val="007F0766"/>
    <w:rsid w:val="007F19C4"/>
    <w:rsid w:val="007F2192"/>
    <w:rsid w:val="008015FB"/>
    <w:rsid w:val="00801775"/>
    <w:rsid w:val="008018AF"/>
    <w:rsid w:val="00801B3A"/>
    <w:rsid w:val="008021F8"/>
    <w:rsid w:val="008027E8"/>
    <w:rsid w:val="00802E7A"/>
    <w:rsid w:val="00803662"/>
    <w:rsid w:val="00805C42"/>
    <w:rsid w:val="0080604F"/>
    <w:rsid w:val="008157F4"/>
    <w:rsid w:val="00816095"/>
    <w:rsid w:val="008160B6"/>
    <w:rsid w:val="00820FCA"/>
    <w:rsid w:val="00821ACD"/>
    <w:rsid w:val="00822074"/>
    <w:rsid w:val="00823D3D"/>
    <w:rsid w:val="008245CF"/>
    <w:rsid w:val="00831BE9"/>
    <w:rsid w:val="00832B2F"/>
    <w:rsid w:val="00833548"/>
    <w:rsid w:val="008337F9"/>
    <w:rsid w:val="008359AF"/>
    <w:rsid w:val="00835EDA"/>
    <w:rsid w:val="00837618"/>
    <w:rsid w:val="0084030C"/>
    <w:rsid w:val="00840764"/>
    <w:rsid w:val="008416CF"/>
    <w:rsid w:val="008417D2"/>
    <w:rsid w:val="008428F2"/>
    <w:rsid w:val="008428FF"/>
    <w:rsid w:val="00843458"/>
    <w:rsid w:val="0084375B"/>
    <w:rsid w:val="00843F77"/>
    <w:rsid w:val="0084764B"/>
    <w:rsid w:val="00850DA2"/>
    <w:rsid w:val="00851B90"/>
    <w:rsid w:val="00854ADF"/>
    <w:rsid w:val="008557CD"/>
    <w:rsid w:val="00855F6B"/>
    <w:rsid w:val="008565F5"/>
    <w:rsid w:val="008569AA"/>
    <w:rsid w:val="00857E5A"/>
    <w:rsid w:val="008602E9"/>
    <w:rsid w:val="0086150E"/>
    <w:rsid w:val="0086327B"/>
    <w:rsid w:val="00865950"/>
    <w:rsid w:val="00867481"/>
    <w:rsid w:val="00867598"/>
    <w:rsid w:val="00872145"/>
    <w:rsid w:val="008738EA"/>
    <w:rsid w:val="00874D8F"/>
    <w:rsid w:val="00874F1F"/>
    <w:rsid w:val="008755F0"/>
    <w:rsid w:val="00875FDF"/>
    <w:rsid w:val="0088106B"/>
    <w:rsid w:val="00883753"/>
    <w:rsid w:val="008843EA"/>
    <w:rsid w:val="0088482D"/>
    <w:rsid w:val="00886CFB"/>
    <w:rsid w:val="0088781D"/>
    <w:rsid w:val="008879EA"/>
    <w:rsid w:val="008901DB"/>
    <w:rsid w:val="0089127A"/>
    <w:rsid w:val="0089407D"/>
    <w:rsid w:val="00896DE8"/>
    <w:rsid w:val="00896FE1"/>
    <w:rsid w:val="008A27CC"/>
    <w:rsid w:val="008A317A"/>
    <w:rsid w:val="008A33E8"/>
    <w:rsid w:val="008A39B6"/>
    <w:rsid w:val="008A3D88"/>
    <w:rsid w:val="008A4AA4"/>
    <w:rsid w:val="008A4B31"/>
    <w:rsid w:val="008B0094"/>
    <w:rsid w:val="008B1E7A"/>
    <w:rsid w:val="008B43BA"/>
    <w:rsid w:val="008B4951"/>
    <w:rsid w:val="008B4AB0"/>
    <w:rsid w:val="008B51A5"/>
    <w:rsid w:val="008B544A"/>
    <w:rsid w:val="008B54AD"/>
    <w:rsid w:val="008B6915"/>
    <w:rsid w:val="008C6A2F"/>
    <w:rsid w:val="008D24EA"/>
    <w:rsid w:val="008D27B0"/>
    <w:rsid w:val="008D7CA0"/>
    <w:rsid w:val="008E0164"/>
    <w:rsid w:val="008E1ADD"/>
    <w:rsid w:val="008E27C0"/>
    <w:rsid w:val="008E47AB"/>
    <w:rsid w:val="008E5BA7"/>
    <w:rsid w:val="008E73E2"/>
    <w:rsid w:val="008E7D1D"/>
    <w:rsid w:val="008F0C51"/>
    <w:rsid w:val="008F0DD3"/>
    <w:rsid w:val="008F0FA1"/>
    <w:rsid w:val="008F10C7"/>
    <w:rsid w:val="008F1CE8"/>
    <w:rsid w:val="008F23C7"/>
    <w:rsid w:val="008F27F5"/>
    <w:rsid w:val="008F38BC"/>
    <w:rsid w:val="008F3B48"/>
    <w:rsid w:val="008F56CE"/>
    <w:rsid w:val="008F75EC"/>
    <w:rsid w:val="0090047A"/>
    <w:rsid w:val="00903C2B"/>
    <w:rsid w:val="009064E4"/>
    <w:rsid w:val="009110CF"/>
    <w:rsid w:val="00911AEE"/>
    <w:rsid w:val="00912DC6"/>
    <w:rsid w:val="00920B66"/>
    <w:rsid w:val="00921B8F"/>
    <w:rsid w:val="009237CC"/>
    <w:rsid w:val="00924706"/>
    <w:rsid w:val="009276D8"/>
    <w:rsid w:val="00927813"/>
    <w:rsid w:val="00930F2A"/>
    <w:rsid w:val="00931827"/>
    <w:rsid w:val="0093682C"/>
    <w:rsid w:val="00940275"/>
    <w:rsid w:val="00940515"/>
    <w:rsid w:val="009416FD"/>
    <w:rsid w:val="009417F9"/>
    <w:rsid w:val="009418F1"/>
    <w:rsid w:val="00941DC1"/>
    <w:rsid w:val="00942322"/>
    <w:rsid w:val="009445D0"/>
    <w:rsid w:val="009448C0"/>
    <w:rsid w:val="00945AB2"/>
    <w:rsid w:val="00945B08"/>
    <w:rsid w:val="00951660"/>
    <w:rsid w:val="00956123"/>
    <w:rsid w:val="00957413"/>
    <w:rsid w:val="009603EC"/>
    <w:rsid w:val="009607B8"/>
    <w:rsid w:val="009668A8"/>
    <w:rsid w:val="0096752D"/>
    <w:rsid w:val="009700A1"/>
    <w:rsid w:val="0097064F"/>
    <w:rsid w:val="00971906"/>
    <w:rsid w:val="00972104"/>
    <w:rsid w:val="00972BD0"/>
    <w:rsid w:val="0097492C"/>
    <w:rsid w:val="00974BAD"/>
    <w:rsid w:val="009752CB"/>
    <w:rsid w:val="009777D4"/>
    <w:rsid w:val="00980F43"/>
    <w:rsid w:val="009827DB"/>
    <w:rsid w:val="00983B4A"/>
    <w:rsid w:val="009842BA"/>
    <w:rsid w:val="00991520"/>
    <w:rsid w:val="00991FD9"/>
    <w:rsid w:val="00992009"/>
    <w:rsid w:val="00993097"/>
    <w:rsid w:val="009944D1"/>
    <w:rsid w:val="00995812"/>
    <w:rsid w:val="00997712"/>
    <w:rsid w:val="00997C6F"/>
    <w:rsid w:val="009A14CB"/>
    <w:rsid w:val="009A280F"/>
    <w:rsid w:val="009A2B3D"/>
    <w:rsid w:val="009A2F77"/>
    <w:rsid w:val="009A47C4"/>
    <w:rsid w:val="009A5284"/>
    <w:rsid w:val="009B0959"/>
    <w:rsid w:val="009B2D26"/>
    <w:rsid w:val="009B3294"/>
    <w:rsid w:val="009B55C9"/>
    <w:rsid w:val="009B5F81"/>
    <w:rsid w:val="009B7512"/>
    <w:rsid w:val="009B7C80"/>
    <w:rsid w:val="009C1A0F"/>
    <w:rsid w:val="009C5132"/>
    <w:rsid w:val="009C647D"/>
    <w:rsid w:val="009D1677"/>
    <w:rsid w:val="009D3065"/>
    <w:rsid w:val="009D3918"/>
    <w:rsid w:val="009D4A74"/>
    <w:rsid w:val="009D61C7"/>
    <w:rsid w:val="009D66E0"/>
    <w:rsid w:val="009D671E"/>
    <w:rsid w:val="009D78CA"/>
    <w:rsid w:val="009E5FD6"/>
    <w:rsid w:val="009E7E2D"/>
    <w:rsid w:val="009F143C"/>
    <w:rsid w:val="009F148A"/>
    <w:rsid w:val="009F5545"/>
    <w:rsid w:val="009F6BC7"/>
    <w:rsid w:val="009F74CF"/>
    <w:rsid w:val="009F7E3E"/>
    <w:rsid w:val="00A00C56"/>
    <w:rsid w:val="00A01C7F"/>
    <w:rsid w:val="00A027E5"/>
    <w:rsid w:val="00A0371A"/>
    <w:rsid w:val="00A109E6"/>
    <w:rsid w:val="00A11B6E"/>
    <w:rsid w:val="00A11D32"/>
    <w:rsid w:val="00A12FEC"/>
    <w:rsid w:val="00A158A6"/>
    <w:rsid w:val="00A16A33"/>
    <w:rsid w:val="00A17DC5"/>
    <w:rsid w:val="00A20620"/>
    <w:rsid w:val="00A20704"/>
    <w:rsid w:val="00A215AC"/>
    <w:rsid w:val="00A215E3"/>
    <w:rsid w:val="00A245E8"/>
    <w:rsid w:val="00A259E4"/>
    <w:rsid w:val="00A25ABF"/>
    <w:rsid w:val="00A26CD5"/>
    <w:rsid w:val="00A2788B"/>
    <w:rsid w:val="00A30AB1"/>
    <w:rsid w:val="00A3165D"/>
    <w:rsid w:val="00A33C55"/>
    <w:rsid w:val="00A33F18"/>
    <w:rsid w:val="00A34A5B"/>
    <w:rsid w:val="00A35CAA"/>
    <w:rsid w:val="00A400EA"/>
    <w:rsid w:val="00A40791"/>
    <w:rsid w:val="00A43F75"/>
    <w:rsid w:val="00A44741"/>
    <w:rsid w:val="00A46921"/>
    <w:rsid w:val="00A46EAA"/>
    <w:rsid w:val="00A47F24"/>
    <w:rsid w:val="00A50B00"/>
    <w:rsid w:val="00A52E80"/>
    <w:rsid w:val="00A537AB"/>
    <w:rsid w:val="00A5665B"/>
    <w:rsid w:val="00A57E57"/>
    <w:rsid w:val="00A6101C"/>
    <w:rsid w:val="00A61430"/>
    <w:rsid w:val="00A61A7F"/>
    <w:rsid w:val="00A61DAD"/>
    <w:rsid w:val="00A622FD"/>
    <w:rsid w:val="00A62A93"/>
    <w:rsid w:val="00A63998"/>
    <w:rsid w:val="00A639E8"/>
    <w:rsid w:val="00A63C29"/>
    <w:rsid w:val="00A7108F"/>
    <w:rsid w:val="00A71451"/>
    <w:rsid w:val="00A74D47"/>
    <w:rsid w:val="00A75057"/>
    <w:rsid w:val="00A771C9"/>
    <w:rsid w:val="00A7769B"/>
    <w:rsid w:val="00A7787A"/>
    <w:rsid w:val="00A77942"/>
    <w:rsid w:val="00A8162A"/>
    <w:rsid w:val="00A83783"/>
    <w:rsid w:val="00A83A4B"/>
    <w:rsid w:val="00A8414A"/>
    <w:rsid w:val="00A84CD1"/>
    <w:rsid w:val="00A85594"/>
    <w:rsid w:val="00A87403"/>
    <w:rsid w:val="00A90B6F"/>
    <w:rsid w:val="00A916A3"/>
    <w:rsid w:val="00A92C1A"/>
    <w:rsid w:val="00A932C9"/>
    <w:rsid w:val="00A93993"/>
    <w:rsid w:val="00A94079"/>
    <w:rsid w:val="00A95265"/>
    <w:rsid w:val="00A9563A"/>
    <w:rsid w:val="00AA018A"/>
    <w:rsid w:val="00AA0BDF"/>
    <w:rsid w:val="00AA2853"/>
    <w:rsid w:val="00AA286D"/>
    <w:rsid w:val="00AA3D09"/>
    <w:rsid w:val="00AA41D2"/>
    <w:rsid w:val="00AA42E2"/>
    <w:rsid w:val="00AA436A"/>
    <w:rsid w:val="00AA48E8"/>
    <w:rsid w:val="00AA506A"/>
    <w:rsid w:val="00AA5954"/>
    <w:rsid w:val="00AA603E"/>
    <w:rsid w:val="00AA786B"/>
    <w:rsid w:val="00AB1B43"/>
    <w:rsid w:val="00AB25F0"/>
    <w:rsid w:val="00AB4BF5"/>
    <w:rsid w:val="00AB5518"/>
    <w:rsid w:val="00AB6A11"/>
    <w:rsid w:val="00AB6CE7"/>
    <w:rsid w:val="00AC2D84"/>
    <w:rsid w:val="00AC3B89"/>
    <w:rsid w:val="00AC6182"/>
    <w:rsid w:val="00AC76EF"/>
    <w:rsid w:val="00AD02DB"/>
    <w:rsid w:val="00AD0413"/>
    <w:rsid w:val="00AD1300"/>
    <w:rsid w:val="00AD2314"/>
    <w:rsid w:val="00AD32E6"/>
    <w:rsid w:val="00AD4708"/>
    <w:rsid w:val="00AD51BA"/>
    <w:rsid w:val="00AE1292"/>
    <w:rsid w:val="00AE1E9C"/>
    <w:rsid w:val="00AE2AC5"/>
    <w:rsid w:val="00AE30F9"/>
    <w:rsid w:val="00AE4DF5"/>
    <w:rsid w:val="00AE540E"/>
    <w:rsid w:val="00AE7A4A"/>
    <w:rsid w:val="00AF28D1"/>
    <w:rsid w:val="00AF36C5"/>
    <w:rsid w:val="00AF3B26"/>
    <w:rsid w:val="00AF3EC0"/>
    <w:rsid w:val="00AF4462"/>
    <w:rsid w:val="00B00373"/>
    <w:rsid w:val="00B008CD"/>
    <w:rsid w:val="00B01F95"/>
    <w:rsid w:val="00B0249C"/>
    <w:rsid w:val="00B03461"/>
    <w:rsid w:val="00B04452"/>
    <w:rsid w:val="00B04AD7"/>
    <w:rsid w:val="00B0667D"/>
    <w:rsid w:val="00B06A93"/>
    <w:rsid w:val="00B06BBB"/>
    <w:rsid w:val="00B10DA3"/>
    <w:rsid w:val="00B1341C"/>
    <w:rsid w:val="00B13F11"/>
    <w:rsid w:val="00B145D0"/>
    <w:rsid w:val="00B14B7D"/>
    <w:rsid w:val="00B15A64"/>
    <w:rsid w:val="00B16389"/>
    <w:rsid w:val="00B1654C"/>
    <w:rsid w:val="00B20139"/>
    <w:rsid w:val="00B212DA"/>
    <w:rsid w:val="00B22647"/>
    <w:rsid w:val="00B22E5C"/>
    <w:rsid w:val="00B22F7A"/>
    <w:rsid w:val="00B24E1D"/>
    <w:rsid w:val="00B25E33"/>
    <w:rsid w:val="00B26A4A"/>
    <w:rsid w:val="00B273F3"/>
    <w:rsid w:val="00B30E28"/>
    <w:rsid w:val="00B31C73"/>
    <w:rsid w:val="00B331FB"/>
    <w:rsid w:val="00B35350"/>
    <w:rsid w:val="00B36A0E"/>
    <w:rsid w:val="00B40734"/>
    <w:rsid w:val="00B43458"/>
    <w:rsid w:val="00B4355E"/>
    <w:rsid w:val="00B43BD7"/>
    <w:rsid w:val="00B4445E"/>
    <w:rsid w:val="00B446CA"/>
    <w:rsid w:val="00B4701A"/>
    <w:rsid w:val="00B47FF8"/>
    <w:rsid w:val="00B50704"/>
    <w:rsid w:val="00B51641"/>
    <w:rsid w:val="00B52126"/>
    <w:rsid w:val="00B528D0"/>
    <w:rsid w:val="00B52DB3"/>
    <w:rsid w:val="00B55975"/>
    <w:rsid w:val="00B55CAD"/>
    <w:rsid w:val="00B6034F"/>
    <w:rsid w:val="00B613C2"/>
    <w:rsid w:val="00B61AEE"/>
    <w:rsid w:val="00B64403"/>
    <w:rsid w:val="00B652F1"/>
    <w:rsid w:val="00B67A3D"/>
    <w:rsid w:val="00B70184"/>
    <w:rsid w:val="00B77289"/>
    <w:rsid w:val="00B80929"/>
    <w:rsid w:val="00B8133E"/>
    <w:rsid w:val="00B845A6"/>
    <w:rsid w:val="00B84A27"/>
    <w:rsid w:val="00B84F13"/>
    <w:rsid w:val="00B8544F"/>
    <w:rsid w:val="00B85852"/>
    <w:rsid w:val="00B86F8C"/>
    <w:rsid w:val="00B90EA0"/>
    <w:rsid w:val="00B913A5"/>
    <w:rsid w:val="00B93E41"/>
    <w:rsid w:val="00B9491F"/>
    <w:rsid w:val="00B961B4"/>
    <w:rsid w:val="00B976E3"/>
    <w:rsid w:val="00BA001D"/>
    <w:rsid w:val="00BA0233"/>
    <w:rsid w:val="00BA05EC"/>
    <w:rsid w:val="00BA17CD"/>
    <w:rsid w:val="00BA3B83"/>
    <w:rsid w:val="00BA52A4"/>
    <w:rsid w:val="00BA6965"/>
    <w:rsid w:val="00BA71E5"/>
    <w:rsid w:val="00BA7621"/>
    <w:rsid w:val="00BB0EBE"/>
    <w:rsid w:val="00BB3714"/>
    <w:rsid w:val="00BB70BE"/>
    <w:rsid w:val="00BC2FED"/>
    <w:rsid w:val="00BC3A83"/>
    <w:rsid w:val="00BC73DE"/>
    <w:rsid w:val="00BD0476"/>
    <w:rsid w:val="00BD1EF0"/>
    <w:rsid w:val="00BD21DD"/>
    <w:rsid w:val="00BD5DF2"/>
    <w:rsid w:val="00BD6FD1"/>
    <w:rsid w:val="00BE0B76"/>
    <w:rsid w:val="00BE1BF7"/>
    <w:rsid w:val="00BE48C0"/>
    <w:rsid w:val="00BE48E5"/>
    <w:rsid w:val="00BE6205"/>
    <w:rsid w:val="00BF07D5"/>
    <w:rsid w:val="00BF0920"/>
    <w:rsid w:val="00BF68E0"/>
    <w:rsid w:val="00BF7991"/>
    <w:rsid w:val="00C022D7"/>
    <w:rsid w:val="00C04968"/>
    <w:rsid w:val="00C04D31"/>
    <w:rsid w:val="00C0508F"/>
    <w:rsid w:val="00C057D5"/>
    <w:rsid w:val="00C10BBD"/>
    <w:rsid w:val="00C10F5E"/>
    <w:rsid w:val="00C12856"/>
    <w:rsid w:val="00C12C7E"/>
    <w:rsid w:val="00C12D7C"/>
    <w:rsid w:val="00C13561"/>
    <w:rsid w:val="00C14ED7"/>
    <w:rsid w:val="00C14F85"/>
    <w:rsid w:val="00C150D6"/>
    <w:rsid w:val="00C17A28"/>
    <w:rsid w:val="00C17FEB"/>
    <w:rsid w:val="00C2152E"/>
    <w:rsid w:val="00C22339"/>
    <w:rsid w:val="00C243F1"/>
    <w:rsid w:val="00C24E82"/>
    <w:rsid w:val="00C2508C"/>
    <w:rsid w:val="00C257C0"/>
    <w:rsid w:val="00C26C49"/>
    <w:rsid w:val="00C274BA"/>
    <w:rsid w:val="00C276E8"/>
    <w:rsid w:val="00C30FE3"/>
    <w:rsid w:val="00C313BD"/>
    <w:rsid w:val="00C3349D"/>
    <w:rsid w:val="00C33C1C"/>
    <w:rsid w:val="00C342FA"/>
    <w:rsid w:val="00C34BCC"/>
    <w:rsid w:val="00C356D3"/>
    <w:rsid w:val="00C35A99"/>
    <w:rsid w:val="00C35BC3"/>
    <w:rsid w:val="00C35DDB"/>
    <w:rsid w:val="00C365DB"/>
    <w:rsid w:val="00C366C6"/>
    <w:rsid w:val="00C36DC2"/>
    <w:rsid w:val="00C36F6D"/>
    <w:rsid w:val="00C37CD5"/>
    <w:rsid w:val="00C42D73"/>
    <w:rsid w:val="00C4364A"/>
    <w:rsid w:val="00C4384C"/>
    <w:rsid w:val="00C45E71"/>
    <w:rsid w:val="00C50288"/>
    <w:rsid w:val="00C513C4"/>
    <w:rsid w:val="00C521BA"/>
    <w:rsid w:val="00C52D09"/>
    <w:rsid w:val="00C53588"/>
    <w:rsid w:val="00C53825"/>
    <w:rsid w:val="00C541CA"/>
    <w:rsid w:val="00C610AF"/>
    <w:rsid w:val="00C618CC"/>
    <w:rsid w:val="00C61C38"/>
    <w:rsid w:val="00C70361"/>
    <w:rsid w:val="00C70401"/>
    <w:rsid w:val="00C71F12"/>
    <w:rsid w:val="00C73343"/>
    <w:rsid w:val="00C77B82"/>
    <w:rsid w:val="00C77F0D"/>
    <w:rsid w:val="00C81D0F"/>
    <w:rsid w:val="00C835F0"/>
    <w:rsid w:val="00C84798"/>
    <w:rsid w:val="00C8554A"/>
    <w:rsid w:val="00C85E0B"/>
    <w:rsid w:val="00C90136"/>
    <w:rsid w:val="00C91A07"/>
    <w:rsid w:val="00C966E0"/>
    <w:rsid w:val="00C97E15"/>
    <w:rsid w:val="00CA2778"/>
    <w:rsid w:val="00CA2B76"/>
    <w:rsid w:val="00CA4C56"/>
    <w:rsid w:val="00CA5762"/>
    <w:rsid w:val="00CA5FE7"/>
    <w:rsid w:val="00CA612D"/>
    <w:rsid w:val="00CA6D79"/>
    <w:rsid w:val="00CB09E6"/>
    <w:rsid w:val="00CB16D4"/>
    <w:rsid w:val="00CB2480"/>
    <w:rsid w:val="00CB2CB7"/>
    <w:rsid w:val="00CB3069"/>
    <w:rsid w:val="00CB35BA"/>
    <w:rsid w:val="00CB3B44"/>
    <w:rsid w:val="00CB3E93"/>
    <w:rsid w:val="00CB4919"/>
    <w:rsid w:val="00CB4DC4"/>
    <w:rsid w:val="00CC0F53"/>
    <w:rsid w:val="00CC2564"/>
    <w:rsid w:val="00CC2824"/>
    <w:rsid w:val="00CC4125"/>
    <w:rsid w:val="00CC5B18"/>
    <w:rsid w:val="00CC5FBC"/>
    <w:rsid w:val="00CC692D"/>
    <w:rsid w:val="00CC6B7A"/>
    <w:rsid w:val="00CD02E2"/>
    <w:rsid w:val="00CD04A6"/>
    <w:rsid w:val="00CD347A"/>
    <w:rsid w:val="00CD3CA8"/>
    <w:rsid w:val="00CD498B"/>
    <w:rsid w:val="00CD64EB"/>
    <w:rsid w:val="00CF17B1"/>
    <w:rsid w:val="00CF2A1E"/>
    <w:rsid w:val="00CF48FE"/>
    <w:rsid w:val="00CF4B67"/>
    <w:rsid w:val="00CF5137"/>
    <w:rsid w:val="00CF5211"/>
    <w:rsid w:val="00CF7834"/>
    <w:rsid w:val="00D01032"/>
    <w:rsid w:val="00D02876"/>
    <w:rsid w:val="00D035CA"/>
    <w:rsid w:val="00D0677A"/>
    <w:rsid w:val="00D117F3"/>
    <w:rsid w:val="00D12062"/>
    <w:rsid w:val="00D12B08"/>
    <w:rsid w:val="00D16602"/>
    <w:rsid w:val="00D175AA"/>
    <w:rsid w:val="00D178AE"/>
    <w:rsid w:val="00D2080A"/>
    <w:rsid w:val="00D2229E"/>
    <w:rsid w:val="00D23B8A"/>
    <w:rsid w:val="00D244D1"/>
    <w:rsid w:val="00D24719"/>
    <w:rsid w:val="00D24BAE"/>
    <w:rsid w:val="00D25446"/>
    <w:rsid w:val="00D257A8"/>
    <w:rsid w:val="00D300DB"/>
    <w:rsid w:val="00D302A6"/>
    <w:rsid w:val="00D306F5"/>
    <w:rsid w:val="00D3094B"/>
    <w:rsid w:val="00D32E43"/>
    <w:rsid w:val="00D33A20"/>
    <w:rsid w:val="00D34F9B"/>
    <w:rsid w:val="00D352A5"/>
    <w:rsid w:val="00D35569"/>
    <w:rsid w:val="00D37443"/>
    <w:rsid w:val="00D40C02"/>
    <w:rsid w:val="00D42E71"/>
    <w:rsid w:val="00D43EF7"/>
    <w:rsid w:val="00D43F09"/>
    <w:rsid w:val="00D46F38"/>
    <w:rsid w:val="00D50A9A"/>
    <w:rsid w:val="00D539FB"/>
    <w:rsid w:val="00D54057"/>
    <w:rsid w:val="00D5506E"/>
    <w:rsid w:val="00D62EA3"/>
    <w:rsid w:val="00D6371D"/>
    <w:rsid w:val="00D6390C"/>
    <w:rsid w:val="00D661F6"/>
    <w:rsid w:val="00D6706F"/>
    <w:rsid w:val="00D6789B"/>
    <w:rsid w:val="00D71489"/>
    <w:rsid w:val="00D74BA4"/>
    <w:rsid w:val="00D75656"/>
    <w:rsid w:val="00D76F2F"/>
    <w:rsid w:val="00D77D39"/>
    <w:rsid w:val="00D845FB"/>
    <w:rsid w:val="00D84F7B"/>
    <w:rsid w:val="00D850E1"/>
    <w:rsid w:val="00D8590D"/>
    <w:rsid w:val="00D9032E"/>
    <w:rsid w:val="00D90B31"/>
    <w:rsid w:val="00D918CA"/>
    <w:rsid w:val="00D91D05"/>
    <w:rsid w:val="00D95422"/>
    <w:rsid w:val="00DA06FC"/>
    <w:rsid w:val="00DA0AEB"/>
    <w:rsid w:val="00DA0C8E"/>
    <w:rsid w:val="00DA2796"/>
    <w:rsid w:val="00DA5B6E"/>
    <w:rsid w:val="00DA6E9E"/>
    <w:rsid w:val="00DB3386"/>
    <w:rsid w:val="00DB4114"/>
    <w:rsid w:val="00DB4126"/>
    <w:rsid w:val="00DB4BD9"/>
    <w:rsid w:val="00DC1985"/>
    <w:rsid w:val="00DC207E"/>
    <w:rsid w:val="00DC3329"/>
    <w:rsid w:val="00DC3F83"/>
    <w:rsid w:val="00DC456C"/>
    <w:rsid w:val="00DC61A8"/>
    <w:rsid w:val="00DC6642"/>
    <w:rsid w:val="00DC7ED7"/>
    <w:rsid w:val="00DD0A27"/>
    <w:rsid w:val="00DD0EBA"/>
    <w:rsid w:val="00DD4096"/>
    <w:rsid w:val="00DD41B7"/>
    <w:rsid w:val="00DD4B28"/>
    <w:rsid w:val="00DD4E6B"/>
    <w:rsid w:val="00DE0039"/>
    <w:rsid w:val="00DE095D"/>
    <w:rsid w:val="00DE0B21"/>
    <w:rsid w:val="00DE0D03"/>
    <w:rsid w:val="00DE1BD7"/>
    <w:rsid w:val="00DE4710"/>
    <w:rsid w:val="00DE602B"/>
    <w:rsid w:val="00DE66DF"/>
    <w:rsid w:val="00DF0E63"/>
    <w:rsid w:val="00DF15F1"/>
    <w:rsid w:val="00DF2268"/>
    <w:rsid w:val="00DF35A9"/>
    <w:rsid w:val="00DF49D2"/>
    <w:rsid w:val="00DF4E11"/>
    <w:rsid w:val="00DF5B24"/>
    <w:rsid w:val="00DF5D13"/>
    <w:rsid w:val="00DF71CF"/>
    <w:rsid w:val="00E000CC"/>
    <w:rsid w:val="00E00CB8"/>
    <w:rsid w:val="00E01E4D"/>
    <w:rsid w:val="00E02119"/>
    <w:rsid w:val="00E02CC0"/>
    <w:rsid w:val="00E0349E"/>
    <w:rsid w:val="00E0387A"/>
    <w:rsid w:val="00E04806"/>
    <w:rsid w:val="00E04F9B"/>
    <w:rsid w:val="00E05D69"/>
    <w:rsid w:val="00E06A36"/>
    <w:rsid w:val="00E078E6"/>
    <w:rsid w:val="00E07A7D"/>
    <w:rsid w:val="00E07F73"/>
    <w:rsid w:val="00E112BE"/>
    <w:rsid w:val="00E1240B"/>
    <w:rsid w:val="00E13220"/>
    <w:rsid w:val="00E1484E"/>
    <w:rsid w:val="00E14C19"/>
    <w:rsid w:val="00E15EC1"/>
    <w:rsid w:val="00E16124"/>
    <w:rsid w:val="00E16354"/>
    <w:rsid w:val="00E1735D"/>
    <w:rsid w:val="00E17B72"/>
    <w:rsid w:val="00E2043B"/>
    <w:rsid w:val="00E20CEB"/>
    <w:rsid w:val="00E22324"/>
    <w:rsid w:val="00E225BF"/>
    <w:rsid w:val="00E2433D"/>
    <w:rsid w:val="00E26EC3"/>
    <w:rsid w:val="00E26F7B"/>
    <w:rsid w:val="00E27E50"/>
    <w:rsid w:val="00E27F84"/>
    <w:rsid w:val="00E30157"/>
    <w:rsid w:val="00E301E9"/>
    <w:rsid w:val="00E327D1"/>
    <w:rsid w:val="00E3323B"/>
    <w:rsid w:val="00E353FF"/>
    <w:rsid w:val="00E367BB"/>
    <w:rsid w:val="00E40DFE"/>
    <w:rsid w:val="00E40E3E"/>
    <w:rsid w:val="00E42B8B"/>
    <w:rsid w:val="00E435A6"/>
    <w:rsid w:val="00E43942"/>
    <w:rsid w:val="00E46F6A"/>
    <w:rsid w:val="00E52D8C"/>
    <w:rsid w:val="00E539B3"/>
    <w:rsid w:val="00E5654D"/>
    <w:rsid w:val="00E5704E"/>
    <w:rsid w:val="00E603CB"/>
    <w:rsid w:val="00E61D6E"/>
    <w:rsid w:val="00E61E7C"/>
    <w:rsid w:val="00E6373F"/>
    <w:rsid w:val="00E6396A"/>
    <w:rsid w:val="00E639BE"/>
    <w:rsid w:val="00E63EC8"/>
    <w:rsid w:val="00E6502D"/>
    <w:rsid w:val="00E657F7"/>
    <w:rsid w:val="00E66E65"/>
    <w:rsid w:val="00E704CA"/>
    <w:rsid w:val="00E704EB"/>
    <w:rsid w:val="00E7229E"/>
    <w:rsid w:val="00E730D8"/>
    <w:rsid w:val="00E7371D"/>
    <w:rsid w:val="00E73BBA"/>
    <w:rsid w:val="00E74A8B"/>
    <w:rsid w:val="00E7525C"/>
    <w:rsid w:val="00E75CD8"/>
    <w:rsid w:val="00E76253"/>
    <w:rsid w:val="00E76256"/>
    <w:rsid w:val="00E768AC"/>
    <w:rsid w:val="00E773C6"/>
    <w:rsid w:val="00E77729"/>
    <w:rsid w:val="00E80452"/>
    <w:rsid w:val="00E83A19"/>
    <w:rsid w:val="00E84256"/>
    <w:rsid w:val="00E8464A"/>
    <w:rsid w:val="00E86288"/>
    <w:rsid w:val="00E9196E"/>
    <w:rsid w:val="00E91E38"/>
    <w:rsid w:val="00E92127"/>
    <w:rsid w:val="00E94B9D"/>
    <w:rsid w:val="00E968B0"/>
    <w:rsid w:val="00E96E8D"/>
    <w:rsid w:val="00EA1812"/>
    <w:rsid w:val="00EA35A8"/>
    <w:rsid w:val="00EA4318"/>
    <w:rsid w:val="00EA4445"/>
    <w:rsid w:val="00EA4EBF"/>
    <w:rsid w:val="00EB084D"/>
    <w:rsid w:val="00EB0AE7"/>
    <w:rsid w:val="00EB4581"/>
    <w:rsid w:val="00EB678E"/>
    <w:rsid w:val="00EB7FA8"/>
    <w:rsid w:val="00EC4E0F"/>
    <w:rsid w:val="00EC4E5C"/>
    <w:rsid w:val="00EC5908"/>
    <w:rsid w:val="00EC5C2B"/>
    <w:rsid w:val="00ED20F1"/>
    <w:rsid w:val="00ED287E"/>
    <w:rsid w:val="00ED2C91"/>
    <w:rsid w:val="00ED5563"/>
    <w:rsid w:val="00ED7693"/>
    <w:rsid w:val="00ED785B"/>
    <w:rsid w:val="00ED7C93"/>
    <w:rsid w:val="00EE0DFC"/>
    <w:rsid w:val="00EE1F30"/>
    <w:rsid w:val="00EE59B2"/>
    <w:rsid w:val="00EE6103"/>
    <w:rsid w:val="00EE6230"/>
    <w:rsid w:val="00EF07A9"/>
    <w:rsid w:val="00EF1145"/>
    <w:rsid w:val="00EF208C"/>
    <w:rsid w:val="00EF22AA"/>
    <w:rsid w:val="00EF2FCC"/>
    <w:rsid w:val="00EF3D17"/>
    <w:rsid w:val="00EF467C"/>
    <w:rsid w:val="00EF5439"/>
    <w:rsid w:val="00EF5864"/>
    <w:rsid w:val="00EF61DD"/>
    <w:rsid w:val="00EF6872"/>
    <w:rsid w:val="00EF6A9C"/>
    <w:rsid w:val="00EF6F36"/>
    <w:rsid w:val="00F00281"/>
    <w:rsid w:val="00F00C5B"/>
    <w:rsid w:val="00F00D09"/>
    <w:rsid w:val="00F0312B"/>
    <w:rsid w:val="00F03E61"/>
    <w:rsid w:val="00F07701"/>
    <w:rsid w:val="00F10EB6"/>
    <w:rsid w:val="00F11717"/>
    <w:rsid w:val="00F1386A"/>
    <w:rsid w:val="00F15A4B"/>
    <w:rsid w:val="00F20174"/>
    <w:rsid w:val="00F240D6"/>
    <w:rsid w:val="00F24552"/>
    <w:rsid w:val="00F25D83"/>
    <w:rsid w:val="00F262AD"/>
    <w:rsid w:val="00F272FF"/>
    <w:rsid w:val="00F307DB"/>
    <w:rsid w:val="00F34336"/>
    <w:rsid w:val="00F35729"/>
    <w:rsid w:val="00F36F0F"/>
    <w:rsid w:val="00F37BBC"/>
    <w:rsid w:val="00F409B1"/>
    <w:rsid w:val="00F41B8F"/>
    <w:rsid w:val="00F42B10"/>
    <w:rsid w:val="00F42D74"/>
    <w:rsid w:val="00F442B6"/>
    <w:rsid w:val="00F443D5"/>
    <w:rsid w:val="00F4536C"/>
    <w:rsid w:val="00F50B74"/>
    <w:rsid w:val="00F51829"/>
    <w:rsid w:val="00F557D1"/>
    <w:rsid w:val="00F57EFF"/>
    <w:rsid w:val="00F60C0F"/>
    <w:rsid w:val="00F6324A"/>
    <w:rsid w:val="00F634A6"/>
    <w:rsid w:val="00F6718E"/>
    <w:rsid w:val="00F714C8"/>
    <w:rsid w:val="00F71822"/>
    <w:rsid w:val="00F73979"/>
    <w:rsid w:val="00F749CC"/>
    <w:rsid w:val="00F74A78"/>
    <w:rsid w:val="00F755E2"/>
    <w:rsid w:val="00F756D3"/>
    <w:rsid w:val="00F80BBF"/>
    <w:rsid w:val="00F82116"/>
    <w:rsid w:val="00F82542"/>
    <w:rsid w:val="00F83F4D"/>
    <w:rsid w:val="00F845BF"/>
    <w:rsid w:val="00F84EC8"/>
    <w:rsid w:val="00F85CD7"/>
    <w:rsid w:val="00F87661"/>
    <w:rsid w:val="00F91FCA"/>
    <w:rsid w:val="00F93910"/>
    <w:rsid w:val="00F943EF"/>
    <w:rsid w:val="00F9688F"/>
    <w:rsid w:val="00FA2744"/>
    <w:rsid w:val="00FA3B5E"/>
    <w:rsid w:val="00FA406D"/>
    <w:rsid w:val="00FA41CC"/>
    <w:rsid w:val="00FA42A2"/>
    <w:rsid w:val="00FA55C4"/>
    <w:rsid w:val="00FA69C4"/>
    <w:rsid w:val="00FA7AE2"/>
    <w:rsid w:val="00FB0740"/>
    <w:rsid w:val="00FB230E"/>
    <w:rsid w:val="00FB253B"/>
    <w:rsid w:val="00FC01E9"/>
    <w:rsid w:val="00FC020B"/>
    <w:rsid w:val="00FC1738"/>
    <w:rsid w:val="00FC1C8E"/>
    <w:rsid w:val="00FC2844"/>
    <w:rsid w:val="00FC31CD"/>
    <w:rsid w:val="00FC33E0"/>
    <w:rsid w:val="00FC5981"/>
    <w:rsid w:val="00FC7EC6"/>
    <w:rsid w:val="00FD1C93"/>
    <w:rsid w:val="00FD2EC3"/>
    <w:rsid w:val="00FD49CD"/>
    <w:rsid w:val="00FD4A87"/>
    <w:rsid w:val="00FD53BE"/>
    <w:rsid w:val="00FD5C9F"/>
    <w:rsid w:val="00FE347C"/>
    <w:rsid w:val="00FE3736"/>
    <w:rsid w:val="00FE5030"/>
    <w:rsid w:val="00FE529B"/>
    <w:rsid w:val="00FE7587"/>
    <w:rsid w:val="00FE76DD"/>
    <w:rsid w:val="00FE78B6"/>
    <w:rsid w:val="00FF0707"/>
    <w:rsid w:val="00FF1824"/>
    <w:rsid w:val="00FF2F54"/>
    <w:rsid w:val="00FF359C"/>
    <w:rsid w:val="00FF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866A2"/>
  <w15:docId w15:val="{B5F93A44-2BB5-4496-9528-3F71E027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6D"/>
    <w:pPr>
      <w:spacing w:after="200" w:line="276" w:lineRule="auto"/>
    </w:pPr>
    <w:rPr>
      <w:sz w:val="22"/>
      <w:szCs w:val="22"/>
      <w:lang w:val="es-GT" w:eastAsia="en-US"/>
    </w:rPr>
  </w:style>
  <w:style w:type="paragraph" w:styleId="Ttulo1">
    <w:name w:val="heading 1"/>
    <w:basedOn w:val="Normal"/>
    <w:next w:val="Normal"/>
    <w:link w:val="Ttulo1Car"/>
    <w:qFormat/>
    <w:rsid w:val="002D27CF"/>
    <w:pPr>
      <w:keepNext/>
      <w:spacing w:before="120" w:after="120" w:line="240" w:lineRule="auto"/>
      <w:ind w:right="-57"/>
      <w:jc w:val="center"/>
      <w:outlineLvl w:val="0"/>
    </w:pPr>
    <w:rPr>
      <w:rFonts w:ascii="Arial" w:eastAsia="Times New Roman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ADA"/>
  </w:style>
  <w:style w:type="paragraph" w:styleId="Piedepgina">
    <w:name w:val="footer"/>
    <w:basedOn w:val="Normal"/>
    <w:link w:val="PiedepginaCar"/>
    <w:uiPriority w:val="99"/>
    <w:unhideWhenUsed/>
    <w:rsid w:val="0040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ADA"/>
  </w:style>
  <w:style w:type="paragraph" w:styleId="Textodeglobo">
    <w:name w:val="Balloon Text"/>
    <w:basedOn w:val="Normal"/>
    <w:link w:val="TextodegloboCar"/>
    <w:uiPriority w:val="99"/>
    <w:semiHidden/>
    <w:unhideWhenUsed/>
    <w:rsid w:val="00D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B0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AC3B89"/>
  </w:style>
  <w:style w:type="character" w:customStyle="1" w:styleId="Ttulo1Car">
    <w:name w:val="Título 1 Car"/>
    <w:basedOn w:val="Fuentedeprrafopredeter"/>
    <w:link w:val="Ttulo1"/>
    <w:rsid w:val="002D27CF"/>
    <w:rPr>
      <w:rFonts w:ascii="Arial" w:eastAsia="Times New Roman" w:hAnsi="Arial"/>
      <w:b/>
      <w:sz w:val="24"/>
      <w:lang w:val="es-GT"/>
    </w:rPr>
  </w:style>
  <w:style w:type="paragraph" w:styleId="Textoindependiente">
    <w:name w:val="Body Text"/>
    <w:basedOn w:val="Normal"/>
    <w:link w:val="TextoindependienteCar"/>
    <w:unhideWhenUsed/>
    <w:rsid w:val="002D27CF"/>
    <w:pPr>
      <w:spacing w:after="0" w:line="240" w:lineRule="auto"/>
      <w:ind w:right="-57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27CF"/>
    <w:rPr>
      <w:rFonts w:ascii="Arial" w:eastAsia="Times New Roman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2D27CF"/>
    <w:pPr>
      <w:spacing w:line="240" w:lineRule="auto"/>
      <w:ind w:left="720" w:right="-57"/>
      <w:contextualSpacing/>
    </w:pPr>
    <w:rPr>
      <w:sz w:val="24"/>
      <w:szCs w:val="24"/>
      <w:lang w:val="en-US"/>
    </w:rPr>
  </w:style>
  <w:style w:type="character" w:styleId="nfasisintenso">
    <w:name w:val="Intense Emphasis"/>
    <w:basedOn w:val="Fuentedeprrafopredeter"/>
    <w:uiPriority w:val="21"/>
    <w:qFormat/>
    <w:rsid w:val="00E80452"/>
    <w:rPr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E26EC3"/>
    <w:rPr>
      <w:sz w:val="22"/>
      <w:szCs w:val="22"/>
      <w:lang w:val="es-GT" w:eastAsia="en-US"/>
    </w:rPr>
  </w:style>
  <w:style w:type="character" w:styleId="Textoennegrita">
    <w:name w:val="Strong"/>
    <w:basedOn w:val="Fuentedeprrafopredeter"/>
    <w:uiPriority w:val="22"/>
    <w:qFormat/>
    <w:rsid w:val="008A4B31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D50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50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50EA"/>
    <w:rPr>
      <w:lang w:val="es-GT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0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0EA"/>
    <w:rPr>
      <w:b/>
      <w:bCs/>
      <w:lang w:val="es-GT" w:eastAsia="en-US"/>
    </w:rPr>
  </w:style>
  <w:style w:type="paragraph" w:styleId="NormalWeb">
    <w:name w:val="Normal (Web)"/>
    <w:basedOn w:val="Normal"/>
    <w:uiPriority w:val="99"/>
    <w:semiHidden/>
    <w:unhideWhenUsed/>
    <w:rsid w:val="001F0B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pez\AppData\Local\Microsoft\Windows\Temporary%20Internet%20Files\Low\Content.IE5\NZEVL0MX\Membrete_Plantilla%5b1%5d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500000000000008E-2"/>
          <c:y val="9.7582020997375327E-2"/>
          <c:w val="0.81388888888888922"/>
          <c:h val="0.67559018664333681"/>
        </c:manualLayout>
      </c:layout>
      <c:pie3DChart>
        <c:varyColors val="1"/>
        <c:ser>
          <c:idx val="0"/>
          <c:order val="0"/>
          <c:spPr>
            <a:solidFill>
              <a:schemeClr val="bg1">
                <a:lumMod val="50000"/>
              </a:schemeClr>
            </a:solidFill>
          </c:spPr>
          <c:explosion val="37"/>
          <c:dPt>
            <c:idx val="0"/>
            <c:bubble3D val="0"/>
            <c:explosion val="13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E434-4137-8543-45F677051D35}"/>
              </c:ext>
            </c:extLst>
          </c:dPt>
          <c:dLbls>
            <c:dLbl>
              <c:idx val="0"/>
              <c:layout>
                <c:manualLayout>
                  <c:x val="3.7067540470484668E-2"/>
                  <c:y val="-3.077164081463949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34-4137-8543-45F677051D35}"/>
                </c:ext>
              </c:extLst>
            </c:dLbl>
            <c:dLbl>
              <c:idx val="1"/>
              <c:layout>
                <c:manualLayout>
                  <c:x val="-1.9191514104215233E-2"/>
                  <c:y val="9.39880936402211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34-4137-8543-45F677051D35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(GRAFICAS!$M$5,GRAFICAS!$N$5)</c:f>
              <c:strCache>
                <c:ptCount val="2"/>
                <c:pt idx="0">
                  <c:v>Presupuesto Ejecutado</c:v>
                </c:pt>
                <c:pt idx="1">
                  <c:v>Saldos Disponibles por Ejecutar</c:v>
                </c:pt>
              </c:strCache>
            </c:strRef>
          </c:cat>
          <c:val>
            <c:numRef>
              <c:f>(GRAFICAS!$M$7,GRAFICAS!$N$7)</c:f>
              <c:numCache>
                <c:formatCode>#,##0.00</c:formatCode>
                <c:ptCount val="2"/>
                <c:pt idx="0">
                  <c:v>3728212.1</c:v>
                </c:pt>
                <c:pt idx="1">
                  <c:v>12388108.9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34-4137-8543-45F677051D3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20592957130358688"/>
          <c:y val="0.91203703703703709"/>
          <c:w val="0.79369641294838211"/>
          <c:h val="8.3717191601049915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  <c:spPr>
        <a:ln w="9525"/>
      </c:spPr>
    </c:sideWall>
    <c:backWall>
      <c:thickness val="0"/>
      <c:spPr>
        <a:ln w="9525"/>
      </c:spPr>
    </c:backWall>
    <c:plotArea>
      <c:layout>
        <c:manualLayout>
          <c:layoutTarget val="inner"/>
          <c:xMode val="edge"/>
          <c:yMode val="edge"/>
          <c:x val="0.13950026610625146"/>
          <c:y val="2.6299872893246846E-2"/>
          <c:w val="0.6918111145985435"/>
          <c:h val="0.859769291088757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'TRANSPARENCIA NOMBRE'!$C$18</c:f>
              <c:strCache>
                <c:ptCount val="1"/>
                <c:pt idx="0">
                  <c:v>VIGENTE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invertIfNegative val="0"/>
          <c:cat>
            <c:strRef>
              <c:f>'TRANSPARENCIA NOMBRE'!$B$20:$B$22</c:f>
              <c:strCache>
                <c:ptCount val="3"/>
                <c:pt idx="0">
                  <c:v>Ingresos Ordinarios de Aporte Constitucional </c:v>
                </c:pt>
                <c:pt idx="1">
                  <c:v>Ingresos Propios</c:v>
                </c:pt>
                <c:pt idx="2">
                  <c:v>Disminución de Caja y Bancos de Ingresos Propios</c:v>
                </c:pt>
              </c:strCache>
            </c:strRef>
          </c:cat>
          <c:val>
            <c:numRef>
              <c:f>'TRANSPARENCIA NOMBRE'!$C$20:$C$22</c:f>
              <c:numCache>
                <c:formatCode>#,##0.00</c:formatCode>
                <c:ptCount val="3"/>
                <c:pt idx="0">
                  <c:v>5939620</c:v>
                </c:pt>
                <c:pt idx="1">
                  <c:v>9078590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3B-4F69-A1F2-908353E1E981}"/>
            </c:ext>
          </c:extLst>
        </c:ser>
        <c:ser>
          <c:idx val="1"/>
          <c:order val="1"/>
          <c:tx>
            <c:strRef>
              <c:f>'TRANSPARENCIA NOMBRE'!$D$18</c:f>
              <c:strCache>
                <c:ptCount val="1"/>
                <c:pt idx="0">
                  <c:v>EJECUCIÓN 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scene3d>
              <a:camera prst="orthographicFront"/>
              <a:lightRig rig="threePt" dir="t"/>
            </a:scene3d>
            <a:sp3d prstMaterial="matte"/>
          </c:spPr>
          <c:invertIfNegative val="0"/>
          <c:cat>
            <c:strRef>
              <c:f>'TRANSPARENCIA NOMBRE'!$B$20:$B$22</c:f>
              <c:strCache>
                <c:ptCount val="3"/>
                <c:pt idx="0">
                  <c:v>Ingresos Ordinarios de Aporte Constitucional </c:v>
                </c:pt>
                <c:pt idx="1">
                  <c:v>Ingresos Propios</c:v>
                </c:pt>
                <c:pt idx="2">
                  <c:v>Disminución de Caja y Bancos de Ingresos Propios</c:v>
                </c:pt>
              </c:strCache>
            </c:strRef>
          </c:cat>
          <c:val>
            <c:numRef>
              <c:f>'TRANSPARENCIA NOMBRE'!$D$20:$D$22</c:f>
              <c:numCache>
                <c:formatCode>#,##0.00</c:formatCode>
                <c:ptCount val="3"/>
                <c:pt idx="0">
                  <c:v>1321526.73</c:v>
                </c:pt>
                <c:pt idx="1">
                  <c:v>1488568.43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3B-4F69-A1F2-908353E1E9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447631016"/>
        <c:axId val="447631408"/>
        <c:axId val="0"/>
      </c:bar3DChart>
      <c:catAx>
        <c:axId val="447631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400"/>
            </a:pPr>
            <a:endParaRPr lang="es-ES"/>
          </a:p>
        </c:txPr>
        <c:crossAx val="447631408"/>
        <c:crosses val="autoZero"/>
        <c:auto val="1"/>
        <c:lblAlgn val="ctr"/>
        <c:lblOffset val="100"/>
        <c:noMultiLvlLbl val="0"/>
      </c:catAx>
      <c:valAx>
        <c:axId val="447631408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/>
            </a:pPr>
            <a:endParaRPr lang="es-ES"/>
          </a:p>
        </c:txPr>
        <c:crossAx val="447631016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2.2934992744624447E-2"/>
          <c:y val="0.85037950444873678"/>
          <c:w val="0.25705364308800244"/>
          <c:h val="0.10873983739837398"/>
        </c:manualLayout>
      </c:layout>
      <c:overlay val="0"/>
      <c:txPr>
        <a:bodyPr/>
        <a:lstStyle/>
        <a:p>
          <a:pPr>
            <a:defRPr sz="700"/>
          </a:pPr>
          <a:endParaRPr lang="es-E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48265212431494"/>
          <c:y val="1.6649768094056747E-2"/>
          <c:w val="0.8684987130372156"/>
          <c:h val="0.611415618502232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'TRANSPARENCIA NOMBRE'!$C$27</c:f>
              <c:strCache>
                <c:ptCount val="1"/>
                <c:pt idx="0">
                  <c:v>VIGENTE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strRef>
              <c:f>'TRANSPARENCIA NOMBRE'!$B$28:$B$32</c:f>
              <c:strCache>
                <c:ptCount val="5"/>
                <c:pt idx="0">
                  <c:v>Servicios  Personales</c:v>
                </c:pt>
                <c:pt idx="1">
                  <c:v>Servicios No Personales</c:v>
                </c:pt>
                <c:pt idx="2">
                  <c:v>Materiales y Suministros</c:v>
                </c:pt>
                <c:pt idx="3">
                  <c:v>Propiedad, Equipo e Intangibles</c:v>
                </c:pt>
                <c:pt idx="4">
                  <c:v>Transferencias Corrientes</c:v>
                </c:pt>
              </c:strCache>
            </c:strRef>
          </c:cat>
          <c:val>
            <c:numRef>
              <c:f>'TRANSPARENCIA NOMBRE'!$C$28:$C$32</c:f>
              <c:numCache>
                <c:formatCode>#,##0.00</c:formatCode>
                <c:ptCount val="5"/>
                <c:pt idx="0">
                  <c:v>8457404</c:v>
                </c:pt>
                <c:pt idx="1">
                  <c:v>4315394</c:v>
                </c:pt>
                <c:pt idx="2">
                  <c:v>1440255</c:v>
                </c:pt>
                <c:pt idx="3">
                  <c:v>37825</c:v>
                </c:pt>
                <c:pt idx="4">
                  <c:v>1865443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63-49F6-BD56-4D985C0CD64A}"/>
            </c:ext>
          </c:extLst>
        </c:ser>
        <c:ser>
          <c:idx val="1"/>
          <c:order val="1"/>
          <c:tx>
            <c:strRef>
              <c:f>'TRANSPARENCIA NOMBRE'!$D$27</c:f>
              <c:strCache>
                <c:ptCount val="1"/>
                <c:pt idx="0">
                  <c:v>EJECUCIÓN ACUMULADA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'TRANSPARENCIA NOMBRE'!$B$28:$B$32</c:f>
              <c:strCache>
                <c:ptCount val="5"/>
                <c:pt idx="0">
                  <c:v>Servicios  Personales</c:v>
                </c:pt>
                <c:pt idx="1">
                  <c:v>Servicios No Personales</c:v>
                </c:pt>
                <c:pt idx="2">
                  <c:v>Materiales y Suministros</c:v>
                </c:pt>
                <c:pt idx="3">
                  <c:v>Propiedad, Equipo e Intangibles</c:v>
                </c:pt>
                <c:pt idx="4">
                  <c:v>Transferencias Corrientes</c:v>
                </c:pt>
              </c:strCache>
            </c:strRef>
          </c:cat>
          <c:val>
            <c:numRef>
              <c:f>'TRANSPARENCIA NOMBRE'!$D$28:$D$32</c:f>
              <c:numCache>
                <c:formatCode>#,##0.00</c:formatCode>
                <c:ptCount val="5"/>
                <c:pt idx="0">
                  <c:v>2129580.38</c:v>
                </c:pt>
                <c:pt idx="1">
                  <c:v>602695.69999999995</c:v>
                </c:pt>
                <c:pt idx="2">
                  <c:v>208367.16</c:v>
                </c:pt>
                <c:pt idx="3">
                  <c:v>1075</c:v>
                </c:pt>
                <c:pt idx="4">
                  <c:v>786493.86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63-49F6-BD56-4D985C0CD6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631800"/>
        <c:axId val="447633368"/>
        <c:axId val="0"/>
      </c:bar3DChart>
      <c:catAx>
        <c:axId val="447631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47633368"/>
        <c:crosses val="autoZero"/>
        <c:auto val="1"/>
        <c:lblAlgn val="ctr"/>
        <c:lblOffset val="100"/>
        <c:noMultiLvlLbl val="0"/>
      </c:catAx>
      <c:valAx>
        <c:axId val="44763336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447631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8387507884878088"/>
          <c:y val="0.80172581167080192"/>
          <c:w val="0.46368141285890868"/>
          <c:h val="9.8431189252028428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aseline="0"/>
      </a:pPr>
      <a:endParaRPr lang="es-E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781153288674739"/>
          <c:y val="8.3400101303126584E-2"/>
          <c:w val="0.7021885028287016"/>
          <c:h val="0.770539945664686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'TRANSPARENCIA NOMBRE'!$C$2</c:f>
              <c:strCache>
                <c:ptCount val="1"/>
                <c:pt idx="0">
                  <c:v>VIGENTE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3.333333333333334E-2"/>
                  <c:y val="-3.2407407407407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79-4F0A-AB8C-B7F241424D2A}"/>
                </c:ext>
              </c:extLst>
            </c:dLbl>
            <c:dLbl>
              <c:idx val="1"/>
              <c:layout>
                <c:manualLayout>
                  <c:x val="0"/>
                  <c:y val="-7.8703703703703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79-4F0A-AB8C-B7F241424D2A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('TRANSPARENCIA NOMBRE'!$B$6,'TRANSPARENCIA NOMBRE'!$B$12)</c:f>
              <c:strCache>
                <c:ptCount val="2"/>
                <c:pt idx="0">
                  <c:v>Gastos de funcionamiento</c:v>
                </c:pt>
                <c:pt idx="1">
                  <c:v>Gastos de  Inversión </c:v>
                </c:pt>
              </c:strCache>
            </c:strRef>
          </c:cat>
          <c:val>
            <c:numRef>
              <c:f>('TRANSPARENCIA NOMBRE'!$C$6,'TRANSPARENCIA NOMBRE'!$C$12)</c:f>
              <c:numCache>
                <c:formatCode>#,##0.00</c:formatCode>
                <c:ptCount val="2"/>
                <c:pt idx="0">
                  <c:v>16078496</c:v>
                </c:pt>
                <c:pt idx="1">
                  <c:v>37825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79-4F0A-AB8C-B7F241424D2A}"/>
            </c:ext>
          </c:extLst>
        </c:ser>
        <c:ser>
          <c:idx val="1"/>
          <c:order val="1"/>
          <c:tx>
            <c:strRef>
              <c:f>'TRANSPARENCIA NOMBRE'!$D$2</c:f>
              <c:strCache>
                <c:ptCount val="1"/>
                <c:pt idx="0">
                  <c:v>EJECUCION ACUMULADA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4444444444444502E-2"/>
                  <c:y val="-2.7777777777778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79-4F0A-AB8C-B7F241424D2A}"/>
                </c:ext>
              </c:extLst>
            </c:dLbl>
            <c:dLbl>
              <c:idx val="1"/>
              <c:layout>
                <c:manualLayout>
                  <c:x val="4.4071314502194016E-2"/>
                  <c:y val="-6.4814845512731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E79-4F0A-AB8C-B7F241424D2A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('TRANSPARENCIA NOMBRE'!$B$6,'TRANSPARENCIA NOMBRE'!$B$12)</c:f>
              <c:strCache>
                <c:ptCount val="2"/>
                <c:pt idx="0">
                  <c:v>Gastos de funcionamiento</c:v>
                </c:pt>
                <c:pt idx="1">
                  <c:v>Gastos de  Inversión </c:v>
                </c:pt>
              </c:strCache>
            </c:strRef>
          </c:cat>
          <c:val>
            <c:numRef>
              <c:f>('TRANSPARENCIA NOMBRE'!$D$6,'TRANSPARENCIA NOMBRE'!$D$12)</c:f>
              <c:numCache>
                <c:formatCode>#,##0.00</c:formatCode>
                <c:ptCount val="2"/>
                <c:pt idx="0">
                  <c:v>3727137.1</c:v>
                </c:pt>
                <c:pt idx="1">
                  <c:v>1075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E79-4F0A-AB8C-B7F241424D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7633760"/>
        <c:axId val="447632584"/>
        <c:axId val="0"/>
      </c:bar3DChart>
      <c:catAx>
        <c:axId val="44763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s-ES"/>
          </a:p>
        </c:txPr>
        <c:crossAx val="447632584"/>
        <c:crosses val="autoZero"/>
        <c:auto val="1"/>
        <c:lblAlgn val="ctr"/>
        <c:lblOffset val="100"/>
        <c:noMultiLvlLbl val="0"/>
      </c:catAx>
      <c:valAx>
        <c:axId val="447632584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4476337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756218905472541"/>
          <c:y val="0.12701901735967214"/>
          <c:w val="0.12157399710832691"/>
          <c:h val="0.35491016254547153"/>
        </c:manualLayout>
      </c:layout>
      <c:overlay val="0"/>
      <c:txPr>
        <a:bodyPr/>
        <a:lstStyle/>
        <a:p>
          <a:pPr>
            <a:defRPr sz="700"/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GT"/>
              <a:t>Estadística de Ingresos FEDEFUT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841886271964878"/>
          <c:y val="0.23901581722319859"/>
          <c:w val="0.60897562970675945"/>
          <c:h val="0.62390158172231991"/>
        </c:manualLayout>
      </c:layout>
      <c:lineChart>
        <c:grouping val="stacked"/>
        <c:varyColors val="0"/>
        <c:ser>
          <c:idx val="0"/>
          <c:order val="0"/>
          <c:cat>
            <c:strRef>
              <c:f>'Estadistica de Ingreso Propio '!$E$4:$P$4</c:f>
              <c:strCache>
                <c:ptCount val="4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</c:strCache>
            </c:strRef>
          </c:cat>
          <c:val>
            <c:numRef>
              <c:f>'Estadistica de Ingreso Propio '!$E$11:$P$11</c:f>
              <c:numCache>
                <c:formatCode>#,##0.00</c:formatCode>
                <c:ptCount val="4"/>
                <c:pt idx="0">
                  <c:v>799136.48</c:v>
                </c:pt>
                <c:pt idx="1">
                  <c:v>1965471.13</c:v>
                </c:pt>
                <c:pt idx="2">
                  <c:v>710562.51</c:v>
                </c:pt>
                <c:pt idx="3">
                  <c:v>496851.11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36B-4541-A7DD-A30EF1AA83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3577040"/>
        <c:axId val="453577824"/>
      </c:lineChart>
      <c:catAx>
        <c:axId val="45357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ES"/>
          </a:p>
        </c:txPr>
        <c:crossAx val="453577824"/>
        <c:crosses val="autoZero"/>
        <c:auto val="1"/>
        <c:lblAlgn val="ctr"/>
        <c:lblOffset val="100"/>
        <c:noMultiLvlLbl val="0"/>
      </c:catAx>
      <c:valAx>
        <c:axId val="45357782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ES"/>
          </a:p>
        </c:txPr>
        <c:crossAx val="453577040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32DF-43F4-47AD-AE3B-ACC93A28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Membrete_Plantilla[1]</Template>
  <TotalTime>4841</TotalTime>
  <Pages>13</Pages>
  <Words>2403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Word</vt:lpstr>
    </vt:vector>
  </TitlesOfParts>
  <Company/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Word</dc:title>
  <dc:subject/>
  <dc:creator>YRRC</dc:creator>
  <cp:keywords/>
  <dc:description/>
  <cp:lastModifiedBy>Adonay Calel</cp:lastModifiedBy>
  <cp:revision>72</cp:revision>
  <cp:lastPrinted>2018-05-11T16:06:00Z</cp:lastPrinted>
  <dcterms:created xsi:type="dcterms:W3CDTF">2017-05-08T21:25:00Z</dcterms:created>
  <dcterms:modified xsi:type="dcterms:W3CDTF">2018-05-11T17:05:00Z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0x01010021110380CE1EFF45B018AD4024CF33E0</vt:lpwstr>
  </property>
  <property fmtid="{D5CDD505-2E9C-101B-9397-08002B2CF9AE}" pid="3" name="_dlc_DocIdItemGuid">
    <vt:lpwstr>6691441e-f147-4b70-a9e1-39a6bb301bf2</vt:lpwstr>
  </property>
  <property fmtid="{D5CDD505-2E9C-101B-9397-08002B2CF9AE}" pid="4" name="Language">
    <vt:lpwstr>Español (Guatemala)</vt:lpwstr>
  </property>
  <property fmtid="{D5CDD505-2E9C-101B-9397-08002B2CF9AE}" pid="5" name="Mostrar en portada">
    <vt:lpwstr>0</vt:lpwstr>
  </property>
  <property fmtid="{D5CDD505-2E9C-101B-9397-08002B2CF9AE}" pid="6" name="Tema">
    <vt:lpwstr/>
  </property>
  <property fmtid="{D5CDD505-2E9C-101B-9397-08002B2CF9AE}" pid="7" name="Resumen">
    <vt:lpwstr/>
  </property>
  <property fmtid="{D5CDD505-2E9C-101B-9397-08002B2CF9AE}" pid="8" name="Tipo Doc">
    <vt:lpwstr/>
  </property>
  <property fmtid="{D5CDD505-2E9C-101B-9397-08002B2CF9AE}" pid="9" name="Autor">
    <vt:lpwstr/>
  </property>
  <property fmtid="{D5CDD505-2E9C-101B-9397-08002B2CF9AE}" pid="10" name="Mostrar en Portal">
    <vt:lpwstr>0</vt:lpwstr>
  </property>
  <property fmtid="{D5CDD505-2E9C-101B-9397-08002B2CF9AE}" pid="11" name="Mostrar en area superior">
    <vt:lpwstr>0</vt:lpwstr>
  </property>
  <property fmtid="{D5CDD505-2E9C-101B-9397-08002B2CF9AE}" pid="12" name="_dlc_DocId">
    <vt:lpwstr>ZPNEESNTWY5H-74-39</vt:lpwstr>
  </property>
  <property fmtid="{D5CDD505-2E9C-101B-9397-08002B2CF9AE}" pid="13" name="_dlc_DocIdUrl">
    <vt:lpwstr>http://intranet.mineco.gob.gt/despacho/comunicacion/_layouts/DocIdRedir.aspx?ID=ZPNEESNTWY5H-74-39, ZPNEESNTWY5H-74-39</vt:lpwstr>
  </property>
</Properties>
</file>