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2E8AF" w14:textId="77777777" w:rsidR="005922EF" w:rsidRDefault="00A16E67" w:rsidP="00B651C5">
      <w:pPr>
        <w:spacing w:after="0"/>
        <w:rPr>
          <w:rFonts w:ascii="Times New Roman" w:hAnsi="Times New Roman" w:cs="Times New Roman"/>
          <w:b/>
          <w:lang w:val="es-MX"/>
        </w:rPr>
      </w:pPr>
      <w:r w:rsidRPr="00A16E67">
        <w:rPr>
          <w:rFonts w:ascii="Times New Roman" w:hAnsi="Times New Roman" w:cs="Times New Roman"/>
          <w:b/>
          <w:noProof/>
          <w:lang w:eastAsia="es-GT"/>
        </w:rPr>
        <w:drawing>
          <wp:anchor distT="0" distB="0" distL="114300" distR="114300" simplePos="0" relativeHeight="251930624" behindDoc="0" locked="0" layoutInCell="1" allowOverlap="1" wp14:anchorId="42C47B66" wp14:editId="06BED7BE">
            <wp:simplePos x="0" y="0"/>
            <wp:positionH relativeFrom="column">
              <wp:posOffset>6861175</wp:posOffset>
            </wp:positionH>
            <wp:positionV relativeFrom="paragraph">
              <wp:posOffset>12700</wp:posOffset>
            </wp:positionV>
            <wp:extent cx="4434840" cy="6864350"/>
            <wp:effectExtent l="0" t="0" r="3810" b="0"/>
            <wp:wrapNone/>
            <wp:docPr id="21" name="Imagen 6">
              <a:extLst xmlns:a="http://schemas.openxmlformats.org/drawingml/2006/main">
                <a:ext uri="{FF2B5EF4-FFF2-40B4-BE49-F238E27FC236}">
                  <a16:creationId xmlns:a16="http://schemas.microsoft.com/office/drawing/2014/main" id="{8C2575C1-FFCE-E44A-A255-442F4BFC74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8C2575C1-FFCE-E44A-A255-442F4BFC74D8}"/>
                        </a:ext>
                      </a:extLst>
                    </pic:cNvPr>
                    <pic:cNvPicPr>
                      <a:picLocks noChangeAspect="1"/>
                    </pic:cNvPicPr>
                  </pic:nvPicPr>
                  <pic:blipFill>
                    <a:blip r:embed="rId8"/>
                    <a:stretch>
                      <a:fillRect/>
                    </a:stretch>
                  </pic:blipFill>
                  <pic:spPr>
                    <a:xfrm>
                      <a:off x="0" y="0"/>
                      <a:ext cx="4434840" cy="6864350"/>
                    </a:xfrm>
                    <a:prstGeom prst="rect">
                      <a:avLst/>
                    </a:prstGeom>
                  </pic:spPr>
                </pic:pic>
              </a:graphicData>
            </a:graphic>
          </wp:anchor>
        </w:drawing>
      </w:r>
    </w:p>
    <w:p w14:paraId="63254C80" w14:textId="77777777" w:rsidR="00970846" w:rsidRPr="00D917C5" w:rsidRDefault="00970846" w:rsidP="00970846">
      <w:pPr>
        <w:pBdr>
          <w:top w:val="single" w:sz="4" w:space="1" w:color="auto"/>
          <w:left w:val="single" w:sz="4" w:space="1" w:color="auto"/>
          <w:bottom w:val="single" w:sz="4" w:space="1" w:color="auto"/>
          <w:right w:val="single" w:sz="4" w:space="4" w:color="auto"/>
        </w:pBdr>
        <w:shd w:val="clear" w:color="auto" w:fill="B8CCE4" w:themeFill="accent1" w:themeFillTint="66"/>
        <w:spacing w:after="0" w:line="240" w:lineRule="auto"/>
        <w:ind w:left="284" w:right="332"/>
        <w:jc w:val="center"/>
        <w:rPr>
          <w:rFonts w:ascii="Times New Roman" w:hAnsi="Times New Roman" w:cs="Times New Roman"/>
          <w:b/>
          <w:lang w:val="es-MX"/>
        </w:rPr>
        <w:sectPr w:rsidR="00970846" w:rsidRPr="00D917C5" w:rsidSect="00B651C5">
          <w:headerReference w:type="default" r:id="rId9"/>
          <w:footerReference w:type="default" r:id="rId10"/>
          <w:pgSz w:w="12240" w:h="15840" w:code="1"/>
          <w:pgMar w:top="1418" w:right="1418" w:bottom="1418" w:left="1418" w:header="709" w:footer="709" w:gutter="0"/>
          <w:cols w:space="708"/>
          <w:docGrid w:linePitch="360"/>
        </w:sectPr>
      </w:pPr>
      <w:r w:rsidRPr="00D917C5">
        <w:rPr>
          <w:rFonts w:ascii="Times New Roman" w:hAnsi="Times New Roman" w:cs="Times New Roman"/>
          <w:b/>
          <w:lang w:val="es-MX"/>
        </w:rPr>
        <w:t xml:space="preserve">Déficit fiscal se reduce en octubre por alto dinamismo de los ingresos y por la ralentización en la ejecución del gasto público </w:t>
      </w:r>
    </w:p>
    <w:p w14:paraId="28F4BCEB" w14:textId="77777777" w:rsidR="007D4651" w:rsidRPr="0029550C" w:rsidRDefault="007D4651" w:rsidP="007D4651">
      <w:pPr>
        <w:pStyle w:val="Sinespaciado"/>
        <w:rPr>
          <w:rFonts w:ascii="Times New Roman" w:hAnsi="Times New Roman" w:cs="Times New Roman"/>
          <w:b/>
          <w:color w:val="FF0000"/>
          <w:sz w:val="6"/>
          <w:lang w:val="es-MX"/>
        </w:rPr>
      </w:pPr>
    </w:p>
    <w:p w14:paraId="500044DC" w14:textId="77777777" w:rsidR="007D4651" w:rsidRPr="0029550C" w:rsidRDefault="007D4651" w:rsidP="007D4651">
      <w:pPr>
        <w:pStyle w:val="Sinespaciado"/>
        <w:jc w:val="center"/>
        <w:rPr>
          <w:rFonts w:ascii="Times New Roman" w:hAnsi="Times New Roman" w:cs="Times New Roman"/>
          <w:b/>
          <w:color w:val="FF0000"/>
          <w:sz w:val="12"/>
          <w:lang w:val="es-MX"/>
        </w:rPr>
      </w:pPr>
    </w:p>
    <w:p w14:paraId="355E7C52" w14:textId="77777777" w:rsidR="009C4027" w:rsidRPr="0029550C" w:rsidRDefault="009C4027" w:rsidP="007D4651">
      <w:pPr>
        <w:pStyle w:val="Sinespaciado"/>
        <w:jc w:val="center"/>
        <w:rPr>
          <w:rFonts w:ascii="Times New Roman" w:hAnsi="Times New Roman" w:cs="Times New Roman"/>
          <w:b/>
          <w:color w:val="FF0000"/>
          <w:lang w:val="es-MX"/>
        </w:rPr>
        <w:sectPr w:rsidR="009C4027" w:rsidRPr="0029550C" w:rsidSect="004E358C">
          <w:headerReference w:type="default" r:id="rId11"/>
          <w:footerReference w:type="default" r:id="rId12"/>
          <w:type w:val="continuous"/>
          <w:pgSz w:w="12240" w:h="15840"/>
          <w:pgMar w:top="1417" w:right="1701" w:bottom="1417" w:left="1701" w:header="708" w:footer="708" w:gutter="0"/>
          <w:cols w:space="708"/>
          <w:docGrid w:linePitch="360"/>
        </w:sectPr>
      </w:pPr>
    </w:p>
    <w:p w14:paraId="04D42BD0" w14:textId="77777777" w:rsidR="00D917C5" w:rsidRDefault="00D917C5" w:rsidP="00D917C5">
      <w:pPr>
        <w:pStyle w:val="Sinespaciado"/>
        <w:ind w:left="284"/>
        <w:jc w:val="both"/>
        <w:rPr>
          <w:rFonts w:ascii="Times New Roman" w:hAnsi="Times New Roman" w:cs="Times New Roman"/>
          <w:lang w:val="es-MX"/>
        </w:rPr>
      </w:pPr>
      <w:r w:rsidRPr="00C77E67">
        <w:rPr>
          <w:rFonts w:ascii="Times New Roman" w:hAnsi="Times New Roman" w:cs="Times New Roman"/>
          <w:lang w:val="es-MX"/>
        </w:rPr>
        <w:t>El resultado presupuestario del gobierno central muestra un d</w:t>
      </w:r>
      <w:r>
        <w:rPr>
          <w:rFonts w:ascii="Times New Roman" w:hAnsi="Times New Roman" w:cs="Times New Roman"/>
          <w:lang w:val="es-MX"/>
        </w:rPr>
        <w:t>éficit fiscal que se sitúa al 31 de octubre</w:t>
      </w:r>
      <w:r w:rsidRPr="00C77E67">
        <w:rPr>
          <w:rFonts w:ascii="Times New Roman" w:hAnsi="Times New Roman" w:cs="Times New Roman"/>
          <w:lang w:val="es-MX"/>
        </w:rPr>
        <w:t xml:space="preserve"> de 2021 en Q</w:t>
      </w:r>
      <w:r>
        <w:rPr>
          <w:rFonts w:ascii="Times New Roman" w:hAnsi="Times New Roman" w:cs="Times New Roman"/>
          <w:lang w:val="es-MX"/>
        </w:rPr>
        <w:t xml:space="preserve">622.2 </w:t>
      </w:r>
      <w:r w:rsidRPr="00C77E67">
        <w:rPr>
          <w:rFonts w:ascii="Times New Roman" w:hAnsi="Times New Roman" w:cs="Times New Roman"/>
          <w:lang w:val="es-MX"/>
        </w:rPr>
        <w:t xml:space="preserve">millones. </w:t>
      </w:r>
      <w:r>
        <w:rPr>
          <w:rFonts w:ascii="Times New Roman" w:hAnsi="Times New Roman" w:cs="Times New Roman"/>
          <w:lang w:val="es-MX"/>
        </w:rPr>
        <w:t>El déficit es significativamente menor al observado en años anteriores, principalmente al de 2020, cuando este se ubicó en Q19,361.2 millones, debido a la alta ejecución del gasto público y una merma en los ingresos tributarios como consecuencia de la pandemia.</w:t>
      </w:r>
    </w:p>
    <w:p w14:paraId="5AA16BC1" w14:textId="77777777" w:rsidR="00D917C5" w:rsidRDefault="00D917C5" w:rsidP="00D917C5">
      <w:pPr>
        <w:pStyle w:val="Sinespaciado"/>
        <w:ind w:left="284"/>
        <w:jc w:val="both"/>
        <w:rPr>
          <w:rFonts w:ascii="Times New Roman" w:hAnsi="Times New Roman" w:cs="Times New Roman"/>
          <w:lang w:val="es-MX"/>
        </w:rPr>
      </w:pPr>
    </w:p>
    <w:p w14:paraId="7DAFB6DB" w14:textId="77777777" w:rsidR="00D112CE" w:rsidRPr="006174C1" w:rsidRDefault="00D917C5" w:rsidP="006174C1">
      <w:pPr>
        <w:pStyle w:val="Sinespaciado"/>
        <w:ind w:left="284"/>
        <w:jc w:val="both"/>
        <w:rPr>
          <w:rFonts w:ascii="Times New Roman" w:hAnsi="Times New Roman" w:cs="Times New Roman"/>
          <w:lang w:val="es-MX"/>
        </w:rPr>
      </w:pPr>
      <w:r>
        <w:rPr>
          <w:rFonts w:ascii="Times New Roman" w:hAnsi="Times New Roman" w:cs="Times New Roman"/>
          <w:lang w:val="es-MX"/>
        </w:rPr>
        <w:t>En 2021 se ha presentado una situación extraordinaria con los ingresos tributarios, los mismos superan por décimo vez consecutivo la meta de presupuesto establecida, producto de la reactivación económica y las medidas administrativas</w:t>
      </w:r>
      <w:r w:rsidR="006174C1">
        <w:rPr>
          <w:rFonts w:ascii="Times New Roman" w:hAnsi="Times New Roman" w:cs="Times New Roman"/>
          <w:lang w:val="es-MX"/>
        </w:rPr>
        <w:t xml:space="preserve"> adoptadas por la SAT. Además, </w:t>
      </w:r>
      <w:r>
        <w:rPr>
          <w:rFonts w:ascii="Times New Roman" w:hAnsi="Times New Roman" w:cs="Times New Roman"/>
          <w:lang w:val="es-MX"/>
        </w:rPr>
        <w:t xml:space="preserve">el lado del gasto público </w:t>
      </w:r>
      <w:r w:rsidR="006174C1">
        <w:rPr>
          <w:rFonts w:ascii="Times New Roman" w:hAnsi="Times New Roman" w:cs="Times New Roman"/>
          <w:lang w:val="es-MX"/>
        </w:rPr>
        <w:t>muestra</w:t>
      </w:r>
      <w:r>
        <w:rPr>
          <w:rFonts w:ascii="Times New Roman" w:hAnsi="Times New Roman" w:cs="Times New Roman"/>
          <w:lang w:val="es-MX"/>
        </w:rPr>
        <w:t xml:space="preserve"> una desaceleración respecto al año previo, debido a que el gasto asociado al COVID-19 ha sido menor.</w:t>
      </w:r>
    </w:p>
    <w:p w14:paraId="5906F767" w14:textId="77777777" w:rsidR="00D112CE" w:rsidRPr="0029550C" w:rsidRDefault="00D112CE" w:rsidP="00E829E3">
      <w:pPr>
        <w:pStyle w:val="Sinespaciado"/>
        <w:rPr>
          <w:rFonts w:ascii="Times New Roman" w:hAnsi="Times New Roman" w:cs="Times New Roman"/>
          <w:b/>
          <w:color w:val="FF0000"/>
          <w:sz w:val="18"/>
        </w:rPr>
      </w:pPr>
    </w:p>
    <w:p w14:paraId="7B4E1064" w14:textId="77777777" w:rsidR="00970846" w:rsidRPr="0029550C" w:rsidRDefault="00970846" w:rsidP="00E829E3">
      <w:pPr>
        <w:pStyle w:val="Sinespaciado"/>
        <w:rPr>
          <w:rFonts w:ascii="Times New Roman" w:hAnsi="Times New Roman" w:cs="Times New Roman"/>
          <w:b/>
          <w:color w:val="FF0000"/>
          <w:sz w:val="18"/>
        </w:rPr>
        <w:sectPr w:rsidR="00970846" w:rsidRPr="0029550C" w:rsidSect="00474998">
          <w:type w:val="continuous"/>
          <w:pgSz w:w="12240" w:h="15840" w:code="1"/>
          <w:pgMar w:top="1418" w:right="1750" w:bottom="1418" w:left="1418" w:header="709" w:footer="709" w:gutter="0"/>
          <w:cols w:num="2" w:space="518"/>
          <w:docGrid w:linePitch="360"/>
        </w:sectPr>
      </w:pPr>
    </w:p>
    <w:p w14:paraId="7CD7D4B2" w14:textId="77777777" w:rsidR="00E829E3" w:rsidRPr="00B11ECC" w:rsidRDefault="00E829E3" w:rsidP="000704F4">
      <w:pPr>
        <w:pStyle w:val="Sinespaciado"/>
        <w:rPr>
          <w:rFonts w:ascii="Times New Roman" w:hAnsi="Times New Roman" w:cs="Times New Roman"/>
          <w:b/>
          <w:sz w:val="2"/>
          <w:lang w:val="es-MX"/>
        </w:rPr>
      </w:pPr>
    </w:p>
    <w:p w14:paraId="7F07A0FA" w14:textId="77777777" w:rsidR="006F5EA0" w:rsidRPr="00B11ECC" w:rsidRDefault="00950874" w:rsidP="006F5EA0">
      <w:pPr>
        <w:pStyle w:val="Sinespaciado"/>
        <w:jc w:val="center"/>
        <w:rPr>
          <w:rFonts w:ascii="Times New Roman" w:hAnsi="Times New Roman" w:cs="Times New Roman"/>
          <w:b/>
          <w:sz w:val="24"/>
          <w:lang w:val="es-MX"/>
        </w:rPr>
      </w:pPr>
      <w:r w:rsidRPr="00B11ECC">
        <w:rPr>
          <w:rFonts w:ascii="Times New Roman" w:hAnsi="Times New Roman" w:cs="Times New Roman"/>
          <w:b/>
          <w:sz w:val="24"/>
          <w:lang w:val="es-MX"/>
        </w:rPr>
        <w:t>Resultado Presupuestario</w:t>
      </w:r>
    </w:p>
    <w:p w14:paraId="62B7A1CF" w14:textId="77777777" w:rsidR="00107D10" w:rsidRPr="00B11ECC" w:rsidRDefault="00107D10" w:rsidP="00107D10">
      <w:pPr>
        <w:pStyle w:val="Sinespaciado"/>
        <w:jc w:val="center"/>
        <w:rPr>
          <w:rFonts w:ascii="Times New Roman" w:hAnsi="Times New Roman" w:cs="Times New Roman"/>
          <w:sz w:val="20"/>
          <w:lang w:val="es-MX"/>
        </w:rPr>
      </w:pPr>
      <w:r w:rsidRPr="00B11ECC">
        <w:rPr>
          <w:rFonts w:ascii="Times New Roman" w:hAnsi="Times New Roman" w:cs="Times New Roman"/>
          <w:sz w:val="20"/>
          <w:lang w:val="es-MX"/>
        </w:rPr>
        <w:t>Cifras en millones de quetzales</w:t>
      </w:r>
    </w:p>
    <w:p w14:paraId="39C7804E" w14:textId="77777777" w:rsidR="00970846" w:rsidRPr="00B11ECC" w:rsidRDefault="00970846" w:rsidP="00970846">
      <w:pPr>
        <w:pStyle w:val="Sinespaciado"/>
        <w:jc w:val="center"/>
        <w:rPr>
          <w:rFonts w:ascii="Times New Roman" w:hAnsi="Times New Roman" w:cs="Times New Roman"/>
          <w:b/>
          <w:lang w:val="es-MX"/>
        </w:rPr>
      </w:pPr>
      <w:r w:rsidRPr="00B11ECC">
        <w:rPr>
          <w:rFonts w:ascii="Times New Roman" w:hAnsi="Times New Roman" w:cs="Times New Roman"/>
          <w:sz w:val="20"/>
          <w:lang w:val="es-MX"/>
        </w:rPr>
        <w:t>Al 31 de octubre de cada año</w:t>
      </w:r>
    </w:p>
    <w:p w14:paraId="3591FEB6" w14:textId="77777777" w:rsidR="004C2A11" w:rsidRPr="00B11ECC" w:rsidRDefault="00B11ECC" w:rsidP="00107D10">
      <w:pPr>
        <w:pStyle w:val="Sinespaciado"/>
        <w:jc w:val="center"/>
        <w:rPr>
          <w:rFonts w:ascii="Times New Roman" w:hAnsi="Times New Roman" w:cs="Times New Roman"/>
          <w:b/>
          <w:lang w:val="es-MX"/>
        </w:rPr>
      </w:pPr>
      <w:r w:rsidRPr="00B11ECC">
        <w:rPr>
          <w:noProof/>
          <w:lang w:eastAsia="es-GT"/>
        </w:rPr>
        <w:drawing>
          <wp:inline distT="0" distB="0" distL="0" distR="0" wp14:anchorId="626745C6" wp14:editId="2EECAE26">
            <wp:extent cx="5969635" cy="2647785"/>
            <wp:effectExtent l="0" t="0" r="0" b="635"/>
            <wp:docPr id="241" name="Chart 1">
              <a:extLst xmlns:a="http://schemas.openxmlformats.org/drawingml/2006/main">
                <a:ext uri="{FF2B5EF4-FFF2-40B4-BE49-F238E27FC236}">
                  <a16:creationId xmlns:a16="http://schemas.microsoft.com/office/drawing/2014/main" id="{00000000-0008-0000-0F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E565CF" w14:textId="77777777" w:rsidR="00970846" w:rsidRPr="00B11ECC" w:rsidRDefault="007F443F" w:rsidP="00E4153A">
      <w:pPr>
        <w:pStyle w:val="Sinespaciado"/>
        <w:rPr>
          <w:rFonts w:ascii="Times New Roman" w:hAnsi="Times New Roman" w:cs="Times New Roman"/>
          <w:sz w:val="16"/>
        </w:rPr>
      </w:pPr>
      <w:r w:rsidRPr="00B11ECC">
        <w:rPr>
          <w:rFonts w:ascii="Times New Roman" w:hAnsi="Times New Roman" w:cs="Times New Roman"/>
          <w:sz w:val="16"/>
        </w:rPr>
        <w:t xml:space="preserve"> </w:t>
      </w:r>
      <w:r w:rsidR="004C2A11" w:rsidRPr="00B11ECC">
        <w:rPr>
          <w:rFonts w:ascii="Times New Roman" w:hAnsi="Times New Roman" w:cs="Times New Roman"/>
          <w:sz w:val="16"/>
        </w:rPr>
        <w:t xml:space="preserve">                </w:t>
      </w:r>
      <w:r w:rsidR="00157C3A" w:rsidRPr="00B11ECC">
        <w:rPr>
          <w:rFonts w:ascii="Times New Roman" w:hAnsi="Times New Roman" w:cs="Times New Roman"/>
          <w:sz w:val="16"/>
        </w:rPr>
        <w:t>F</w:t>
      </w:r>
      <w:r w:rsidR="007D4651" w:rsidRPr="00B11ECC">
        <w:rPr>
          <w:rFonts w:ascii="Times New Roman" w:hAnsi="Times New Roman" w:cs="Times New Roman"/>
          <w:sz w:val="16"/>
        </w:rPr>
        <w:t>uente: Dirección de Análisis y Política fiscal</w:t>
      </w:r>
    </w:p>
    <w:p w14:paraId="477F79EF" w14:textId="77777777" w:rsidR="00970846" w:rsidRPr="0029550C" w:rsidRDefault="00970846" w:rsidP="00E4153A">
      <w:pPr>
        <w:pStyle w:val="Sinespaciado"/>
        <w:rPr>
          <w:rFonts w:ascii="Times New Roman" w:hAnsi="Times New Roman" w:cs="Times New Roman"/>
          <w:color w:val="FF0000"/>
          <w:sz w:val="6"/>
        </w:rPr>
      </w:pPr>
    </w:p>
    <w:p w14:paraId="0075A776" w14:textId="77777777" w:rsidR="00970846" w:rsidRPr="0029550C" w:rsidRDefault="00970846" w:rsidP="00E4153A">
      <w:pPr>
        <w:pStyle w:val="Sinespaciado"/>
        <w:rPr>
          <w:rFonts w:ascii="Times New Roman" w:hAnsi="Times New Roman" w:cs="Times New Roman"/>
          <w:color w:val="FF0000"/>
          <w:sz w:val="6"/>
        </w:rPr>
      </w:pPr>
    </w:p>
    <w:p w14:paraId="3CA600FB" w14:textId="77777777" w:rsidR="00970846" w:rsidRPr="0029550C" w:rsidRDefault="00970846" w:rsidP="00E4153A">
      <w:pPr>
        <w:pStyle w:val="Sinespaciado"/>
        <w:rPr>
          <w:rFonts w:ascii="Times New Roman" w:hAnsi="Times New Roman" w:cs="Times New Roman"/>
          <w:color w:val="FF0000"/>
          <w:sz w:val="6"/>
        </w:rPr>
      </w:pPr>
    </w:p>
    <w:p w14:paraId="47806FFB" w14:textId="77777777" w:rsidR="00970846" w:rsidRPr="0029550C" w:rsidRDefault="00970846" w:rsidP="00E4153A">
      <w:pPr>
        <w:pStyle w:val="Sinespaciado"/>
        <w:rPr>
          <w:rFonts w:ascii="Times New Roman" w:hAnsi="Times New Roman" w:cs="Times New Roman"/>
          <w:color w:val="FF0000"/>
          <w:sz w:val="6"/>
        </w:rPr>
      </w:pPr>
    </w:p>
    <w:p w14:paraId="2554CA79" w14:textId="77777777" w:rsidR="00F54627" w:rsidRPr="0029550C" w:rsidRDefault="00F54627" w:rsidP="007D4651">
      <w:pPr>
        <w:spacing w:after="0" w:line="240" w:lineRule="auto"/>
        <w:rPr>
          <w:rFonts w:ascii="Times New Roman" w:hAnsi="Times New Roman" w:cs="Times New Roman"/>
          <w:color w:val="FF0000"/>
          <w:sz w:val="24"/>
          <w:szCs w:val="24"/>
          <w:lang w:val="es-MX"/>
        </w:rPr>
        <w:sectPr w:rsidR="00F54627" w:rsidRPr="0029550C" w:rsidSect="007D4651">
          <w:type w:val="continuous"/>
          <w:pgSz w:w="12240" w:h="15840" w:code="1"/>
          <w:pgMar w:top="1418" w:right="1418" w:bottom="1418" w:left="1418" w:header="709" w:footer="709" w:gutter="0"/>
          <w:cols w:space="708"/>
          <w:docGrid w:linePitch="360"/>
        </w:sectPr>
      </w:pPr>
    </w:p>
    <w:p w14:paraId="40E85913" w14:textId="77777777" w:rsidR="00B822A9" w:rsidRPr="00A448DF" w:rsidRDefault="009325CC" w:rsidP="00B822A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pPr>
      <w:r w:rsidRPr="00A448DF">
        <w:rPr>
          <w:rFonts w:ascii="Times New Roman" w:hAnsi="Times New Roman" w:cs="Times New Roman"/>
          <w:b/>
          <w:lang w:val="es-MX"/>
        </w:rPr>
        <w:t>Por décimo mes consecutivo la SAT supera la meta de presupuesto</w:t>
      </w:r>
    </w:p>
    <w:p w14:paraId="2CAE14EE" w14:textId="77777777" w:rsidR="00E16925" w:rsidRPr="0029550C" w:rsidRDefault="00E16925" w:rsidP="00E16925">
      <w:pPr>
        <w:pStyle w:val="Sinespaciado"/>
        <w:jc w:val="center"/>
        <w:rPr>
          <w:rFonts w:ascii="Times New Roman" w:hAnsi="Times New Roman" w:cs="Times New Roman"/>
          <w:b/>
          <w:color w:val="FF0000"/>
          <w:sz w:val="18"/>
          <w:lang w:val="es-MX"/>
        </w:rPr>
      </w:pPr>
    </w:p>
    <w:p w14:paraId="2D65BEEF" w14:textId="77777777" w:rsidR="00343A5D" w:rsidRPr="0029550C" w:rsidRDefault="00343A5D" w:rsidP="00F25E21">
      <w:pPr>
        <w:pStyle w:val="Sinespaciado"/>
        <w:rPr>
          <w:rFonts w:ascii="Times New Roman" w:hAnsi="Times New Roman" w:cs="Times New Roman"/>
          <w:b/>
          <w:color w:val="FF0000"/>
          <w:sz w:val="20"/>
          <w:lang w:val="es-MX"/>
        </w:rPr>
        <w:sectPr w:rsidR="00343A5D" w:rsidRPr="0029550C" w:rsidSect="004E358C">
          <w:headerReference w:type="default" r:id="rId14"/>
          <w:footerReference w:type="default" r:id="rId15"/>
          <w:type w:val="continuous"/>
          <w:pgSz w:w="12240" w:h="15840"/>
          <w:pgMar w:top="1417" w:right="1701" w:bottom="1417" w:left="1701" w:header="708" w:footer="708" w:gutter="0"/>
          <w:cols w:space="708"/>
          <w:docGrid w:linePitch="360"/>
        </w:sectPr>
      </w:pPr>
    </w:p>
    <w:p w14:paraId="335AB3D0" w14:textId="77777777" w:rsidR="006174C1" w:rsidRPr="006174C1" w:rsidRDefault="00186D6D" w:rsidP="00186D6D">
      <w:pPr>
        <w:spacing w:after="0" w:line="240" w:lineRule="auto"/>
        <w:jc w:val="both"/>
        <w:rPr>
          <w:rFonts w:ascii="Times New Roman" w:hAnsi="Times New Roman" w:cs="Times New Roman"/>
        </w:rPr>
      </w:pPr>
      <w:r w:rsidRPr="008F124E">
        <w:rPr>
          <w:rFonts w:ascii="Times New Roman" w:hAnsi="Times New Roman" w:cs="Times New Roman"/>
        </w:rPr>
        <w:t xml:space="preserve">En </w:t>
      </w:r>
      <w:r>
        <w:rPr>
          <w:rFonts w:ascii="Times New Roman" w:hAnsi="Times New Roman" w:cs="Times New Roman"/>
        </w:rPr>
        <w:t>octubre</w:t>
      </w:r>
      <w:r w:rsidRPr="008F124E">
        <w:rPr>
          <w:rFonts w:ascii="Times New Roman" w:hAnsi="Times New Roman" w:cs="Times New Roman"/>
        </w:rPr>
        <w:t xml:space="preserve"> se recaud</w:t>
      </w:r>
      <w:r>
        <w:rPr>
          <w:rFonts w:ascii="Times New Roman" w:hAnsi="Times New Roman" w:cs="Times New Roman"/>
        </w:rPr>
        <w:t>aron</w:t>
      </w:r>
      <w:r w:rsidRPr="008F124E">
        <w:rPr>
          <w:rFonts w:ascii="Times New Roman" w:hAnsi="Times New Roman" w:cs="Times New Roman"/>
        </w:rPr>
        <w:t xml:space="preserve"> Q</w:t>
      </w:r>
      <w:r>
        <w:rPr>
          <w:rFonts w:ascii="Times New Roman" w:hAnsi="Times New Roman" w:cs="Times New Roman"/>
        </w:rPr>
        <w:t xml:space="preserve">9,145.8 </w:t>
      </w:r>
      <w:r w:rsidRPr="008F124E">
        <w:rPr>
          <w:rFonts w:ascii="Times New Roman" w:hAnsi="Times New Roman" w:cs="Times New Roman"/>
        </w:rPr>
        <w:t>millones, monto superior a lo establecido en la meta de presupuesto</w:t>
      </w:r>
      <w:r>
        <w:rPr>
          <w:rFonts w:ascii="Times New Roman" w:hAnsi="Times New Roman" w:cs="Times New Roman"/>
        </w:rPr>
        <w:t xml:space="preserve"> fijada en </w:t>
      </w:r>
      <w:r w:rsidRPr="008F124E">
        <w:rPr>
          <w:rFonts w:ascii="Times New Roman" w:hAnsi="Times New Roman" w:cs="Times New Roman"/>
        </w:rPr>
        <w:t>Q</w:t>
      </w:r>
      <w:r>
        <w:rPr>
          <w:rFonts w:ascii="Times New Roman" w:hAnsi="Times New Roman" w:cs="Times New Roman"/>
        </w:rPr>
        <w:t xml:space="preserve">7,650.6 </w:t>
      </w:r>
      <w:r w:rsidRPr="008F124E">
        <w:rPr>
          <w:rFonts w:ascii="Times New Roman" w:hAnsi="Times New Roman" w:cs="Times New Roman"/>
        </w:rPr>
        <w:t>millones</w:t>
      </w:r>
      <w:r>
        <w:rPr>
          <w:rFonts w:ascii="Times New Roman" w:hAnsi="Times New Roman" w:cs="Times New Roman"/>
        </w:rPr>
        <w:t>.</w:t>
      </w:r>
      <w:r w:rsidRPr="008F124E">
        <w:rPr>
          <w:rFonts w:ascii="Times New Roman" w:hAnsi="Times New Roman" w:cs="Times New Roman"/>
        </w:rPr>
        <w:t xml:space="preserve"> </w:t>
      </w:r>
      <w:r>
        <w:rPr>
          <w:rFonts w:ascii="Times New Roman" w:hAnsi="Times New Roman" w:cs="Times New Roman"/>
        </w:rPr>
        <w:t>I</w:t>
      </w:r>
      <w:r w:rsidRPr="008F124E">
        <w:rPr>
          <w:rFonts w:ascii="Times New Roman" w:hAnsi="Times New Roman" w:cs="Times New Roman"/>
        </w:rPr>
        <w:t xml:space="preserve">mpuestos que contribuyeron en mayor cuantía para generar la brecha mensual positiva </w:t>
      </w:r>
      <w:r>
        <w:rPr>
          <w:rFonts w:ascii="Times New Roman" w:hAnsi="Times New Roman" w:cs="Times New Roman"/>
        </w:rPr>
        <w:t xml:space="preserve">de Q1,495.1 millones </w:t>
      </w:r>
      <w:r w:rsidRPr="008F124E">
        <w:rPr>
          <w:rFonts w:ascii="Times New Roman" w:hAnsi="Times New Roman" w:cs="Times New Roman"/>
        </w:rPr>
        <w:t>son</w:t>
      </w:r>
      <w:r>
        <w:rPr>
          <w:rFonts w:ascii="Times New Roman" w:hAnsi="Times New Roman" w:cs="Times New Roman"/>
        </w:rPr>
        <w:t>:</w:t>
      </w:r>
      <w:r w:rsidRPr="008F124E">
        <w:rPr>
          <w:rFonts w:ascii="Times New Roman" w:hAnsi="Times New Roman" w:cs="Times New Roman"/>
        </w:rPr>
        <w:t xml:space="preserve"> el ISR</w:t>
      </w:r>
      <w:r>
        <w:rPr>
          <w:rFonts w:ascii="Times New Roman" w:hAnsi="Times New Roman" w:cs="Times New Roman"/>
        </w:rPr>
        <w:t>,</w:t>
      </w:r>
      <w:r w:rsidRPr="008F124E">
        <w:rPr>
          <w:rFonts w:ascii="Times New Roman" w:hAnsi="Times New Roman" w:cs="Times New Roman"/>
        </w:rPr>
        <w:t xml:space="preserve"> </w:t>
      </w:r>
      <w:r>
        <w:rPr>
          <w:rFonts w:ascii="Times New Roman" w:hAnsi="Times New Roman" w:cs="Times New Roman"/>
        </w:rPr>
        <w:t>IVA importaciones y DAI</w:t>
      </w:r>
      <w:r w:rsidRPr="008F124E">
        <w:rPr>
          <w:rFonts w:ascii="Times New Roman" w:hAnsi="Times New Roman" w:cs="Times New Roman"/>
        </w:rPr>
        <w:t xml:space="preserve"> </w:t>
      </w:r>
      <w:r>
        <w:rPr>
          <w:rFonts w:ascii="Times New Roman" w:hAnsi="Times New Roman" w:cs="Times New Roman"/>
        </w:rPr>
        <w:t xml:space="preserve">principalmente.  </w:t>
      </w:r>
      <w:r>
        <w:rPr>
          <w:rFonts w:ascii="Times New Roman" w:hAnsi="Times New Roman" w:cs="Times New Roman"/>
        </w:rPr>
        <w:t>I</w:t>
      </w:r>
      <w:r w:rsidRPr="008F124E">
        <w:rPr>
          <w:rFonts w:ascii="Times New Roman" w:hAnsi="Times New Roman" w:cs="Times New Roman"/>
        </w:rPr>
        <w:t>mpuestos que no alcanzaron la meta mensual son</w:t>
      </w:r>
      <w:r>
        <w:rPr>
          <w:rFonts w:ascii="Times New Roman" w:hAnsi="Times New Roman" w:cs="Times New Roman"/>
        </w:rPr>
        <w:t>:</w:t>
      </w:r>
      <w:r w:rsidRPr="008F124E">
        <w:rPr>
          <w:rFonts w:ascii="Times New Roman" w:hAnsi="Times New Roman" w:cs="Times New Roman"/>
        </w:rPr>
        <w:t xml:space="preserve"> </w:t>
      </w:r>
      <w:r>
        <w:rPr>
          <w:rFonts w:ascii="Times New Roman" w:hAnsi="Times New Roman" w:cs="Times New Roman"/>
        </w:rPr>
        <w:t xml:space="preserve">el ISO, IVA doméstico, derivados del petróleo, </w:t>
      </w:r>
      <w:r w:rsidRPr="008F124E">
        <w:rPr>
          <w:rFonts w:ascii="Times New Roman" w:hAnsi="Times New Roman" w:cs="Times New Roman"/>
        </w:rPr>
        <w:t>los timbres fiscales</w:t>
      </w:r>
      <w:r>
        <w:rPr>
          <w:rFonts w:ascii="Times New Roman" w:hAnsi="Times New Roman" w:cs="Times New Roman"/>
        </w:rPr>
        <w:t xml:space="preserve">, </w:t>
      </w:r>
      <w:r w:rsidRPr="008F124E">
        <w:rPr>
          <w:rFonts w:ascii="Times New Roman" w:hAnsi="Times New Roman" w:cs="Times New Roman"/>
        </w:rPr>
        <w:t>tabacos</w:t>
      </w:r>
      <w:r>
        <w:rPr>
          <w:rFonts w:ascii="Times New Roman" w:hAnsi="Times New Roman" w:cs="Times New Roman"/>
        </w:rPr>
        <w:t xml:space="preserve">, y de los </w:t>
      </w:r>
      <w:r w:rsidRPr="008F124E">
        <w:rPr>
          <w:rFonts w:ascii="Times New Roman" w:hAnsi="Times New Roman" w:cs="Times New Roman"/>
        </w:rPr>
        <w:t xml:space="preserve">no administrados por </w:t>
      </w:r>
      <w:r>
        <w:rPr>
          <w:rFonts w:ascii="Times New Roman" w:hAnsi="Times New Roman" w:cs="Times New Roman"/>
        </w:rPr>
        <w:t xml:space="preserve">la </w:t>
      </w:r>
      <w:r w:rsidRPr="008F124E">
        <w:rPr>
          <w:rFonts w:ascii="Times New Roman" w:hAnsi="Times New Roman" w:cs="Times New Roman"/>
        </w:rPr>
        <w:t>SAT</w:t>
      </w:r>
      <w:r>
        <w:rPr>
          <w:rFonts w:ascii="Times New Roman" w:hAnsi="Times New Roman" w:cs="Times New Roman"/>
        </w:rPr>
        <w:t xml:space="preserve"> el impuesto de salidas del país, el impuesto a las regalías e hidrocarburos compartibles superó la meta de presupuesto en Q2.0 millones.</w:t>
      </w:r>
    </w:p>
    <w:p w14:paraId="39B0F600" w14:textId="77777777" w:rsidR="00186D6D" w:rsidRPr="007A0F52" w:rsidRDefault="00186D6D" w:rsidP="00A448DF">
      <w:pPr>
        <w:spacing w:after="0" w:line="240" w:lineRule="auto"/>
        <w:jc w:val="center"/>
        <w:rPr>
          <w:rFonts w:ascii="Times New Roman" w:hAnsi="Times New Roman" w:cs="Times New Roman"/>
          <w:b/>
        </w:rPr>
      </w:pPr>
      <w:r w:rsidRPr="007A0F52">
        <w:rPr>
          <w:rFonts w:ascii="Times New Roman" w:hAnsi="Times New Roman" w:cs="Times New Roman"/>
          <w:b/>
        </w:rPr>
        <w:lastRenderedPageBreak/>
        <w:t>Brecha mensual de recaudación respecto a presupuesto</w:t>
      </w:r>
    </w:p>
    <w:p w14:paraId="54DA23C2" w14:textId="77777777" w:rsidR="00186D6D" w:rsidRPr="007A0F52" w:rsidRDefault="00186D6D" w:rsidP="00186D6D">
      <w:pPr>
        <w:spacing w:after="0" w:line="240" w:lineRule="auto"/>
        <w:jc w:val="center"/>
        <w:rPr>
          <w:rFonts w:ascii="Times New Roman" w:hAnsi="Times New Roman" w:cs="Times New Roman"/>
          <w:bCs/>
          <w:sz w:val="20"/>
          <w:szCs w:val="20"/>
        </w:rPr>
      </w:pPr>
      <w:r w:rsidRPr="007A0F52">
        <w:rPr>
          <w:rFonts w:ascii="Times New Roman" w:hAnsi="Times New Roman" w:cs="Times New Roman"/>
          <w:bCs/>
          <w:sz w:val="20"/>
          <w:szCs w:val="20"/>
        </w:rPr>
        <w:t>En millones de quetzales</w:t>
      </w:r>
    </w:p>
    <w:p w14:paraId="4F9AA770" w14:textId="77777777" w:rsidR="00186D6D" w:rsidRDefault="00186D6D" w:rsidP="00186D6D">
      <w:pPr>
        <w:spacing w:after="0" w:line="240" w:lineRule="auto"/>
        <w:jc w:val="both"/>
        <w:rPr>
          <w:rFonts w:ascii="Times New Roman" w:hAnsi="Times New Roman" w:cs="Times New Roman"/>
        </w:rPr>
      </w:pPr>
      <w:r>
        <w:rPr>
          <w:rFonts w:ascii="Times New Roman" w:hAnsi="Times New Roman" w:cs="Times New Roman"/>
          <w:noProof/>
          <w:lang w:eastAsia="es-GT"/>
        </w:rPr>
        <w:drawing>
          <wp:inline distT="0" distB="0" distL="0" distR="0" wp14:anchorId="48E1ACE3" wp14:editId="14B26C71">
            <wp:extent cx="2708275" cy="1952625"/>
            <wp:effectExtent l="0" t="0" r="0" b="0"/>
            <wp:docPr id="227" name="Gráfico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1644FB" w14:textId="77777777" w:rsidR="00186D6D" w:rsidRPr="00EA145C" w:rsidRDefault="00186D6D" w:rsidP="00186D6D">
      <w:pPr>
        <w:spacing w:after="0" w:line="240" w:lineRule="auto"/>
        <w:jc w:val="both"/>
        <w:rPr>
          <w:rFonts w:ascii="Times New Roman" w:hAnsi="Times New Roman" w:cs="Times New Roman"/>
        </w:rPr>
      </w:pPr>
      <w:r w:rsidRPr="00EA145C">
        <w:rPr>
          <w:rFonts w:ascii="Times New Roman" w:hAnsi="Times New Roman" w:cs="Times New Roman"/>
          <w:sz w:val="16"/>
        </w:rPr>
        <w:t>Fuente: Ministerio de Finanzas Públicas.</w:t>
      </w:r>
    </w:p>
    <w:p w14:paraId="20615476" w14:textId="77777777" w:rsidR="00186D6D" w:rsidRPr="008F124E" w:rsidRDefault="00186D6D" w:rsidP="00186D6D">
      <w:pPr>
        <w:spacing w:after="0" w:line="240" w:lineRule="auto"/>
        <w:jc w:val="both"/>
        <w:rPr>
          <w:rFonts w:ascii="Times New Roman" w:hAnsi="Times New Roman" w:cs="Times New Roman"/>
        </w:rPr>
      </w:pPr>
    </w:p>
    <w:p w14:paraId="50F1EF55" w14:textId="77777777" w:rsidR="00186D6D" w:rsidRDefault="00186D6D" w:rsidP="00186D6D">
      <w:pPr>
        <w:spacing w:after="0" w:line="240" w:lineRule="auto"/>
        <w:jc w:val="both"/>
        <w:rPr>
          <w:rFonts w:ascii="Times New Roman" w:hAnsi="Times New Roman" w:cs="Times New Roman"/>
        </w:rPr>
      </w:pPr>
      <w:r>
        <w:rPr>
          <w:rFonts w:ascii="Times New Roman" w:hAnsi="Times New Roman" w:cs="Times New Roman"/>
        </w:rPr>
        <w:t>L</w:t>
      </w:r>
      <w:r w:rsidRPr="008F124E">
        <w:rPr>
          <w:rFonts w:ascii="Times New Roman" w:hAnsi="Times New Roman" w:cs="Times New Roman"/>
        </w:rPr>
        <w:t xml:space="preserve">a recaudación tributaria </w:t>
      </w:r>
      <w:r>
        <w:rPr>
          <w:rFonts w:ascii="Times New Roman" w:hAnsi="Times New Roman" w:cs="Times New Roman"/>
        </w:rPr>
        <w:t xml:space="preserve">acumulada al 31 de octubre </w:t>
      </w:r>
      <w:r w:rsidRPr="008F124E">
        <w:rPr>
          <w:rFonts w:ascii="Times New Roman" w:hAnsi="Times New Roman" w:cs="Times New Roman"/>
        </w:rPr>
        <w:t>genera una brecha positiva de Q</w:t>
      </w:r>
      <w:r>
        <w:rPr>
          <w:rFonts w:ascii="Times New Roman" w:hAnsi="Times New Roman" w:cs="Times New Roman"/>
        </w:rPr>
        <w:t xml:space="preserve">10,706.3 </w:t>
      </w:r>
      <w:r w:rsidRPr="008F124E">
        <w:rPr>
          <w:rFonts w:ascii="Times New Roman" w:hAnsi="Times New Roman" w:cs="Times New Roman"/>
        </w:rPr>
        <w:t>millones respecto a la meta de presupuesto</w:t>
      </w:r>
      <w:r>
        <w:rPr>
          <w:rFonts w:ascii="Times New Roman" w:hAnsi="Times New Roman" w:cs="Times New Roman"/>
        </w:rPr>
        <w:t>.  A</w:t>
      </w:r>
      <w:r w:rsidRPr="008F124E">
        <w:rPr>
          <w:rFonts w:ascii="Times New Roman" w:hAnsi="Times New Roman" w:cs="Times New Roman"/>
        </w:rPr>
        <w:t>spectos importantes que generan resultados positivos son la recuperación de los impuestos asociados al comercio exterior</w:t>
      </w:r>
      <w:r>
        <w:rPr>
          <w:rFonts w:ascii="Times New Roman" w:hAnsi="Times New Roman" w:cs="Times New Roman"/>
        </w:rPr>
        <w:t>;</w:t>
      </w:r>
      <w:r w:rsidRPr="008F124E">
        <w:rPr>
          <w:rFonts w:ascii="Times New Roman" w:hAnsi="Times New Roman" w:cs="Times New Roman"/>
        </w:rPr>
        <w:t xml:space="preserve"> el consumo interno</w:t>
      </w:r>
      <w:r>
        <w:rPr>
          <w:rFonts w:ascii="Times New Roman" w:hAnsi="Times New Roman" w:cs="Times New Roman"/>
        </w:rPr>
        <w:t>, a través del IVA;</w:t>
      </w:r>
      <w:r w:rsidRPr="008F124E">
        <w:rPr>
          <w:rFonts w:ascii="Times New Roman" w:hAnsi="Times New Roman" w:cs="Times New Roman"/>
        </w:rPr>
        <w:t xml:space="preserve"> y</w:t>
      </w:r>
      <w:r>
        <w:rPr>
          <w:rFonts w:ascii="Times New Roman" w:hAnsi="Times New Roman" w:cs="Times New Roman"/>
        </w:rPr>
        <w:t>,</w:t>
      </w:r>
      <w:r w:rsidRPr="008F124E">
        <w:rPr>
          <w:rFonts w:ascii="Times New Roman" w:hAnsi="Times New Roman" w:cs="Times New Roman"/>
        </w:rPr>
        <w:t xml:space="preserve"> el impuesto a la distribución de derivados del petróleo.</w:t>
      </w:r>
    </w:p>
    <w:p w14:paraId="6C77801E" w14:textId="77777777" w:rsidR="00186D6D" w:rsidRDefault="00186D6D" w:rsidP="00186D6D">
      <w:pPr>
        <w:spacing w:after="0" w:line="240" w:lineRule="auto"/>
        <w:jc w:val="both"/>
        <w:rPr>
          <w:rFonts w:ascii="Times New Roman" w:hAnsi="Times New Roman" w:cs="Times New Roman"/>
          <w:color w:val="FF0000"/>
        </w:rPr>
      </w:pPr>
    </w:p>
    <w:p w14:paraId="3F7B02D9" w14:textId="77777777" w:rsidR="00186D6D" w:rsidRPr="00EA145C" w:rsidRDefault="00186D6D" w:rsidP="00186D6D">
      <w:pPr>
        <w:spacing w:after="0" w:line="240" w:lineRule="auto"/>
        <w:jc w:val="center"/>
        <w:rPr>
          <w:rFonts w:ascii="Times New Roman" w:hAnsi="Times New Roman" w:cs="Times New Roman"/>
          <w:b/>
        </w:rPr>
      </w:pPr>
      <w:r w:rsidRPr="00EA145C">
        <w:rPr>
          <w:rFonts w:ascii="Times New Roman" w:hAnsi="Times New Roman" w:cs="Times New Roman"/>
          <w:b/>
        </w:rPr>
        <w:t xml:space="preserve">Variación de la recaudación tributaria neta de </w:t>
      </w:r>
      <w:r>
        <w:rPr>
          <w:rFonts w:ascii="Times New Roman" w:hAnsi="Times New Roman" w:cs="Times New Roman"/>
          <w:b/>
        </w:rPr>
        <w:t>octubre</w:t>
      </w:r>
    </w:p>
    <w:p w14:paraId="6D2913B9" w14:textId="77777777" w:rsidR="00186D6D" w:rsidRPr="00EA145C" w:rsidRDefault="00186D6D" w:rsidP="00186D6D">
      <w:pPr>
        <w:spacing w:after="0" w:line="240" w:lineRule="auto"/>
        <w:jc w:val="center"/>
        <w:rPr>
          <w:rFonts w:ascii="Times New Roman" w:hAnsi="Times New Roman" w:cs="Times New Roman"/>
          <w:sz w:val="20"/>
        </w:rPr>
      </w:pPr>
      <w:r w:rsidRPr="00EA145C">
        <w:rPr>
          <w:rFonts w:ascii="Times New Roman" w:hAnsi="Times New Roman" w:cs="Times New Roman"/>
          <w:sz w:val="20"/>
        </w:rPr>
        <w:t>Millones de quetzales</w:t>
      </w:r>
    </w:p>
    <w:p w14:paraId="5BE698B1" w14:textId="77777777" w:rsidR="00186D6D" w:rsidRPr="00EA145C" w:rsidRDefault="00186D6D" w:rsidP="00186D6D">
      <w:pPr>
        <w:spacing w:after="0" w:line="240" w:lineRule="auto"/>
        <w:jc w:val="center"/>
        <w:rPr>
          <w:rFonts w:ascii="Times New Roman" w:hAnsi="Times New Roman" w:cs="Times New Roman"/>
          <w:sz w:val="20"/>
        </w:rPr>
      </w:pPr>
      <w:r w:rsidRPr="00EA145C">
        <w:rPr>
          <w:rFonts w:ascii="Times New Roman" w:hAnsi="Times New Roman" w:cs="Times New Roman"/>
          <w:noProof/>
          <w:lang w:eastAsia="es-GT"/>
        </w:rPr>
        <w:drawing>
          <wp:inline distT="0" distB="0" distL="0" distR="0" wp14:anchorId="1BF6D4B7" wp14:editId="674B23A8">
            <wp:extent cx="2771775" cy="2447925"/>
            <wp:effectExtent l="0" t="0" r="0" b="0"/>
            <wp:docPr id="228" name="Gráfico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7C9B23" w14:textId="77777777" w:rsidR="00186D6D" w:rsidRPr="00EA145C" w:rsidRDefault="00186D6D" w:rsidP="00186D6D">
      <w:pPr>
        <w:spacing w:after="0" w:line="240" w:lineRule="auto"/>
        <w:jc w:val="both"/>
        <w:rPr>
          <w:rFonts w:ascii="Times New Roman" w:hAnsi="Times New Roman" w:cs="Times New Roman"/>
        </w:rPr>
      </w:pPr>
      <w:r w:rsidRPr="00EA145C">
        <w:rPr>
          <w:rFonts w:ascii="Times New Roman" w:hAnsi="Times New Roman" w:cs="Times New Roman"/>
          <w:sz w:val="16"/>
        </w:rPr>
        <w:t>Fuente: Ministerio de Finanzas Públicas.</w:t>
      </w:r>
    </w:p>
    <w:p w14:paraId="1F586994" w14:textId="77777777" w:rsidR="00186D6D" w:rsidRDefault="00186D6D" w:rsidP="00186D6D">
      <w:pPr>
        <w:spacing w:after="0" w:line="240" w:lineRule="auto"/>
        <w:jc w:val="both"/>
        <w:rPr>
          <w:rFonts w:ascii="Times New Roman" w:hAnsi="Times New Roman" w:cs="Times New Roman"/>
        </w:rPr>
      </w:pPr>
      <w:r w:rsidRPr="008F124E">
        <w:rPr>
          <w:rFonts w:ascii="Times New Roman" w:hAnsi="Times New Roman" w:cs="Times New Roman"/>
        </w:rPr>
        <w:t>Con relación a la recaudación acumulada</w:t>
      </w:r>
      <w:r>
        <w:rPr>
          <w:rFonts w:ascii="Times New Roman" w:hAnsi="Times New Roman" w:cs="Times New Roman"/>
        </w:rPr>
        <w:t>, observada</w:t>
      </w:r>
      <w:r w:rsidRPr="008F124E">
        <w:rPr>
          <w:rFonts w:ascii="Times New Roman" w:hAnsi="Times New Roman" w:cs="Times New Roman"/>
        </w:rPr>
        <w:t xml:space="preserve"> </w:t>
      </w:r>
      <w:r>
        <w:rPr>
          <w:rFonts w:ascii="Times New Roman" w:hAnsi="Times New Roman" w:cs="Times New Roman"/>
        </w:rPr>
        <w:t xml:space="preserve">a octubre </w:t>
      </w:r>
      <w:r w:rsidRPr="008F124E">
        <w:rPr>
          <w:rFonts w:ascii="Times New Roman" w:hAnsi="Times New Roman" w:cs="Times New Roman"/>
        </w:rPr>
        <w:t>de 2020</w:t>
      </w:r>
      <w:r>
        <w:rPr>
          <w:rFonts w:ascii="Times New Roman" w:hAnsi="Times New Roman" w:cs="Times New Roman"/>
        </w:rPr>
        <w:t>, en el presente año</w:t>
      </w:r>
      <w:r w:rsidRPr="008F124E">
        <w:rPr>
          <w:rFonts w:ascii="Times New Roman" w:hAnsi="Times New Roman" w:cs="Times New Roman"/>
        </w:rPr>
        <w:t xml:space="preserve"> se observa un crecimiento de </w:t>
      </w:r>
      <w:r>
        <w:rPr>
          <w:rFonts w:ascii="Times New Roman" w:hAnsi="Times New Roman" w:cs="Times New Roman"/>
        </w:rPr>
        <w:t>28.3%</w:t>
      </w:r>
      <w:r w:rsidRPr="008F124E">
        <w:rPr>
          <w:rFonts w:ascii="Times New Roman" w:hAnsi="Times New Roman" w:cs="Times New Roman"/>
        </w:rPr>
        <w:t xml:space="preserve"> (Q1</w:t>
      </w:r>
      <w:r>
        <w:rPr>
          <w:rFonts w:ascii="Times New Roman" w:hAnsi="Times New Roman" w:cs="Times New Roman"/>
        </w:rPr>
        <w:t xml:space="preserve">4,263.6 </w:t>
      </w:r>
      <w:r w:rsidRPr="008F124E">
        <w:rPr>
          <w:rFonts w:ascii="Times New Roman" w:hAnsi="Times New Roman" w:cs="Times New Roman"/>
        </w:rPr>
        <w:t>millones)</w:t>
      </w:r>
      <w:r>
        <w:rPr>
          <w:rFonts w:ascii="Times New Roman" w:hAnsi="Times New Roman" w:cs="Times New Roman"/>
        </w:rPr>
        <w:t>,</w:t>
      </w:r>
      <w:r w:rsidRPr="008F124E">
        <w:rPr>
          <w:rFonts w:ascii="Times New Roman" w:hAnsi="Times New Roman" w:cs="Times New Roman"/>
        </w:rPr>
        <w:t xml:space="preserve"> de los cuales</w:t>
      </w:r>
      <w:r>
        <w:rPr>
          <w:rFonts w:ascii="Times New Roman" w:hAnsi="Times New Roman" w:cs="Times New Roman"/>
        </w:rPr>
        <w:t>,</w:t>
      </w:r>
      <w:r w:rsidRPr="008F124E">
        <w:rPr>
          <w:rFonts w:ascii="Times New Roman" w:hAnsi="Times New Roman" w:cs="Times New Roman"/>
        </w:rPr>
        <w:t xml:space="preserve"> el </w:t>
      </w:r>
      <w:r>
        <w:rPr>
          <w:rFonts w:ascii="Times New Roman" w:hAnsi="Times New Roman" w:cs="Times New Roman"/>
        </w:rPr>
        <w:t>96</w:t>
      </w:r>
      <w:r w:rsidRPr="008F124E">
        <w:rPr>
          <w:rFonts w:ascii="Times New Roman" w:hAnsi="Times New Roman" w:cs="Times New Roman"/>
        </w:rPr>
        <w:t>% de esa brecha se explica por la recuperación de impuestos como el ISR, ISO</w:t>
      </w:r>
      <w:r>
        <w:rPr>
          <w:rFonts w:ascii="Times New Roman" w:hAnsi="Times New Roman" w:cs="Times New Roman"/>
        </w:rPr>
        <w:t xml:space="preserve">, </w:t>
      </w:r>
      <w:r w:rsidRPr="008F124E">
        <w:rPr>
          <w:rFonts w:ascii="Times New Roman" w:hAnsi="Times New Roman" w:cs="Times New Roman"/>
        </w:rPr>
        <w:t>IVA</w:t>
      </w:r>
      <w:r>
        <w:rPr>
          <w:rFonts w:ascii="Times New Roman" w:hAnsi="Times New Roman" w:cs="Times New Roman"/>
        </w:rPr>
        <w:t>, DAI, Derivados del Petróleo e IPRIMA.</w:t>
      </w:r>
    </w:p>
    <w:p w14:paraId="1DD720C5" w14:textId="77777777" w:rsidR="00186D6D" w:rsidRDefault="00186D6D" w:rsidP="00186D6D">
      <w:pPr>
        <w:spacing w:after="0" w:line="240" w:lineRule="auto"/>
        <w:jc w:val="both"/>
        <w:rPr>
          <w:rFonts w:ascii="Times New Roman" w:hAnsi="Times New Roman" w:cs="Times New Roman"/>
          <w:color w:val="FF0000"/>
        </w:rPr>
      </w:pPr>
    </w:p>
    <w:p w14:paraId="6110DC6A" w14:textId="77777777" w:rsidR="006174C1" w:rsidRDefault="00186D6D" w:rsidP="00186D6D">
      <w:pPr>
        <w:spacing w:after="0" w:line="240" w:lineRule="auto"/>
        <w:jc w:val="both"/>
        <w:rPr>
          <w:rFonts w:ascii="Times New Roman" w:hAnsi="Times New Roman" w:cs="Times New Roman"/>
        </w:rPr>
      </w:pPr>
      <w:r w:rsidRPr="008F124E">
        <w:rPr>
          <w:rFonts w:ascii="Times New Roman" w:hAnsi="Times New Roman" w:cs="Times New Roman"/>
        </w:rPr>
        <w:t xml:space="preserve">En la comparación interanual acumulada destaca </w:t>
      </w:r>
      <w:r>
        <w:rPr>
          <w:rFonts w:ascii="Times New Roman" w:hAnsi="Times New Roman" w:cs="Times New Roman"/>
        </w:rPr>
        <w:t xml:space="preserve">también </w:t>
      </w:r>
      <w:r w:rsidRPr="008F124E">
        <w:rPr>
          <w:rFonts w:ascii="Times New Roman" w:hAnsi="Times New Roman" w:cs="Times New Roman"/>
        </w:rPr>
        <w:t>la recuperación de la recaudación asociada al comercio internacional</w:t>
      </w:r>
      <w:r>
        <w:rPr>
          <w:rFonts w:ascii="Times New Roman" w:hAnsi="Times New Roman" w:cs="Times New Roman"/>
        </w:rPr>
        <w:t>,</w:t>
      </w:r>
      <w:r w:rsidRPr="008F124E">
        <w:rPr>
          <w:rFonts w:ascii="Times New Roman" w:hAnsi="Times New Roman" w:cs="Times New Roman"/>
        </w:rPr>
        <w:t xml:space="preserve"> la cual </w:t>
      </w:r>
      <w:r>
        <w:rPr>
          <w:rFonts w:ascii="Times New Roman" w:hAnsi="Times New Roman" w:cs="Times New Roman"/>
        </w:rPr>
        <w:t>c</w:t>
      </w:r>
      <w:r w:rsidRPr="008F124E">
        <w:rPr>
          <w:rFonts w:ascii="Times New Roman" w:hAnsi="Times New Roman" w:cs="Times New Roman"/>
        </w:rPr>
        <w:t xml:space="preserve">rece </w:t>
      </w:r>
      <w:r>
        <w:rPr>
          <w:rFonts w:ascii="Times New Roman" w:hAnsi="Times New Roman" w:cs="Times New Roman"/>
        </w:rPr>
        <w:t xml:space="preserve">al 31 de octubre </w:t>
      </w:r>
      <w:r w:rsidRPr="008F124E">
        <w:rPr>
          <w:rFonts w:ascii="Times New Roman" w:hAnsi="Times New Roman" w:cs="Times New Roman"/>
        </w:rPr>
        <w:t>en 4</w:t>
      </w:r>
      <w:r>
        <w:rPr>
          <w:rFonts w:ascii="Times New Roman" w:hAnsi="Times New Roman" w:cs="Times New Roman"/>
        </w:rPr>
        <w:t>5.2</w:t>
      </w:r>
      <w:r w:rsidRPr="008F124E">
        <w:rPr>
          <w:rFonts w:ascii="Times New Roman" w:hAnsi="Times New Roman" w:cs="Times New Roman"/>
        </w:rPr>
        <w:t>% (Q</w:t>
      </w:r>
      <w:r>
        <w:rPr>
          <w:rFonts w:ascii="Times New Roman" w:hAnsi="Times New Roman" w:cs="Times New Roman"/>
        </w:rPr>
        <w:t xml:space="preserve">5,913.4 </w:t>
      </w:r>
      <w:r w:rsidRPr="008F124E">
        <w:rPr>
          <w:rFonts w:ascii="Times New Roman" w:hAnsi="Times New Roman" w:cs="Times New Roman"/>
        </w:rPr>
        <w:t>millones) respecto a lo observado en 2020</w:t>
      </w:r>
      <w:r>
        <w:rPr>
          <w:rFonts w:ascii="Times New Roman" w:hAnsi="Times New Roman" w:cs="Times New Roman"/>
        </w:rPr>
        <w:t xml:space="preserve">, si la comparación se realiza contra el año 2019 el crecimiento es menor (29%).  </w:t>
      </w:r>
    </w:p>
    <w:p w14:paraId="5EE4A6D9" w14:textId="77777777" w:rsidR="006174C1" w:rsidRDefault="006174C1" w:rsidP="00186D6D">
      <w:pPr>
        <w:spacing w:after="0" w:line="240" w:lineRule="auto"/>
        <w:jc w:val="both"/>
        <w:rPr>
          <w:rFonts w:ascii="Times New Roman" w:hAnsi="Times New Roman" w:cs="Times New Roman"/>
        </w:rPr>
      </w:pPr>
    </w:p>
    <w:p w14:paraId="04E1B298" w14:textId="77777777" w:rsidR="00186D6D" w:rsidRDefault="00186D6D" w:rsidP="00186D6D">
      <w:pPr>
        <w:spacing w:after="0" w:line="240" w:lineRule="auto"/>
        <w:jc w:val="both"/>
        <w:rPr>
          <w:rFonts w:ascii="Times New Roman" w:hAnsi="Times New Roman" w:cs="Times New Roman"/>
        </w:rPr>
      </w:pPr>
      <w:r>
        <w:rPr>
          <w:rFonts w:ascii="Times New Roman" w:hAnsi="Times New Roman" w:cs="Times New Roman"/>
        </w:rPr>
        <w:t>E</w:t>
      </w:r>
      <w:r w:rsidRPr="008F124E">
        <w:rPr>
          <w:rFonts w:ascii="Times New Roman" w:hAnsi="Times New Roman" w:cs="Times New Roman"/>
        </w:rPr>
        <w:t xml:space="preserve">l IVA de importaciones supera lo observado </w:t>
      </w:r>
      <w:r>
        <w:rPr>
          <w:rFonts w:ascii="Times New Roman" w:hAnsi="Times New Roman" w:cs="Times New Roman"/>
        </w:rPr>
        <w:t xml:space="preserve">en 2020 </w:t>
      </w:r>
      <w:r w:rsidRPr="008F124E">
        <w:rPr>
          <w:rFonts w:ascii="Times New Roman" w:hAnsi="Times New Roman" w:cs="Times New Roman"/>
        </w:rPr>
        <w:t>en Q</w:t>
      </w:r>
      <w:r>
        <w:rPr>
          <w:rFonts w:ascii="Times New Roman" w:hAnsi="Times New Roman" w:cs="Times New Roman"/>
        </w:rPr>
        <w:t xml:space="preserve">5,024.3 millones </w:t>
      </w:r>
      <w:r w:rsidRPr="008F124E">
        <w:rPr>
          <w:rFonts w:ascii="Times New Roman" w:hAnsi="Times New Roman" w:cs="Times New Roman"/>
        </w:rPr>
        <w:t>y los derechos arancelarios en Q</w:t>
      </w:r>
      <w:r>
        <w:rPr>
          <w:rFonts w:ascii="Times New Roman" w:hAnsi="Times New Roman" w:cs="Times New Roman"/>
        </w:rPr>
        <w:t xml:space="preserve">889 </w:t>
      </w:r>
      <w:r w:rsidRPr="008F124E">
        <w:rPr>
          <w:rFonts w:ascii="Times New Roman" w:hAnsi="Times New Roman" w:cs="Times New Roman"/>
        </w:rPr>
        <w:t>millones</w:t>
      </w:r>
      <w:r>
        <w:rPr>
          <w:rFonts w:ascii="Times New Roman" w:hAnsi="Times New Roman" w:cs="Times New Roman"/>
        </w:rPr>
        <w:t>.</w:t>
      </w:r>
      <w:r w:rsidRPr="008F124E">
        <w:rPr>
          <w:rFonts w:ascii="Times New Roman" w:hAnsi="Times New Roman" w:cs="Times New Roman"/>
        </w:rPr>
        <w:t xml:space="preserve"> </w:t>
      </w:r>
      <w:r>
        <w:rPr>
          <w:rFonts w:ascii="Times New Roman" w:hAnsi="Times New Roman" w:cs="Times New Roman"/>
        </w:rPr>
        <w:t>E</w:t>
      </w:r>
      <w:r w:rsidRPr="008F124E">
        <w:rPr>
          <w:rFonts w:ascii="Times New Roman" w:hAnsi="Times New Roman" w:cs="Times New Roman"/>
        </w:rPr>
        <w:t>ste crecimiento en las cifras de comercio para el ejercicio 2021 se ve influenciado primero</w:t>
      </w:r>
      <w:r>
        <w:rPr>
          <w:rFonts w:ascii="Times New Roman" w:hAnsi="Times New Roman" w:cs="Times New Roman"/>
        </w:rPr>
        <w:t>,</w:t>
      </w:r>
      <w:r w:rsidRPr="008F124E">
        <w:rPr>
          <w:rFonts w:ascii="Times New Roman" w:hAnsi="Times New Roman" w:cs="Times New Roman"/>
        </w:rPr>
        <w:t xml:space="preserve"> por el efecto de la pandemia del virus SARS-COV2 en 2020, año en el cual se contrajeron las negociaciones comerciales producto de las medidas adoptadas por los gobiernos, segundo</w:t>
      </w:r>
      <w:r>
        <w:rPr>
          <w:rFonts w:ascii="Times New Roman" w:hAnsi="Times New Roman" w:cs="Times New Roman"/>
        </w:rPr>
        <w:t>,</w:t>
      </w:r>
      <w:r w:rsidRPr="008F124E">
        <w:rPr>
          <w:rFonts w:ascii="Times New Roman" w:hAnsi="Times New Roman" w:cs="Times New Roman"/>
        </w:rPr>
        <w:t xml:space="preserve"> por el esfuerzo y trabajo realizado por la </w:t>
      </w:r>
      <w:r>
        <w:rPr>
          <w:rFonts w:ascii="Times New Roman" w:hAnsi="Times New Roman" w:cs="Times New Roman"/>
        </w:rPr>
        <w:t>S</w:t>
      </w:r>
      <w:r w:rsidRPr="008F124E">
        <w:rPr>
          <w:rFonts w:ascii="Times New Roman" w:hAnsi="Times New Roman" w:cs="Times New Roman"/>
        </w:rPr>
        <w:t xml:space="preserve">uperintendencia de </w:t>
      </w:r>
      <w:r>
        <w:rPr>
          <w:rFonts w:ascii="Times New Roman" w:hAnsi="Times New Roman" w:cs="Times New Roman"/>
        </w:rPr>
        <w:t>A</w:t>
      </w:r>
      <w:r w:rsidRPr="008F124E">
        <w:rPr>
          <w:rFonts w:ascii="Times New Roman" w:hAnsi="Times New Roman" w:cs="Times New Roman"/>
        </w:rPr>
        <w:t xml:space="preserve">dministración </w:t>
      </w:r>
      <w:r>
        <w:rPr>
          <w:rFonts w:ascii="Times New Roman" w:hAnsi="Times New Roman" w:cs="Times New Roman"/>
        </w:rPr>
        <w:t>T</w:t>
      </w:r>
      <w:r w:rsidRPr="008F124E">
        <w:rPr>
          <w:rFonts w:ascii="Times New Roman" w:hAnsi="Times New Roman" w:cs="Times New Roman"/>
        </w:rPr>
        <w:t>ributaria en el ramo de aduanas</w:t>
      </w:r>
      <w:r>
        <w:rPr>
          <w:rFonts w:ascii="Times New Roman" w:hAnsi="Times New Roman" w:cs="Times New Roman"/>
        </w:rPr>
        <w:t>,</w:t>
      </w:r>
      <w:r w:rsidRPr="008F124E">
        <w:rPr>
          <w:rFonts w:ascii="Times New Roman" w:hAnsi="Times New Roman" w:cs="Times New Roman"/>
        </w:rPr>
        <w:t xml:space="preserve"> en </w:t>
      </w:r>
      <w:r>
        <w:rPr>
          <w:rFonts w:ascii="Times New Roman" w:hAnsi="Times New Roman" w:cs="Times New Roman"/>
        </w:rPr>
        <w:t>donde</w:t>
      </w:r>
      <w:r w:rsidRPr="008F124E">
        <w:rPr>
          <w:rFonts w:ascii="Times New Roman" w:hAnsi="Times New Roman" w:cs="Times New Roman"/>
        </w:rPr>
        <w:t xml:space="preserve"> </w:t>
      </w:r>
      <w:r>
        <w:rPr>
          <w:rFonts w:ascii="Times New Roman" w:hAnsi="Times New Roman" w:cs="Times New Roman"/>
        </w:rPr>
        <w:t>siguen</w:t>
      </w:r>
      <w:r w:rsidRPr="008F124E">
        <w:rPr>
          <w:rFonts w:ascii="Times New Roman" w:hAnsi="Times New Roman" w:cs="Times New Roman"/>
        </w:rPr>
        <w:t xml:space="preserve"> implementado acciones para combatir</w:t>
      </w:r>
      <w:r>
        <w:rPr>
          <w:rFonts w:ascii="Times New Roman" w:hAnsi="Times New Roman" w:cs="Times New Roman"/>
        </w:rPr>
        <w:t xml:space="preserve"> </w:t>
      </w:r>
      <w:r w:rsidRPr="008F124E">
        <w:rPr>
          <w:rFonts w:ascii="Times New Roman" w:hAnsi="Times New Roman" w:cs="Times New Roman"/>
        </w:rPr>
        <w:t>la defraudación y el contrabando</w:t>
      </w:r>
      <w:r>
        <w:rPr>
          <w:rFonts w:ascii="Times New Roman" w:hAnsi="Times New Roman" w:cs="Times New Roman"/>
        </w:rPr>
        <w:t xml:space="preserve"> </w:t>
      </w:r>
      <w:r w:rsidRPr="008F124E">
        <w:rPr>
          <w:rFonts w:ascii="Times New Roman" w:hAnsi="Times New Roman" w:cs="Times New Roman"/>
        </w:rPr>
        <w:t xml:space="preserve">tales como, mayor eficiencia </w:t>
      </w:r>
      <w:r>
        <w:rPr>
          <w:rFonts w:ascii="Times New Roman" w:hAnsi="Times New Roman" w:cs="Times New Roman"/>
        </w:rPr>
        <w:t xml:space="preserve">del control aduanero, seguimiento del plan de combate al contrabando aduanero mediante la puesta en marcha de puestos de control interinstitucional (a la fecha van 6) a la simplificación, automatización y transparencia en el ingreso y salida de la carga vía aérea, ajustes realizados a través de rectificaciones y a las mejoras en el tiempo de atención de solicitudes entre otras. </w:t>
      </w:r>
    </w:p>
    <w:p w14:paraId="618D29F0" w14:textId="77777777" w:rsidR="00186D6D" w:rsidRPr="00AB38CA" w:rsidRDefault="00186D6D" w:rsidP="00186D6D">
      <w:pPr>
        <w:spacing w:after="0" w:line="240" w:lineRule="auto"/>
        <w:jc w:val="both"/>
        <w:rPr>
          <w:rFonts w:ascii="Times New Roman" w:hAnsi="Times New Roman" w:cs="Times New Roman"/>
          <w:sz w:val="14"/>
        </w:rPr>
      </w:pPr>
    </w:p>
    <w:p w14:paraId="7F8EC948" w14:textId="77777777" w:rsidR="00186D6D" w:rsidRPr="00AB38CA" w:rsidRDefault="00186D6D" w:rsidP="00186D6D">
      <w:pPr>
        <w:spacing w:after="0" w:line="240" w:lineRule="auto"/>
        <w:jc w:val="both"/>
        <w:rPr>
          <w:rFonts w:ascii="Times New Roman" w:hAnsi="Times New Roman" w:cs="Times New Roman"/>
          <w:b/>
        </w:rPr>
      </w:pPr>
      <w:r w:rsidRPr="00AB38CA">
        <w:rPr>
          <w:rFonts w:ascii="Times New Roman" w:hAnsi="Times New Roman" w:cs="Times New Roman"/>
          <w:b/>
        </w:rPr>
        <w:t xml:space="preserve">El Impuesto </w:t>
      </w:r>
      <w:r>
        <w:rPr>
          <w:rFonts w:ascii="Times New Roman" w:hAnsi="Times New Roman" w:cs="Times New Roman"/>
          <w:b/>
        </w:rPr>
        <w:t>S</w:t>
      </w:r>
      <w:r w:rsidRPr="00AB38CA">
        <w:rPr>
          <w:rFonts w:ascii="Times New Roman" w:hAnsi="Times New Roman" w:cs="Times New Roman"/>
          <w:b/>
        </w:rPr>
        <w:t xml:space="preserve">obre la </w:t>
      </w:r>
      <w:r>
        <w:rPr>
          <w:rFonts w:ascii="Times New Roman" w:hAnsi="Times New Roman" w:cs="Times New Roman"/>
          <w:b/>
        </w:rPr>
        <w:t>R</w:t>
      </w:r>
      <w:r w:rsidRPr="00AB38CA">
        <w:rPr>
          <w:rFonts w:ascii="Times New Roman" w:hAnsi="Times New Roman" w:cs="Times New Roman"/>
          <w:b/>
        </w:rPr>
        <w:t>enta y el ISO</w:t>
      </w:r>
    </w:p>
    <w:p w14:paraId="23CCBAFB" w14:textId="77777777" w:rsidR="00186D6D" w:rsidRPr="00AB38CA" w:rsidRDefault="00186D6D" w:rsidP="00186D6D">
      <w:pPr>
        <w:spacing w:after="0" w:line="240" w:lineRule="auto"/>
        <w:jc w:val="both"/>
        <w:rPr>
          <w:rFonts w:ascii="Times New Roman" w:hAnsi="Times New Roman" w:cs="Times New Roman"/>
          <w:b/>
          <w:sz w:val="14"/>
        </w:rPr>
      </w:pPr>
    </w:p>
    <w:p w14:paraId="002DF159" w14:textId="77777777" w:rsidR="00186D6D" w:rsidRDefault="00186D6D" w:rsidP="00186D6D">
      <w:pPr>
        <w:spacing w:after="0" w:line="240" w:lineRule="auto"/>
        <w:jc w:val="both"/>
        <w:rPr>
          <w:rFonts w:ascii="Times New Roman" w:hAnsi="Times New Roman" w:cs="Times New Roman"/>
        </w:rPr>
      </w:pPr>
      <w:r w:rsidRPr="00AB38CA">
        <w:rPr>
          <w:rFonts w:ascii="Times New Roman" w:hAnsi="Times New Roman" w:cs="Times New Roman"/>
        </w:rPr>
        <w:t xml:space="preserve">En </w:t>
      </w:r>
      <w:r>
        <w:rPr>
          <w:rFonts w:ascii="Times New Roman" w:hAnsi="Times New Roman" w:cs="Times New Roman"/>
        </w:rPr>
        <w:t>octubre</w:t>
      </w:r>
      <w:r w:rsidRPr="00AB38CA">
        <w:rPr>
          <w:rFonts w:ascii="Times New Roman" w:hAnsi="Times New Roman" w:cs="Times New Roman"/>
        </w:rPr>
        <w:t xml:space="preserve"> estos impuestos </w:t>
      </w:r>
      <w:r>
        <w:rPr>
          <w:rFonts w:ascii="Times New Roman" w:hAnsi="Times New Roman" w:cs="Times New Roman"/>
        </w:rPr>
        <w:t xml:space="preserve">superaron la meta de presupuesto en Q899.0 millones, destaca en este mes el vencimiento del pago trimestral del </w:t>
      </w:r>
      <w:r>
        <w:rPr>
          <w:rFonts w:ascii="Times New Roman" w:hAnsi="Times New Roman" w:cs="Times New Roman"/>
        </w:rPr>
        <w:lastRenderedPageBreak/>
        <w:t xml:space="preserve">impuesto sobre la renta en el régimen de </w:t>
      </w:r>
      <w:r w:rsidRPr="008F1BFA">
        <w:rPr>
          <w:rFonts w:ascii="Times New Roman" w:hAnsi="Times New Roman" w:cs="Times New Roman"/>
        </w:rPr>
        <w:t>declaración y pago trimestral régimen sobre las utilidades de actividades lucrativas</w:t>
      </w:r>
      <w:r>
        <w:rPr>
          <w:rFonts w:ascii="Times New Roman" w:hAnsi="Times New Roman" w:cs="Times New Roman"/>
        </w:rPr>
        <w:t xml:space="preserve"> y el pago de ISO correspondiente </w:t>
      </w:r>
      <w:r w:rsidRPr="00516F1E">
        <w:rPr>
          <w:rFonts w:ascii="Times New Roman" w:hAnsi="Times New Roman" w:cs="Times New Roman"/>
        </w:rPr>
        <w:t xml:space="preserve">del 1 de </w:t>
      </w:r>
      <w:r>
        <w:rPr>
          <w:rFonts w:ascii="Times New Roman" w:hAnsi="Times New Roman" w:cs="Times New Roman"/>
        </w:rPr>
        <w:t>j</w:t>
      </w:r>
      <w:r w:rsidRPr="00516F1E">
        <w:rPr>
          <w:rFonts w:ascii="Times New Roman" w:hAnsi="Times New Roman" w:cs="Times New Roman"/>
        </w:rPr>
        <w:t xml:space="preserve">ulio al 30 de </w:t>
      </w:r>
      <w:r>
        <w:rPr>
          <w:rFonts w:ascii="Times New Roman" w:hAnsi="Times New Roman" w:cs="Times New Roman"/>
        </w:rPr>
        <w:t>s</w:t>
      </w:r>
      <w:r w:rsidRPr="00516F1E">
        <w:rPr>
          <w:rFonts w:ascii="Times New Roman" w:hAnsi="Times New Roman" w:cs="Times New Roman"/>
        </w:rPr>
        <w:t>eptiembre</w:t>
      </w:r>
      <w:r>
        <w:rPr>
          <w:rFonts w:ascii="Times New Roman" w:hAnsi="Times New Roman" w:cs="Times New Roman"/>
        </w:rPr>
        <w:t xml:space="preserve">.  Factores que permiten el resultado positivo </w:t>
      </w:r>
      <w:r w:rsidRPr="00AB38CA">
        <w:rPr>
          <w:rFonts w:ascii="Times New Roman" w:hAnsi="Times New Roman" w:cs="Times New Roman"/>
        </w:rPr>
        <w:t>pueden ser recaudación extraordinaria y mejora en la percepción de riesgo</w:t>
      </w:r>
      <w:r>
        <w:rPr>
          <w:rFonts w:ascii="Times New Roman" w:hAnsi="Times New Roman" w:cs="Times New Roman"/>
        </w:rPr>
        <w:t>, vale indicar que solo el impuesto sobre la renta superó la meta establecida en presupuesto en Q914.7 millones, el ISO dejo de percibir Q15.7 millones.</w:t>
      </w:r>
    </w:p>
    <w:p w14:paraId="7D90A5B7" w14:textId="77777777" w:rsidR="00186D6D" w:rsidRPr="00AB38CA" w:rsidRDefault="00186D6D" w:rsidP="00186D6D">
      <w:pPr>
        <w:spacing w:after="0" w:line="240" w:lineRule="auto"/>
        <w:jc w:val="both"/>
        <w:rPr>
          <w:rFonts w:ascii="Times New Roman" w:hAnsi="Times New Roman" w:cs="Times New Roman"/>
        </w:rPr>
      </w:pPr>
    </w:p>
    <w:p w14:paraId="31325B23" w14:textId="77777777" w:rsidR="00186D6D" w:rsidRDefault="00186D6D" w:rsidP="00186D6D">
      <w:pPr>
        <w:spacing w:after="0" w:line="240" w:lineRule="auto"/>
        <w:jc w:val="both"/>
        <w:rPr>
          <w:rFonts w:ascii="Times New Roman" w:hAnsi="Times New Roman" w:cs="Times New Roman"/>
        </w:rPr>
      </w:pPr>
      <w:r>
        <w:rPr>
          <w:rFonts w:ascii="Times New Roman" w:hAnsi="Times New Roman" w:cs="Times New Roman"/>
          <w:noProof/>
          <w:lang w:eastAsia="es-GT"/>
        </w:rPr>
        <mc:AlternateContent>
          <mc:Choice Requires="wps">
            <w:drawing>
              <wp:anchor distT="0" distB="0" distL="114300" distR="114300" simplePos="0" relativeHeight="251919360" behindDoc="0" locked="0" layoutInCell="1" allowOverlap="1" wp14:anchorId="48A3C031" wp14:editId="4D1101AD">
                <wp:simplePos x="0" y="0"/>
                <wp:positionH relativeFrom="column">
                  <wp:posOffset>-3810</wp:posOffset>
                </wp:positionH>
                <wp:positionV relativeFrom="paragraph">
                  <wp:posOffset>768350</wp:posOffset>
                </wp:positionV>
                <wp:extent cx="2596515" cy="2038350"/>
                <wp:effectExtent l="0" t="0" r="13335" b="19050"/>
                <wp:wrapSquare wrapText="bothSides"/>
                <wp:docPr id="1" name="Rectángulo: esquinas redondeadas 1"/>
                <wp:cNvGraphicFramePr/>
                <a:graphic xmlns:a="http://schemas.openxmlformats.org/drawingml/2006/main">
                  <a:graphicData uri="http://schemas.microsoft.com/office/word/2010/wordprocessingShape">
                    <wps:wsp>
                      <wps:cNvSpPr/>
                      <wps:spPr>
                        <a:xfrm>
                          <a:off x="0" y="0"/>
                          <a:ext cx="2596515" cy="2038350"/>
                        </a:xfrm>
                        <a:prstGeom prst="roundRect">
                          <a:avLst>
                            <a:gd name="adj" fmla="val 410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B5A70B" w14:textId="77777777" w:rsidR="00186D6D" w:rsidRPr="006174C1" w:rsidRDefault="00186D6D" w:rsidP="00186D6D">
                            <w:pPr>
                              <w:spacing w:after="0" w:line="240" w:lineRule="auto"/>
                              <w:jc w:val="both"/>
                              <w:rPr>
                                <w:rFonts w:ascii="Times New Roman" w:hAnsi="Times New Roman" w:cs="Times New Roman"/>
                                <w:color w:val="000000" w:themeColor="text1"/>
                                <w:szCs w:val="19"/>
                              </w:rPr>
                            </w:pPr>
                            <w:r w:rsidRPr="006174C1">
                              <w:rPr>
                                <w:rFonts w:ascii="Times New Roman" w:hAnsi="Times New Roman" w:cs="Times New Roman"/>
                                <w:color w:val="000000" w:themeColor="text1"/>
                                <w:szCs w:val="19"/>
                              </w:rPr>
                              <w:t>En el ISR vale indicar que al mes de septiembre se observó un crecimiento del 54.7% respecto a 2020 en el régimen de renta imponible, un 22.6% en el régimen de retenciones a no residentes, 10.2% régimen de relación de dependencia y un 21.3% en el de productos financieros, para el mes de octubre aún no se cuenta con la apertura de dicha información, factores adicionales que permiten obtener estos resultados son el cumplimiento voluntario del ISR en los regímenes sobre ingresos y el de utilidades.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BAC80" id="Rectángulo: esquinas redondeadas 1" o:spid="_x0000_s1028" style="position:absolute;left:0;text-align:left;margin-left:-.3pt;margin-top:60.5pt;width:204.45pt;height:16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" fillcolor="#dbe5f1 [660]" strokecolor="#243f60 [1604]" strokeweight="2pt">
                <v:textbox>
                  <w:txbxContent>
                    <w:p w:rsidR="00186D6D" w:rsidRPr="006174C1" w:rsidRDefault="00186D6D" w:rsidP="00186D6D">
                      <w:pPr>
                        <w:spacing w:after="0" w:line="240" w:lineRule="auto"/>
                        <w:jc w:val="both"/>
                        <w:rPr>
                          <w:rFonts w:ascii="Times New Roman" w:hAnsi="Times New Roman" w:cs="Times New Roman"/>
                          <w:color w:val="000000" w:themeColor="text1"/>
                          <w:szCs w:val="19"/>
                        </w:rPr>
                      </w:pPr>
                      <w:r w:rsidRPr="006174C1">
                        <w:rPr>
                          <w:rFonts w:ascii="Times New Roman" w:hAnsi="Times New Roman" w:cs="Times New Roman"/>
                          <w:color w:val="000000" w:themeColor="text1"/>
                          <w:szCs w:val="19"/>
                        </w:rPr>
                        <w:t>En el ISR vale indicar que al mes de septiembre se observó un crecimiento del 54.7% respecto a 2020 en el régimen de renta imponible, un 22.6% en el régimen de retenciones a no residentes, 10.2% régimen de relación de dependencia y un 21.3% en el de productos financieros, para el mes de octubre aún no se cuenta con la apertura de dicha información, factores adicionales que permiten obtener estos resultados son el cumplimiento voluntario del ISR en los regímenes sobre ingresos y el de utilidades.</w:t>
                      </w:r>
                    </w:p>
                  </w:txbxContent>
                </v:textbox>
                <w10:wrap type="square"/>
              </v:roundrect>
            </w:pict>
          </mc:Fallback>
        </mc:AlternateContent>
      </w:r>
      <w:r w:rsidRPr="00AB38CA">
        <w:rPr>
          <w:rFonts w:ascii="Times New Roman" w:hAnsi="Times New Roman" w:cs="Times New Roman"/>
        </w:rPr>
        <w:t>De manera acumula estos dos impuestos generan una brecha positiva de Q</w:t>
      </w:r>
      <w:r>
        <w:rPr>
          <w:rFonts w:ascii="Times New Roman" w:hAnsi="Times New Roman" w:cs="Times New Roman"/>
        </w:rPr>
        <w:t xml:space="preserve">4,909.7 </w:t>
      </w:r>
      <w:r w:rsidRPr="00AB38CA">
        <w:rPr>
          <w:rFonts w:ascii="Times New Roman" w:hAnsi="Times New Roman" w:cs="Times New Roman"/>
        </w:rPr>
        <w:t>millones respecto a la meta de presupuesto y con relación al año 2020 Q</w:t>
      </w:r>
      <w:r>
        <w:rPr>
          <w:rFonts w:ascii="Times New Roman" w:hAnsi="Times New Roman" w:cs="Times New Roman"/>
        </w:rPr>
        <w:t xml:space="preserve">4,817.1 </w:t>
      </w:r>
      <w:r w:rsidRPr="00AB38CA">
        <w:rPr>
          <w:rFonts w:ascii="Times New Roman" w:hAnsi="Times New Roman" w:cs="Times New Roman"/>
        </w:rPr>
        <w:t>millones</w:t>
      </w:r>
      <w:r>
        <w:rPr>
          <w:rFonts w:ascii="Times New Roman" w:hAnsi="Times New Roman" w:cs="Times New Roman"/>
        </w:rPr>
        <w:t>.</w:t>
      </w:r>
    </w:p>
    <w:p w14:paraId="73DF271A" w14:textId="77777777" w:rsidR="00186D6D" w:rsidRDefault="00186D6D" w:rsidP="00186D6D">
      <w:pPr>
        <w:spacing w:after="0" w:line="240" w:lineRule="auto"/>
        <w:jc w:val="both"/>
        <w:rPr>
          <w:rFonts w:ascii="Times New Roman" w:hAnsi="Times New Roman" w:cs="Times New Roman"/>
          <w:b/>
        </w:rPr>
      </w:pPr>
    </w:p>
    <w:p w14:paraId="52EC0508" w14:textId="77777777" w:rsidR="00186D6D" w:rsidRPr="00AB38CA" w:rsidRDefault="00186D6D" w:rsidP="00186D6D">
      <w:pPr>
        <w:spacing w:after="0" w:line="240" w:lineRule="auto"/>
        <w:jc w:val="both"/>
        <w:rPr>
          <w:rFonts w:ascii="Times New Roman" w:hAnsi="Times New Roman" w:cs="Times New Roman"/>
          <w:b/>
        </w:rPr>
      </w:pPr>
      <w:r w:rsidRPr="00AB38CA">
        <w:rPr>
          <w:rFonts w:ascii="Times New Roman" w:hAnsi="Times New Roman" w:cs="Times New Roman"/>
          <w:b/>
        </w:rPr>
        <w:t>El Impuesto al Valor Agregado</w:t>
      </w:r>
    </w:p>
    <w:p w14:paraId="4389F606" w14:textId="77777777" w:rsidR="00186D6D" w:rsidRPr="00AB38CA" w:rsidRDefault="00186D6D" w:rsidP="00186D6D">
      <w:pPr>
        <w:spacing w:after="0" w:line="240" w:lineRule="auto"/>
        <w:jc w:val="both"/>
        <w:rPr>
          <w:rFonts w:ascii="Times New Roman" w:hAnsi="Times New Roman" w:cs="Times New Roman"/>
          <w:sz w:val="18"/>
        </w:rPr>
      </w:pPr>
    </w:p>
    <w:p w14:paraId="1EB01029" w14:textId="77777777" w:rsidR="00186D6D" w:rsidRPr="00AB38CA" w:rsidRDefault="00186D6D" w:rsidP="00186D6D">
      <w:pPr>
        <w:spacing w:after="0" w:line="240" w:lineRule="auto"/>
        <w:jc w:val="both"/>
        <w:rPr>
          <w:rFonts w:ascii="Times New Roman" w:hAnsi="Times New Roman" w:cs="Times New Roman"/>
        </w:rPr>
      </w:pPr>
      <w:r w:rsidRPr="00AB38CA">
        <w:rPr>
          <w:rFonts w:ascii="Times New Roman" w:hAnsi="Times New Roman" w:cs="Times New Roman"/>
        </w:rPr>
        <w:t xml:space="preserve">Este impuesto </w:t>
      </w:r>
      <w:r>
        <w:rPr>
          <w:rFonts w:ascii="Times New Roman" w:hAnsi="Times New Roman" w:cs="Times New Roman"/>
        </w:rPr>
        <w:t>contrario a lo que se venía observado en meses anteriores no logró alcanzar la meta de presupuesto mensual dejo de percibir en octubre Q39.5 millones, este resultado puede estar influenciado por una ligera baja en la disponibilidad de recursos esto por una ligera disminución en las remesas familiares las cuales según cifras preliminares al 28 de octubre crecen en 35.7% monto menor al observado en los meses anteriores.</w:t>
      </w:r>
    </w:p>
    <w:p w14:paraId="6368AF69" w14:textId="77777777" w:rsidR="00186D6D" w:rsidRPr="00AB38CA" w:rsidRDefault="00186D6D" w:rsidP="00186D6D">
      <w:pPr>
        <w:spacing w:after="0" w:line="240" w:lineRule="auto"/>
        <w:jc w:val="both"/>
        <w:rPr>
          <w:rFonts w:ascii="Times New Roman" w:hAnsi="Times New Roman" w:cs="Times New Roman"/>
        </w:rPr>
      </w:pPr>
    </w:p>
    <w:p w14:paraId="421E4A07" w14:textId="77777777" w:rsidR="00186D6D" w:rsidRDefault="00186D6D" w:rsidP="00186D6D">
      <w:pPr>
        <w:spacing w:after="0" w:line="240" w:lineRule="auto"/>
        <w:jc w:val="both"/>
        <w:rPr>
          <w:rFonts w:ascii="Times New Roman" w:hAnsi="Times New Roman" w:cs="Times New Roman"/>
        </w:rPr>
      </w:pPr>
      <w:r w:rsidRPr="00AB38CA">
        <w:rPr>
          <w:rFonts w:ascii="Times New Roman" w:hAnsi="Times New Roman" w:cs="Times New Roman"/>
        </w:rPr>
        <w:t xml:space="preserve">El IVA total </w:t>
      </w:r>
      <w:r>
        <w:rPr>
          <w:rFonts w:ascii="Times New Roman" w:hAnsi="Times New Roman" w:cs="Times New Roman"/>
        </w:rPr>
        <w:t xml:space="preserve">de octubre </w:t>
      </w:r>
      <w:r w:rsidRPr="00AB38CA">
        <w:rPr>
          <w:rFonts w:ascii="Times New Roman" w:hAnsi="Times New Roman" w:cs="Times New Roman"/>
        </w:rPr>
        <w:t>genera una brecha mensual de Q</w:t>
      </w:r>
      <w:r>
        <w:rPr>
          <w:rFonts w:ascii="Times New Roman" w:hAnsi="Times New Roman" w:cs="Times New Roman"/>
        </w:rPr>
        <w:t xml:space="preserve">521.9 </w:t>
      </w:r>
      <w:r w:rsidRPr="00AB38CA">
        <w:rPr>
          <w:rFonts w:ascii="Times New Roman" w:hAnsi="Times New Roman" w:cs="Times New Roman"/>
        </w:rPr>
        <w:t xml:space="preserve">millones respecto a la meta </w:t>
      </w:r>
      <w:r w:rsidRPr="00AB38CA">
        <w:rPr>
          <w:rFonts w:ascii="Times New Roman" w:hAnsi="Times New Roman" w:cs="Times New Roman"/>
        </w:rPr>
        <w:t xml:space="preserve">de presupuesto, el impuesto al valor agregado asociado al consumo interno </w:t>
      </w:r>
      <w:r>
        <w:rPr>
          <w:rFonts w:ascii="Times New Roman" w:hAnsi="Times New Roman" w:cs="Times New Roman"/>
        </w:rPr>
        <w:t xml:space="preserve">no </w:t>
      </w:r>
      <w:r w:rsidRPr="00AB38CA">
        <w:rPr>
          <w:rFonts w:ascii="Times New Roman" w:hAnsi="Times New Roman" w:cs="Times New Roman"/>
        </w:rPr>
        <w:t xml:space="preserve">superó la meta de presupuesto </w:t>
      </w:r>
      <w:r>
        <w:rPr>
          <w:rFonts w:ascii="Times New Roman" w:hAnsi="Times New Roman" w:cs="Times New Roman"/>
        </w:rPr>
        <w:t xml:space="preserve">dejó de percibir Q39.5 </w:t>
      </w:r>
      <w:r w:rsidRPr="00AB38CA">
        <w:rPr>
          <w:rFonts w:ascii="Times New Roman" w:hAnsi="Times New Roman" w:cs="Times New Roman"/>
        </w:rPr>
        <w:t>millones</w:t>
      </w:r>
      <w:r>
        <w:rPr>
          <w:rFonts w:ascii="Times New Roman" w:hAnsi="Times New Roman" w:cs="Times New Roman"/>
        </w:rPr>
        <w:t>, y el asociado al comercio exterior superó la meta de presupuesto en Q561.4 millones.</w:t>
      </w:r>
    </w:p>
    <w:p w14:paraId="1F0AC430" w14:textId="77777777" w:rsidR="00186D6D" w:rsidRDefault="00186D6D" w:rsidP="00186D6D">
      <w:pPr>
        <w:spacing w:after="0" w:line="240" w:lineRule="auto"/>
        <w:jc w:val="both"/>
        <w:rPr>
          <w:rFonts w:ascii="Times New Roman" w:hAnsi="Times New Roman" w:cs="Times New Roman"/>
        </w:rPr>
      </w:pPr>
    </w:p>
    <w:p w14:paraId="7B153083" w14:textId="77777777" w:rsidR="00186D6D" w:rsidRDefault="00186D6D" w:rsidP="00186D6D">
      <w:pPr>
        <w:spacing w:after="0" w:line="240" w:lineRule="auto"/>
        <w:jc w:val="both"/>
        <w:rPr>
          <w:rFonts w:ascii="Times New Roman" w:hAnsi="Times New Roman" w:cs="Times New Roman"/>
        </w:rPr>
      </w:pPr>
      <w:r>
        <w:rPr>
          <w:rFonts w:ascii="Times New Roman" w:hAnsi="Times New Roman" w:cs="Times New Roman"/>
        </w:rPr>
        <w:t>Vale indicar que el impuesto asociado al consumo interno ha venido mostrando una ralentización en su dinámica en los últimos dos meses.</w:t>
      </w:r>
    </w:p>
    <w:p w14:paraId="76F311F0" w14:textId="77777777" w:rsidR="00186D6D" w:rsidRDefault="00186D6D" w:rsidP="00186D6D">
      <w:pPr>
        <w:spacing w:after="0" w:line="240" w:lineRule="auto"/>
        <w:jc w:val="both"/>
        <w:rPr>
          <w:rFonts w:ascii="Times New Roman" w:hAnsi="Times New Roman" w:cs="Times New Roman"/>
        </w:rPr>
      </w:pPr>
    </w:p>
    <w:p w14:paraId="66042A3B" w14:textId="77777777" w:rsidR="00186D6D" w:rsidRPr="007C2079" w:rsidRDefault="00186D6D" w:rsidP="00186D6D">
      <w:pPr>
        <w:spacing w:after="0" w:line="240"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t>Brecha</w:t>
      </w:r>
      <w:r w:rsidRPr="007C2079">
        <w:rPr>
          <w:rFonts w:ascii="Times New Roman" w:hAnsi="Times New Roman" w:cs="Times New Roman"/>
          <w:b/>
          <w:bCs/>
          <w:color w:val="000000" w:themeColor="text1"/>
        </w:rPr>
        <w:t xml:space="preserve"> del impuesto al valor agregado doméstico respecto a presupuesto</w:t>
      </w:r>
    </w:p>
    <w:p w14:paraId="48D517FD" w14:textId="77777777" w:rsidR="00186D6D" w:rsidRPr="00E30236" w:rsidRDefault="00186D6D" w:rsidP="00186D6D">
      <w:pPr>
        <w:spacing w:after="0" w:line="240" w:lineRule="auto"/>
        <w:jc w:val="center"/>
        <w:rPr>
          <w:rFonts w:ascii="Times New Roman" w:hAnsi="Times New Roman" w:cs="Times New Roman"/>
          <w:color w:val="000000" w:themeColor="text1"/>
          <w:sz w:val="20"/>
        </w:rPr>
      </w:pPr>
      <w:r w:rsidRPr="00E30236">
        <w:rPr>
          <w:rFonts w:ascii="Times New Roman" w:hAnsi="Times New Roman" w:cs="Times New Roman"/>
          <w:color w:val="000000" w:themeColor="text1"/>
          <w:sz w:val="20"/>
        </w:rPr>
        <w:t>Millones de quetzales</w:t>
      </w:r>
    </w:p>
    <w:p w14:paraId="320616BC" w14:textId="77777777" w:rsidR="00186D6D" w:rsidRPr="00AB38CA" w:rsidRDefault="00186D6D" w:rsidP="00186D6D">
      <w:pPr>
        <w:spacing w:after="0" w:line="240" w:lineRule="auto"/>
        <w:jc w:val="both"/>
        <w:rPr>
          <w:rFonts w:ascii="Times New Roman" w:hAnsi="Times New Roman" w:cs="Times New Roman"/>
        </w:rPr>
      </w:pPr>
      <w:r>
        <w:rPr>
          <w:rFonts w:ascii="Times New Roman" w:hAnsi="Times New Roman" w:cs="Times New Roman"/>
          <w:noProof/>
          <w:lang w:eastAsia="es-GT"/>
        </w:rPr>
        <w:drawing>
          <wp:inline distT="0" distB="0" distL="0" distR="0" wp14:anchorId="207A1694" wp14:editId="06C0DF3F">
            <wp:extent cx="2771775" cy="2409825"/>
            <wp:effectExtent l="0" t="0" r="0" b="0"/>
            <wp:docPr id="231" name="Gráfico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hAnsi="Times New Roman" w:cs="Times New Roman"/>
        </w:rPr>
        <w:t xml:space="preserve"> </w:t>
      </w:r>
    </w:p>
    <w:p w14:paraId="2EA2EB43" w14:textId="77777777" w:rsidR="00186D6D" w:rsidRDefault="00186D6D" w:rsidP="00186D6D">
      <w:pPr>
        <w:spacing w:after="0" w:line="240" w:lineRule="auto"/>
        <w:jc w:val="both"/>
        <w:rPr>
          <w:rFonts w:ascii="Times New Roman" w:hAnsi="Times New Roman" w:cs="Times New Roman"/>
          <w:sz w:val="16"/>
        </w:rPr>
      </w:pPr>
      <w:r w:rsidRPr="00EA145C">
        <w:rPr>
          <w:rFonts w:ascii="Times New Roman" w:hAnsi="Times New Roman" w:cs="Times New Roman"/>
          <w:sz w:val="16"/>
        </w:rPr>
        <w:t>Fuente: Ministerio de Finanzas Públicas.</w:t>
      </w:r>
    </w:p>
    <w:p w14:paraId="3B282F53" w14:textId="77777777" w:rsidR="00186D6D" w:rsidRDefault="00186D6D" w:rsidP="00186D6D">
      <w:pPr>
        <w:spacing w:after="0" w:line="240" w:lineRule="auto"/>
        <w:jc w:val="both"/>
        <w:rPr>
          <w:rFonts w:ascii="Times New Roman" w:hAnsi="Times New Roman" w:cs="Times New Roman"/>
        </w:rPr>
      </w:pPr>
    </w:p>
    <w:p w14:paraId="0FAC4FA8" w14:textId="77777777" w:rsidR="00186D6D" w:rsidRPr="00EA145C" w:rsidRDefault="00186D6D" w:rsidP="00186D6D">
      <w:pPr>
        <w:spacing w:after="0" w:line="240" w:lineRule="auto"/>
        <w:jc w:val="both"/>
        <w:rPr>
          <w:rFonts w:ascii="Times New Roman" w:hAnsi="Times New Roman" w:cs="Times New Roman"/>
        </w:rPr>
      </w:pPr>
      <w:r w:rsidRPr="00AB38CA">
        <w:rPr>
          <w:rFonts w:ascii="Times New Roman" w:hAnsi="Times New Roman" w:cs="Times New Roman"/>
        </w:rPr>
        <w:t>De manera acumulada</w:t>
      </w:r>
      <w:r>
        <w:rPr>
          <w:rFonts w:ascii="Times New Roman" w:hAnsi="Times New Roman" w:cs="Times New Roman"/>
        </w:rPr>
        <w:t>,</w:t>
      </w:r>
      <w:r w:rsidRPr="00AB38CA">
        <w:rPr>
          <w:rFonts w:ascii="Times New Roman" w:hAnsi="Times New Roman" w:cs="Times New Roman"/>
        </w:rPr>
        <w:t xml:space="preserve"> el IVA total genera brecha positiva de Q</w:t>
      </w:r>
      <w:r>
        <w:rPr>
          <w:rFonts w:ascii="Times New Roman" w:hAnsi="Times New Roman" w:cs="Times New Roman"/>
        </w:rPr>
        <w:t xml:space="preserve">4,360.1 </w:t>
      </w:r>
      <w:r w:rsidRPr="00AB38CA">
        <w:rPr>
          <w:rFonts w:ascii="Times New Roman" w:hAnsi="Times New Roman" w:cs="Times New Roman"/>
        </w:rPr>
        <w:t>millones respecto a la meta de presupuesto y de Q</w:t>
      </w:r>
      <w:r>
        <w:rPr>
          <w:rFonts w:ascii="Times New Roman" w:hAnsi="Times New Roman" w:cs="Times New Roman"/>
        </w:rPr>
        <w:t xml:space="preserve">7,009.5 </w:t>
      </w:r>
      <w:r w:rsidRPr="00AB38CA">
        <w:rPr>
          <w:rFonts w:ascii="Times New Roman" w:hAnsi="Times New Roman" w:cs="Times New Roman"/>
        </w:rPr>
        <w:t>millones respecto a 2020.</w:t>
      </w:r>
    </w:p>
    <w:p w14:paraId="6078A4F7" w14:textId="77777777" w:rsidR="00186D6D" w:rsidRPr="00AB38CA" w:rsidRDefault="00186D6D" w:rsidP="00186D6D">
      <w:pPr>
        <w:spacing w:after="0" w:line="240" w:lineRule="auto"/>
        <w:jc w:val="both"/>
        <w:rPr>
          <w:rFonts w:ascii="Times New Roman" w:hAnsi="Times New Roman" w:cs="Times New Roman"/>
        </w:rPr>
      </w:pPr>
      <w:r>
        <w:rPr>
          <w:rFonts w:ascii="Times New Roman" w:hAnsi="Times New Roman" w:cs="Times New Roman"/>
          <w:noProof/>
          <w:lang w:eastAsia="es-GT"/>
        </w:rPr>
        <mc:AlternateContent>
          <mc:Choice Requires="wps">
            <w:drawing>
              <wp:anchor distT="0" distB="0" distL="114300" distR="114300" simplePos="0" relativeHeight="251920384" behindDoc="0" locked="0" layoutInCell="1" allowOverlap="1" wp14:anchorId="30411F32" wp14:editId="4D569A8E">
                <wp:simplePos x="0" y="0"/>
                <wp:positionH relativeFrom="column">
                  <wp:posOffset>0</wp:posOffset>
                </wp:positionH>
                <wp:positionV relativeFrom="paragraph">
                  <wp:posOffset>198120</wp:posOffset>
                </wp:positionV>
                <wp:extent cx="2596515" cy="1358900"/>
                <wp:effectExtent l="0" t="0" r="13335" b="12700"/>
                <wp:wrapSquare wrapText="bothSides"/>
                <wp:docPr id="229" name="Rectángulo: esquinas redondeadas 4"/>
                <wp:cNvGraphicFramePr/>
                <a:graphic xmlns:a="http://schemas.openxmlformats.org/drawingml/2006/main">
                  <a:graphicData uri="http://schemas.microsoft.com/office/word/2010/wordprocessingShape">
                    <wps:wsp>
                      <wps:cNvSpPr/>
                      <wps:spPr>
                        <a:xfrm>
                          <a:off x="0" y="0"/>
                          <a:ext cx="2596515" cy="1358900"/>
                        </a:xfrm>
                        <a:prstGeom prst="roundRect">
                          <a:avLst>
                            <a:gd name="adj" fmla="val 410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7DAB2A" w14:textId="77777777" w:rsidR="00186D6D" w:rsidRPr="00A448DF" w:rsidRDefault="00186D6D" w:rsidP="00186D6D">
                            <w:pPr>
                              <w:spacing w:after="0" w:line="240" w:lineRule="auto"/>
                              <w:jc w:val="both"/>
                              <w:rPr>
                                <w:rFonts w:ascii="Times New Roman" w:hAnsi="Times New Roman" w:cs="Times New Roman"/>
                                <w:color w:val="000000" w:themeColor="text1"/>
                                <w:sz w:val="20"/>
                                <w:szCs w:val="19"/>
                              </w:rPr>
                            </w:pPr>
                            <w:r w:rsidRPr="00A448DF">
                              <w:rPr>
                                <w:rFonts w:ascii="Times New Roman" w:hAnsi="Times New Roman" w:cs="Times New Roman"/>
                                <w:color w:val="000000" w:themeColor="text1"/>
                                <w:sz w:val="20"/>
                                <w:szCs w:val="19"/>
                              </w:rPr>
                              <w:t>En 2020, las importaciones gravadas a octubre cayeron en 11.1%, para 2021, al mes de agosto crecen en 42.9%, según cifras del BANGUAT, el valor de las importaciones gravadas de combustibles y lubricantes acumuladas a agosto 2021 tienen un crecimiento de 79.9%. En volumen, un incremento de 21.5% y en precio un incremento de 48.2%.</w:t>
                            </w:r>
                          </w:p>
                          <w:p w14:paraId="281C24B4" w14:textId="77777777" w:rsidR="00186D6D" w:rsidRPr="005515AF" w:rsidRDefault="00186D6D" w:rsidP="00186D6D">
                            <w:pPr>
                              <w:spacing w:after="0" w:line="240" w:lineRule="auto"/>
                              <w:jc w:val="both"/>
                              <w:rPr>
                                <w:rFonts w:ascii="Times New Roman" w:hAnsi="Times New Roman" w:cs="Times New Roman"/>
                                <w:color w:val="000000" w:themeColor="text1"/>
                                <w:sz w:val="19"/>
                                <w:szCs w:val="19"/>
                              </w:rPr>
                            </w:pPr>
                          </w:p>
                          <w:p w14:paraId="5AB8DAF1" w14:textId="77777777" w:rsidR="00186D6D" w:rsidRPr="005515AF" w:rsidRDefault="00186D6D" w:rsidP="00186D6D">
                            <w:pPr>
                              <w:spacing w:after="0" w:line="240" w:lineRule="auto"/>
                              <w:jc w:val="both"/>
                              <w:rPr>
                                <w:color w:val="000000" w:themeColor="text1"/>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D6B5F7" id="Rectángulo: esquinas redondeadas 4" o:spid="_x0000_s1029" style="position:absolute;left:0;text-align:left;margin-left:0;margin-top:15.6pt;width:204.45pt;height:10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" fillcolor="#dbe5f1 [660]" strokecolor="#243f60 [1604]" strokeweight="2pt">
                <v:textbox>
                  <w:txbxContent>
                    <w:p w:rsidR="00186D6D" w:rsidRPr="00A448DF" w:rsidRDefault="00186D6D" w:rsidP="00186D6D">
                      <w:pPr>
                        <w:spacing w:after="0" w:line="240" w:lineRule="auto"/>
                        <w:jc w:val="both"/>
                        <w:rPr>
                          <w:rFonts w:ascii="Times New Roman" w:hAnsi="Times New Roman" w:cs="Times New Roman"/>
                          <w:color w:val="000000" w:themeColor="text1"/>
                          <w:sz w:val="20"/>
                          <w:szCs w:val="19"/>
                        </w:rPr>
                      </w:pPr>
                      <w:r w:rsidRPr="00A448DF">
                        <w:rPr>
                          <w:rFonts w:ascii="Times New Roman" w:hAnsi="Times New Roman" w:cs="Times New Roman"/>
                          <w:color w:val="000000" w:themeColor="text1"/>
                          <w:sz w:val="20"/>
                          <w:szCs w:val="19"/>
                        </w:rPr>
                        <w:t>En 2020, las importaciones gravadas a octubre cayeron en 11.1%, para 2021, al mes de agosto crecen en 42.9%, según cifras del BANGUAT, el valor de las importaciones gravadas de combustibles y lubricantes acumuladas a agosto 2021 tienen un crecimiento de 79.9%. En volumen, un incremento de 21.5% y en precio un incremento de 48.2%.</w:t>
                      </w:r>
                    </w:p>
                    <w:p w:rsidR="00186D6D" w:rsidRPr="005515AF" w:rsidRDefault="00186D6D" w:rsidP="00186D6D">
                      <w:pPr>
                        <w:spacing w:after="0" w:line="240" w:lineRule="auto"/>
                        <w:jc w:val="both"/>
                        <w:rPr>
                          <w:rFonts w:ascii="Times New Roman" w:hAnsi="Times New Roman" w:cs="Times New Roman"/>
                          <w:color w:val="000000" w:themeColor="text1"/>
                          <w:sz w:val="19"/>
                          <w:szCs w:val="19"/>
                        </w:rPr>
                      </w:pPr>
                    </w:p>
                    <w:p w:rsidR="00186D6D" w:rsidRPr="005515AF" w:rsidRDefault="00186D6D" w:rsidP="00186D6D">
                      <w:pPr>
                        <w:spacing w:after="0" w:line="240" w:lineRule="auto"/>
                        <w:jc w:val="both"/>
                        <w:rPr>
                          <w:color w:val="000000" w:themeColor="text1"/>
                          <w:sz w:val="19"/>
                          <w:szCs w:val="19"/>
                        </w:rPr>
                      </w:pPr>
                    </w:p>
                  </w:txbxContent>
                </v:textbox>
                <w10:wrap type="square"/>
              </v:roundrect>
            </w:pict>
          </mc:Fallback>
        </mc:AlternateContent>
      </w:r>
    </w:p>
    <w:p w14:paraId="0F5D75C5" w14:textId="77777777" w:rsidR="00186D6D" w:rsidRDefault="00186D6D" w:rsidP="00186D6D">
      <w:pPr>
        <w:spacing w:after="0" w:line="240" w:lineRule="auto"/>
        <w:jc w:val="both"/>
        <w:rPr>
          <w:rFonts w:ascii="Times New Roman" w:hAnsi="Times New Roman" w:cs="Times New Roman"/>
          <w:b/>
          <w:bCs/>
        </w:rPr>
      </w:pPr>
    </w:p>
    <w:p w14:paraId="0F7BB879" w14:textId="77777777" w:rsidR="00186D6D" w:rsidRDefault="00186D6D" w:rsidP="00186D6D">
      <w:pPr>
        <w:spacing w:after="0" w:line="240" w:lineRule="auto"/>
        <w:jc w:val="both"/>
        <w:rPr>
          <w:rFonts w:ascii="Times New Roman" w:hAnsi="Times New Roman" w:cs="Times New Roman"/>
          <w:b/>
          <w:bCs/>
        </w:rPr>
      </w:pPr>
      <w:r>
        <w:rPr>
          <w:rFonts w:ascii="Times New Roman" w:hAnsi="Times New Roman" w:cs="Times New Roman"/>
          <w:noProof/>
          <w:lang w:eastAsia="es-GT"/>
        </w:rPr>
        <mc:AlternateContent>
          <mc:Choice Requires="wps">
            <w:drawing>
              <wp:anchor distT="0" distB="0" distL="114300" distR="114300" simplePos="0" relativeHeight="251921408" behindDoc="0" locked="0" layoutInCell="1" allowOverlap="1" wp14:anchorId="0E7407D0" wp14:editId="145C8251">
                <wp:simplePos x="0" y="0"/>
                <wp:positionH relativeFrom="column">
                  <wp:posOffset>-51435</wp:posOffset>
                </wp:positionH>
                <wp:positionV relativeFrom="paragraph">
                  <wp:posOffset>1905</wp:posOffset>
                </wp:positionV>
                <wp:extent cx="2596515" cy="2362200"/>
                <wp:effectExtent l="0" t="0" r="13335" b="19050"/>
                <wp:wrapSquare wrapText="bothSides"/>
                <wp:docPr id="52" name="Rectángulo: esquinas redondeadas 4"/>
                <wp:cNvGraphicFramePr/>
                <a:graphic xmlns:a="http://schemas.openxmlformats.org/drawingml/2006/main">
                  <a:graphicData uri="http://schemas.microsoft.com/office/word/2010/wordprocessingShape">
                    <wps:wsp>
                      <wps:cNvSpPr/>
                      <wps:spPr>
                        <a:xfrm>
                          <a:off x="0" y="0"/>
                          <a:ext cx="2596515" cy="2362200"/>
                        </a:xfrm>
                        <a:prstGeom prst="roundRect">
                          <a:avLst>
                            <a:gd name="adj" fmla="val 410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A1D322" w14:textId="77777777" w:rsidR="00186D6D" w:rsidRPr="00A448DF" w:rsidRDefault="00186D6D" w:rsidP="00186D6D">
                            <w:pPr>
                              <w:spacing w:after="0" w:line="240" w:lineRule="auto"/>
                              <w:jc w:val="both"/>
                              <w:rPr>
                                <w:rFonts w:ascii="Times New Roman" w:hAnsi="Times New Roman" w:cs="Times New Roman"/>
                                <w:color w:val="000000" w:themeColor="text1"/>
                                <w:sz w:val="20"/>
                                <w:szCs w:val="19"/>
                              </w:rPr>
                            </w:pPr>
                            <w:r w:rsidRPr="00A448DF">
                              <w:rPr>
                                <w:rFonts w:ascii="Times New Roman" w:hAnsi="Times New Roman" w:cs="Times New Roman"/>
                                <w:color w:val="000000" w:themeColor="text1"/>
                                <w:sz w:val="20"/>
                                <w:szCs w:val="19"/>
                              </w:rPr>
                              <w:t>Vale indicar que al mes de agosto los principales 10 rubros de importación por valor CIF y que representan el 62% de las importaciones CIF totales son los de combustibles, productos alimenticios, equipos de telecomunicaciones, vehículos de transporte particular, industrias metalúrgicas y metal mecánica, máquinas y aparatos de oficina, industrias químicas y farmacéuticas, equipo móvil de transporte, partes y accesorios de máquinas industriales, industrias alimenticias, bebidas y tabacos, no está demás indicar que dichos rubros son los que con regularidad mantienen el mayor valor CIF de importación en años anteriores.</w:t>
                            </w:r>
                          </w:p>
                          <w:p w14:paraId="4D2D7680" w14:textId="77777777" w:rsidR="00186D6D" w:rsidRPr="005515AF" w:rsidRDefault="00186D6D" w:rsidP="00186D6D">
                            <w:pPr>
                              <w:spacing w:after="0" w:line="240" w:lineRule="auto"/>
                              <w:jc w:val="both"/>
                              <w:rPr>
                                <w:color w:val="000000" w:themeColor="text1"/>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AEB14" id="_x0000_s1030" style="position:absolute;left:0;text-align:left;margin-left:-4.05pt;margin-top:.15pt;width:204.45pt;height:18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" fillcolor="#dbe5f1 [660]" strokecolor="#243f60 [1604]" strokeweight="2pt">
                <v:textbox>
                  <w:txbxContent>
                    <w:p w:rsidR="00186D6D" w:rsidRPr="00A448DF" w:rsidRDefault="00186D6D" w:rsidP="00186D6D">
                      <w:pPr>
                        <w:spacing w:after="0" w:line="240" w:lineRule="auto"/>
                        <w:jc w:val="both"/>
                        <w:rPr>
                          <w:rFonts w:ascii="Times New Roman" w:hAnsi="Times New Roman" w:cs="Times New Roman"/>
                          <w:color w:val="000000" w:themeColor="text1"/>
                          <w:sz w:val="20"/>
                          <w:szCs w:val="19"/>
                        </w:rPr>
                      </w:pPr>
                      <w:r w:rsidRPr="00A448DF">
                        <w:rPr>
                          <w:rFonts w:ascii="Times New Roman" w:hAnsi="Times New Roman" w:cs="Times New Roman"/>
                          <w:color w:val="000000" w:themeColor="text1"/>
                          <w:sz w:val="20"/>
                          <w:szCs w:val="19"/>
                        </w:rPr>
                        <w:t>Vale indicar que al mes de agosto los principales 10 rubros de importación por valor CIF y que representan el 62% de las importaciones CIF totales son los de combustibles, productos alimenticios, equipos de telecomunicaciones, vehículos de transporte particular, industrias metalúrgicas y metal mecánica, máquinas y aparatos de oficina, industrias químicas y farmacéuticas, equipo móvil de transporte, partes y accesorios de máquinas industriales, industrias alimenticias, bebidas y tabacos, no está demás indicar que dichos rubros son los que con regularidad mantienen el mayor valor CIF de importación en años anteriores.</w:t>
                      </w:r>
                    </w:p>
                    <w:p w:rsidR="00186D6D" w:rsidRPr="005515AF" w:rsidRDefault="00186D6D" w:rsidP="00186D6D">
                      <w:pPr>
                        <w:spacing w:after="0" w:line="240" w:lineRule="auto"/>
                        <w:jc w:val="both"/>
                        <w:rPr>
                          <w:color w:val="000000" w:themeColor="text1"/>
                          <w:sz w:val="19"/>
                          <w:szCs w:val="19"/>
                        </w:rPr>
                      </w:pPr>
                    </w:p>
                  </w:txbxContent>
                </v:textbox>
                <w10:wrap type="square"/>
              </v:roundrect>
            </w:pict>
          </mc:Fallback>
        </mc:AlternateContent>
      </w:r>
    </w:p>
    <w:p w14:paraId="1860AC63" w14:textId="77777777" w:rsidR="00186D6D" w:rsidRPr="00AB38CA" w:rsidRDefault="00186D6D" w:rsidP="00186D6D">
      <w:pPr>
        <w:spacing w:after="0" w:line="240" w:lineRule="auto"/>
        <w:jc w:val="both"/>
        <w:rPr>
          <w:rFonts w:ascii="Times New Roman" w:hAnsi="Times New Roman" w:cs="Times New Roman"/>
          <w:b/>
          <w:bCs/>
        </w:rPr>
      </w:pPr>
      <w:r w:rsidRPr="00AB38CA">
        <w:rPr>
          <w:rFonts w:ascii="Times New Roman" w:hAnsi="Times New Roman" w:cs="Times New Roman"/>
          <w:b/>
          <w:bCs/>
        </w:rPr>
        <w:t>Los demás impuestos</w:t>
      </w:r>
    </w:p>
    <w:p w14:paraId="4FC20ECE" w14:textId="77777777" w:rsidR="00186D6D" w:rsidRPr="00094C53" w:rsidRDefault="00186D6D" w:rsidP="00186D6D">
      <w:pPr>
        <w:spacing w:after="0" w:line="240" w:lineRule="auto"/>
        <w:jc w:val="both"/>
        <w:rPr>
          <w:rFonts w:ascii="Times New Roman" w:hAnsi="Times New Roman" w:cs="Times New Roman"/>
          <w:b/>
          <w:bCs/>
          <w:sz w:val="14"/>
        </w:rPr>
      </w:pPr>
    </w:p>
    <w:p w14:paraId="62BEE18E" w14:textId="77777777" w:rsidR="00186D6D" w:rsidRDefault="00186D6D" w:rsidP="00186D6D">
      <w:pPr>
        <w:spacing w:after="0" w:line="240" w:lineRule="auto"/>
        <w:jc w:val="both"/>
        <w:rPr>
          <w:rFonts w:ascii="Times New Roman" w:hAnsi="Times New Roman" w:cs="Times New Roman"/>
        </w:rPr>
      </w:pPr>
      <w:r>
        <w:rPr>
          <w:rFonts w:ascii="Times New Roman" w:hAnsi="Times New Roman" w:cs="Times New Roman"/>
        </w:rPr>
        <w:t>En la recaudación mensual d</w:t>
      </w:r>
      <w:r w:rsidRPr="00AB38CA">
        <w:rPr>
          <w:rFonts w:ascii="Times New Roman" w:hAnsi="Times New Roman" w:cs="Times New Roman"/>
        </w:rPr>
        <w:t xml:space="preserve">e los demás impuestos, destaca </w:t>
      </w:r>
      <w:r>
        <w:rPr>
          <w:rFonts w:ascii="Times New Roman" w:hAnsi="Times New Roman" w:cs="Times New Roman"/>
        </w:rPr>
        <w:t xml:space="preserve">la recuperación en octubre del impuesto a las regalías e hidrocarburos compatibles que superó la meta de presupuesto en Q2.0 millones de manera interanual supera lo observado en 2020 en </w:t>
      </w:r>
      <w:r>
        <w:rPr>
          <w:rFonts w:ascii="Times New Roman" w:hAnsi="Times New Roman" w:cs="Times New Roman"/>
        </w:rPr>
        <w:t>Q5.9 millones, la caída en la recaudación del impuesto al tabaco, de timbres fiscales e ISO, derivados del petróleo generan una brecha negativa mensual de Q40.1 millones respecto a la meta de presupuesto.</w:t>
      </w:r>
    </w:p>
    <w:p w14:paraId="4FDFF3EE" w14:textId="77777777" w:rsidR="00186D6D" w:rsidRPr="00AB38CA" w:rsidRDefault="00186D6D" w:rsidP="00186D6D">
      <w:pPr>
        <w:spacing w:after="0" w:line="240" w:lineRule="auto"/>
        <w:jc w:val="both"/>
        <w:rPr>
          <w:rFonts w:ascii="Times New Roman" w:hAnsi="Times New Roman" w:cs="Times New Roman"/>
        </w:rPr>
      </w:pPr>
    </w:p>
    <w:p w14:paraId="5D9DC827" w14:textId="77777777" w:rsidR="00186D6D" w:rsidRDefault="00186D6D" w:rsidP="00186D6D">
      <w:pPr>
        <w:spacing w:after="0" w:line="240" w:lineRule="auto"/>
        <w:jc w:val="both"/>
        <w:rPr>
          <w:rFonts w:ascii="Times New Roman" w:hAnsi="Times New Roman" w:cs="Times New Roman"/>
        </w:rPr>
      </w:pPr>
      <w:r w:rsidRPr="00AB38CA">
        <w:rPr>
          <w:rFonts w:ascii="Times New Roman" w:hAnsi="Times New Roman" w:cs="Times New Roman"/>
        </w:rPr>
        <w:t>De manera acumulada el impuesto a los tabacos genera brecha negativa de Q</w:t>
      </w:r>
      <w:r>
        <w:rPr>
          <w:rFonts w:ascii="Times New Roman" w:hAnsi="Times New Roman" w:cs="Times New Roman"/>
        </w:rPr>
        <w:t>26.4</w:t>
      </w:r>
      <w:r w:rsidRPr="00AB38CA">
        <w:rPr>
          <w:rFonts w:ascii="Times New Roman" w:hAnsi="Times New Roman" w:cs="Times New Roman"/>
        </w:rPr>
        <w:t xml:space="preserve"> millones y los impuestos no administrados por SAT generan brecha negativa de Q1</w:t>
      </w:r>
      <w:r>
        <w:rPr>
          <w:rFonts w:ascii="Times New Roman" w:hAnsi="Times New Roman" w:cs="Times New Roman"/>
        </w:rPr>
        <w:t>54.9</w:t>
      </w:r>
      <w:r w:rsidRPr="00AB38CA">
        <w:rPr>
          <w:rFonts w:ascii="Times New Roman" w:hAnsi="Times New Roman" w:cs="Times New Roman"/>
        </w:rPr>
        <w:t xml:space="preserve"> millones respecto a la meta de presupuesto.</w:t>
      </w:r>
    </w:p>
    <w:p w14:paraId="09146014" w14:textId="77777777" w:rsidR="00186D6D" w:rsidRDefault="00186D6D" w:rsidP="00186D6D">
      <w:pPr>
        <w:spacing w:after="0" w:line="240" w:lineRule="auto"/>
        <w:jc w:val="both"/>
        <w:rPr>
          <w:rFonts w:ascii="Times New Roman" w:hAnsi="Times New Roman" w:cs="Times New Roman"/>
          <w:noProof/>
        </w:rPr>
      </w:pPr>
      <w:r w:rsidRPr="00AB38CA">
        <w:rPr>
          <w:rFonts w:ascii="Times New Roman" w:hAnsi="Times New Roman" w:cs="Times New Roman"/>
          <w:noProof/>
        </w:rPr>
        <w:t xml:space="preserve"> </w:t>
      </w:r>
    </w:p>
    <w:p w14:paraId="6DB6A5EC" w14:textId="77777777" w:rsidR="004552E3" w:rsidRPr="0029550C" w:rsidRDefault="00186D6D" w:rsidP="00186D6D">
      <w:pPr>
        <w:spacing w:after="0" w:line="240" w:lineRule="auto"/>
        <w:jc w:val="both"/>
        <w:rPr>
          <w:rFonts w:ascii="Times New Roman" w:hAnsi="Times New Roman" w:cs="Times New Roman"/>
          <w:color w:val="FF0000"/>
          <w:sz w:val="16"/>
        </w:rPr>
      </w:pPr>
      <w:r w:rsidRPr="00AB38CA">
        <w:rPr>
          <w:rFonts w:ascii="Times New Roman" w:hAnsi="Times New Roman" w:cs="Times New Roman"/>
          <w:noProof/>
        </w:rPr>
        <w:t xml:space="preserve">Aspectos importantes a destacar </w:t>
      </w:r>
      <w:r>
        <w:rPr>
          <w:rFonts w:ascii="Times New Roman" w:hAnsi="Times New Roman" w:cs="Times New Roman"/>
          <w:noProof/>
        </w:rPr>
        <w:t>en el desempeño de la SAT y que tienen impacto directo en la recaudación</w:t>
      </w:r>
      <w:r w:rsidRPr="00AB38CA">
        <w:rPr>
          <w:rFonts w:ascii="Times New Roman" w:hAnsi="Times New Roman" w:cs="Times New Roman"/>
          <w:noProof/>
        </w:rPr>
        <w:t xml:space="preserve"> son</w:t>
      </w:r>
      <w:r>
        <w:rPr>
          <w:rFonts w:ascii="Times New Roman" w:hAnsi="Times New Roman" w:cs="Times New Roman"/>
          <w:noProof/>
        </w:rPr>
        <w:t>:</w:t>
      </w:r>
      <w:r w:rsidRPr="00AB38CA">
        <w:rPr>
          <w:rFonts w:ascii="Times New Roman" w:hAnsi="Times New Roman" w:cs="Times New Roman"/>
          <w:noProof/>
        </w:rPr>
        <w:t xml:space="preserve"> </w:t>
      </w:r>
      <w:r>
        <w:rPr>
          <w:rFonts w:ascii="Times New Roman" w:hAnsi="Times New Roman" w:cs="Times New Roman"/>
          <w:noProof/>
        </w:rPr>
        <w:t xml:space="preserve">el avance en las etapas complementarias a la modernización del </w:t>
      </w:r>
      <w:r w:rsidRPr="00AB38CA">
        <w:rPr>
          <w:rFonts w:ascii="Times New Roman" w:hAnsi="Times New Roman" w:cs="Times New Roman"/>
          <w:noProof/>
        </w:rPr>
        <w:t xml:space="preserve">RTU </w:t>
      </w:r>
      <w:r>
        <w:rPr>
          <w:rFonts w:ascii="Times New Roman" w:hAnsi="Times New Roman" w:cs="Times New Roman"/>
          <w:noProof/>
        </w:rPr>
        <w:t xml:space="preserve">digital, avances en el gobierno de datos, seguimiento del modelo de atención de factura electronica en linea, activación de agencia virtual a distancia y las mejoras al sistema de cita previa </w:t>
      </w:r>
      <w:r w:rsidRPr="00AB38CA">
        <w:rPr>
          <w:rFonts w:ascii="Times New Roman" w:hAnsi="Times New Roman" w:cs="Times New Roman"/>
          <w:noProof/>
        </w:rPr>
        <w:t>entre otras</w:t>
      </w:r>
      <w:r>
        <w:rPr>
          <w:rFonts w:ascii="Times New Roman" w:hAnsi="Times New Roman" w:cs="Times New Roman"/>
          <w:noProof/>
        </w:rPr>
        <w:t>, aunado a los nuevos proyectos que se encuentra realizando SAT como el nuevo sistema de retenciones WEB.</w:t>
      </w:r>
    </w:p>
    <w:p w14:paraId="13083397" w14:textId="77777777" w:rsidR="00107D10" w:rsidRPr="0029550C" w:rsidRDefault="00107D10" w:rsidP="004552E3">
      <w:pPr>
        <w:spacing w:after="0" w:line="240" w:lineRule="auto"/>
        <w:jc w:val="both"/>
        <w:rPr>
          <w:rFonts w:ascii="Times New Roman" w:hAnsi="Times New Roman" w:cs="Times New Roman"/>
          <w:noProof/>
          <w:color w:val="FF0000"/>
        </w:rPr>
        <w:sectPr w:rsidR="00107D10" w:rsidRPr="0029550C" w:rsidSect="00A36C8F">
          <w:type w:val="continuous"/>
          <w:pgSz w:w="12240" w:h="15840"/>
          <w:pgMar w:top="1417" w:right="1701" w:bottom="1417" w:left="1701" w:header="720" w:footer="720" w:gutter="0"/>
          <w:cols w:num="2" w:space="720"/>
          <w:docGrid w:linePitch="360"/>
        </w:sectPr>
      </w:pPr>
    </w:p>
    <w:p w14:paraId="3CAFEE37" w14:textId="77777777" w:rsidR="004552E3" w:rsidRPr="0029550C" w:rsidRDefault="004552E3" w:rsidP="00EF5550">
      <w:pPr>
        <w:spacing w:after="0" w:line="240" w:lineRule="auto"/>
        <w:jc w:val="both"/>
        <w:rPr>
          <w:rFonts w:ascii="Times New Roman" w:hAnsi="Times New Roman" w:cs="Times New Roman"/>
          <w:noProof/>
          <w:color w:val="FF0000"/>
          <w:sz w:val="14"/>
        </w:rPr>
        <w:sectPr w:rsidR="004552E3" w:rsidRPr="0029550C" w:rsidSect="00A36C8F">
          <w:type w:val="continuous"/>
          <w:pgSz w:w="12240" w:h="15840"/>
          <w:pgMar w:top="1417" w:right="1701" w:bottom="1417" w:left="1701" w:header="720" w:footer="720" w:gutter="0"/>
          <w:cols w:num="2" w:space="720"/>
          <w:docGrid w:linePitch="360"/>
        </w:sectPr>
      </w:pPr>
    </w:p>
    <w:p w14:paraId="44527CF6" w14:textId="77777777" w:rsidR="00107D10" w:rsidRPr="00263E88" w:rsidRDefault="00970846" w:rsidP="00107D10">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107D10" w:rsidRPr="00263E88" w:rsidSect="00FA3B81">
          <w:headerReference w:type="default" r:id="rId19"/>
          <w:footerReference w:type="default" r:id="rId20"/>
          <w:type w:val="continuous"/>
          <w:pgSz w:w="12240" w:h="15840" w:code="1"/>
          <w:pgMar w:top="1418" w:right="1418" w:bottom="1418" w:left="1418" w:header="709" w:footer="709" w:gutter="0"/>
          <w:cols w:space="708"/>
          <w:docGrid w:linePitch="360"/>
        </w:sectPr>
      </w:pPr>
      <w:r w:rsidRPr="00263E88">
        <w:rPr>
          <w:rFonts w:ascii="Times New Roman" w:hAnsi="Times New Roman" w:cs="Times New Roman"/>
          <w:b/>
          <w:lang w:val="es-MX"/>
        </w:rPr>
        <w:t>E</w:t>
      </w:r>
      <w:r w:rsidR="00107D10" w:rsidRPr="00263E88">
        <w:rPr>
          <w:rFonts w:ascii="Times New Roman" w:hAnsi="Times New Roman" w:cs="Times New Roman"/>
          <w:b/>
          <w:lang w:val="es-MX"/>
        </w:rPr>
        <w:t>l gasto público</w:t>
      </w:r>
      <w:r w:rsidR="006174C1">
        <w:rPr>
          <w:rFonts w:ascii="Times New Roman" w:hAnsi="Times New Roman" w:cs="Times New Roman"/>
          <w:b/>
          <w:lang w:val="es-MX"/>
        </w:rPr>
        <w:t xml:space="preserve"> continua</w:t>
      </w:r>
      <w:r w:rsidRPr="00263E88">
        <w:rPr>
          <w:rFonts w:ascii="Times New Roman" w:hAnsi="Times New Roman" w:cs="Times New Roman"/>
          <w:b/>
          <w:lang w:val="es-MX"/>
        </w:rPr>
        <w:t xml:space="preserve"> contrayéndose</w:t>
      </w:r>
    </w:p>
    <w:p w14:paraId="2B90C010" w14:textId="77777777" w:rsidR="00FA3B81" w:rsidRPr="0029550C" w:rsidRDefault="00FA3B81" w:rsidP="00FA3B81">
      <w:pPr>
        <w:pStyle w:val="Sinespaciado"/>
        <w:rPr>
          <w:rFonts w:ascii="Times New Roman" w:hAnsi="Times New Roman" w:cs="Times New Roman"/>
          <w:b/>
          <w:color w:val="FF0000"/>
          <w:sz w:val="18"/>
          <w:lang w:val="es-MX"/>
        </w:rPr>
      </w:pPr>
    </w:p>
    <w:p w14:paraId="6B24DF5B" w14:textId="77777777" w:rsidR="00FA3B81" w:rsidRPr="0029550C" w:rsidRDefault="00FA3B81" w:rsidP="0041262B">
      <w:pPr>
        <w:pStyle w:val="Sinespaciado"/>
        <w:rPr>
          <w:rFonts w:ascii="Times New Roman" w:hAnsi="Times New Roman" w:cs="Times New Roman"/>
          <w:b/>
          <w:color w:val="FF0000"/>
          <w:sz w:val="24"/>
          <w:lang w:val="es-MX"/>
        </w:rPr>
        <w:sectPr w:rsidR="00FA3B81" w:rsidRPr="0029550C" w:rsidSect="004E358C">
          <w:headerReference w:type="default" r:id="rId21"/>
          <w:footerReference w:type="default" r:id="rId22"/>
          <w:type w:val="continuous"/>
          <w:pgSz w:w="12240" w:h="15840"/>
          <w:pgMar w:top="1417" w:right="1701" w:bottom="1417" w:left="1701" w:header="708" w:footer="708" w:gutter="0"/>
          <w:cols w:space="708"/>
          <w:docGrid w:linePitch="360"/>
        </w:sectPr>
      </w:pPr>
    </w:p>
    <w:p w14:paraId="00999315" w14:textId="77777777" w:rsidR="00263E88" w:rsidRDefault="00263E88" w:rsidP="00263E88">
      <w:pPr>
        <w:pStyle w:val="Sinespaciado"/>
        <w:jc w:val="both"/>
        <w:rPr>
          <w:rFonts w:ascii="Times New Roman" w:hAnsi="Times New Roman" w:cs="Times New Roman"/>
          <w:lang w:val="es-MX"/>
        </w:rPr>
      </w:pPr>
      <w:r w:rsidRPr="001E2D24">
        <w:rPr>
          <w:rFonts w:ascii="Times New Roman" w:hAnsi="Times New Roman" w:cs="Times New Roman"/>
          <w:lang w:val="es-MX"/>
        </w:rPr>
        <w:t xml:space="preserve">La </w:t>
      </w:r>
      <w:r w:rsidRPr="00ED090B">
        <w:rPr>
          <w:rFonts w:ascii="Times New Roman" w:hAnsi="Times New Roman" w:cs="Times New Roman"/>
          <w:lang w:val="es-MX"/>
        </w:rPr>
        <w:t xml:space="preserve">ejecución del gasto público a </w:t>
      </w:r>
      <w:r>
        <w:rPr>
          <w:rFonts w:ascii="Times New Roman" w:hAnsi="Times New Roman" w:cs="Times New Roman"/>
          <w:lang w:val="es-MX"/>
        </w:rPr>
        <w:t xml:space="preserve">octubre </w:t>
      </w:r>
      <w:r w:rsidRPr="00ED090B">
        <w:rPr>
          <w:rFonts w:ascii="Times New Roman" w:hAnsi="Times New Roman" w:cs="Times New Roman"/>
          <w:lang w:val="es-MX"/>
        </w:rPr>
        <w:t>sin incluir las amortizaciones de la deuda pública se ubicó en Q</w:t>
      </w:r>
      <w:r>
        <w:rPr>
          <w:rFonts w:ascii="Times New Roman" w:hAnsi="Times New Roman" w:cs="Times New Roman"/>
          <w:lang w:val="es-MX"/>
        </w:rPr>
        <w:t>68</w:t>
      </w:r>
      <w:r w:rsidRPr="00ED090B">
        <w:rPr>
          <w:rFonts w:ascii="Times New Roman" w:hAnsi="Times New Roman" w:cs="Times New Roman"/>
          <w:lang w:val="es-MX"/>
        </w:rPr>
        <w:t>,</w:t>
      </w:r>
      <w:r>
        <w:rPr>
          <w:rFonts w:ascii="Times New Roman" w:hAnsi="Times New Roman" w:cs="Times New Roman"/>
          <w:lang w:val="es-MX"/>
        </w:rPr>
        <w:t>682.3</w:t>
      </w:r>
      <w:r w:rsidRPr="00ED090B">
        <w:rPr>
          <w:rFonts w:ascii="Times New Roman" w:hAnsi="Times New Roman" w:cs="Times New Roman"/>
          <w:lang w:val="es-MX"/>
        </w:rPr>
        <w:t xml:space="preserve"> millones</w:t>
      </w:r>
      <w:r w:rsidR="006174C1">
        <w:rPr>
          <w:rFonts w:ascii="Times New Roman" w:hAnsi="Times New Roman" w:cs="Times New Roman"/>
          <w:lang w:val="es-MX"/>
        </w:rPr>
        <w:t>,</w:t>
      </w:r>
      <w:r w:rsidRPr="00ED090B">
        <w:rPr>
          <w:rFonts w:ascii="Times New Roman" w:hAnsi="Times New Roman" w:cs="Times New Roman"/>
          <w:lang w:val="es-MX"/>
        </w:rPr>
        <w:t xml:space="preserve"> con un</w:t>
      </w:r>
      <w:r>
        <w:rPr>
          <w:rFonts w:ascii="Times New Roman" w:hAnsi="Times New Roman" w:cs="Times New Roman"/>
          <w:lang w:val="es-MX"/>
        </w:rPr>
        <w:t>a variación</w:t>
      </w:r>
      <w:r w:rsidRPr="00ED090B">
        <w:rPr>
          <w:rFonts w:ascii="Times New Roman" w:hAnsi="Times New Roman" w:cs="Times New Roman"/>
          <w:lang w:val="es-MX"/>
        </w:rPr>
        <w:t xml:space="preserve"> interanual </w:t>
      </w:r>
      <w:r>
        <w:rPr>
          <w:rFonts w:ascii="Times New Roman" w:hAnsi="Times New Roman" w:cs="Times New Roman"/>
          <w:lang w:val="es-MX"/>
        </w:rPr>
        <w:t xml:space="preserve">negativa </w:t>
      </w:r>
      <w:r w:rsidRPr="00ED090B">
        <w:rPr>
          <w:rFonts w:ascii="Times New Roman" w:hAnsi="Times New Roman" w:cs="Times New Roman"/>
          <w:lang w:val="es-MX"/>
        </w:rPr>
        <w:t>de -</w:t>
      </w:r>
      <w:r>
        <w:rPr>
          <w:rFonts w:ascii="Times New Roman" w:hAnsi="Times New Roman" w:cs="Times New Roman"/>
          <w:lang w:val="es-MX"/>
        </w:rPr>
        <w:t>5</w:t>
      </w:r>
      <w:r w:rsidRPr="00ED090B">
        <w:rPr>
          <w:rFonts w:ascii="Times New Roman" w:hAnsi="Times New Roman" w:cs="Times New Roman"/>
          <w:lang w:val="es-MX"/>
        </w:rPr>
        <w:t>.</w:t>
      </w:r>
      <w:r>
        <w:rPr>
          <w:rFonts w:ascii="Times New Roman" w:hAnsi="Times New Roman" w:cs="Times New Roman"/>
          <w:lang w:val="es-MX"/>
        </w:rPr>
        <w:t>7</w:t>
      </w:r>
      <w:r w:rsidRPr="00ED090B">
        <w:rPr>
          <w:rFonts w:ascii="Times New Roman" w:hAnsi="Times New Roman" w:cs="Times New Roman"/>
          <w:lang w:val="es-MX"/>
        </w:rPr>
        <w:t>% (equivalente a</w:t>
      </w:r>
      <w:r>
        <w:rPr>
          <w:rFonts w:ascii="Times New Roman" w:hAnsi="Times New Roman" w:cs="Times New Roman"/>
          <w:lang w:val="es-MX"/>
        </w:rPr>
        <w:t xml:space="preserve"> Q4,147.2 millones), dado que en 2020 se encontraban en plena ejecución los programas para la atención económica y social del COVID-19 con Q11,151.6 millones encabezado por el bono familia, fondo para capital de trabajo y fondo de protección de empleo, mientras que en este año la ejecución por concepto de COVID-19 alcanza los Q1,873.1 millones</w:t>
      </w:r>
      <w:r w:rsidR="006174C1">
        <w:rPr>
          <w:rFonts w:ascii="Times New Roman" w:hAnsi="Times New Roman" w:cs="Times New Roman"/>
          <w:lang w:val="es-MX"/>
        </w:rPr>
        <w:t>,</w:t>
      </w:r>
      <w:r>
        <w:rPr>
          <w:rFonts w:ascii="Times New Roman" w:hAnsi="Times New Roman" w:cs="Times New Roman"/>
          <w:lang w:val="es-MX"/>
        </w:rPr>
        <w:t xml:space="preserve"> enfocado en actividades relacionadas a la atención de la salud y la vacunación. </w:t>
      </w:r>
    </w:p>
    <w:p w14:paraId="1EAC4B32" w14:textId="77777777" w:rsidR="00263E88" w:rsidRDefault="00263E88" w:rsidP="00263E88">
      <w:pPr>
        <w:pStyle w:val="Sinespaciado"/>
        <w:jc w:val="both"/>
        <w:rPr>
          <w:rFonts w:ascii="Times New Roman" w:hAnsi="Times New Roman" w:cs="Times New Roman"/>
          <w:lang w:val="es-MX"/>
        </w:rPr>
      </w:pPr>
    </w:p>
    <w:p w14:paraId="52CD8A57" w14:textId="77777777" w:rsidR="00A448DF" w:rsidRDefault="00A448DF" w:rsidP="00263E88">
      <w:pPr>
        <w:pStyle w:val="Sinespaciado"/>
        <w:jc w:val="both"/>
        <w:rPr>
          <w:rFonts w:ascii="Times New Roman" w:hAnsi="Times New Roman" w:cs="Times New Roman"/>
          <w:lang w:val="es-MX"/>
        </w:rPr>
      </w:pPr>
    </w:p>
    <w:p w14:paraId="32411465" w14:textId="77777777" w:rsidR="00A448DF" w:rsidRPr="00474998" w:rsidRDefault="00A448DF" w:rsidP="00263E88">
      <w:pPr>
        <w:pStyle w:val="Sinespaciado"/>
        <w:jc w:val="both"/>
        <w:rPr>
          <w:rFonts w:ascii="Times New Roman" w:hAnsi="Times New Roman" w:cs="Times New Roman"/>
          <w:lang w:val="es-MX"/>
        </w:rPr>
      </w:pPr>
    </w:p>
    <w:p w14:paraId="05B82E54" w14:textId="77777777" w:rsidR="00263E88" w:rsidRPr="00474998" w:rsidRDefault="00263E88" w:rsidP="00263E88">
      <w:pPr>
        <w:pStyle w:val="Sinespaciado"/>
        <w:jc w:val="center"/>
        <w:rPr>
          <w:rFonts w:ascii="Times New Roman" w:hAnsi="Times New Roman" w:cs="Times New Roman"/>
          <w:b/>
          <w:lang w:val="es-MX"/>
        </w:rPr>
      </w:pPr>
      <w:r w:rsidRPr="00474998">
        <w:rPr>
          <w:rFonts w:ascii="Times New Roman" w:hAnsi="Times New Roman" w:cs="Times New Roman"/>
          <w:b/>
          <w:lang w:val="es-MX"/>
        </w:rPr>
        <w:t>Ritmo de Ejecución del Gasto</w:t>
      </w:r>
    </w:p>
    <w:p w14:paraId="05D5F282" w14:textId="77777777" w:rsidR="00263E88" w:rsidRPr="00474998" w:rsidRDefault="00A448DF" w:rsidP="00263E88">
      <w:pPr>
        <w:pStyle w:val="Sinespaciado"/>
        <w:jc w:val="center"/>
        <w:rPr>
          <w:rFonts w:ascii="Times New Roman" w:hAnsi="Times New Roman" w:cs="Times New Roman"/>
          <w:sz w:val="18"/>
          <w:lang w:val="es-MX"/>
        </w:rPr>
      </w:pPr>
      <w:r w:rsidRPr="00474998">
        <w:rPr>
          <w:rFonts w:ascii="Times New Roman" w:hAnsi="Times New Roman" w:cs="Times New Roman"/>
          <w:noProof/>
          <w:sz w:val="18"/>
          <w:lang w:eastAsia="es-GT"/>
        </w:rPr>
        <w:drawing>
          <wp:anchor distT="0" distB="0" distL="114300" distR="114300" simplePos="0" relativeHeight="251906048" behindDoc="0" locked="0" layoutInCell="1" allowOverlap="1" wp14:anchorId="3C002967" wp14:editId="6D41354C">
            <wp:simplePos x="0" y="0"/>
            <wp:positionH relativeFrom="column">
              <wp:posOffset>3175</wp:posOffset>
            </wp:positionH>
            <wp:positionV relativeFrom="paragraph">
              <wp:posOffset>173355</wp:posOffset>
            </wp:positionV>
            <wp:extent cx="2828925" cy="2408555"/>
            <wp:effectExtent l="0" t="0" r="0" b="0"/>
            <wp:wrapSquare wrapText="bothSides"/>
            <wp:docPr id="23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263E88" w:rsidRPr="00474998">
        <w:rPr>
          <w:rFonts w:ascii="Times New Roman" w:hAnsi="Times New Roman" w:cs="Times New Roman"/>
          <w:sz w:val="18"/>
          <w:lang w:val="es-MX"/>
        </w:rPr>
        <w:t>Variación Interanual</w:t>
      </w:r>
      <w:r w:rsidR="00263E88">
        <w:rPr>
          <w:rFonts w:ascii="Times New Roman" w:hAnsi="Times New Roman" w:cs="Times New Roman"/>
          <w:sz w:val="18"/>
          <w:lang w:val="es-MX"/>
        </w:rPr>
        <w:t xml:space="preserve"> (%)</w:t>
      </w:r>
      <w:r w:rsidR="00263E88" w:rsidRPr="00474998">
        <w:rPr>
          <w:rFonts w:ascii="Times New Roman" w:hAnsi="Times New Roman" w:cs="Times New Roman"/>
          <w:sz w:val="18"/>
          <w:lang w:val="es-MX"/>
        </w:rPr>
        <w:t>*</w:t>
      </w:r>
    </w:p>
    <w:p w14:paraId="7BC51C38" w14:textId="77777777" w:rsidR="00263E88" w:rsidRPr="00474998" w:rsidRDefault="00263E88" w:rsidP="00263E88">
      <w:pPr>
        <w:pStyle w:val="Sinespaciado"/>
        <w:rPr>
          <w:rFonts w:ascii="Times New Roman" w:hAnsi="Times New Roman" w:cs="Times New Roman"/>
          <w:sz w:val="16"/>
          <w:lang w:val="es-MX"/>
        </w:rPr>
      </w:pPr>
      <w:r w:rsidRPr="00474998">
        <w:rPr>
          <w:rFonts w:ascii="Times New Roman" w:hAnsi="Times New Roman" w:cs="Times New Roman"/>
          <w:sz w:val="16"/>
          <w:lang w:val="es-MX"/>
        </w:rPr>
        <w:t>*No incluye amortizaciones de la deuda pública</w:t>
      </w:r>
    </w:p>
    <w:p w14:paraId="53D89CFC" w14:textId="77777777" w:rsidR="00263E88" w:rsidRDefault="00263E88" w:rsidP="00263E88">
      <w:pPr>
        <w:spacing w:after="0" w:line="240" w:lineRule="auto"/>
        <w:jc w:val="both"/>
        <w:rPr>
          <w:rFonts w:ascii="Times New Roman" w:hAnsi="Times New Roman" w:cs="Times New Roman"/>
          <w:sz w:val="16"/>
        </w:rPr>
      </w:pPr>
      <w:r w:rsidRPr="00474998">
        <w:rPr>
          <w:rFonts w:ascii="Times New Roman" w:hAnsi="Times New Roman" w:cs="Times New Roman"/>
          <w:sz w:val="16"/>
        </w:rPr>
        <w:t>Fuente: Dirección de Análisis y Política Fiscal</w:t>
      </w:r>
    </w:p>
    <w:p w14:paraId="380B4724" w14:textId="77777777" w:rsidR="00263E88" w:rsidRPr="009443F5" w:rsidRDefault="00263E88" w:rsidP="00263E88">
      <w:pPr>
        <w:spacing w:after="0" w:line="240" w:lineRule="auto"/>
        <w:jc w:val="both"/>
        <w:rPr>
          <w:rFonts w:ascii="Times New Roman" w:hAnsi="Times New Roman" w:cs="Times New Roman"/>
        </w:rPr>
      </w:pPr>
      <w:r>
        <w:rPr>
          <w:rFonts w:ascii="Times New Roman" w:hAnsi="Times New Roman" w:cs="Times New Roman"/>
        </w:rPr>
        <w:lastRenderedPageBreak/>
        <w:t>Al eliminar el gasto relacionado a la pandemia del COVID-19 tanto en 2020 como en 2021, l</w:t>
      </w:r>
      <w:r w:rsidRPr="009443F5">
        <w:rPr>
          <w:rFonts w:ascii="Times New Roman" w:hAnsi="Times New Roman" w:cs="Times New Roman"/>
        </w:rPr>
        <w:t xml:space="preserve">a ejecución del gasto público a </w:t>
      </w:r>
      <w:r>
        <w:rPr>
          <w:rFonts w:ascii="Times New Roman" w:hAnsi="Times New Roman" w:cs="Times New Roman"/>
        </w:rPr>
        <w:t>octub</w:t>
      </w:r>
      <w:r w:rsidRPr="009443F5">
        <w:rPr>
          <w:rFonts w:ascii="Times New Roman" w:hAnsi="Times New Roman" w:cs="Times New Roman"/>
        </w:rPr>
        <w:t>re sin incluir las amortizacio</w:t>
      </w:r>
      <w:r>
        <w:rPr>
          <w:rFonts w:ascii="Times New Roman" w:hAnsi="Times New Roman" w:cs="Times New Roman"/>
        </w:rPr>
        <w:t xml:space="preserve">nes de la deuda pública se ubicaría </w:t>
      </w:r>
      <w:r w:rsidRPr="009443F5">
        <w:rPr>
          <w:rFonts w:ascii="Times New Roman" w:hAnsi="Times New Roman" w:cs="Times New Roman"/>
        </w:rPr>
        <w:t>en Q6</w:t>
      </w:r>
      <w:r>
        <w:rPr>
          <w:rFonts w:ascii="Times New Roman" w:hAnsi="Times New Roman" w:cs="Times New Roman"/>
        </w:rPr>
        <w:t>6</w:t>
      </w:r>
      <w:r w:rsidRPr="009443F5">
        <w:rPr>
          <w:rFonts w:ascii="Times New Roman" w:hAnsi="Times New Roman" w:cs="Times New Roman"/>
        </w:rPr>
        <w:t>,</w:t>
      </w:r>
      <w:r>
        <w:rPr>
          <w:rFonts w:ascii="Times New Roman" w:hAnsi="Times New Roman" w:cs="Times New Roman"/>
        </w:rPr>
        <w:t>809</w:t>
      </w:r>
      <w:r w:rsidRPr="009443F5">
        <w:rPr>
          <w:rFonts w:ascii="Times New Roman" w:hAnsi="Times New Roman" w:cs="Times New Roman"/>
        </w:rPr>
        <w:t>.</w:t>
      </w:r>
      <w:r>
        <w:rPr>
          <w:rFonts w:ascii="Times New Roman" w:hAnsi="Times New Roman" w:cs="Times New Roman"/>
        </w:rPr>
        <w:t>2</w:t>
      </w:r>
      <w:r w:rsidRPr="009443F5">
        <w:rPr>
          <w:rFonts w:ascii="Times New Roman" w:hAnsi="Times New Roman" w:cs="Times New Roman"/>
        </w:rPr>
        <w:t xml:space="preserve"> millones</w:t>
      </w:r>
      <w:r w:rsidR="006174C1">
        <w:rPr>
          <w:rFonts w:ascii="Times New Roman" w:hAnsi="Times New Roman" w:cs="Times New Roman"/>
        </w:rPr>
        <w:t>,</w:t>
      </w:r>
      <w:r w:rsidRPr="009443F5">
        <w:rPr>
          <w:rFonts w:ascii="Times New Roman" w:hAnsi="Times New Roman" w:cs="Times New Roman"/>
        </w:rPr>
        <w:t xml:space="preserve"> con un</w:t>
      </w:r>
      <w:r>
        <w:rPr>
          <w:rFonts w:ascii="Times New Roman" w:hAnsi="Times New Roman" w:cs="Times New Roman"/>
        </w:rPr>
        <w:t xml:space="preserve"> crecimiento </w:t>
      </w:r>
      <w:r w:rsidRPr="009443F5">
        <w:rPr>
          <w:rFonts w:ascii="Times New Roman" w:hAnsi="Times New Roman" w:cs="Times New Roman"/>
        </w:rPr>
        <w:t xml:space="preserve">interanual de </w:t>
      </w:r>
      <w:r>
        <w:rPr>
          <w:rFonts w:ascii="Times New Roman" w:hAnsi="Times New Roman" w:cs="Times New Roman"/>
        </w:rPr>
        <w:t>8.3% (equivalente a Q5,131.2</w:t>
      </w:r>
      <w:r w:rsidRPr="009443F5">
        <w:rPr>
          <w:rFonts w:ascii="Times New Roman" w:hAnsi="Times New Roman" w:cs="Times New Roman"/>
        </w:rPr>
        <w:t xml:space="preserve"> millones)</w:t>
      </w:r>
      <w:r>
        <w:rPr>
          <w:rFonts w:ascii="Times New Roman" w:hAnsi="Times New Roman" w:cs="Times New Roman"/>
        </w:rPr>
        <w:t xml:space="preserve">. Mientras que en 2020 el gasto público hubiera tenido una variación interanual negativa de 2.9%. </w:t>
      </w:r>
    </w:p>
    <w:p w14:paraId="23B4F085" w14:textId="77777777" w:rsidR="00A448DF" w:rsidRPr="009652AF" w:rsidRDefault="00A448DF" w:rsidP="00263E88">
      <w:pPr>
        <w:spacing w:after="0" w:line="240" w:lineRule="auto"/>
        <w:jc w:val="both"/>
        <w:rPr>
          <w:rFonts w:ascii="Times New Roman" w:hAnsi="Times New Roman" w:cs="Times New Roman"/>
        </w:rPr>
      </w:pPr>
    </w:p>
    <w:p w14:paraId="6F7BD9E2" w14:textId="77777777" w:rsidR="00A448DF" w:rsidRPr="00474998" w:rsidRDefault="00A448DF" w:rsidP="00A448DF">
      <w:pPr>
        <w:pStyle w:val="Sinespaciado"/>
        <w:jc w:val="center"/>
        <w:rPr>
          <w:rFonts w:ascii="Times New Roman" w:hAnsi="Times New Roman" w:cs="Times New Roman"/>
          <w:b/>
          <w:lang w:val="es-MX"/>
        </w:rPr>
      </w:pPr>
      <w:r w:rsidRPr="00474998">
        <w:rPr>
          <w:rFonts w:ascii="Times New Roman" w:hAnsi="Times New Roman" w:cs="Times New Roman"/>
          <w:b/>
          <w:lang w:val="es-MX"/>
        </w:rPr>
        <w:t>Ritmo de Ejecución del Gasto</w:t>
      </w:r>
    </w:p>
    <w:p w14:paraId="7D629C73" w14:textId="77777777" w:rsidR="00263E88" w:rsidRDefault="00263E88" w:rsidP="00A448DF">
      <w:pPr>
        <w:spacing w:after="0" w:line="240" w:lineRule="auto"/>
        <w:jc w:val="center"/>
        <w:rPr>
          <w:rFonts w:ascii="Times New Roman" w:hAnsi="Times New Roman" w:cs="Times New Roman"/>
          <w:sz w:val="16"/>
        </w:rPr>
      </w:pPr>
      <w:r w:rsidRPr="00E20F18">
        <w:rPr>
          <w:rFonts w:ascii="Times New Roman" w:hAnsi="Times New Roman" w:cs="Times New Roman"/>
          <w:noProof/>
          <w:color w:val="FF9933"/>
          <w:lang w:eastAsia="es-GT"/>
        </w:rPr>
        <w:drawing>
          <wp:anchor distT="0" distB="0" distL="114300" distR="114300" simplePos="0" relativeHeight="251908096" behindDoc="0" locked="0" layoutInCell="1" allowOverlap="1" wp14:anchorId="79A69F7D" wp14:editId="08417A6C">
            <wp:simplePos x="0" y="0"/>
            <wp:positionH relativeFrom="column">
              <wp:posOffset>-165735</wp:posOffset>
            </wp:positionH>
            <wp:positionV relativeFrom="paragraph">
              <wp:posOffset>137160</wp:posOffset>
            </wp:positionV>
            <wp:extent cx="2943225" cy="2609850"/>
            <wp:effectExtent l="0" t="0" r="0"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A448DF">
        <w:rPr>
          <w:rFonts w:ascii="Times New Roman" w:hAnsi="Times New Roman" w:cs="Times New Roman"/>
          <w:sz w:val="18"/>
        </w:rPr>
        <w:t>Variación interanual (%) sin COVID-19</w:t>
      </w:r>
    </w:p>
    <w:p w14:paraId="4B18D09A" w14:textId="77777777" w:rsidR="00263E88" w:rsidRPr="009443F5" w:rsidRDefault="00263E88" w:rsidP="00263E88">
      <w:pPr>
        <w:spacing w:after="0" w:line="240" w:lineRule="auto"/>
        <w:jc w:val="both"/>
        <w:rPr>
          <w:rFonts w:ascii="Times New Roman" w:hAnsi="Times New Roman" w:cs="Times New Roman"/>
          <w:sz w:val="16"/>
        </w:rPr>
      </w:pPr>
      <w:r w:rsidRPr="009443F5">
        <w:rPr>
          <w:rFonts w:ascii="Times New Roman" w:hAnsi="Times New Roman" w:cs="Times New Roman"/>
          <w:sz w:val="16"/>
        </w:rPr>
        <w:t>*No incluye amortizaciones de la deuda pública</w:t>
      </w:r>
    </w:p>
    <w:p w14:paraId="12078248" w14:textId="77777777" w:rsidR="00263E88" w:rsidRDefault="00263E88" w:rsidP="00263E88">
      <w:pPr>
        <w:spacing w:after="0" w:line="240" w:lineRule="auto"/>
        <w:jc w:val="both"/>
        <w:rPr>
          <w:rFonts w:ascii="Times New Roman" w:hAnsi="Times New Roman" w:cs="Times New Roman"/>
          <w:sz w:val="16"/>
        </w:rPr>
      </w:pPr>
      <w:r w:rsidRPr="009443F5">
        <w:rPr>
          <w:rFonts w:ascii="Times New Roman" w:hAnsi="Times New Roman" w:cs="Times New Roman"/>
          <w:sz w:val="16"/>
        </w:rPr>
        <w:t>Fuente: Dirección de Análisis y Política Fiscal</w:t>
      </w:r>
    </w:p>
    <w:p w14:paraId="451DD1EF" w14:textId="77777777" w:rsidR="00263E88" w:rsidRDefault="00263E88" w:rsidP="00263E88">
      <w:pPr>
        <w:spacing w:after="0" w:line="240" w:lineRule="auto"/>
        <w:jc w:val="both"/>
        <w:rPr>
          <w:rFonts w:ascii="Times New Roman" w:hAnsi="Times New Roman" w:cs="Times New Roman"/>
          <w:sz w:val="16"/>
        </w:rPr>
      </w:pPr>
    </w:p>
    <w:p w14:paraId="240B8622" w14:textId="77777777" w:rsidR="00263E88" w:rsidRPr="001D4429" w:rsidRDefault="00263E88" w:rsidP="00263E88">
      <w:pPr>
        <w:pStyle w:val="Sinespaciado"/>
        <w:jc w:val="both"/>
        <w:rPr>
          <w:rFonts w:ascii="Times New Roman" w:hAnsi="Times New Roman" w:cs="Times New Roman"/>
          <w:color w:val="FF0000"/>
          <w:lang w:val="es-MX"/>
        </w:rPr>
      </w:pPr>
      <w:r w:rsidRPr="003A1809">
        <w:rPr>
          <w:rFonts w:ascii="Times New Roman" w:hAnsi="Times New Roman" w:cs="Times New Roman"/>
          <w:color w:val="000000" w:themeColor="text1"/>
          <w:lang w:val="es-MX"/>
        </w:rPr>
        <w:t>A nivel de rubro de cuenta económica, el mayor crecimiento absoluto se reporta en los bienes y servicio</w:t>
      </w:r>
      <w:r>
        <w:rPr>
          <w:rFonts w:ascii="Times New Roman" w:hAnsi="Times New Roman" w:cs="Times New Roman"/>
          <w:color w:val="000000" w:themeColor="text1"/>
          <w:lang w:val="es-MX"/>
        </w:rPr>
        <w:t>s con una ejecución mayor en Q3,016.5</w:t>
      </w:r>
      <w:r w:rsidRPr="003A1809">
        <w:rPr>
          <w:rFonts w:ascii="Times New Roman" w:hAnsi="Times New Roman" w:cs="Times New Roman"/>
          <w:color w:val="000000" w:themeColor="text1"/>
          <w:lang w:val="es-MX"/>
        </w:rPr>
        <w:t xml:space="preserve"> millones (equivalente a un crecimiento interanual de </w:t>
      </w:r>
      <w:r>
        <w:rPr>
          <w:rFonts w:ascii="Times New Roman" w:hAnsi="Times New Roman" w:cs="Times New Roman"/>
          <w:color w:val="000000" w:themeColor="text1"/>
          <w:lang w:val="es-MX"/>
        </w:rPr>
        <w:t>46.9</w:t>
      </w:r>
      <w:r w:rsidRPr="003A1809">
        <w:rPr>
          <w:rFonts w:ascii="Times New Roman" w:hAnsi="Times New Roman" w:cs="Times New Roman"/>
          <w:color w:val="000000" w:themeColor="text1"/>
          <w:lang w:val="es-MX"/>
        </w:rPr>
        <w:t>%), explicado principalmente por un aumento de Q1</w:t>
      </w:r>
      <w:r>
        <w:rPr>
          <w:rFonts w:ascii="Times New Roman" w:hAnsi="Times New Roman" w:cs="Times New Roman"/>
          <w:color w:val="000000" w:themeColor="text1"/>
          <w:lang w:val="es-MX"/>
        </w:rPr>
        <w:t>,489</w:t>
      </w:r>
      <w:r w:rsidRPr="003A1809">
        <w:rPr>
          <w:rFonts w:ascii="Times New Roman" w:hAnsi="Times New Roman" w:cs="Times New Roman"/>
          <w:color w:val="000000" w:themeColor="text1"/>
          <w:lang w:val="es-MX"/>
        </w:rPr>
        <w:t>.</w:t>
      </w:r>
      <w:r>
        <w:rPr>
          <w:rFonts w:ascii="Times New Roman" w:hAnsi="Times New Roman" w:cs="Times New Roman"/>
          <w:color w:val="000000" w:themeColor="text1"/>
          <w:lang w:val="es-MX"/>
        </w:rPr>
        <w:t>1</w:t>
      </w:r>
      <w:r w:rsidRPr="003A1809">
        <w:rPr>
          <w:rFonts w:ascii="Times New Roman" w:hAnsi="Times New Roman" w:cs="Times New Roman"/>
          <w:color w:val="000000" w:themeColor="text1"/>
          <w:lang w:val="es-MX"/>
        </w:rPr>
        <w:t xml:space="preserve"> millones en el Ministerio de Salud Pública y Asistencia Social destinado </w:t>
      </w:r>
      <w:r>
        <w:rPr>
          <w:rFonts w:ascii="Times New Roman" w:hAnsi="Times New Roman" w:cs="Times New Roman"/>
          <w:color w:val="000000" w:themeColor="text1"/>
          <w:lang w:val="es-MX"/>
        </w:rPr>
        <w:t>a</w:t>
      </w:r>
      <w:r w:rsidRPr="003A1809">
        <w:rPr>
          <w:rFonts w:ascii="Times New Roman" w:hAnsi="Times New Roman" w:cs="Times New Roman"/>
          <w:color w:val="000000" w:themeColor="text1"/>
          <w:lang w:val="es-MX"/>
        </w:rPr>
        <w:t xml:space="preserve"> la compra de la vacuna contra el COVID-19</w:t>
      </w:r>
      <w:r>
        <w:rPr>
          <w:rFonts w:ascii="Times New Roman" w:hAnsi="Times New Roman" w:cs="Times New Roman"/>
          <w:color w:val="000000" w:themeColor="text1"/>
          <w:lang w:val="es-MX"/>
        </w:rPr>
        <w:t xml:space="preserve"> y el pago del personal </w:t>
      </w:r>
      <w:r w:rsidRPr="003A1809">
        <w:rPr>
          <w:rFonts w:ascii="Times New Roman" w:hAnsi="Times New Roman" w:cs="Times New Roman"/>
          <w:color w:val="000000" w:themeColor="text1"/>
          <w:lang w:val="es-MX"/>
        </w:rPr>
        <w:t>médico-sanitario</w:t>
      </w:r>
      <w:r>
        <w:rPr>
          <w:rFonts w:ascii="Times New Roman" w:hAnsi="Times New Roman" w:cs="Times New Roman"/>
          <w:color w:val="000000" w:themeColor="text1"/>
          <w:lang w:val="es-MX"/>
        </w:rPr>
        <w:t>.</w:t>
      </w:r>
      <w:r w:rsidRPr="003A1809">
        <w:rPr>
          <w:rFonts w:ascii="Times New Roman" w:hAnsi="Times New Roman" w:cs="Times New Roman"/>
          <w:color w:val="000000" w:themeColor="text1"/>
          <w:lang w:val="es-MX"/>
        </w:rPr>
        <w:t xml:space="preserve"> </w:t>
      </w:r>
    </w:p>
    <w:p w14:paraId="692584B1" w14:textId="77777777" w:rsidR="00263E88" w:rsidRPr="008B062E" w:rsidRDefault="00263E88" w:rsidP="00263E88">
      <w:pPr>
        <w:pStyle w:val="Sinespaciado"/>
        <w:jc w:val="both"/>
        <w:rPr>
          <w:rFonts w:ascii="Times New Roman" w:hAnsi="Times New Roman" w:cs="Times New Roman"/>
          <w:sz w:val="18"/>
          <w:lang w:val="es-MX"/>
        </w:rPr>
      </w:pPr>
    </w:p>
    <w:p w14:paraId="5F6058EF" w14:textId="77777777" w:rsidR="00263E88" w:rsidRDefault="00263E88" w:rsidP="00263E88">
      <w:pPr>
        <w:pStyle w:val="Sinespaciado"/>
        <w:jc w:val="both"/>
        <w:rPr>
          <w:rFonts w:ascii="Times New Roman" w:hAnsi="Times New Roman" w:cs="Times New Roman"/>
          <w:lang w:val="es-MX"/>
        </w:rPr>
      </w:pPr>
      <w:r>
        <w:rPr>
          <w:rFonts w:ascii="Times New Roman" w:hAnsi="Times New Roman" w:cs="Times New Roman"/>
          <w:lang w:val="es-MX"/>
        </w:rPr>
        <w:t>En el Ministerio de Comunicaciones, Infraestructura y Vivienda</w:t>
      </w:r>
      <w:r w:rsidRPr="003A1809">
        <w:rPr>
          <w:rFonts w:ascii="Times New Roman" w:hAnsi="Times New Roman" w:cs="Times New Roman"/>
          <w:color w:val="000000" w:themeColor="text1"/>
          <w:lang w:val="es-MX"/>
        </w:rPr>
        <w:t>, también se reporta un aumento</w:t>
      </w:r>
      <w:r>
        <w:rPr>
          <w:rFonts w:ascii="Times New Roman" w:hAnsi="Times New Roman" w:cs="Times New Roman"/>
          <w:color w:val="000000" w:themeColor="text1"/>
          <w:lang w:val="es-MX"/>
        </w:rPr>
        <w:t xml:space="preserve"> importante de este rubro, siendo</w:t>
      </w:r>
      <w:r w:rsidRPr="003A1809">
        <w:rPr>
          <w:rFonts w:ascii="Times New Roman" w:hAnsi="Times New Roman" w:cs="Times New Roman"/>
          <w:color w:val="000000" w:themeColor="text1"/>
          <w:lang w:val="es-MX"/>
        </w:rPr>
        <w:t xml:space="preserve"> de Q</w:t>
      </w:r>
      <w:r>
        <w:rPr>
          <w:rFonts w:ascii="Times New Roman" w:hAnsi="Times New Roman" w:cs="Times New Roman"/>
          <w:color w:val="000000" w:themeColor="text1"/>
          <w:lang w:val="es-MX"/>
        </w:rPr>
        <w:t>781.1</w:t>
      </w:r>
      <w:r w:rsidRPr="003A1809">
        <w:rPr>
          <w:rFonts w:ascii="Times New Roman" w:hAnsi="Times New Roman" w:cs="Times New Roman"/>
          <w:color w:val="000000" w:themeColor="text1"/>
          <w:lang w:val="es-MX"/>
        </w:rPr>
        <w:t xml:space="preserve"> millones, </w:t>
      </w:r>
      <w:r>
        <w:rPr>
          <w:rFonts w:ascii="Times New Roman" w:hAnsi="Times New Roman" w:cs="Times New Roman"/>
          <w:color w:val="000000" w:themeColor="text1"/>
          <w:lang w:val="es-MX"/>
        </w:rPr>
        <w:t xml:space="preserve">por mantenimiento y </w:t>
      </w:r>
      <w:r>
        <w:rPr>
          <w:rFonts w:ascii="Times New Roman" w:hAnsi="Times New Roman" w:cs="Times New Roman"/>
          <w:color w:val="000000" w:themeColor="text1"/>
          <w:lang w:val="es-MX"/>
        </w:rPr>
        <w:t>reparación de carreteras, edificios y arrendamiento de maquinaria y equipo de construcción</w:t>
      </w:r>
      <w:r>
        <w:rPr>
          <w:rFonts w:ascii="Times New Roman" w:hAnsi="Times New Roman" w:cs="Times New Roman"/>
          <w:lang w:val="es-MX"/>
        </w:rPr>
        <w:t>.</w:t>
      </w:r>
    </w:p>
    <w:p w14:paraId="0E40B27A" w14:textId="77777777" w:rsidR="00263E88" w:rsidRDefault="00263E88" w:rsidP="00263E88">
      <w:pPr>
        <w:pStyle w:val="Sinespaciado"/>
        <w:jc w:val="both"/>
        <w:rPr>
          <w:rFonts w:ascii="Times New Roman" w:hAnsi="Times New Roman" w:cs="Times New Roman"/>
          <w:lang w:val="es-MX"/>
        </w:rPr>
      </w:pPr>
    </w:p>
    <w:p w14:paraId="630BAA24" w14:textId="77777777" w:rsidR="00263E88" w:rsidRDefault="00263E88" w:rsidP="00263E88">
      <w:pPr>
        <w:pStyle w:val="Sinespaciado"/>
        <w:jc w:val="both"/>
        <w:rPr>
          <w:rFonts w:ascii="Times New Roman" w:hAnsi="Times New Roman" w:cs="Times New Roman"/>
          <w:lang w:val="es-MX"/>
        </w:rPr>
      </w:pPr>
      <w:r w:rsidRPr="00DE41EC">
        <w:rPr>
          <w:rFonts w:ascii="Times New Roman" w:hAnsi="Times New Roman" w:cs="Times New Roman"/>
          <w:lang w:val="es-MX"/>
        </w:rPr>
        <w:t>En el rubro de las</w:t>
      </w:r>
      <w:r>
        <w:rPr>
          <w:rFonts w:ascii="Times New Roman" w:hAnsi="Times New Roman" w:cs="Times New Roman"/>
          <w:lang w:val="es-MX"/>
        </w:rPr>
        <w:t xml:space="preserve"> transferencias de capital se reporta un aumento de Q731.7 millones, con un crecimiento inte</w:t>
      </w:r>
      <w:r w:rsidR="006174C1">
        <w:rPr>
          <w:rFonts w:ascii="Times New Roman" w:hAnsi="Times New Roman" w:cs="Times New Roman"/>
          <w:lang w:val="es-MX"/>
        </w:rPr>
        <w:t>ranual de 8.5%, que se explica por</w:t>
      </w:r>
      <w:r>
        <w:rPr>
          <w:rFonts w:ascii="Times New Roman" w:hAnsi="Times New Roman" w:cs="Times New Roman"/>
          <w:lang w:val="es-MX"/>
        </w:rPr>
        <w:t xml:space="preserve"> la mayor asignación de recursos a las Municipalidades y Consejos de Desarrollo.</w:t>
      </w:r>
    </w:p>
    <w:p w14:paraId="518B0D48" w14:textId="77777777" w:rsidR="00263E88" w:rsidRDefault="00263E88" w:rsidP="00263E88">
      <w:pPr>
        <w:pStyle w:val="Sinespaciado"/>
        <w:jc w:val="both"/>
        <w:rPr>
          <w:rFonts w:ascii="Times New Roman" w:hAnsi="Times New Roman" w:cs="Times New Roman"/>
          <w:lang w:val="es-MX"/>
        </w:rPr>
      </w:pPr>
    </w:p>
    <w:p w14:paraId="5E8953B4" w14:textId="77777777" w:rsidR="00263E88" w:rsidRDefault="00263E88" w:rsidP="00263E88">
      <w:pPr>
        <w:pStyle w:val="Sinespaciado"/>
        <w:jc w:val="both"/>
        <w:rPr>
          <w:rFonts w:ascii="Times New Roman" w:hAnsi="Times New Roman" w:cs="Times New Roman"/>
          <w:lang w:val="es-MX"/>
        </w:rPr>
      </w:pPr>
      <w:r>
        <w:rPr>
          <w:rFonts w:ascii="Times New Roman" w:hAnsi="Times New Roman" w:cs="Times New Roman"/>
          <w:lang w:val="es-MX"/>
        </w:rPr>
        <w:t>Por su parte, las remuneraciones</w:t>
      </w:r>
      <w:r w:rsidRPr="00DE41EC">
        <w:rPr>
          <w:rFonts w:ascii="Times New Roman" w:hAnsi="Times New Roman" w:cs="Times New Roman"/>
          <w:lang w:val="es-MX"/>
        </w:rPr>
        <w:t xml:space="preserve"> </w:t>
      </w:r>
      <w:r>
        <w:rPr>
          <w:rFonts w:ascii="Times New Roman" w:hAnsi="Times New Roman" w:cs="Times New Roman"/>
          <w:lang w:val="es-MX"/>
        </w:rPr>
        <w:t>reportan un aumento de Q694.8 millones (crecimiento interanual de 3.2%), mientras que la inversión real directa reporta un aumento de Q320.9 millones (crecimiento interanual de 15.5%), en 2020 este fue uno de los rubros de gasto más castigados por la pandemia, las entidades que suman al</w:t>
      </w:r>
      <w:r w:rsidRPr="0047468E">
        <w:rPr>
          <w:rFonts w:ascii="Times New Roman" w:hAnsi="Times New Roman" w:cs="Times New Roman"/>
          <w:lang w:val="es-MX"/>
        </w:rPr>
        <w:t xml:space="preserve"> aumento</w:t>
      </w:r>
      <w:r>
        <w:rPr>
          <w:rFonts w:ascii="Times New Roman" w:hAnsi="Times New Roman" w:cs="Times New Roman"/>
          <w:lang w:val="es-MX"/>
        </w:rPr>
        <w:t xml:space="preserve"> observado en 2021</w:t>
      </w:r>
      <w:r w:rsidRPr="0047468E">
        <w:rPr>
          <w:rFonts w:ascii="Times New Roman" w:hAnsi="Times New Roman" w:cs="Times New Roman"/>
          <w:lang w:val="es-MX"/>
        </w:rPr>
        <w:t xml:space="preserve"> son: el Ministerio de Comunicaciones con Q2</w:t>
      </w:r>
      <w:r>
        <w:rPr>
          <w:rFonts w:ascii="Times New Roman" w:hAnsi="Times New Roman" w:cs="Times New Roman"/>
          <w:lang w:val="es-MX"/>
        </w:rPr>
        <w:t>12</w:t>
      </w:r>
      <w:r w:rsidRPr="0047468E">
        <w:rPr>
          <w:rFonts w:ascii="Times New Roman" w:hAnsi="Times New Roman" w:cs="Times New Roman"/>
          <w:lang w:val="es-MX"/>
        </w:rPr>
        <w:t>.</w:t>
      </w:r>
      <w:r>
        <w:rPr>
          <w:rFonts w:ascii="Times New Roman" w:hAnsi="Times New Roman" w:cs="Times New Roman"/>
          <w:lang w:val="es-MX"/>
        </w:rPr>
        <w:t xml:space="preserve">1 </w:t>
      </w:r>
      <w:r w:rsidRPr="0047468E">
        <w:rPr>
          <w:rFonts w:ascii="Times New Roman" w:hAnsi="Times New Roman" w:cs="Times New Roman"/>
          <w:lang w:val="es-MX"/>
        </w:rPr>
        <w:t>millones</w:t>
      </w:r>
      <w:r>
        <w:rPr>
          <w:rFonts w:ascii="Times New Roman" w:hAnsi="Times New Roman" w:cs="Times New Roman"/>
          <w:lang w:val="es-MX"/>
        </w:rPr>
        <w:t xml:space="preserve"> y</w:t>
      </w:r>
      <w:r w:rsidRPr="0047468E">
        <w:rPr>
          <w:rFonts w:ascii="Times New Roman" w:hAnsi="Times New Roman" w:cs="Times New Roman"/>
          <w:lang w:val="es-MX"/>
        </w:rPr>
        <w:t xml:space="preserve"> el Ministerio de Desarrollo Social con Q4</w:t>
      </w:r>
      <w:r>
        <w:rPr>
          <w:rFonts w:ascii="Times New Roman" w:hAnsi="Times New Roman" w:cs="Times New Roman"/>
          <w:lang w:val="es-MX"/>
        </w:rPr>
        <w:t>7.1</w:t>
      </w:r>
      <w:r w:rsidRPr="0047468E">
        <w:rPr>
          <w:rFonts w:ascii="Times New Roman" w:hAnsi="Times New Roman" w:cs="Times New Roman"/>
          <w:lang w:val="es-MX"/>
        </w:rPr>
        <w:t xml:space="preserve"> millones</w:t>
      </w:r>
      <w:r>
        <w:rPr>
          <w:rFonts w:ascii="Times New Roman" w:hAnsi="Times New Roman" w:cs="Times New Roman"/>
          <w:lang w:val="es-MX"/>
        </w:rPr>
        <w:t>.</w:t>
      </w:r>
    </w:p>
    <w:p w14:paraId="555D0458" w14:textId="77777777" w:rsidR="00263E88" w:rsidRDefault="00263E88" w:rsidP="00263E88">
      <w:pPr>
        <w:pStyle w:val="Sinespaciado"/>
        <w:jc w:val="both"/>
        <w:rPr>
          <w:rFonts w:ascii="Times New Roman" w:hAnsi="Times New Roman" w:cs="Times New Roman"/>
          <w:lang w:val="es-MX"/>
        </w:rPr>
      </w:pPr>
    </w:p>
    <w:p w14:paraId="6C7C89A5" w14:textId="77777777" w:rsidR="00263E88" w:rsidRDefault="00263E88" w:rsidP="00263E88">
      <w:pPr>
        <w:pStyle w:val="Sinespaciado"/>
        <w:jc w:val="both"/>
        <w:rPr>
          <w:rFonts w:ascii="Times New Roman" w:hAnsi="Times New Roman" w:cs="Times New Roman"/>
          <w:lang w:val="es-MX"/>
        </w:rPr>
      </w:pPr>
      <w:r>
        <w:rPr>
          <w:rFonts w:ascii="Times New Roman" w:hAnsi="Times New Roman" w:cs="Times New Roman"/>
          <w:lang w:val="es-MX"/>
        </w:rPr>
        <w:t>En lo que respecta a los intereses de la deuda interna y externa se observa un aumento de Q251.9 millones (equivalente a un crecimiento de 3.2%). La variación interanual en octubre disminuyó significativamente, debido a un rezago en el registro del servicio de la deuda pública, que se espera regularizar en los próximos meses.</w:t>
      </w:r>
    </w:p>
    <w:p w14:paraId="00B96B71" w14:textId="77777777" w:rsidR="00263E88" w:rsidRDefault="00263E88" w:rsidP="00263E88">
      <w:pPr>
        <w:pStyle w:val="Sinespaciado"/>
        <w:jc w:val="both"/>
        <w:rPr>
          <w:rFonts w:ascii="Times New Roman" w:hAnsi="Times New Roman" w:cs="Times New Roman"/>
          <w:lang w:val="es-MX"/>
        </w:rPr>
      </w:pPr>
    </w:p>
    <w:p w14:paraId="645B8220" w14:textId="77777777" w:rsidR="00263E88" w:rsidRDefault="00263E88" w:rsidP="00263E88">
      <w:pPr>
        <w:pStyle w:val="Sinespaciado"/>
        <w:jc w:val="both"/>
        <w:rPr>
          <w:rFonts w:ascii="Times New Roman" w:hAnsi="Times New Roman" w:cs="Times New Roman"/>
          <w:lang w:val="es-MX"/>
        </w:rPr>
      </w:pPr>
      <w:r>
        <w:rPr>
          <w:rFonts w:ascii="Times New Roman" w:hAnsi="Times New Roman" w:cs="Times New Roman"/>
          <w:lang w:val="es-MX"/>
        </w:rPr>
        <w:t>En cuanto a las prestaciones a la seguridad social, estás reportan un crecimiento interanual de 3.1%, equivalente a Q137.3 millones.</w:t>
      </w:r>
    </w:p>
    <w:p w14:paraId="259BE8AF" w14:textId="77777777" w:rsidR="00263E88" w:rsidRPr="008B062E" w:rsidRDefault="00263E88" w:rsidP="00263E88">
      <w:pPr>
        <w:pStyle w:val="Sinespaciado"/>
        <w:jc w:val="both"/>
        <w:rPr>
          <w:rFonts w:ascii="Times New Roman" w:hAnsi="Times New Roman" w:cs="Times New Roman"/>
          <w:sz w:val="16"/>
          <w:lang w:val="es-MX"/>
        </w:rPr>
      </w:pPr>
    </w:p>
    <w:p w14:paraId="693A4575" w14:textId="77777777" w:rsidR="00263E88" w:rsidRDefault="00263E88" w:rsidP="00263E88">
      <w:pPr>
        <w:pStyle w:val="Sinespaciado"/>
        <w:jc w:val="both"/>
        <w:rPr>
          <w:rFonts w:ascii="Times New Roman" w:hAnsi="Times New Roman" w:cs="Times New Roman"/>
          <w:lang w:val="es-MX"/>
        </w:rPr>
      </w:pPr>
      <w:r>
        <w:rPr>
          <w:rFonts w:ascii="Times New Roman" w:hAnsi="Times New Roman" w:cs="Times New Roman"/>
          <w:lang w:val="es-MX"/>
        </w:rPr>
        <w:t xml:space="preserve">Respecto a la </w:t>
      </w:r>
      <w:r w:rsidRPr="009F5523">
        <w:rPr>
          <w:rFonts w:ascii="Times New Roman" w:hAnsi="Times New Roman" w:cs="Times New Roman"/>
          <w:lang w:val="es-MX"/>
        </w:rPr>
        <w:t>inversión financiera</w:t>
      </w:r>
      <w:r>
        <w:rPr>
          <w:rFonts w:ascii="Times New Roman" w:hAnsi="Times New Roman" w:cs="Times New Roman"/>
          <w:lang w:val="es-MX"/>
        </w:rPr>
        <w:t xml:space="preserve"> y las transferencias corrientes estas reportarán una contracción importante </w:t>
      </w:r>
      <w:r w:rsidRPr="009F5523">
        <w:rPr>
          <w:rFonts w:ascii="Times New Roman" w:hAnsi="Times New Roman" w:cs="Times New Roman"/>
          <w:lang w:val="es-MX"/>
        </w:rPr>
        <w:t>durante el resto del año,</w:t>
      </w:r>
      <w:r>
        <w:rPr>
          <w:rFonts w:ascii="Times New Roman" w:hAnsi="Times New Roman" w:cs="Times New Roman"/>
          <w:lang w:val="es-MX"/>
        </w:rPr>
        <w:t xml:space="preserve"> a octubre fue de -99.6% y -35.9%, respectivamente. Esto se encuentra asociado a los programas COVID-19 que se encontraban en ejecución durante 2020, cuyo registro se encontraba en estos rubros.</w:t>
      </w:r>
    </w:p>
    <w:p w14:paraId="7B878912" w14:textId="77777777" w:rsidR="00263E88" w:rsidRDefault="00263E88" w:rsidP="00263E88">
      <w:pPr>
        <w:pStyle w:val="Sinespaciado"/>
        <w:jc w:val="both"/>
        <w:rPr>
          <w:rFonts w:ascii="Times New Roman" w:hAnsi="Times New Roman" w:cs="Times New Roman"/>
          <w:lang w:val="es-MX"/>
        </w:rPr>
      </w:pPr>
    </w:p>
    <w:p w14:paraId="19A26324" w14:textId="77777777" w:rsidR="00A448DF" w:rsidRDefault="00A448DF" w:rsidP="00263E88">
      <w:pPr>
        <w:pStyle w:val="Sinespaciado"/>
        <w:jc w:val="both"/>
        <w:rPr>
          <w:rFonts w:ascii="Times New Roman" w:hAnsi="Times New Roman" w:cs="Times New Roman"/>
          <w:lang w:val="es-MX"/>
        </w:rPr>
      </w:pPr>
    </w:p>
    <w:p w14:paraId="05C20944" w14:textId="77777777" w:rsidR="009652AF" w:rsidRDefault="009652AF" w:rsidP="00263E88">
      <w:pPr>
        <w:pStyle w:val="Sinespaciado"/>
        <w:jc w:val="both"/>
        <w:rPr>
          <w:rFonts w:ascii="Times New Roman" w:hAnsi="Times New Roman" w:cs="Times New Roman"/>
          <w:lang w:val="es-MX"/>
        </w:rPr>
      </w:pPr>
    </w:p>
    <w:p w14:paraId="7FEA171E" w14:textId="77777777" w:rsidR="004B3442" w:rsidRDefault="004B3442" w:rsidP="00263E88">
      <w:pPr>
        <w:pStyle w:val="Sinespaciado"/>
        <w:jc w:val="both"/>
        <w:rPr>
          <w:rFonts w:ascii="Times New Roman" w:hAnsi="Times New Roman" w:cs="Times New Roman"/>
          <w:lang w:val="es-MX"/>
        </w:rPr>
      </w:pPr>
    </w:p>
    <w:p w14:paraId="5285DA8D" w14:textId="77777777" w:rsidR="00263E88" w:rsidRPr="002C4CB2" w:rsidRDefault="00263E88" w:rsidP="00263E88">
      <w:pPr>
        <w:pStyle w:val="Sinespaciado"/>
        <w:jc w:val="center"/>
      </w:pPr>
      <w:r w:rsidRPr="002C4CB2">
        <w:rPr>
          <w:rFonts w:ascii="Times New Roman" w:hAnsi="Times New Roman" w:cs="Times New Roman"/>
          <w:b/>
          <w:lang w:val="es-MX"/>
        </w:rPr>
        <w:t>Ejecución por rubro de Cuenta Económica</w:t>
      </w:r>
    </w:p>
    <w:p w14:paraId="741E286A" w14:textId="77777777" w:rsidR="00263E88" w:rsidRPr="002C4CB2" w:rsidRDefault="00263E88" w:rsidP="00263E88">
      <w:pPr>
        <w:pStyle w:val="Sinespaciado"/>
        <w:jc w:val="center"/>
        <w:rPr>
          <w:rFonts w:ascii="Times New Roman" w:hAnsi="Times New Roman" w:cs="Times New Roman"/>
          <w:sz w:val="18"/>
          <w:lang w:val="es-MX"/>
        </w:rPr>
      </w:pPr>
      <w:r w:rsidRPr="002C4CB2">
        <w:rPr>
          <w:rFonts w:ascii="Times New Roman" w:hAnsi="Times New Roman" w:cs="Times New Roman"/>
          <w:sz w:val="18"/>
          <w:szCs w:val="18"/>
          <w:lang w:val="es-MX"/>
        </w:rPr>
        <w:t>2021 – 2020</w:t>
      </w:r>
    </w:p>
    <w:p w14:paraId="44015881" w14:textId="77777777" w:rsidR="00263E88" w:rsidRDefault="00263E88" w:rsidP="00263E88">
      <w:pPr>
        <w:pStyle w:val="Sinespaciado"/>
        <w:jc w:val="center"/>
        <w:rPr>
          <w:rFonts w:ascii="Times New Roman" w:hAnsi="Times New Roman" w:cs="Times New Roman"/>
          <w:sz w:val="18"/>
          <w:lang w:val="es-MX"/>
        </w:rPr>
      </w:pPr>
      <w:r w:rsidRPr="002C4CB2">
        <w:rPr>
          <w:rFonts w:ascii="Times New Roman" w:hAnsi="Times New Roman" w:cs="Times New Roman"/>
          <w:sz w:val="18"/>
          <w:lang w:val="es-MX"/>
        </w:rPr>
        <w:t>Variación absoluta interanual</w:t>
      </w:r>
    </w:p>
    <w:p w14:paraId="02AD1938" w14:textId="77777777" w:rsidR="00263E88" w:rsidRPr="002C4CB2" w:rsidRDefault="00263E88" w:rsidP="00263E88">
      <w:pPr>
        <w:pStyle w:val="Sinespaciado"/>
        <w:jc w:val="center"/>
        <w:rPr>
          <w:rFonts w:ascii="Times New Roman" w:hAnsi="Times New Roman" w:cs="Times New Roman"/>
          <w:sz w:val="18"/>
          <w:lang w:val="es-MX"/>
        </w:rPr>
      </w:pPr>
      <w:r w:rsidRPr="002C4CB2">
        <w:rPr>
          <w:rFonts w:ascii="Times New Roman" w:hAnsi="Times New Roman" w:cs="Times New Roman"/>
          <w:noProof/>
          <w:sz w:val="18"/>
          <w:lang w:eastAsia="es-GT"/>
        </w:rPr>
        <w:drawing>
          <wp:inline distT="0" distB="0" distL="0" distR="0" wp14:anchorId="53022606" wp14:editId="14799524">
            <wp:extent cx="2610485" cy="4067175"/>
            <wp:effectExtent l="0" t="0" r="0" b="0"/>
            <wp:docPr id="24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5AD3057" w14:textId="77777777" w:rsidR="00263E88" w:rsidRPr="002C4CB2" w:rsidRDefault="00263E88" w:rsidP="00263E88">
      <w:pPr>
        <w:spacing w:after="0" w:line="240" w:lineRule="auto"/>
        <w:jc w:val="both"/>
        <w:rPr>
          <w:rFonts w:ascii="Times New Roman" w:hAnsi="Times New Roman" w:cs="Times New Roman"/>
          <w:sz w:val="16"/>
        </w:rPr>
      </w:pPr>
      <w:r w:rsidRPr="002C4CB2">
        <w:rPr>
          <w:rFonts w:ascii="Times New Roman" w:hAnsi="Times New Roman" w:cs="Times New Roman"/>
          <w:sz w:val="16"/>
        </w:rPr>
        <w:t>Fuente: Dirección de Análisis y Política Fiscal</w:t>
      </w:r>
    </w:p>
    <w:p w14:paraId="20245FE3" w14:textId="77777777" w:rsidR="00263E88" w:rsidRDefault="00263E88" w:rsidP="00263E88">
      <w:pPr>
        <w:pStyle w:val="Sinespaciado"/>
        <w:jc w:val="both"/>
        <w:rPr>
          <w:rFonts w:ascii="Times New Roman" w:hAnsi="Times New Roman" w:cs="Times New Roman"/>
          <w:lang w:val="es-MX"/>
        </w:rPr>
      </w:pPr>
    </w:p>
    <w:p w14:paraId="2E7F4F9F" w14:textId="77777777" w:rsidR="00263E88" w:rsidRPr="008E3A30" w:rsidRDefault="00263E88" w:rsidP="00263E88">
      <w:pPr>
        <w:pStyle w:val="Sinespaciado"/>
        <w:jc w:val="both"/>
        <w:rPr>
          <w:rFonts w:ascii="Times New Roman" w:hAnsi="Times New Roman" w:cs="Times New Roman"/>
          <w:lang w:val="es-MX"/>
        </w:rPr>
      </w:pPr>
      <w:r w:rsidRPr="008E3A30">
        <w:rPr>
          <w:rFonts w:ascii="Times New Roman" w:hAnsi="Times New Roman" w:cs="Times New Roman"/>
          <w:lang w:val="es-MX"/>
        </w:rPr>
        <w:t xml:space="preserve">En cuanto al gasto total, el cual incluye amortizaciones de </w:t>
      </w:r>
      <w:r>
        <w:rPr>
          <w:rFonts w:ascii="Times New Roman" w:hAnsi="Times New Roman" w:cs="Times New Roman"/>
          <w:lang w:val="es-MX"/>
        </w:rPr>
        <w:t>la deuda pública, se situó en Q71</w:t>
      </w:r>
      <w:r w:rsidRPr="008E3A30">
        <w:rPr>
          <w:rFonts w:ascii="Times New Roman" w:hAnsi="Times New Roman" w:cs="Times New Roman"/>
          <w:lang w:val="es-MX"/>
        </w:rPr>
        <w:t>,</w:t>
      </w:r>
      <w:r>
        <w:rPr>
          <w:rFonts w:ascii="Times New Roman" w:hAnsi="Times New Roman" w:cs="Times New Roman"/>
          <w:lang w:val="es-MX"/>
        </w:rPr>
        <w:t>396.1 m</w:t>
      </w:r>
      <w:r w:rsidRPr="008E3A30">
        <w:rPr>
          <w:rFonts w:ascii="Times New Roman" w:hAnsi="Times New Roman" w:cs="Times New Roman"/>
          <w:lang w:val="es-MX"/>
        </w:rPr>
        <w:t>illones,</w:t>
      </w:r>
      <w:r>
        <w:rPr>
          <w:rFonts w:ascii="Times New Roman" w:hAnsi="Times New Roman" w:cs="Times New Roman"/>
          <w:lang w:val="es-MX"/>
        </w:rPr>
        <w:t xml:space="preserve"> con un grado de ejecución de 66.4</w:t>
      </w:r>
      <w:r w:rsidRPr="008E3A30">
        <w:rPr>
          <w:rFonts w:ascii="Times New Roman" w:hAnsi="Times New Roman" w:cs="Times New Roman"/>
          <w:lang w:val="es-MX"/>
        </w:rPr>
        <w:t>%</w:t>
      </w:r>
      <w:r>
        <w:rPr>
          <w:rFonts w:ascii="Times New Roman" w:hAnsi="Times New Roman" w:cs="Times New Roman"/>
          <w:lang w:val="es-MX"/>
        </w:rPr>
        <w:t xml:space="preserve"> y una variación interanual negativa del 5</w:t>
      </w:r>
      <w:r w:rsidRPr="008E3A30">
        <w:rPr>
          <w:rFonts w:ascii="Times New Roman" w:hAnsi="Times New Roman" w:cs="Times New Roman"/>
          <w:lang w:val="es-MX"/>
        </w:rPr>
        <w:t>.</w:t>
      </w:r>
      <w:r>
        <w:rPr>
          <w:rFonts w:ascii="Times New Roman" w:hAnsi="Times New Roman" w:cs="Times New Roman"/>
          <w:lang w:val="es-MX"/>
        </w:rPr>
        <w:t>6</w:t>
      </w:r>
      <w:r w:rsidRPr="008E3A30">
        <w:rPr>
          <w:rFonts w:ascii="Times New Roman" w:hAnsi="Times New Roman" w:cs="Times New Roman"/>
          <w:lang w:val="es-MX"/>
        </w:rPr>
        <w:t>%. Este grado de ejecución se encuentra por abajo de la ejecución promedio de los últimos 5 años (</w:t>
      </w:r>
      <w:r>
        <w:rPr>
          <w:rFonts w:ascii="Times New Roman" w:hAnsi="Times New Roman" w:cs="Times New Roman"/>
          <w:lang w:val="es-MX"/>
        </w:rPr>
        <w:t>72.4</w:t>
      </w:r>
      <w:r w:rsidRPr="008E3A30">
        <w:rPr>
          <w:rFonts w:ascii="Times New Roman" w:hAnsi="Times New Roman" w:cs="Times New Roman"/>
          <w:lang w:val="es-MX"/>
        </w:rPr>
        <w:t xml:space="preserve">%) y es inferior a la reportada en cada uno de los años previos. </w:t>
      </w:r>
    </w:p>
    <w:p w14:paraId="651E5D87" w14:textId="77777777" w:rsidR="00263E88" w:rsidRDefault="00263E88" w:rsidP="00263E88">
      <w:pPr>
        <w:pStyle w:val="Sinespaciado"/>
        <w:jc w:val="both"/>
        <w:rPr>
          <w:rFonts w:ascii="Times New Roman" w:hAnsi="Times New Roman" w:cs="Times New Roman"/>
          <w:lang w:val="es-MX"/>
        </w:rPr>
      </w:pPr>
    </w:p>
    <w:p w14:paraId="58F6EAEB" w14:textId="77777777" w:rsidR="00263E88" w:rsidRDefault="00263E88" w:rsidP="00263E88">
      <w:pPr>
        <w:pStyle w:val="Sinespaciado"/>
        <w:jc w:val="both"/>
        <w:rPr>
          <w:rFonts w:ascii="Times New Roman" w:hAnsi="Times New Roman" w:cs="Times New Roman"/>
          <w:color w:val="FF0000"/>
          <w:lang w:val="es-MX"/>
        </w:rPr>
      </w:pPr>
      <w:r w:rsidRPr="008E3A30">
        <w:rPr>
          <w:rFonts w:ascii="Times New Roman" w:hAnsi="Times New Roman" w:cs="Times New Roman"/>
          <w:lang w:val="es-MX"/>
        </w:rPr>
        <w:t>Tomando en consideración el presupuesto operativo anunciado por el Ejecutivo (Q94,354.0</w:t>
      </w:r>
      <w:r>
        <w:rPr>
          <w:rFonts w:ascii="Times New Roman" w:hAnsi="Times New Roman" w:cs="Times New Roman"/>
          <w:lang w:val="es-MX"/>
        </w:rPr>
        <w:t xml:space="preserve"> millones), una ejecución más apegada a la realidad,</w:t>
      </w:r>
      <w:r w:rsidRPr="008E3A30">
        <w:rPr>
          <w:rFonts w:ascii="Times New Roman" w:hAnsi="Times New Roman" w:cs="Times New Roman"/>
          <w:lang w:val="es-MX"/>
        </w:rPr>
        <w:t xml:space="preserve"> podría ubicarse en</w:t>
      </w:r>
      <w:r>
        <w:rPr>
          <w:rFonts w:ascii="Times New Roman" w:hAnsi="Times New Roman" w:cs="Times New Roman"/>
          <w:lang w:val="es-MX"/>
        </w:rPr>
        <w:t xml:space="preserve"> 75</w:t>
      </w:r>
      <w:r w:rsidRPr="008E3A30">
        <w:rPr>
          <w:rFonts w:ascii="Times New Roman" w:hAnsi="Times New Roman" w:cs="Times New Roman"/>
          <w:lang w:val="es-MX"/>
        </w:rPr>
        <w:t>.</w:t>
      </w:r>
      <w:r>
        <w:rPr>
          <w:rFonts w:ascii="Times New Roman" w:hAnsi="Times New Roman" w:cs="Times New Roman"/>
          <w:lang w:val="es-MX"/>
        </w:rPr>
        <w:t>7</w:t>
      </w:r>
      <w:r w:rsidRPr="008E3A30">
        <w:rPr>
          <w:rFonts w:ascii="Times New Roman" w:hAnsi="Times New Roman" w:cs="Times New Roman"/>
          <w:lang w:val="es-MX"/>
        </w:rPr>
        <w:t xml:space="preserve">%, siendo superior al promedio de los </w:t>
      </w:r>
      <w:r w:rsidRPr="008E3A30">
        <w:rPr>
          <w:rFonts w:ascii="Times New Roman" w:hAnsi="Times New Roman" w:cs="Times New Roman"/>
          <w:lang w:val="es-MX"/>
        </w:rPr>
        <w:t>últimos 5 años y a cada uno de los años anteriores.</w:t>
      </w:r>
    </w:p>
    <w:p w14:paraId="139F2246" w14:textId="77777777" w:rsidR="00263E88" w:rsidRDefault="00263E88" w:rsidP="006174C1">
      <w:pPr>
        <w:spacing w:after="0" w:line="240" w:lineRule="auto"/>
        <w:rPr>
          <w:rFonts w:ascii="Times New Roman" w:hAnsi="Times New Roman" w:cs="Times New Roman"/>
          <w:b/>
          <w:lang w:val="es-MX"/>
        </w:rPr>
      </w:pPr>
    </w:p>
    <w:p w14:paraId="5AF2964B" w14:textId="77777777" w:rsidR="00263E88" w:rsidRPr="002C4CB2" w:rsidRDefault="00263E88" w:rsidP="00263E88">
      <w:pPr>
        <w:spacing w:after="0" w:line="240" w:lineRule="auto"/>
        <w:jc w:val="center"/>
        <w:rPr>
          <w:rFonts w:ascii="Times New Roman" w:hAnsi="Times New Roman" w:cs="Times New Roman"/>
          <w:b/>
          <w:lang w:val="es-MX"/>
        </w:rPr>
      </w:pPr>
      <w:r w:rsidRPr="002C4CB2">
        <w:rPr>
          <w:rFonts w:ascii="Times New Roman" w:hAnsi="Times New Roman" w:cs="Times New Roman"/>
          <w:b/>
          <w:lang w:val="es-MX"/>
        </w:rPr>
        <w:t>Grado de Ejecución de los últimos 5 años</w:t>
      </w:r>
    </w:p>
    <w:p w14:paraId="277CA44C" w14:textId="77777777" w:rsidR="00263E88" w:rsidRPr="002C4CB2" w:rsidRDefault="00263E88" w:rsidP="00263E88">
      <w:pPr>
        <w:pStyle w:val="Sinespaciado"/>
        <w:jc w:val="center"/>
        <w:rPr>
          <w:rFonts w:ascii="Times New Roman" w:hAnsi="Times New Roman" w:cs="Times New Roman"/>
          <w:sz w:val="18"/>
          <w:szCs w:val="18"/>
          <w:lang w:val="es-MX"/>
        </w:rPr>
      </w:pPr>
      <w:r>
        <w:rPr>
          <w:rFonts w:ascii="Times New Roman" w:hAnsi="Times New Roman" w:cs="Times New Roman"/>
          <w:sz w:val="18"/>
          <w:szCs w:val="18"/>
          <w:lang w:val="es-MX"/>
        </w:rPr>
        <w:t>Al 31</w:t>
      </w:r>
      <w:r w:rsidRPr="002C4CB2">
        <w:rPr>
          <w:rFonts w:ascii="Times New Roman" w:hAnsi="Times New Roman" w:cs="Times New Roman"/>
          <w:sz w:val="18"/>
          <w:szCs w:val="18"/>
          <w:lang w:val="es-MX"/>
        </w:rPr>
        <w:t xml:space="preserve"> de </w:t>
      </w:r>
      <w:r>
        <w:rPr>
          <w:rFonts w:ascii="Times New Roman" w:hAnsi="Times New Roman" w:cs="Times New Roman"/>
          <w:sz w:val="18"/>
          <w:szCs w:val="18"/>
          <w:lang w:val="es-MX"/>
        </w:rPr>
        <w:t>octubre</w:t>
      </w:r>
      <w:r w:rsidRPr="002C4CB2">
        <w:rPr>
          <w:rFonts w:ascii="Times New Roman" w:hAnsi="Times New Roman" w:cs="Times New Roman"/>
          <w:sz w:val="18"/>
          <w:szCs w:val="18"/>
          <w:lang w:val="es-MX"/>
        </w:rPr>
        <w:t xml:space="preserve"> de cada año</w:t>
      </w:r>
    </w:p>
    <w:p w14:paraId="73B7C468" w14:textId="77777777" w:rsidR="00263E88" w:rsidRPr="002C4CB2" w:rsidRDefault="009652AF" w:rsidP="00263E88">
      <w:pPr>
        <w:pStyle w:val="Sinespaciado"/>
        <w:jc w:val="center"/>
        <w:rPr>
          <w:rFonts w:ascii="Times New Roman" w:hAnsi="Times New Roman" w:cs="Times New Roman"/>
          <w:sz w:val="18"/>
          <w:szCs w:val="18"/>
          <w:lang w:val="es-MX"/>
        </w:rPr>
      </w:pPr>
      <w:r w:rsidRPr="002C4CB2">
        <w:rPr>
          <w:rFonts w:ascii="Times New Roman" w:hAnsi="Times New Roman" w:cs="Times New Roman"/>
          <w:noProof/>
          <w:sz w:val="18"/>
          <w:szCs w:val="18"/>
          <w:lang w:eastAsia="es-GT"/>
        </w:rPr>
        <w:drawing>
          <wp:anchor distT="0" distB="0" distL="114300" distR="114300" simplePos="0" relativeHeight="251905024" behindDoc="0" locked="0" layoutInCell="1" allowOverlap="1" wp14:anchorId="175B3B35" wp14:editId="21FB0B6A">
            <wp:simplePos x="0" y="0"/>
            <wp:positionH relativeFrom="column">
              <wp:posOffset>-149225</wp:posOffset>
            </wp:positionH>
            <wp:positionV relativeFrom="paragraph">
              <wp:posOffset>139700</wp:posOffset>
            </wp:positionV>
            <wp:extent cx="2933700" cy="2352675"/>
            <wp:effectExtent l="0" t="0" r="0" b="0"/>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263E88" w:rsidRPr="002C4CB2">
        <w:rPr>
          <w:rFonts w:ascii="Times New Roman" w:hAnsi="Times New Roman" w:cs="Times New Roman"/>
          <w:sz w:val="18"/>
          <w:szCs w:val="18"/>
          <w:lang w:val="es-MX"/>
        </w:rPr>
        <w:t>Cifras en porcentajes</w:t>
      </w:r>
    </w:p>
    <w:p w14:paraId="6BF6D0F3" w14:textId="77777777" w:rsidR="00263E88" w:rsidRPr="002C4CB2" w:rsidRDefault="00263E88" w:rsidP="00263E88">
      <w:pPr>
        <w:spacing w:after="0" w:line="240" w:lineRule="auto"/>
        <w:jc w:val="both"/>
        <w:rPr>
          <w:rFonts w:ascii="Times New Roman" w:hAnsi="Times New Roman" w:cs="Times New Roman"/>
          <w:b/>
          <w:i/>
          <w:sz w:val="16"/>
        </w:rPr>
      </w:pPr>
      <w:r w:rsidRPr="002C4CB2">
        <w:rPr>
          <w:rFonts w:ascii="Times New Roman" w:hAnsi="Times New Roman" w:cs="Times New Roman"/>
          <w:b/>
          <w:i/>
          <w:sz w:val="16"/>
        </w:rPr>
        <w:t>*Con presupuesto 2021 ajustado Q94,354.0 millones</w:t>
      </w:r>
    </w:p>
    <w:p w14:paraId="76BAEE30" w14:textId="77777777" w:rsidR="00263E88" w:rsidRPr="002C4CB2" w:rsidRDefault="00263E88" w:rsidP="00263E88">
      <w:pPr>
        <w:spacing w:after="0" w:line="240" w:lineRule="auto"/>
        <w:jc w:val="both"/>
        <w:rPr>
          <w:rFonts w:ascii="Times New Roman" w:hAnsi="Times New Roman" w:cs="Times New Roman"/>
          <w:sz w:val="16"/>
        </w:rPr>
      </w:pPr>
      <w:r w:rsidRPr="002C4CB2">
        <w:rPr>
          <w:rFonts w:ascii="Times New Roman" w:hAnsi="Times New Roman" w:cs="Times New Roman"/>
          <w:sz w:val="16"/>
        </w:rPr>
        <w:t>Fuente: Dirección de Análisis y Política Fiscal</w:t>
      </w:r>
    </w:p>
    <w:p w14:paraId="7C50A7A3" w14:textId="77777777" w:rsidR="00263E88" w:rsidRPr="002C4CB2" w:rsidRDefault="00263E88" w:rsidP="00263E88">
      <w:pPr>
        <w:pStyle w:val="Sinespaciado"/>
        <w:jc w:val="both"/>
        <w:rPr>
          <w:rFonts w:ascii="Times New Roman" w:hAnsi="Times New Roman" w:cs="Times New Roman"/>
          <w:color w:val="FF0000"/>
        </w:rPr>
      </w:pPr>
    </w:p>
    <w:p w14:paraId="3D3C1053" w14:textId="77777777" w:rsidR="00263E88" w:rsidRDefault="00263E88" w:rsidP="00263E88">
      <w:pPr>
        <w:pStyle w:val="Sinespaciado"/>
        <w:jc w:val="both"/>
        <w:rPr>
          <w:rFonts w:ascii="Times New Roman" w:hAnsi="Times New Roman" w:cs="Times New Roman"/>
        </w:rPr>
      </w:pPr>
      <w:r>
        <w:rPr>
          <w:rFonts w:ascii="Times New Roman" w:hAnsi="Times New Roman" w:cs="Times New Roman"/>
        </w:rPr>
        <w:t xml:space="preserve">A nivel del gasto público por entidades, las que muestran el mayor nivel de ejecución son: la PGN (81.1%), </w:t>
      </w:r>
      <w:r w:rsidRPr="008639E5">
        <w:rPr>
          <w:rFonts w:ascii="Times New Roman" w:hAnsi="Times New Roman" w:cs="Times New Roman"/>
        </w:rPr>
        <w:t>Educación (</w:t>
      </w:r>
      <w:r>
        <w:rPr>
          <w:rFonts w:ascii="Times New Roman" w:hAnsi="Times New Roman" w:cs="Times New Roman"/>
        </w:rPr>
        <w:t>78</w:t>
      </w:r>
      <w:r w:rsidRPr="008639E5">
        <w:rPr>
          <w:rFonts w:ascii="Times New Roman" w:hAnsi="Times New Roman" w:cs="Times New Roman"/>
        </w:rPr>
        <w:t>.</w:t>
      </w:r>
      <w:r>
        <w:rPr>
          <w:rFonts w:ascii="Times New Roman" w:hAnsi="Times New Roman" w:cs="Times New Roman"/>
        </w:rPr>
        <w:t>9</w:t>
      </w:r>
      <w:r w:rsidRPr="008639E5">
        <w:rPr>
          <w:rFonts w:ascii="Times New Roman" w:hAnsi="Times New Roman" w:cs="Times New Roman"/>
        </w:rPr>
        <w:t xml:space="preserve">%), </w:t>
      </w:r>
      <w:r>
        <w:rPr>
          <w:rFonts w:ascii="Times New Roman" w:hAnsi="Times New Roman" w:cs="Times New Roman"/>
        </w:rPr>
        <w:t xml:space="preserve"> Gobernación (78.0%), Trabajo (75.7%), </w:t>
      </w:r>
      <w:r w:rsidRPr="004523BC">
        <w:rPr>
          <w:rFonts w:ascii="Times New Roman" w:hAnsi="Times New Roman" w:cs="Times New Roman"/>
        </w:rPr>
        <w:t xml:space="preserve">Deuda Pública </w:t>
      </w:r>
      <w:r>
        <w:rPr>
          <w:rFonts w:ascii="Times New Roman" w:hAnsi="Times New Roman" w:cs="Times New Roman"/>
        </w:rPr>
        <w:t>(74.4%), MINREX (74.0</w:t>
      </w:r>
      <w:r>
        <w:rPr>
          <w:rFonts w:ascii="Times New Roman" w:hAnsi="Times New Roman" w:cs="Times New Roman"/>
        </w:rPr>
        <w:br/>
        <w:t xml:space="preserve">%), Ambiente (72.7%), Defensa (70.5%), Desarrollo (70.4%), Presidencia (70.3%), Finanzas (69.2%), y Salud Pública (66.5%) todas estas entidades se encuentran por arriba de la ejecución institucional total (66.4%). </w:t>
      </w:r>
    </w:p>
    <w:p w14:paraId="444B2096" w14:textId="77777777" w:rsidR="00263E88" w:rsidRDefault="00263E88" w:rsidP="00263E88">
      <w:pPr>
        <w:pStyle w:val="Sinespaciado"/>
        <w:jc w:val="both"/>
        <w:rPr>
          <w:rFonts w:ascii="Times New Roman" w:hAnsi="Times New Roman" w:cs="Times New Roman"/>
        </w:rPr>
      </w:pPr>
    </w:p>
    <w:p w14:paraId="112DEB91" w14:textId="77777777" w:rsidR="00263E88" w:rsidRDefault="00263E88" w:rsidP="00263E88">
      <w:pPr>
        <w:pStyle w:val="Sinespaciado"/>
        <w:jc w:val="both"/>
        <w:rPr>
          <w:rFonts w:ascii="Times New Roman" w:hAnsi="Times New Roman" w:cs="Times New Roman"/>
        </w:rPr>
      </w:pPr>
      <w:r>
        <w:rPr>
          <w:rFonts w:ascii="Times New Roman" w:hAnsi="Times New Roman" w:cs="Times New Roman"/>
        </w:rPr>
        <w:t>Por su parte, el resto de las entidades se encuentran por debajo de la ejecución total, resalta el caso de dos entidades: Economía (57.1%) y las Obligaciones del Estado (56.3%).</w:t>
      </w:r>
    </w:p>
    <w:p w14:paraId="29B2E1AF" w14:textId="77777777" w:rsidR="00263E88" w:rsidRDefault="00263E88" w:rsidP="00263E88">
      <w:pPr>
        <w:pStyle w:val="Sinespaciado"/>
        <w:jc w:val="both"/>
        <w:rPr>
          <w:rFonts w:ascii="Times New Roman" w:hAnsi="Times New Roman" w:cs="Times New Roman"/>
        </w:rPr>
      </w:pPr>
    </w:p>
    <w:p w14:paraId="4E88BF67" w14:textId="77777777" w:rsidR="009652AF" w:rsidRPr="009652AF" w:rsidRDefault="009652AF" w:rsidP="00263E88">
      <w:pPr>
        <w:pStyle w:val="Sinespaciado"/>
        <w:jc w:val="both"/>
        <w:rPr>
          <w:rFonts w:ascii="Times New Roman" w:hAnsi="Times New Roman" w:cs="Times New Roman"/>
          <w:lang w:val="es-MX"/>
        </w:rPr>
      </w:pPr>
    </w:p>
    <w:p w14:paraId="6F23C189" w14:textId="77777777" w:rsidR="009652AF" w:rsidRDefault="009652AF" w:rsidP="00263E88">
      <w:pPr>
        <w:pStyle w:val="Sinespaciado"/>
        <w:jc w:val="both"/>
        <w:rPr>
          <w:rFonts w:ascii="Times New Roman" w:hAnsi="Times New Roman" w:cs="Times New Roman"/>
        </w:rPr>
      </w:pPr>
    </w:p>
    <w:p w14:paraId="49C48CEB" w14:textId="77777777" w:rsidR="009652AF" w:rsidRDefault="009652AF" w:rsidP="00263E88">
      <w:pPr>
        <w:pStyle w:val="Sinespaciado"/>
        <w:jc w:val="both"/>
        <w:rPr>
          <w:rFonts w:ascii="Times New Roman" w:hAnsi="Times New Roman" w:cs="Times New Roman"/>
        </w:rPr>
      </w:pPr>
    </w:p>
    <w:p w14:paraId="145EFFCC" w14:textId="77777777" w:rsidR="006174C1" w:rsidRDefault="006174C1" w:rsidP="00263E88">
      <w:pPr>
        <w:pStyle w:val="Sinespaciado"/>
        <w:jc w:val="both"/>
        <w:rPr>
          <w:rFonts w:ascii="Times New Roman" w:hAnsi="Times New Roman" w:cs="Times New Roman"/>
        </w:rPr>
      </w:pPr>
    </w:p>
    <w:p w14:paraId="1B87E238" w14:textId="77777777" w:rsidR="006174C1" w:rsidRDefault="006174C1" w:rsidP="00263E88">
      <w:pPr>
        <w:pStyle w:val="Sinespaciado"/>
        <w:jc w:val="both"/>
        <w:rPr>
          <w:rFonts w:ascii="Times New Roman" w:hAnsi="Times New Roman" w:cs="Times New Roman"/>
        </w:rPr>
      </w:pPr>
    </w:p>
    <w:p w14:paraId="46FE3F28" w14:textId="77777777" w:rsidR="009652AF" w:rsidRDefault="009652AF" w:rsidP="00263E88">
      <w:pPr>
        <w:pStyle w:val="Sinespaciado"/>
        <w:jc w:val="both"/>
        <w:rPr>
          <w:rFonts w:ascii="Times New Roman" w:hAnsi="Times New Roman" w:cs="Times New Roman"/>
        </w:rPr>
      </w:pPr>
    </w:p>
    <w:p w14:paraId="22C9BFF1" w14:textId="77777777" w:rsidR="00263E88" w:rsidRPr="002C4CB2" w:rsidRDefault="00263E88" w:rsidP="00263E88">
      <w:pPr>
        <w:spacing w:after="0" w:line="240" w:lineRule="auto"/>
        <w:jc w:val="center"/>
        <w:rPr>
          <w:rFonts w:ascii="Times New Roman" w:hAnsi="Times New Roman" w:cs="Times New Roman"/>
          <w:b/>
          <w:lang w:val="es-MX"/>
        </w:rPr>
      </w:pPr>
      <w:r w:rsidRPr="002C4CB2">
        <w:rPr>
          <w:rFonts w:ascii="Times New Roman" w:hAnsi="Times New Roman" w:cs="Times New Roman"/>
          <w:b/>
          <w:lang w:val="es-MX"/>
        </w:rPr>
        <w:lastRenderedPageBreak/>
        <w:t>Grado de Ejecución por Entidad</w:t>
      </w:r>
    </w:p>
    <w:p w14:paraId="30D5554C" w14:textId="77777777" w:rsidR="00263E88" w:rsidRPr="002C4CB2" w:rsidRDefault="00263E88" w:rsidP="00263E88">
      <w:pPr>
        <w:spacing w:after="0" w:line="240" w:lineRule="auto"/>
        <w:jc w:val="center"/>
        <w:rPr>
          <w:rFonts w:ascii="Times New Roman" w:hAnsi="Times New Roman" w:cs="Times New Roman"/>
          <w:sz w:val="18"/>
          <w:szCs w:val="18"/>
          <w:lang w:val="es-MX"/>
        </w:rPr>
      </w:pPr>
      <w:r w:rsidRPr="002C4CB2">
        <w:rPr>
          <w:rFonts w:ascii="Times New Roman" w:hAnsi="Times New Roman" w:cs="Times New Roman"/>
          <w:sz w:val="18"/>
          <w:szCs w:val="18"/>
          <w:lang w:val="es-MX"/>
        </w:rPr>
        <w:t>Al 3</w:t>
      </w:r>
      <w:r>
        <w:rPr>
          <w:rFonts w:ascii="Times New Roman" w:hAnsi="Times New Roman" w:cs="Times New Roman"/>
          <w:sz w:val="18"/>
          <w:szCs w:val="18"/>
          <w:lang w:val="es-MX"/>
        </w:rPr>
        <w:t>1 de octubre</w:t>
      </w:r>
      <w:r w:rsidRPr="002C4CB2">
        <w:rPr>
          <w:rFonts w:ascii="Times New Roman" w:hAnsi="Times New Roman" w:cs="Times New Roman"/>
          <w:sz w:val="18"/>
          <w:szCs w:val="18"/>
          <w:lang w:val="es-MX"/>
        </w:rPr>
        <w:t xml:space="preserve"> del 2021</w:t>
      </w:r>
    </w:p>
    <w:p w14:paraId="033608CC" w14:textId="77777777" w:rsidR="00263E88" w:rsidRDefault="00263E88" w:rsidP="00263E88">
      <w:pPr>
        <w:spacing w:after="0" w:line="240" w:lineRule="auto"/>
        <w:jc w:val="center"/>
        <w:rPr>
          <w:rFonts w:ascii="Times New Roman" w:hAnsi="Times New Roman" w:cs="Times New Roman"/>
          <w:sz w:val="18"/>
          <w:szCs w:val="18"/>
          <w:lang w:val="es-MX"/>
        </w:rPr>
      </w:pPr>
      <w:r w:rsidRPr="002C4CB2">
        <w:rPr>
          <w:rFonts w:ascii="Times New Roman" w:hAnsi="Times New Roman" w:cs="Times New Roman"/>
          <w:noProof/>
          <w:sz w:val="18"/>
          <w:szCs w:val="18"/>
          <w:lang w:eastAsia="es-GT"/>
        </w:rPr>
        <w:drawing>
          <wp:anchor distT="0" distB="0" distL="114300" distR="114300" simplePos="0" relativeHeight="251907072" behindDoc="0" locked="0" layoutInCell="1" allowOverlap="1" wp14:anchorId="36F1ACF6" wp14:editId="70852FD5">
            <wp:simplePos x="0" y="0"/>
            <wp:positionH relativeFrom="column">
              <wp:posOffset>-156210</wp:posOffset>
            </wp:positionH>
            <wp:positionV relativeFrom="paragraph">
              <wp:posOffset>135890</wp:posOffset>
            </wp:positionV>
            <wp:extent cx="2752725" cy="3514725"/>
            <wp:effectExtent l="0" t="0" r="0" b="0"/>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Pr>
          <w:rFonts w:ascii="Times New Roman" w:hAnsi="Times New Roman" w:cs="Times New Roman"/>
          <w:sz w:val="18"/>
          <w:szCs w:val="18"/>
          <w:lang w:val="es-MX"/>
        </w:rPr>
        <w:t>En porcentaje</w:t>
      </w:r>
      <w:r w:rsidRPr="002C4CB2">
        <w:rPr>
          <w:rFonts w:ascii="Times New Roman" w:hAnsi="Times New Roman" w:cs="Times New Roman"/>
          <w:sz w:val="18"/>
          <w:szCs w:val="18"/>
          <w:lang w:val="es-MX"/>
        </w:rPr>
        <w:t>s</w:t>
      </w:r>
    </w:p>
    <w:p w14:paraId="4AFC38D3" w14:textId="77777777" w:rsidR="00263E88" w:rsidRPr="002C4CB2" w:rsidRDefault="00263E88" w:rsidP="00263E88">
      <w:pPr>
        <w:spacing w:after="0" w:line="240" w:lineRule="auto"/>
        <w:jc w:val="both"/>
        <w:rPr>
          <w:rFonts w:ascii="Times New Roman" w:hAnsi="Times New Roman" w:cs="Times New Roman"/>
          <w:sz w:val="16"/>
        </w:rPr>
      </w:pPr>
      <w:r w:rsidRPr="002C4CB2">
        <w:rPr>
          <w:rFonts w:ascii="Times New Roman" w:hAnsi="Times New Roman" w:cs="Times New Roman"/>
          <w:sz w:val="16"/>
        </w:rPr>
        <w:t>Fuente: Dirección de Análisis y Política Fiscal</w:t>
      </w:r>
    </w:p>
    <w:p w14:paraId="491CD1C4" w14:textId="77777777" w:rsidR="00263E88" w:rsidRPr="008B062E" w:rsidRDefault="00263E88" w:rsidP="00263E88">
      <w:pPr>
        <w:pStyle w:val="Sinespaciado"/>
        <w:jc w:val="both"/>
        <w:rPr>
          <w:rFonts w:ascii="Times New Roman" w:hAnsi="Times New Roman" w:cs="Times New Roman"/>
          <w:sz w:val="18"/>
          <w:lang w:val="es-MX"/>
        </w:rPr>
      </w:pPr>
    </w:p>
    <w:p w14:paraId="71A8383F" w14:textId="77777777" w:rsidR="006174C1" w:rsidRPr="009652AF" w:rsidRDefault="006174C1" w:rsidP="006174C1">
      <w:pPr>
        <w:pStyle w:val="Sinespaciado"/>
        <w:jc w:val="both"/>
        <w:rPr>
          <w:rFonts w:ascii="Times New Roman" w:hAnsi="Times New Roman" w:cs="Times New Roman"/>
        </w:rPr>
      </w:pPr>
      <w:r w:rsidRPr="009652AF">
        <w:rPr>
          <w:rFonts w:ascii="Times New Roman" w:hAnsi="Times New Roman" w:cs="Times New Roman"/>
        </w:rPr>
        <w:t xml:space="preserve">Un componente importante del gasto es la ejecución del gasto social, esta reporta un mayor dinamismo respecto al año previo, con un crecimiento interanual de 9.8%, equivalente a Q3,211.9 millones. </w:t>
      </w:r>
    </w:p>
    <w:p w14:paraId="5D82C63E" w14:textId="77777777" w:rsidR="006174C1" w:rsidRDefault="006174C1" w:rsidP="00263E88">
      <w:pPr>
        <w:pStyle w:val="Sinespaciado"/>
        <w:jc w:val="both"/>
        <w:rPr>
          <w:rFonts w:ascii="Times New Roman" w:hAnsi="Times New Roman" w:cs="Times New Roman"/>
        </w:rPr>
      </w:pPr>
    </w:p>
    <w:p w14:paraId="7CFC0E03" w14:textId="77777777" w:rsidR="00263E88" w:rsidRDefault="00263E88" w:rsidP="00263E88">
      <w:pPr>
        <w:pStyle w:val="Sinespaciado"/>
        <w:jc w:val="both"/>
        <w:rPr>
          <w:rFonts w:ascii="Times New Roman" w:hAnsi="Times New Roman" w:cs="Times New Roman"/>
          <w:lang w:val="es-MX"/>
        </w:rPr>
      </w:pPr>
      <w:r>
        <w:rPr>
          <w:rFonts w:ascii="Times New Roman" w:hAnsi="Times New Roman" w:cs="Times New Roman"/>
          <w:lang w:val="es-MX"/>
        </w:rPr>
        <w:t xml:space="preserve">Todas las finalidades del gasto social se encuentran creciendo en términos absolutos. Asimismo, resalta el sector de Salud y </w:t>
      </w:r>
      <w:r>
        <w:rPr>
          <w:rFonts w:ascii="Times New Roman" w:hAnsi="Times New Roman" w:cs="Times New Roman"/>
          <w:lang w:val="es-MX"/>
        </w:rPr>
        <w:t xml:space="preserve">Asistencia Social con un aumento importante de Q2,110.9 millones (equivalente a 25.2%), asociado a la compra de las vacunas para hacer frente a la pandemia, situación que en 2020 no se daba y el gasto COVID-19, en dicho año, se concentró en programas económicos y sociales de atención a las necesidades de la población guatemalteca. </w:t>
      </w:r>
    </w:p>
    <w:p w14:paraId="6CB292F5" w14:textId="77777777" w:rsidR="00263E88" w:rsidRDefault="00263E88" w:rsidP="00263E88">
      <w:pPr>
        <w:pStyle w:val="Sinespaciado"/>
        <w:jc w:val="both"/>
        <w:rPr>
          <w:rFonts w:ascii="Times New Roman" w:hAnsi="Times New Roman" w:cs="Times New Roman"/>
          <w:lang w:val="es-MX"/>
        </w:rPr>
      </w:pPr>
    </w:p>
    <w:p w14:paraId="19BCA33D" w14:textId="77777777" w:rsidR="00263E88" w:rsidRDefault="00263E88" w:rsidP="00263E88">
      <w:pPr>
        <w:pStyle w:val="Sinespaciado"/>
        <w:jc w:val="both"/>
        <w:rPr>
          <w:rFonts w:ascii="Times New Roman" w:hAnsi="Times New Roman" w:cs="Times New Roman"/>
          <w:lang w:val="es-MX"/>
        </w:rPr>
      </w:pPr>
      <w:r>
        <w:rPr>
          <w:rFonts w:ascii="Times New Roman" w:hAnsi="Times New Roman" w:cs="Times New Roman"/>
          <w:lang w:val="es-MX"/>
        </w:rPr>
        <w:t xml:space="preserve">Le sigue el sector de Educación con un aumento de Q656.2 millones (equivalente a 3.9%) y Seguridad Interna con un aumento de Q253.8 millones (equivalente a 6.0%). </w:t>
      </w:r>
    </w:p>
    <w:p w14:paraId="74CF13BA" w14:textId="77777777" w:rsidR="00263E88" w:rsidRDefault="00263E88" w:rsidP="00263E88">
      <w:pPr>
        <w:pStyle w:val="Sinespaciado"/>
        <w:jc w:val="both"/>
        <w:rPr>
          <w:rFonts w:ascii="Times New Roman" w:hAnsi="Times New Roman" w:cs="Times New Roman"/>
          <w:lang w:val="es-MX"/>
        </w:rPr>
      </w:pPr>
    </w:p>
    <w:p w14:paraId="4734CC18" w14:textId="77777777" w:rsidR="00263E88" w:rsidRDefault="00263E88" w:rsidP="00263E88">
      <w:pPr>
        <w:pStyle w:val="Sinespaciado"/>
        <w:jc w:val="both"/>
        <w:rPr>
          <w:rFonts w:ascii="Times New Roman" w:hAnsi="Times New Roman" w:cs="Times New Roman"/>
          <w:lang w:val="es-MX"/>
        </w:rPr>
      </w:pPr>
      <w:r>
        <w:rPr>
          <w:rFonts w:ascii="Times New Roman" w:hAnsi="Times New Roman" w:cs="Times New Roman"/>
          <w:lang w:val="es-MX"/>
        </w:rPr>
        <w:t>Por su parte, los aportes hacia el Ministerio Público reportan un aumento de Q108.2 millones (equivalente a 8.5%) y el Organismo Judicial y Corte de Constitucionalidad reportan un aumento de Q58.6 millones (equivalente a 3.1%).</w:t>
      </w:r>
    </w:p>
    <w:p w14:paraId="4F868292" w14:textId="77777777" w:rsidR="00263E88" w:rsidRDefault="00263E88" w:rsidP="00263E88">
      <w:pPr>
        <w:pStyle w:val="Sinespaciado"/>
        <w:jc w:val="both"/>
        <w:rPr>
          <w:rFonts w:ascii="Times New Roman" w:hAnsi="Times New Roman" w:cs="Times New Roman"/>
          <w:lang w:val="es-MX"/>
        </w:rPr>
      </w:pPr>
    </w:p>
    <w:p w14:paraId="764BEA4F" w14:textId="77777777" w:rsidR="00263E88" w:rsidRPr="002C4CB2" w:rsidRDefault="00263E88" w:rsidP="00263E88">
      <w:pPr>
        <w:pStyle w:val="Sinespaciado"/>
        <w:jc w:val="center"/>
        <w:rPr>
          <w:rFonts w:ascii="Times New Roman" w:hAnsi="Times New Roman" w:cs="Times New Roman"/>
          <w:b/>
          <w:lang w:val="es-MX"/>
        </w:rPr>
      </w:pPr>
      <w:r w:rsidRPr="002C4CB2">
        <w:rPr>
          <w:rFonts w:ascii="Times New Roman" w:hAnsi="Times New Roman" w:cs="Times New Roman"/>
          <w:b/>
          <w:lang w:val="es-MX"/>
        </w:rPr>
        <w:t>Ejecución y crecimiento del Gasto Social</w:t>
      </w:r>
    </w:p>
    <w:p w14:paraId="5968DFA5" w14:textId="77777777" w:rsidR="00263E88" w:rsidRPr="002C4CB2" w:rsidRDefault="00263E88" w:rsidP="00263E88">
      <w:pPr>
        <w:pStyle w:val="Sinespaciado"/>
        <w:jc w:val="center"/>
        <w:rPr>
          <w:rFonts w:ascii="Times New Roman" w:hAnsi="Times New Roman" w:cs="Times New Roman"/>
          <w:sz w:val="18"/>
          <w:szCs w:val="18"/>
          <w:lang w:val="es-MX"/>
        </w:rPr>
      </w:pPr>
      <w:r w:rsidRPr="002C4CB2">
        <w:rPr>
          <w:rFonts w:ascii="Times New Roman" w:hAnsi="Times New Roman" w:cs="Times New Roman"/>
          <w:sz w:val="18"/>
          <w:szCs w:val="18"/>
          <w:lang w:val="es-MX"/>
        </w:rPr>
        <w:t>Al 3</w:t>
      </w:r>
      <w:r>
        <w:rPr>
          <w:rFonts w:ascii="Times New Roman" w:hAnsi="Times New Roman" w:cs="Times New Roman"/>
          <w:sz w:val="18"/>
          <w:szCs w:val="18"/>
          <w:lang w:val="es-MX"/>
        </w:rPr>
        <w:t>1</w:t>
      </w:r>
      <w:r w:rsidRPr="002C4CB2">
        <w:rPr>
          <w:rFonts w:ascii="Times New Roman" w:hAnsi="Times New Roman" w:cs="Times New Roman"/>
          <w:sz w:val="18"/>
          <w:szCs w:val="18"/>
          <w:lang w:val="es-MX"/>
        </w:rPr>
        <w:t xml:space="preserve"> de </w:t>
      </w:r>
      <w:r>
        <w:rPr>
          <w:rFonts w:ascii="Times New Roman" w:hAnsi="Times New Roman" w:cs="Times New Roman"/>
          <w:sz w:val="18"/>
          <w:szCs w:val="18"/>
          <w:lang w:val="es-MX"/>
        </w:rPr>
        <w:t>octubre</w:t>
      </w:r>
      <w:r w:rsidRPr="002C4CB2">
        <w:rPr>
          <w:rFonts w:ascii="Times New Roman" w:hAnsi="Times New Roman" w:cs="Times New Roman"/>
          <w:sz w:val="18"/>
          <w:szCs w:val="18"/>
          <w:lang w:val="es-MX"/>
        </w:rPr>
        <w:t xml:space="preserve"> 2021</w:t>
      </w:r>
    </w:p>
    <w:p w14:paraId="27589C07" w14:textId="77777777" w:rsidR="00263E88" w:rsidRDefault="006174C1" w:rsidP="00263E88">
      <w:pPr>
        <w:pStyle w:val="Sinespaciado"/>
        <w:jc w:val="center"/>
        <w:rPr>
          <w:rFonts w:ascii="Times New Roman" w:hAnsi="Times New Roman" w:cs="Times New Roman"/>
          <w:sz w:val="18"/>
          <w:szCs w:val="18"/>
          <w:lang w:val="es-MX"/>
        </w:rPr>
      </w:pPr>
      <w:r w:rsidRPr="006037E7">
        <w:rPr>
          <w:noProof/>
          <w:lang w:eastAsia="es-GT"/>
        </w:rPr>
        <w:drawing>
          <wp:anchor distT="0" distB="0" distL="114300" distR="114300" simplePos="0" relativeHeight="251909120" behindDoc="1" locked="0" layoutInCell="1" allowOverlap="1" wp14:anchorId="4088EFBF" wp14:editId="6062457B">
            <wp:simplePos x="0" y="0"/>
            <wp:positionH relativeFrom="column">
              <wp:posOffset>-92075</wp:posOffset>
            </wp:positionH>
            <wp:positionV relativeFrom="paragraph">
              <wp:posOffset>153670</wp:posOffset>
            </wp:positionV>
            <wp:extent cx="2876550" cy="1504950"/>
            <wp:effectExtent l="0" t="0" r="0" b="0"/>
            <wp:wrapTight wrapText="bothSides">
              <wp:wrapPolygon edited="0">
                <wp:start x="0" y="0"/>
                <wp:lineTo x="0" y="21327"/>
                <wp:lineTo x="21457" y="21327"/>
                <wp:lineTo x="2145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65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E88" w:rsidRPr="00AC4C27">
        <w:t xml:space="preserve"> </w:t>
      </w:r>
      <w:r w:rsidR="00263E88" w:rsidRPr="002C4CB2">
        <w:rPr>
          <w:rFonts w:ascii="Times New Roman" w:hAnsi="Times New Roman" w:cs="Times New Roman"/>
          <w:sz w:val="18"/>
          <w:szCs w:val="18"/>
          <w:lang w:val="es-MX"/>
        </w:rPr>
        <w:t>Cifras en porcentajes y en millones de quetzales</w:t>
      </w:r>
    </w:p>
    <w:p w14:paraId="0D667F47" w14:textId="77777777" w:rsidR="006174C1" w:rsidRPr="006174C1" w:rsidRDefault="00263E88" w:rsidP="006174C1">
      <w:pPr>
        <w:pStyle w:val="Sinespaciado"/>
        <w:rPr>
          <w:rFonts w:ascii="Times New Roman" w:hAnsi="Times New Roman" w:cs="Times New Roman"/>
          <w:sz w:val="16"/>
        </w:rPr>
      </w:pPr>
      <w:r w:rsidRPr="002C4CB2">
        <w:rPr>
          <w:rFonts w:ascii="Times New Roman" w:hAnsi="Times New Roman" w:cs="Times New Roman"/>
          <w:sz w:val="16"/>
        </w:rPr>
        <w:t>Fuente: Dirección de Análisis y Política Fiscal</w:t>
      </w:r>
    </w:p>
    <w:p w14:paraId="302D8C41" w14:textId="77777777" w:rsidR="00107D10" w:rsidRPr="006174C1" w:rsidRDefault="006174C1" w:rsidP="00BA782D">
      <w:pPr>
        <w:pStyle w:val="Sinespaciado"/>
        <w:jc w:val="both"/>
        <w:rPr>
          <w:rFonts w:ascii="Times New Roman" w:hAnsi="Times New Roman" w:cs="Times New Roman"/>
          <w:color w:val="FF0000"/>
        </w:rPr>
        <w:sectPr w:rsidR="00107D10" w:rsidRPr="006174C1" w:rsidSect="00474998">
          <w:headerReference w:type="default" r:id="rId29"/>
          <w:footerReference w:type="default" r:id="rId30"/>
          <w:type w:val="continuous"/>
          <w:pgSz w:w="12240" w:h="15840" w:code="1"/>
          <w:pgMar w:top="1418" w:right="1608" w:bottom="1418" w:left="1701" w:header="709" w:footer="709" w:gutter="0"/>
          <w:cols w:num="2" w:space="708"/>
          <w:docGrid w:linePitch="360"/>
        </w:sectPr>
      </w:pPr>
      <w:r>
        <w:rPr>
          <w:rFonts w:ascii="Times New Roman" w:hAnsi="Times New Roman" w:cs="Times New Roman"/>
          <w:color w:val="FF0000"/>
          <w:sz w:val="18"/>
        </w:rPr>
        <w:t xml:space="preserve"> </w:t>
      </w:r>
    </w:p>
    <w:p w14:paraId="5E6A5BB3" w14:textId="77777777" w:rsidR="00BA782D" w:rsidRPr="0029550C" w:rsidRDefault="00BA782D" w:rsidP="00216605">
      <w:pPr>
        <w:pStyle w:val="Sinespaciado"/>
        <w:jc w:val="both"/>
        <w:rPr>
          <w:rFonts w:ascii="Times New Roman" w:hAnsi="Times New Roman" w:cs="Times New Roman"/>
          <w:color w:val="FF0000"/>
          <w:sz w:val="2"/>
          <w:lang w:val="es-MX"/>
        </w:rPr>
      </w:pPr>
    </w:p>
    <w:p w14:paraId="314CC3CF" w14:textId="77777777" w:rsidR="00642070" w:rsidRPr="00263E88" w:rsidRDefault="00642070" w:rsidP="00642070">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642070" w:rsidRPr="00263E88" w:rsidSect="00FA3B81">
          <w:type w:val="continuous"/>
          <w:pgSz w:w="12240" w:h="15840" w:code="1"/>
          <w:pgMar w:top="1418" w:right="1418" w:bottom="1418" w:left="1418" w:header="709" w:footer="709" w:gutter="0"/>
          <w:cols w:space="708"/>
          <w:docGrid w:linePitch="360"/>
        </w:sectPr>
      </w:pPr>
      <w:r w:rsidRPr="00263E88">
        <w:rPr>
          <w:rFonts w:ascii="Times New Roman" w:hAnsi="Times New Roman" w:cs="Times New Roman"/>
          <w:b/>
          <w:lang w:val="es-MX"/>
        </w:rPr>
        <w:t xml:space="preserve">Se espera que las colocaciones de Bonos del Tesoro concluyan en noviembre </w:t>
      </w:r>
    </w:p>
    <w:p w14:paraId="6900B79C" w14:textId="77777777" w:rsidR="00216605" w:rsidRPr="0029550C" w:rsidRDefault="00216605" w:rsidP="00216605">
      <w:pPr>
        <w:pStyle w:val="Sinespaciado"/>
        <w:rPr>
          <w:rFonts w:ascii="Times New Roman" w:hAnsi="Times New Roman" w:cs="Times New Roman"/>
          <w:b/>
          <w:color w:val="FF0000"/>
          <w:sz w:val="18"/>
          <w:lang w:val="es-MX"/>
        </w:rPr>
      </w:pPr>
    </w:p>
    <w:p w14:paraId="5B90CC96" w14:textId="77777777" w:rsidR="00216605" w:rsidRPr="0029550C" w:rsidRDefault="00216605" w:rsidP="00216605">
      <w:pPr>
        <w:pStyle w:val="Sinespaciado"/>
        <w:rPr>
          <w:rFonts w:ascii="Times New Roman" w:hAnsi="Times New Roman" w:cs="Times New Roman"/>
          <w:b/>
          <w:color w:val="FF0000"/>
          <w:lang w:val="es-MX"/>
        </w:rPr>
        <w:sectPr w:rsidR="00216605" w:rsidRPr="0029550C" w:rsidSect="004E358C">
          <w:type w:val="continuous"/>
          <w:pgSz w:w="12240" w:h="15840"/>
          <w:pgMar w:top="1417" w:right="1701" w:bottom="1417" w:left="1701" w:header="708" w:footer="708" w:gutter="0"/>
          <w:cols w:space="708"/>
          <w:docGrid w:linePitch="360"/>
        </w:sectPr>
      </w:pPr>
    </w:p>
    <w:p w14:paraId="5D058C6E" w14:textId="77777777" w:rsidR="00263E88" w:rsidRDefault="00263E88" w:rsidP="00263E88">
      <w:pPr>
        <w:pStyle w:val="Sinespaciado"/>
        <w:ind w:right="95"/>
        <w:jc w:val="both"/>
        <w:rPr>
          <w:rFonts w:ascii="Times New Roman" w:hAnsi="Times New Roman" w:cs="Times New Roman"/>
        </w:rPr>
      </w:pPr>
      <w:r>
        <w:rPr>
          <w:rFonts w:ascii="Times New Roman" w:hAnsi="Times New Roman" w:cs="Times New Roman"/>
        </w:rPr>
        <w:t>De</w:t>
      </w:r>
      <w:r w:rsidRPr="00A36C8F">
        <w:rPr>
          <w:rFonts w:ascii="Times New Roman" w:hAnsi="Times New Roman" w:cs="Times New Roman"/>
        </w:rPr>
        <w:t xml:space="preserve">l financiamiento del gasto público, los desembolsos de préstamos </w:t>
      </w:r>
      <w:r>
        <w:rPr>
          <w:rFonts w:ascii="Times New Roman" w:hAnsi="Times New Roman" w:cs="Times New Roman"/>
        </w:rPr>
        <w:t xml:space="preserve">se mantienen en </w:t>
      </w:r>
      <w:r w:rsidRPr="00A36C8F">
        <w:rPr>
          <w:rFonts w:ascii="Times New Roman" w:hAnsi="Times New Roman" w:cs="Times New Roman"/>
        </w:rPr>
        <w:t xml:space="preserve">un </w:t>
      </w:r>
      <w:r>
        <w:rPr>
          <w:rFonts w:ascii="Times New Roman" w:hAnsi="Times New Roman" w:cs="Times New Roman"/>
        </w:rPr>
        <w:t>monto de Q316</w:t>
      </w:r>
      <w:r w:rsidRPr="00A36C8F">
        <w:rPr>
          <w:rFonts w:ascii="Times New Roman" w:hAnsi="Times New Roman" w:cs="Times New Roman"/>
        </w:rPr>
        <w:t>.</w:t>
      </w:r>
      <w:r>
        <w:rPr>
          <w:rFonts w:ascii="Times New Roman" w:hAnsi="Times New Roman" w:cs="Times New Roman"/>
        </w:rPr>
        <w:t>7</w:t>
      </w:r>
      <w:r w:rsidRPr="00A36C8F">
        <w:rPr>
          <w:rFonts w:ascii="Times New Roman" w:hAnsi="Times New Roman" w:cs="Times New Roman"/>
        </w:rPr>
        <w:t xml:space="preserve"> millones,</w:t>
      </w:r>
      <w:r>
        <w:rPr>
          <w:rFonts w:ascii="Times New Roman" w:hAnsi="Times New Roman" w:cs="Times New Roman"/>
        </w:rPr>
        <w:t xml:space="preserve"> es decir, en octubre prácticamente no hubo movimiento en los desembolsos. </w:t>
      </w:r>
      <w:r w:rsidRPr="00A36C8F">
        <w:rPr>
          <w:rFonts w:ascii="Times New Roman" w:hAnsi="Times New Roman" w:cs="Times New Roman"/>
        </w:rPr>
        <w:t xml:space="preserve"> </w:t>
      </w:r>
      <w:r>
        <w:rPr>
          <w:rFonts w:ascii="Times New Roman" w:hAnsi="Times New Roman" w:cs="Times New Roman"/>
        </w:rPr>
        <w:t xml:space="preserve">Por su parte, </w:t>
      </w:r>
      <w:r w:rsidRPr="00A36C8F">
        <w:rPr>
          <w:rFonts w:ascii="Times New Roman" w:hAnsi="Times New Roman" w:cs="Times New Roman"/>
        </w:rPr>
        <w:t>las amortizaciones alcanzaron los Q</w:t>
      </w:r>
      <w:r>
        <w:rPr>
          <w:rFonts w:ascii="Times New Roman" w:hAnsi="Times New Roman" w:cs="Times New Roman"/>
        </w:rPr>
        <w:t>2</w:t>
      </w:r>
      <w:r w:rsidRPr="00A36C8F">
        <w:rPr>
          <w:rFonts w:ascii="Times New Roman" w:hAnsi="Times New Roman" w:cs="Times New Roman"/>
        </w:rPr>
        <w:t>,</w:t>
      </w:r>
      <w:r>
        <w:rPr>
          <w:rFonts w:ascii="Times New Roman" w:hAnsi="Times New Roman" w:cs="Times New Roman"/>
        </w:rPr>
        <w:t>713.8</w:t>
      </w:r>
      <w:r w:rsidRPr="00A36C8F">
        <w:rPr>
          <w:rFonts w:ascii="Times New Roman" w:hAnsi="Times New Roman" w:cs="Times New Roman"/>
        </w:rPr>
        <w:t xml:space="preserve"> millones</w:t>
      </w:r>
      <w:r>
        <w:rPr>
          <w:rFonts w:ascii="Times New Roman" w:hAnsi="Times New Roman" w:cs="Times New Roman"/>
        </w:rPr>
        <w:t xml:space="preserve">, pero en el mes se realizó la liquidación del eurobono por US$1,000 millones, equivalente a Q7,732.2 </w:t>
      </w:r>
      <w:r>
        <w:rPr>
          <w:rFonts w:ascii="Times New Roman" w:hAnsi="Times New Roman" w:cs="Times New Roman"/>
        </w:rPr>
        <w:t xml:space="preserve">millones, generando un </w:t>
      </w:r>
      <w:r w:rsidRPr="00A36C8F">
        <w:rPr>
          <w:rFonts w:ascii="Times New Roman" w:hAnsi="Times New Roman" w:cs="Times New Roman"/>
        </w:rPr>
        <w:t>fina</w:t>
      </w:r>
      <w:r>
        <w:rPr>
          <w:rFonts w:ascii="Times New Roman" w:hAnsi="Times New Roman" w:cs="Times New Roman"/>
        </w:rPr>
        <w:t>nciamiento externo neto positivo de</w:t>
      </w:r>
      <w:r w:rsidRPr="00A36C8F">
        <w:rPr>
          <w:rFonts w:ascii="Times New Roman" w:hAnsi="Times New Roman" w:cs="Times New Roman"/>
        </w:rPr>
        <w:t xml:space="preserve"> Q</w:t>
      </w:r>
      <w:r>
        <w:rPr>
          <w:rFonts w:ascii="Times New Roman" w:hAnsi="Times New Roman" w:cs="Times New Roman"/>
        </w:rPr>
        <w:t>5,335.0</w:t>
      </w:r>
      <w:r w:rsidRPr="00A36C8F">
        <w:rPr>
          <w:rFonts w:ascii="Times New Roman" w:hAnsi="Times New Roman" w:cs="Times New Roman"/>
        </w:rPr>
        <w:t xml:space="preserve"> millones.</w:t>
      </w:r>
      <w:r>
        <w:rPr>
          <w:rFonts w:ascii="Times New Roman" w:hAnsi="Times New Roman" w:cs="Times New Roman"/>
        </w:rPr>
        <w:t xml:space="preserve"> </w:t>
      </w:r>
    </w:p>
    <w:p w14:paraId="38E92E0E" w14:textId="77777777" w:rsidR="00263E88" w:rsidRDefault="00263E88" w:rsidP="00263E88">
      <w:pPr>
        <w:pStyle w:val="Sinespaciado"/>
        <w:ind w:right="95"/>
        <w:jc w:val="both"/>
        <w:rPr>
          <w:rFonts w:ascii="Times New Roman" w:hAnsi="Times New Roman" w:cs="Times New Roman"/>
        </w:rPr>
      </w:pPr>
    </w:p>
    <w:p w14:paraId="64989D9C" w14:textId="77777777" w:rsidR="00263E88" w:rsidRDefault="00263E88" w:rsidP="00263E88">
      <w:pPr>
        <w:pStyle w:val="Sinespaciado"/>
        <w:ind w:right="95"/>
        <w:jc w:val="both"/>
        <w:rPr>
          <w:rFonts w:ascii="Times New Roman" w:hAnsi="Times New Roman" w:cs="Times New Roman"/>
        </w:rPr>
      </w:pPr>
      <w:r>
        <w:rPr>
          <w:rFonts w:ascii="Times New Roman" w:hAnsi="Times New Roman" w:cs="Times New Roman"/>
        </w:rPr>
        <w:t xml:space="preserve">Respecto a la colocación del eurobono, se posicionó </w:t>
      </w:r>
      <w:r w:rsidRPr="00B41CDD">
        <w:rPr>
          <w:rFonts w:ascii="Times New Roman" w:hAnsi="Times New Roman" w:cs="Times New Roman"/>
        </w:rPr>
        <w:t xml:space="preserve">en términos de tasa de interés como la más baja en la historia de colocaciones de deuda </w:t>
      </w:r>
      <w:r>
        <w:rPr>
          <w:rFonts w:ascii="Times New Roman" w:hAnsi="Times New Roman" w:cs="Times New Roman"/>
        </w:rPr>
        <w:t xml:space="preserve">de Guatemala </w:t>
      </w:r>
      <w:r w:rsidRPr="00B41CDD">
        <w:rPr>
          <w:rFonts w:ascii="Times New Roman" w:hAnsi="Times New Roman" w:cs="Times New Roman"/>
        </w:rPr>
        <w:t>en el mercado internacional.</w:t>
      </w:r>
      <w:r>
        <w:rPr>
          <w:rFonts w:ascii="Times New Roman" w:hAnsi="Times New Roman" w:cs="Times New Roman"/>
        </w:rPr>
        <w:t xml:space="preserve"> El evento tuvo una demanda de </w:t>
      </w:r>
      <w:r>
        <w:rPr>
          <w:rFonts w:ascii="Times New Roman" w:hAnsi="Times New Roman" w:cs="Times New Roman"/>
        </w:rPr>
        <w:lastRenderedPageBreak/>
        <w:t xml:space="preserve">US$6,417.2 millones, superando en 6.4 veces el monto adjudicado. Esto demuestra la confianza que tienen los inversionistas </w:t>
      </w:r>
      <w:r w:rsidRPr="00B41CDD">
        <w:rPr>
          <w:rFonts w:ascii="Times New Roman" w:hAnsi="Times New Roman" w:cs="Times New Roman"/>
        </w:rPr>
        <w:t xml:space="preserve">en los </w:t>
      </w:r>
      <w:r w:rsidR="009652AF">
        <w:rPr>
          <w:rFonts w:ascii="Times New Roman" w:hAnsi="Times New Roman" w:cs="Times New Roman"/>
          <w:noProof/>
          <w:sz w:val="18"/>
          <w:lang w:eastAsia="es-GT"/>
        </w:rPr>
        <w:drawing>
          <wp:anchor distT="0" distB="0" distL="114300" distR="114300" simplePos="0" relativeHeight="251911168" behindDoc="0" locked="0" layoutInCell="1" allowOverlap="1" wp14:anchorId="35106A62" wp14:editId="51CDFE41">
            <wp:simplePos x="0" y="0"/>
            <wp:positionH relativeFrom="column">
              <wp:posOffset>2844165</wp:posOffset>
            </wp:positionH>
            <wp:positionV relativeFrom="paragraph">
              <wp:posOffset>485140</wp:posOffset>
            </wp:positionV>
            <wp:extent cx="3015615" cy="1695450"/>
            <wp:effectExtent l="0" t="0" r="0" b="0"/>
            <wp:wrapSquare wrapText="bothSides"/>
            <wp:docPr id="3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B41CDD">
        <w:rPr>
          <w:rFonts w:ascii="Times New Roman" w:hAnsi="Times New Roman" w:cs="Times New Roman"/>
        </w:rPr>
        <w:t xml:space="preserve">títulos de </w:t>
      </w:r>
      <w:r>
        <w:rPr>
          <w:rFonts w:ascii="Times New Roman" w:hAnsi="Times New Roman" w:cs="Times New Roman"/>
        </w:rPr>
        <w:t>deuda</w:t>
      </w:r>
      <w:r w:rsidRPr="00B41CDD">
        <w:rPr>
          <w:rFonts w:ascii="Times New Roman" w:hAnsi="Times New Roman" w:cs="Times New Roman"/>
        </w:rPr>
        <w:t xml:space="preserve"> q</w:t>
      </w:r>
      <w:r>
        <w:rPr>
          <w:rFonts w:ascii="Times New Roman" w:hAnsi="Times New Roman" w:cs="Times New Roman"/>
        </w:rPr>
        <w:t>ue emite el Estado de Guatemala, siendo esta la onceava emisión que se realiza en el mercado internacional de capitales.</w:t>
      </w:r>
    </w:p>
    <w:p w14:paraId="4DE3514C" w14:textId="77777777" w:rsidR="00263E88" w:rsidRDefault="00263E88" w:rsidP="00263E88">
      <w:pPr>
        <w:pStyle w:val="Sinespaciado"/>
        <w:ind w:right="95"/>
        <w:jc w:val="both"/>
        <w:rPr>
          <w:rFonts w:ascii="Times New Roman" w:hAnsi="Times New Roman" w:cs="Times New Roman"/>
        </w:rPr>
      </w:pPr>
    </w:p>
    <w:p w14:paraId="24B2B278" w14:textId="77777777" w:rsidR="00263E88" w:rsidRPr="00B41CDD" w:rsidRDefault="00263E88" w:rsidP="00263E88">
      <w:pPr>
        <w:pStyle w:val="Sinespaciado"/>
        <w:ind w:right="95"/>
        <w:jc w:val="both"/>
        <w:rPr>
          <w:rFonts w:ascii="Times New Roman" w:hAnsi="Times New Roman" w:cs="Times New Roman"/>
        </w:rPr>
      </w:pPr>
      <w:r>
        <w:rPr>
          <w:rFonts w:ascii="Times New Roman" w:hAnsi="Times New Roman" w:cs="Times New Roman"/>
        </w:rPr>
        <w:t>La colocación se realizó en dos tram</w:t>
      </w:r>
      <w:r w:rsidRPr="00B41CDD">
        <w:rPr>
          <w:rFonts w:ascii="Times New Roman" w:hAnsi="Times New Roman" w:cs="Times New Roman"/>
        </w:rPr>
        <w:t>os:</w:t>
      </w:r>
    </w:p>
    <w:p w14:paraId="7675619C" w14:textId="77777777" w:rsidR="00263E88" w:rsidRPr="00B41CDD" w:rsidRDefault="00263E88" w:rsidP="00263E88">
      <w:pPr>
        <w:pStyle w:val="Sinespaciado"/>
        <w:numPr>
          <w:ilvl w:val="0"/>
          <w:numId w:val="24"/>
        </w:numPr>
        <w:ind w:right="95"/>
        <w:jc w:val="both"/>
        <w:rPr>
          <w:rFonts w:ascii="Times New Roman" w:hAnsi="Times New Roman" w:cs="Times New Roman"/>
        </w:rPr>
      </w:pPr>
      <w:r w:rsidRPr="00B41CDD">
        <w:rPr>
          <w:rFonts w:ascii="Times New Roman" w:hAnsi="Times New Roman" w:cs="Times New Roman"/>
        </w:rPr>
        <w:t>US$500 millones a 12 años plazo, con una tasa de cupón de 3.70%.</w:t>
      </w:r>
    </w:p>
    <w:p w14:paraId="102E8A79" w14:textId="77777777" w:rsidR="00263E88" w:rsidRDefault="00263E88" w:rsidP="00263E88">
      <w:pPr>
        <w:pStyle w:val="Sinespaciado"/>
        <w:numPr>
          <w:ilvl w:val="0"/>
          <w:numId w:val="24"/>
        </w:numPr>
        <w:ind w:right="95"/>
        <w:jc w:val="both"/>
        <w:rPr>
          <w:rFonts w:ascii="Times New Roman" w:hAnsi="Times New Roman" w:cs="Times New Roman"/>
        </w:rPr>
      </w:pPr>
      <w:r w:rsidRPr="00B41CDD">
        <w:rPr>
          <w:rFonts w:ascii="Times New Roman" w:hAnsi="Times New Roman" w:cs="Times New Roman"/>
        </w:rPr>
        <w:t>US$500 millones a 20 años plazo, con una tasa de cupón de 4.65%.</w:t>
      </w:r>
    </w:p>
    <w:p w14:paraId="6482ED8A" w14:textId="77777777" w:rsidR="00263E88" w:rsidRDefault="00263E88" w:rsidP="00263E88">
      <w:pPr>
        <w:spacing w:after="0" w:line="240" w:lineRule="auto"/>
        <w:ind w:right="237"/>
        <w:jc w:val="center"/>
        <w:rPr>
          <w:rFonts w:ascii="Times New Roman" w:hAnsi="Times New Roman" w:cs="Times New Roman"/>
          <w:b/>
        </w:rPr>
      </w:pPr>
      <w:r>
        <w:rPr>
          <w:rFonts w:ascii="Times New Roman" w:hAnsi="Times New Roman" w:cs="Times New Roman"/>
          <w:b/>
        </w:rPr>
        <w:t xml:space="preserve"> </w:t>
      </w:r>
    </w:p>
    <w:p w14:paraId="0DDFC012" w14:textId="77777777" w:rsidR="00263E88" w:rsidRDefault="00263E88" w:rsidP="00263E88">
      <w:pPr>
        <w:spacing w:after="0" w:line="240" w:lineRule="auto"/>
        <w:ind w:right="237"/>
        <w:jc w:val="center"/>
        <w:rPr>
          <w:rFonts w:ascii="Times New Roman" w:hAnsi="Times New Roman" w:cs="Times New Roman"/>
          <w:b/>
        </w:rPr>
      </w:pPr>
      <w:r>
        <w:rPr>
          <w:rFonts w:ascii="Times New Roman" w:hAnsi="Times New Roman" w:cs="Times New Roman"/>
          <w:b/>
        </w:rPr>
        <w:t xml:space="preserve"> Comparación de tasas en la colocación de Eurobono</w:t>
      </w:r>
    </w:p>
    <w:p w14:paraId="5BD82C75" w14:textId="77777777" w:rsidR="00263E88" w:rsidRPr="00D618A6" w:rsidRDefault="00263E88" w:rsidP="00263E88">
      <w:pPr>
        <w:spacing w:after="0" w:line="240" w:lineRule="auto"/>
        <w:ind w:right="237"/>
        <w:jc w:val="center"/>
        <w:rPr>
          <w:rFonts w:ascii="Times New Roman" w:hAnsi="Times New Roman" w:cs="Times New Roman"/>
          <w:sz w:val="18"/>
        </w:rPr>
      </w:pPr>
      <w:r>
        <w:rPr>
          <w:rFonts w:ascii="Times New Roman" w:hAnsi="Times New Roman" w:cs="Times New Roman"/>
          <w:noProof/>
          <w:lang w:eastAsia="es-GT"/>
        </w:rPr>
        <w:drawing>
          <wp:anchor distT="0" distB="0" distL="114300" distR="114300" simplePos="0" relativeHeight="251912192" behindDoc="0" locked="0" layoutInCell="1" allowOverlap="1" wp14:anchorId="669FD67B" wp14:editId="1CF428D8">
            <wp:simplePos x="0" y="0"/>
            <wp:positionH relativeFrom="column">
              <wp:posOffset>-139065</wp:posOffset>
            </wp:positionH>
            <wp:positionV relativeFrom="paragraph">
              <wp:posOffset>155575</wp:posOffset>
            </wp:positionV>
            <wp:extent cx="2828925" cy="1828800"/>
            <wp:effectExtent l="0" t="0" r="0" b="0"/>
            <wp:wrapSquare wrapText="bothSides"/>
            <wp:docPr id="24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D618A6">
        <w:rPr>
          <w:rFonts w:ascii="Times New Roman" w:hAnsi="Times New Roman" w:cs="Times New Roman"/>
          <w:sz w:val="18"/>
        </w:rPr>
        <w:t>Cifras en porcentajes y millones</w:t>
      </w:r>
    </w:p>
    <w:p w14:paraId="0F2E6E02" w14:textId="77777777" w:rsidR="00263E88" w:rsidRPr="002C4CB2" w:rsidRDefault="00263E88" w:rsidP="00263E88">
      <w:pPr>
        <w:pStyle w:val="Sinespaciado"/>
        <w:spacing w:after="240"/>
        <w:ind w:right="237"/>
        <w:rPr>
          <w:rFonts w:ascii="Times New Roman" w:hAnsi="Times New Roman" w:cs="Times New Roman"/>
          <w:sz w:val="16"/>
        </w:rPr>
      </w:pPr>
      <w:r w:rsidRPr="002C4CB2">
        <w:rPr>
          <w:rFonts w:ascii="Times New Roman" w:hAnsi="Times New Roman" w:cs="Times New Roman"/>
          <w:sz w:val="16"/>
        </w:rPr>
        <w:t>Fuente: Dirección de Análisis y Política Fiscal</w:t>
      </w:r>
    </w:p>
    <w:p w14:paraId="033EEC9E" w14:textId="77777777" w:rsidR="009652AF" w:rsidRDefault="00263E88" w:rsidP="004B3442">
      <w:pPr>
        <w:pStyle w:val="Sinespaciado"/>
        <w:ind w:right="95"/>
        <w:jc w:val="both"/>
        <w:rPr>
          <w:rFonts w:ascii="Times New Roman" w:hAnsi="Times New Roman" w:cs="Times New Roman"/>
        </w:rPr>
      </w:pPr>
      <w:r w:rsidRPr="00A36C8F">
        <w:rPr>
          <w:rFonts w:ascii="Times New Roman" w:hAnsi="Times New Roman" w:cs="Times New Roman"/>
        </w:rPr>
        <w:t>En cuanto al financiamiento interno, s</w:t>
      </w:r>
      <w:r>
        <w:rPr>
          <w:rFonts w:ascii="Times New Roman" w:hAnsi="Times New Roman" w:cs="Times New Roman"/>
        </w:rPr>
        <w:t>e han colocado hasta la fecha Q16,474.6</w:t>
      </w:r>
      <w:r w:rsidRPr="00A36C8F">
        <w:rPr>
          <w:rFonts w:ascii="Times New Roman" w:hAnsi="Times New Roman" w:cs="Times New Roman"/>
        </w:rPr>
        <w:t xml:space="preserve"> </w:t>
      </w:r>
      <w:r>
        <w:rPr>
          <w:rFonts w:ascii="Times New Roman" w:hAnsi="Times New Roman" w:cs="Times New Roman"/>
        </w:rPr>
        <w:t>millones, quedando pendientes de colocar el 1.1</w:t>
      </w:r>
      <w:r w:rsidRPr="00A36C8F">
        <w:rPr>
          <w:rFonts w:ascii="Times New Roman" w:hAnsi="Times New Roman" w:cs="Times New Roman"/>
        </w:rPr>
        <w:t>%</w:t>
      </w:r>
      <w:r>
        <w:rPr>
          <w:rFonts w:ascii="Times New Roman" w:hAnsi="Times New Roman" w:cs="Times New Roman"/>
        </w:rPr>
        <w:t xml:space="preserve"> (Q271.7 millones)</w:t>
      </w:r>
      <w:r w:rsidRPr="00A36C8F">
        <w:rPr>
          <w:rFonts w:ascii="Times New Roman" w:hAnsi="Times New Roman" w:cs="Times New Roman"/>
        </w:rPr>
        <w:t xml:space="preserve"> del total autorizado en el Decreto 25-2018</w:t>
      </w:r>
      <w:r>
        <w:rPr>
          <w:rFonts w:ascii="Times New Roman" w:hAnsi="Times New Roman" w:cs="Times New Roman"/>
        </w:rPr>
        <w:t xml:space="preserve">. </w:t>
      </w:r>
    </w:p>
    <w:p w14:paraId="20080B1E" w14:textId="77777777" w:rsidR="004B3442" w:rsidRDefault="004B3442" w:rsidP="004B3442">
      <w:pPr>
        <w:pStyle w:val="Sinespaciado"/>
        <w:ind w:right="95"/>
        <w:jc w:val="both"/>
        <w:rPr>
          <w:rFonts w:ascii="Times New Roman" w:hAnsi="Times New Roman" w:cs="Times New Roman"/>
        </w:rPr>
      </w:pPr>
    </w:p>
    <w:p w14:paraId="6F9F4DB2" w14:textId="77777777" w:rsidR="00263E88" w:rsidRPr="002C4CB2" w:rsidRDefault="00263E88" w:rsidP="00263E88">
      <w:pPr>
        <w:spacing w:after="0" w:line="240" w:lineRule="auto"/>
        <w:ind w:right="237"/>
        <w:jc w:val="center"/>
        <w:rPr>
          <w:rFonts w:ascii="Times New Roman" w:hAnsi="Times New Roman" w:cs="Times New Roman"/>
          <w:b/>
        </w:rPr>
      </w:pPr>
      <w:r w:rsidRPr="002C4CB2">
        <w:rPr>
          <w:rFonts w:ascii="Times New Roman" w:hAnsi="Times New Roman" w:cs="Times New Roman"/>
          <w:b/>
        </w:rPr>
        <w:t>Colocación de Bonos del Tesoro</w:t>
      </w:r>
    </w:p>
    <w:p w14:paraId="4D74A7AA" w14:textId="77777777" w:rsidR="00263E88" w:rsidRDefault="00263E88" w:rsidP="00263E88">
      <w:pPr>
        <w:pStyle w:val="Sinespaciado"/>
        <w:ind w:right="237"/>
        <w:jc w:val="center"/>
        <w:rPr>
          <w:rFonts w:ascii="Times New Roman" w:hAnsi="Times New Roman" w:cs="Times New Roman"/>
          <w:sz w:val="18"/>
        </w:rPr>
      </w:pPr>
      <w:r>
        <w:rPr>
          <w:rFonts w:ascii="Times New Roman" w:hAnsi="Times New Roman" w:cs="Times New Roman"/>
          <w:sz w:val="18"/>
        </w:rPr>
        <w:t>A octubre</w:t>
      </w:r>
      <w:r w:rsidRPr="002C4CB2">
        <w:rPr>
          <w:rFonts w:ascii="Times New Roman" w:hAnsi="Times New Roman" w:cs="Times New Roman"/>
          <w:sz w:val="18"/>
        </w:rPr>
        <w:t xml:space="preserve"> 2021</w:t>
      </w:r>
    </w:p>
    <w:p w14:paraId="0F51044B" w14:textId="77777777" w:rsidR="00263E88" w:rsidRPr="002C4CB2" w:rsidRDefault="00263E88" w:rsidP="00263E88">
      <w:pPr>
        <w:pStyle w:val="Sinespaciado"/>
        <w:ind w:right="237"/>
        <w:jc w:val="center"/>
        <w:rPr>
          <w:rFonts w:ascii="Times New Roman" w:hAnsi="Times New Roman" w:cs="Times New Roman"/>
          <w:sz w:val="18"/>
        </w:rPr>
      </w:pPr>
      <w:r w:rsidRPr="002C4CB2">
        <w:rPr>
          <w:rFonts w:ascii="Times New Roman" w:hAnsi="Times New Roman" w:cs="Times New Roman"/>
          <w:sz w:val="18"/>
        </w:rPr>
        <w:t>Millones de quetzales y porcentajes</w:t>
      </w:r>
    </w:p>
    <w:p w14:paraId="321E7B6D" w14:textId="77777777" w:rsidR="00263E88" w:rsidRPr="002C4CB2" w:rsidRDefault="00263E88" w:rsidP="00263E88">
      <w:pPr>
        <w:pStyle w:val="Sinespaciado"/>
        <w:spacing w:after="240"/>
        <w:ind w:right="237"/>
        <w:rPr>
          <w:rFonts w:ascii="Times New Roman" w:hAnsi="Times New Roman" w:cs="Times New Roman"/>
          <w:sz w:val="16"/>
        </w:rPr>
      </w:pPr>
      <w:r w:rsidRPr="002C4CB2">
        <w:rPr>
          <w:rFonts w:ascii="Times New Roman" w:hAnsi="Times New Roman" w:cs="Times New Roman"/>
          <w:sz w:val="16"/>
        </w:rPr>
        <w:t>Fuente: Dirección de Análisis y Política Fiscal</w:t>
      </w:r>
    </w:p>
    <w:p w14:paraId="5671D7B1" w14:textId="77777777" w:rsidR="00263E88" w:rsidRDefault="00263E88" w:rsidP="00263E88">
      <w:pPr>
        <w:pStyle w:val="Sinespaciado"/>
        <w:ind w:right="95"/>
        <w:jc w:val="both"/>
        <w:rPr>
          <w:rFonts w:ascii="Times New Roman" w:hAnsi="Times New Roman" w:cs="Times New Roman"/>
        </w:rPr>
      </w:pPr>
      <w:r>
        <w:rPr>
          <w:rFonts w:ascii="Times New Roman" w:hAnsi="Times New Roman" w:cs="Times New Roman"/>
        </w:rPr>
        <w:t>Respecto a los pequeños inversionistas, por primera vez se colocó la totalidad del cupo establecido para este grupo (Q100 millones), este es un mecanismo que se viene utilizando desde 2017. El haber completado la totalidad del cupo por primera vez demuestra el éxito de la estrategia de democratización de la deuda pública, fomentando el ahorro y la inversión, y a la vez dinamiza el mercado de valores, los montos de inversión van desde un mínimo de Q10,000 hasta un máximo de Q500,000.</w:t>
      </w:r>
    </w:p>
    <w:p w14:paraId="686C8BFF" w14:textId="77777777" w:rsidR="00263E88" w:rsidRDefault="00263E88" w:rsidP="00263E88">
      <w:pPr>
        <w:pStyle w:val="Sinespaciado"/>
        <w:ind w:right="95"/>
        <w:jc w:val="both"/>
        <w:rPr>
          <w:rFonts w:ascii="Times New Roman" w:hAnsi="Times New Roman" w:cs="Times New Roman"/>
        </w:rPr>
      </w:pPr>
    </w:p>
    <w:p w14:paraId="2743A8A7" w14:textId="77777777" w:rsidR="00DC25F0" w:rsidRPr="009652AF" w:rsidRDefault="00263E88" w:rsidP="004B3442">
      <w:pPr>
        <w:pStyle w:val="Sinespaciado"/>
        <w:spacing w:after="240"/>
        <w:ind w:right="95"/>
        <w:jc w:val="both"/>
        <w:rPr>
          <w:rFonts w:ascii="Times New Roman" w:hAnsi="Times New Roman" w:cs="Times New Roman"/>
        </w:rPr>
        <w:sectPr w:rsidR="00DC25F0" w:rsidRPr="009652AF" w:rsidSect="00040C99">
          <w:headerReference w:type="default" r:id="rId33"/>
          <w:footerReference w:type="default" r:id="rId34"/>
          <w:type w:val="continuous"/>
          <w:pgSz w:w="12240" w:h="15840" w:code="1"/>
          <w:pgMar w:top="1418" w:right="1418" w:bottom="1418" w:left="1701" w:header="709" w:footer="709" w:gutter="0"/>
          <w:cols w:num="2" w:space="708"/>
          <w:docGrid w:linePitch="360"/>
        </w:sectPr>
      </w:pPr>
      <w:r>
        <w:rPr>
          <w:rFonts w:ascii="Times New Roman" w:hAnsi="Times New Roman" w:cs="Times New Roman"/>
        </w:rPr>
        <w:t>Adicionalmente, esto abre la puerta a que, en el Organismo Legislativo, donde se encuentra en discusión el Proyecto de Presupuesto para el ejercicio fiscal 2022, se pueda considerar aumentar el cupo, tomando en consideración que en 2021 se alcanzó el cupo antes del cierre fiscal.</w:t>
      </w:r>
      <w:r w:rsidR="009652AF">
        <w:rPr>
          <w:rFonts w:ascii="Times New Roman" w:hAnsi="Times New Roman" w:cs="Times New Roman"/>
        </w:rPr>
        <w:t xml:space="preserve">  </w:t>
      </w:r>
      <w:r>
        <w:rPr>
          <w:rFonts w:ascii="Times New Roman" w:hAnsi="Times New Roman" w:cs="Times New Roman"/>
        </w:rPr>
        <w:t>Estas acciones son parte de una estrategia de diversificación del financiamiento que tiene el Ministerio de Finanzas Públicas.</w:t>
      </w:r>
    </w:p>
    <w:p w14:paraId="69A9E189" w14:textId="77777777" w:rsidR="00255F1F" w:rsidRPr="00263E88" w:rsidRDefault="00255F1F" w:rsidP="00A21CA3">
      <w:pPr>
        <w:pStyle w:val="Sinespaciado"/>
        <w:rPr>
          <w:rFonts w:ascii="Times New Roman" w:hAnsi="Times New Roman" w:cs="Times New Roman"/>
          <w:color w:val="FF0000"/>
          <w:sz w:val="2"/>
        </w:rPr>
        <w:sectPr w:rsidR="00255F1F" w:rsidRPr="00263E88" w:rsidSect="008E66C1">
          <w:type w:val="continuous"/>
          <w:pgSz w:w="12240" w:h="15840"/>
          <w:pgMar w:top="1417" w:right="1467" w:bottom="1417" w:left="1701" w:header="708" w:footer="708" w:gutter="0"/>
          <w:cols w:num="2" w:space="708"/>
          <w:docGrid w:linePitch="360"/>
        </w:sectPr>
      </w:pPr>
    </w:p>
    <w:p w14:paraId="353E40ED" w14:textId="77777777" w:rsidR="000B20DC" w:rsidRPr="00263E88" w:rsidRDefault="000B20DC" w:rsidP="000B20DC">
      <w:pPr>
        <w:pStyle w:val="Sinespaciado"/>
        <w:jc w:val="both"/>
        <w:rPr>
          <w:rFonts w:ascii="Times New Roman" w:hAnsi="Times New Roman" w:cs="Times New Roman"/>
          <w:sz w:val="2"/>
        </w:rPr>
      </w:pPr>
    </w:p>
    <w:p w14:paraId="304D9D1D" w14:textId="77777777" w:rsidR="00642070" w:rsidRPr="00263E88" w:rsidRDefault="00642070" w:rsidP="00642070">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642070" w:rsidRPr="00263E88" w:rsidSect="00FA3B81">
          <w:type w:val="continuous"/>
          <w:pgSz w:w="12240" w:h="15840" w:code="1"/>
          <w:pgMar w:top="1418" w:right="1418" w:bottom="1418" w:left="1418" w:header="709" w:footer="709" w:gutter="0"/>
          <w:cols w:space="708"/>
          <w:docGrid w:linePitch="360"/>
        </w:sectPr>
      </w:pPr>
      <w:r w:rsidRPr="00263E88">
        <w:rPr>
          <w:rFonts w:ascii="Times New Roman" w:hAnsi="Times New Roman" w:cs="Times New Roman"/>
          <w:b/>
        </w:rPr>
        <w:t xml:space="preserve">Ejecución de gastos relacionados a la atención por desastres y calamidades públicas </w:t>
      </w:r>
    </w:p>
    <w:p w14:paraId="2C913349" w14:textId="77777777" w:rsidR="000B20DC" w:rsidRPr="0029550C" w:rsidRDefault="000B20DC" w:rsidP="000B20DC">
      <w:pPr>
        <w:pStyle w:val="Sinespaciado"/>
        <w:rPr>
          <w:rFonts w:ascii="Times New Roman" w:hAnsi="Times New Roman" w:cs="Times New Roman"/>
          <w:b/>
          <w:color w:val="FF0000"/>
          <w:sz w:val="20"/>
          <w:lang w:val="es-MX"/>
        </w:rPr>
      </w:pPr>
    </w:p>
    <w:p w14:paraId="59693183" w14:textId="77777777" w:rsidR="000B20DC" w:rsidRPr="0029550C" w:rsidRDefault="000B20DC" w:rsidP="000B20DC">
      <w:pPr>
        <w:pStyle w:val="Sinespaciado"/>
        <w:rPr>
          <w:rFonts w:ascii="Times New Roman" w:hAnsi="Times New Roman" w:cs="Times New Roman"/>
          <w:b/>
          <w:color w:val="FF0000"/>
          <w:sz w:val="18"/>
          <w:lang w:val="es-MX"/>
        </w:rPr>
        <w:sectPr w:rsidR="000B20DC" w:rsidRPr="0029550C" w:rsidSect="004E358C">
          <w:type w:val="continuous"/>
          <w:pgSz w:w="12240" w:h="15840"/>
          <w:pgMar w:top="1417" w:right="1701" w:bottom="1417" w:left="1701" w:header="708" w:footer="708" w:gutter="0"/>
          <w:cols w:space="708"/>
          <w:docGrid w:linePitch="360"/>
        </w:sectPr>
      </w:pPr>
    </w:p>
    <w:p w14:paraId="339D5F0F" w14:textId="77777777" w:rsidR="00263E88" w:rsidRDefault="00263E88" w:rsidP="00263E88">
      <w:pPr>
        <w:spacing w:after="0" w:line="240" w:lineRule="auto"/>
        <w:ind w:right="71"/>
        <w:jc w:val="both"/>
        <w:rPr>
          <w:rFonts w:ascii="Times New Roman" w:hAnsi="Times New Roman" w:cs="Times New Roman"/>
        </w:rPr>
      </w:pPr>
      <w:r w:rsidRPr="000146A8">
        <w:rPr>
          <w:rFonts w:ascii="Times New Roman" w:hAnsi="Times New Roman" w:cs="Times New Roman"/>
        </w:rPr>
        <w:t>Durante 2021 se ha</w:t>
      </w:r>
      <w:r>
        <w:rPr>
          <w:rFonts w:ascii="Times New Roman" w:hAnsi="Times New Roman" w:cs="Times New Roman"/>
        </w:rPr>
        <w:t xml:space="preserve"> continuado dando atención oportuna al COVID-19, en enero fue aprobado el Decreto 01-2021 “Ley para el financiamiento y adquisición de vacunas contra el coronavirus COVID-19”, considerando que el Proyecto de Presupuesto </w:t>
      </w:r>
      <w:r>
        <w:rPr>
          <w:rFonts w:ascii="Times New Roman" w:hAnsi="Times New Roman" w:cs="Times New Roman"/>
        </w:rPr>
        <w:t xml:space="preserve">2021 no fue aprobado y no se disponían de los mecanismos legales y recursos para el financiamiento, adquisición y distribución de la vacuna. Por ello, este decreto contempla la readecuación del presupuesto hasta por el monto de Q1,500 millones con el objetivo de </w:t>
      </w:r>
      <w:r>
        <w:rPr>
          <w:rFonts w:ascii="Times New Roman" w:hAnsi="Times New Roman" w:cs="Times New Roman"/>
        </w:rPr>
        <w:lastRenderedPageBreak/>
        <w:t xml:space="preserve">incrementar el presupuesto de egresos del Ministerio de Salud Pública y Asistencia Social para la adquisición de la vacuna contra el COVID-19 y de esta forma el Estado cumpliera su objetivo de garantizar la vacunación gratuita. </w:t>
      </w:r>
    </w:p>
    <w:p w14:paraId="37548E94" w14:textId="77777777" w:rsidR="00263E88" w:rsidRDefault="00263E88" w:rsidP="00263E88">
      <w:pPr>
        <w:spacing w:after="0" w:line="240" w:lineRule="auto"/>
        <w:ind w:right="213"/>
        <w:jc w:val="both"/>
        <w:rPr>
          <w:rFonts w:ascii="Times New Roman" w:hAnsi="Times New Roman" w:cs="Times New Roman"/>
        </w:rPr>
      </w:pPr>
    </w:p>
    <w:p w14:paraId="41EE8C39" w14:textId="77777777" w:rsidR="00263E88" w:rsidRPr="008A4DF6" w:rsidRDefault="00263E88" w:rsidP="00263E88">
      <w:pPr>
        <w:spacing w:after="0" w:line="240" w:lineRule="auto"/>
        <w:ind w:right="71"/>
        <w:jc w:val="both"/>
        <w:rPr>
          <w:rFonts w:ascii="Times New Roman" w:hAnsi="Times New Roman" w:cs="Times New Roman"/>
        </w:rPr>
      </w:pPr>
      <w:r>
        <w:rPr>
          <w:rFonts w:ascii="Times New Roman" w:hAnsi="Times New Roman" w:cs="Times New Roman"/>
        </w:rPr>
        <w:t xml:space="preserve">Adicionalmente, el </w:t>
      </w:r>
      <w:r w:rsidRPr="008A4DF6">
        <w:rPr>
          <w:rFonts w:ascii="Times New Roman" w:hAnsi="Times New Roman" w:cs="Times New Roman"/>
        </w:rPr>
        <w:t>Ministerio de Salud Pública y Asistencia Social</w:t>
      </w:r>
      <w:r>
        <w:rPr>
          <w:rFonts w:ascii="Times New Roman" w:hAnsi="Times New Roman" w:cs="Times New Roman"/>
        </w:rPr>
        <w:t xml:space="preserve"> y el Instituto Guatemalteco de Seguridad Social (IGSS), quedaron autorizados para la compra de las vacunas y del equipo y servicios necesarios para su conservación y movilización en forma directa del fabricante, quedando exentos del cumplimiento de los requerimientos de la Ley de Contrataciones del Estado y su reglamento. </w:t>
      </w:r>
    </w:p>
    <w:p w14:paraId="778632FB" w14:textId="77777777" w:rsidR="00263E88" w:rsidRDefault="00263E88" w:rsidP="00263E88">
      <w:pPr>
        <w:spacing w:after="0" w:line="240" w:lineRule="auto"/>
        <w:ind w:right="213"/>
        <w:jc w:val="both"/>
        <w:rPr>
          <w:rFonts w:ascii="Times New Roman" w:hAnsi="Times New Roman" w:cs="Times New Roman"/>
        </w:rPr>
      </w:pPr>
    </w:p>
    <w:p w14:paraId="725EC3F0" w14:textId="77777777" w:rsidR="00263E88" w:rsidRDefault="00263E88" w:rsidP="00210910">
      <w:pPr>
        <w:spacing w:after="0" w:line="240" w:lineRule="auto"/>
        <w:ind w:right="71"/>
        <w:jc w:val="both"/>
        <w:rPr>
          <w:rFonts w:ascii="Times New Roman" w:hAnsi="Times New Roman" w:cs="Times New Roman"/>
        </w:rPr>
      </w:pPr>
      <w:r>
        <w:rPr>
          <w:rFonts w:ascii="Times New Roman" w:hAnsi="Times New Roman" w:cs="Times New Roman"/>
        </w:rPr>
        <w:t>En julio se aprobó el Decreto 08-2021 “</w:t>
      </w:r>
      <w:r w:rsidRPr="003B2154">
        <w:rPr>
          <w:rFonts w:ascii="Times New Roman" w:hAnsi="Times New Roman" w:cs="Times New Roman"/>
        </w:rPr>
        <w:t>Ley de Exención de Responsabilidad y Creación del</w:t>
      </w:r>
      <w:r>
        <w:rPr>
          <w:rFonts w:ascii="Times New Roman" w:hAnsi="Times New Roman" w:cs="Times New Roman"/>
        </w:rPr>
        <w:t xml:space="preserve"> </w:t>
      </w:r>
      <w:r w:rsidRPr="003B2154">
        <w:rPr>
          <w:rFonts w:ascii="Times New Roman" w:hAnsi="Times New Roman" w:cs="Times New Roman"/>
        </w:rPr>
        <w:t>Mecanismo de Compensación por el Uso de</w:t>
      </w:r>
      <w:r>
        <w:rPr>
          <w:rFonts w:ascii="Times New Roman" w:hAnsi="Times New Roman" w:cs="Times New Roman"/>
        </w:rPr>
        <w:t xml:space="preserve"> </w:t>
      </w:r>
      <w:r w:rsidRPr="003B2154">
        <w:rPr>
          <w:rFonts w:ascii="Times New Roman" w:hAnsi="Times New Roman" w:cs="Times New Roman"/>
        </w:rPr>
        <w:t>Vacunas Contra la COVID-19 que posean</w:t>
      </w:r>
      <w:r>
        <w:rPr>
          <w:rFonts w:ascii="Times New Roman" w:hAnsi="Times New Roman" w:cs="Times New Roman"/>
        </w:rPr>
        <w:t xml:space="preserve"> </w:t>
      </w:r>
      <w:r w:rsidRPr="003B2154">
        <w:rPr>
          <w:rFonts w:ascii="Times New Roman" w:hAnsi="Times New Roman" w:cs="Times New Roman"/>
        </w:rPr>
        <w:t>Autorización de Uso de Emergencia por la</w:t>
      </w:r>
      <w:r>
        <w:rPr>
          <w:rFonts w:ascii="Times New Roman" w:hAnsi="Times New Roman" w:cs="Times New Roman"/>
        </w:rPr>
        <w:t xml:space="preserve"> </w:t>
      </w:r>
      <w:r w:rsidRPr="003B2154">
        <w:rPr>
          <w:rFonts w:ascii="Times New Roman" w:hAnsi="Times New Roman" w:cs="Times New Roman"/>
        </w:rPr>
        <w:t>Pandemia del Virus SARS-CoV-2</w:t>
      </w:r>
      <w:r>
        <w:rPr>
          <w:rFonts w:ascii="Times New Roman" w:hAnsi="Times New Roman" w:cs="Times New Roman"/>
        </w:rPr>
        <w:t xml:space="preserve">”. </w:t>
      </w:r>
    </w:p>
    <w:p w14:paraId="388FB8A9" w14:textId="77777777" w:rsidR="00263E88" w:rsidRDefault="00263E88" w:rsidP="00263E88">
      <w:pPr>
        <w:spacing w:after="0" w:line="240" w:lineRule="auto"/>
        <w:jc w:val="both"/>
        <w:rPr>
          <w:rFonts w:ascii="Times New Roman" w:hAnsi="Times New Roman" w:cs="Times New Roman"/>
        </w:rPr>
      </w:pPr>
    </w:p>
    <w:p w14:paraId="7CAC0993" w14:textId="77777777" w:rsidR="00263E88" w:rsidRDefault="00263E88" w:rsidP="00210910">
      <w:pPr>
        <w:spacing w:after="0" w:line="240" w:lineRule="auto"/>
        <w:ind w:right="71"/>
        <w:jc w:val="both"/>
        <w:rPr>
          <w:rFonts w:ascii="Times New Roman" w:hAnsi="Times New Roman" w:cs="Times New Roman"/>
        </w:rPr>
      </w:pPr>
      <w:r>
        <w:rPr>
          <w:rFonts w:ascii="Times New Roman" w:hAnsi="Times New Roman" w:cs="Times New Roman"/>
        </w:rPr>
        <w:t>En este decreto el Estado de Guatemala asume la responsabilidad y define el mecanismo de compensación a las personas afectadas, con reacción adversa seria, como parte del proceso de inmunización con vacunas adquiridas por compra o donación en los siguientes 24 meses de la aprobación del decreto. El decreto contempla tres formas de compensación:</w:t>
      </w:r>
    </w:p>
    <w:p w14:paraId="6EF858F7" w14:textId="77777777" w:rsidR="00263E88" w:rsidRDefault="00263E88" w:rsidP="00263E88">
      <w:pPr>
        <w:spacing w:after="0" w:line="240" w:lineRule="auto"/>
        <w:jc w:val="both"/>
        <w:rPr>
          <w:rFonts w:ascii="Times New Roman" w:hAnsi="Times New Roman" w:cs="Times New Roman"/>
        </w:rPr>
      </w:pPr>
    </w:p>
    <w:p w14:paraId="4879F2A4" w14:textId="77777777" w:rsidR="00263E88" w:rsidRPr="001B444D" w:rsidRDefault="00263E88" w:rsidP="00210910">
      <w:pPr>
        <w:pStyle w:val="Prrafodelista"/>
        <w:numPr>
          <w:ilvl w:val="0"/>
          <w:numId w:val="23"/>
        </w:numPr>
        <w:ind w:left="284" w:right="71" w:hanging="284"/>
        <w:jc w:val="both"/>
        <w:rPr>
          <w:rFonts w:ascii="Times New Roman" w:hAnsi="Times New Roman" w:cs="Times New Roman"/>
        </w:rPr>
      </w:pPr>
      <w:r w:rsidRPr="001B444D">
        <w:rPr>
          <w:rFonts w:ascii="Times New Roman" w:hAnsi="Times New Roman" w:cs="Times New Roman"/>
        </w:rPr>
        <w:t>Si la persona es hospitalizada será compensada con su hospitalización garantizándole cuidados y medicamentos necesarios y económicamente por cada día de internamiento y los subsiguientes de recuperación y rehabilitación por el monto que establezca el salario mínimo</w:t>
      </w:r>
      <w:r>
        <w:rPr>
          <w:rFonts w:ascii="Times New Roman" w:hAnsi="Times New Roman" w:cs="Times New Roman"/>
        </w:rPr>
        <w:t>.</w:t>
      </w:r>
    </w:p>
    <w:p w14:paraId="095E619C" w14:textId="77777777" w:rsidR="00263E88" w:rsidRDefault="00263E88" w:rsidP="00210910">
      <w:pPr>
        <w:pStyle w:val="Prrafodelista"/>
        <w:numPr>
          <w:ilvl w:val="0"/>
          <w:numId w:val="23"/>
        </w:numPr>
        <w:ind w:left="284" w:right="71" w:hanging="284"/>
        <w:jc w:val="both"/>
        <w:rPr>
          <w:rFonts w:ascii="Times New Roman" w:hAnsi="Times New Roman" w:cs="Times New Roman"/>
        </w:rPr>
      </w:pPr>
      <w:r w:rsidRPr="00D82CB0">
        <w:rPr>
          <w:rFonts w:ascii="Times New Roman" w:hAnsi="Times New Roman" w:cs="Times New Roman"/>
        </w:rPr>
        <w:t>Si la persona sufre discapacidad o incapacidad persistente o significativa, será compensada económicamente por un pago total equivalente a diez salarios mínimos mensuales</w:t>
      </w:r>
      <w:r>
        <w:rPr>
          <w:rFonts w:ascii="Times New Roman" w:hAnsi="Times New Roman" w:cs="Times New Roman"/>
        </w:rPr>
        <w:t>.</w:t>
      </w:r>
      <w:r w:rsidRPr="00D82CB0">
        <w:rPr>
          <w:rFonts w:ascii="Times New Roman" w:hAnsi="Times New Roman" w:cs="Times New Roman"/>
        </w:rPr>
        <w:t xml:space="preserve"> </w:t>
      </w:r>
    </w:p>
    <w:p w14:paraId="04D363F5" w14:textId="77777777" w:rsidR="00263E88" w:rsidRDefault="00263E88" w:rsidP="00210910">
      <w:pPr>
        <w:pStyle w:val="Prrafodelista"/>
        <w:numPr>
          <w:ilvl w:val="0"/>
          <w:numId w:val="23"/>
        </w:numPr>
        <w:ind w:left="284" w:right="71" w:hanging="284"/>
        <w:jc w:val="both"/>
        <w:rPr>
          <w:rFonts w:ascii="Times New Roman" w:hAnsi="Times New Roman" w:cs="Times New Roman"/>
        </w:rPr>
      </w:pPr>
      <w:r w:rsidRPr="00D82CB0">
        <w:rPr>
          <w:rFonts w:ascii="Times New Roman" w:hAnsi="Times New Roman" w:cs="Times New Roman"/>
        </w:rPr>
        <w:t xml:space="preserve">Si la persona </w:t>
      </w:r>
      <w:r>
        <w:rPr>
          <w:rFonts w:ascii="Times New Roman" w:hAnsi="Times New Roman" w:cs="Times New Roman"/>
        </w:rPr>
        <w:t>muere</w:t>
      </w:r>
      <w:r w:rsidRPr="00D82CB0">
        <w:rPr>
          <w:rFonts w:ascii="Times New Roman" w:hAnsi="Times New Roman" w:cs="Times New Roman"/>
        </w:rPr>
        <w:t xml:space="preserve">, será compensada económicamente </w:t>
      </w:r>
      <w:r>
        <w:rPr>
          <w:rFonts w:ascii="Times New Roman" w:hAnsi="Times New Roman" w:cs="Times New Roman"/>
        </w:rPr>
        <w:t xml:space="preserve">la persona reclamante </w:t>
      </w:r>
      <w:r w:rsidRPr="00D82CB0">
        <w:rPr>
          <w:rFonts w:ascii="Times New Roman" w:hAnsi="Times New Roman" w:cs="Times New Roman"/>
        </w:rPr>
        <w:t xml:space="preserve">por un pago total equivalente a </w:t>
      </w:r>
      <w:r>
        <w:rPr>
          <w:rFonts w:ascii="Times New Roman" w:hAnsi="Times New Roman" w:cs="Times New Roman"/>
        </w:rPr>
        <w:t>quince</w:t>
      </w:r>
      <w:r w:rsidRPr="00D82CB0">
        <w:rPr>
          <w:rFonts w:ascii="Times New Roman" w:hAnsi="Times New Roman" w:cs="Times New Roman"/>
        </w:rPr>
        <w:t xml:space="preserve"> salarios mínimos mensuales</w:t>
      </w:r>
      <w:r>
        <w:rPr>
          <w:rFonts w:ascii="Times New Roman" w:hAnsi="Times New Roman" w:cs="Times New Roman"/>
        </w:rPr>
        <w:t>.</w:t>
      </w:r>
    </w:p>
    <w:p w14:paraId="3CAE7004" w14:textId="77777777" w:rsidR="00263E88" w:rsidRDefault="00263E88" w:rsidP="00263E88">
      <w:pPr>
        <w:pStyle w:val="Prrafodelista"/>
        <w:jc w:val="both"/>
        <w:rPr>
          <w:rFonts w:ascii="Times New Roman" w:hAnsi="Times New Roman" w:cs="Times New Roman"/>
        </w:rPr>
      </w:pPr>
    </w:p>
    <w:p w14:paraId="0B0C2445" w14:textId="77777777" w:rsidR="00263E88" w:rsidRDefault="00263E88" w:rsidP="00210910">
      <w:pPr>
        <w:spacing w:after="0" w:line="240" w:lineRule="auto"/>
        <w:ind w:right="71"/>
        <w:jc w:val="both"/>
        <w:rPr>
          <w:rFonts w:ascii="Times New Roman" w:hAnsi="Times New Roman" w:cs="Times New Roman"/>
        </w:rPr>
      </w:pPr>
      <w:r>
        <w:rPr>
          <w:rFonts w:ascii="Times New Roman" w:hAnsi="Times New Roman" w:cs="Times New Roman"/>
        </w:rPr>
        <w:t xml:space="preserve">Para las tres formas de compensación se aplica el salario mínimo de actividades no agrícolas. En caso el afectado sea beneficiario del seguro social, se le aplicará la legislación específica del IGSS. </w:t>
      </w:r>
    </w:p>
    <w:p w14:paraId="6BD8243C" w14:textId="77777777" w:rsidR="00263E88" w:rsidRDefault="00263E88" w:rsidP="00263E88">
      <w:pPr>
        <w:spacing w:after="0" w:line="240" w:lineRule="auto"/>
        <w:jc w:val="both"/>
        <w:rPr>
          <w:rFonts w:ascii="Times New Roman" w:hAnsi="Times New Roman" w:cs="Times New Roman"/>
        </w:rPr>
      </w:pPr>
    </w:p>
    <w:p w14:paraId="5DF30256" w14:textId="77777777" w:rsidR="00263E88" w:rsidRDefault="00263E88" w:rsidP="00210910">
      <w:pPr>
        <w:spacing w:after="0" w:line="240" w:lineRule="auto"/>
        <w:ind w:right="71"/>
        <w:jc w:val="both"/>
        <w:rPr>
          <w:rFonts w:ascii="Times New Roman" w:hAnsi="Times New Roman" w:cs="Times New Roman"/>
        </w:rPr>
      </w:pPr>
      <w:r>
        <w:rPr>
          <w:rFonts w:ascii="Times New Roman" w:hAnsi="Times New Roman" w:cs="Times New Roman"/>
        </w:rPr>
        <w:t xml:space="preserve">Derivado de este decreto se creó el Fondo de Compensación Económica vacuna COVID-19 con una asignación de Q20 millones en el Ministerio de Salud Pública y Asistencia Social para atender a los reclamantes y se autorizó al Ministerio de Finanzas Públicas para realizar las readecuaciones presupuestarias necesarias para el Fondo. </w:t>
      </w:r>
    </w:p>
    <w:p w14:paraId="4EAD96DA" w14:textId="77777777" w:rsidR="00263E88" w:rsidRDefault="00263E88" w:rsidP="00263E88">
      <w:pPr>
        <w:spacing w:after="0" w:line="240" w:lineRule="auto"/>
        <w:jc w:val="both"/>
        <w:rPr>
          <w:rFonts w:ascii="Times New Roman" w:hAnsi="Times New Roman" w:cs="Times New Roman"/>
        </w:rPr>
      </w:pPr>
    </w:p>
    <w:p w14:paraId="7480FB77" w14:textId="77777777" w:rsidR="00263E88" w:rsidRDefault="00263E88" w:rsidP="00210910">
      <w:pPr>
        <w:tabs>
          <w:tab w:val="left" w:pos="3544"/>
        </w:tabs>
        <w:spacing w:after="0" w:line="240" w:lineRule="auto"/>
        <w:ind w:right="71"/>
        <w:jc w:val="both"/>
        <w:rPr>
          <w:rFonts w:ascii="Times New Roman" w:hAnsi="Times New Roman" w:cs="Times New Roman"/>
        </w:rPr>
      </w:pPr>
      <w:r>
        <w:rPr>
          <w:rFonts w:ascii="Times New Roman" w:hAnsi="Times New Roman" w:cs="Times New Roman"/>
        </w:rPr>
        <w:t>Por su parte, el Presidente de la República por medio del Decreto Gubernativo 06-2021 y 08-2021 de fecha de agosto y septiembre, respectivamente, intentó reforzar la lucha contra el COVID-19 declarando el Estado de Calamidad Pública en todo el territorio nacional, ambos con plazo de 30 días. Ambos fueron improbados por el Congreso de la República, por medio de los Decretos 09-2021 y 10-2021.</w:t>
      </w:r>
    </w:p>
    <w:p w14:paraId="133BEF02" w14:textId="77777777" w:rsidR="00263E88" w:rsidRDefault="00263E88" w:rsidP="00263E88">
      <w:pPr>
        <w:spacing w:after="0" w:line="240" w:lineRule="auto"/>
        <w:ind w:right="213"/>
        <w:jc w:val="both"/>
        <w:rPr>
          <w:rFonts w:ascii="Times New Roman" w:hAnsi="Times New Roman" w:cs="Times New Roman"/>
        </w:rPr>
      </w:pPr>
    </w:p>
    <w:p w14:paraId="7D4CCD0E" w14:textId="77777777" w:rsidR="00263E88" w:rsidRDefault="00263E88" w:rsidP="00210910">
      <w:pPr>
        <w:spacing w:after="0" w:line="240" w:lineRule="auto"/>
        <w:ind w:right="71"/>
        <w:jc w:val="both"/>
        <w:rPr>
          <w:rFonts w:ascii="Times New Roman" w:hAnsi="Times New Roman" w:cs="Times New Roman"/>
        </w:rPr>
      </w:pPr>
      <w:r>
        <w:rPr>
          <w:rFonts w:ascii="Times New Roman" w:hAnsi="Times New Roman" w:cs="Times New Roman"/>
        </w:rPr>
        <w:t xml:space="preserve">No obstante, en septiembre fue publicado el Decreto 11-2021 “Ley de Emergencia Nacional para la atención de la pandemia COVID-19” considerando que es necesario crear un mecanismo temporal de adquisición temporal extraordinaria de medicamentos, suministros, material quirúrgico y servicios destinados a la atención de pacientes.   </w:t>
      </w:r>
      <w:r w:rsidRPr="00261FCE">
        <w:rPr>
          <w:rFonts w:ascii="Times New Roman" w:hAnsi="Times New Roman" w:cs="Times New Roman"/>
        </w:rPr>
        <w:t xml:space="preserve">Dentro del decreto se contempla que las adquisiciones realizadas </w:t>
      </w:r>
      <w:r>
        <w:rPr>
          <w:rFonts w:ascii="Times New Roman" w:hAnsi="Times New Roman" w:cs="Times New Roman"/>
        </w:rPr>
        <w:t xml:space="preserve">deben publicarse y gestionarse en el sistema Guatecompras, además las compras que se realicen al amparo de la ley sean ágiles y cuenten con los mejores precios, quedando exentas del pago de IVA, las importaciones de </w:t>
      </w:r>
      <w:r>
        <w:rPr>
          <w:rFonts w:ascii="Times New Roman" w:hAnsi="Times New Roman" w:cs="Times New Roman"/>
        </w:rPr>
        <w:lastRenderedPageBreak/>
        <w:t>los insumos de salud que se adquieran de convenios con agencias del Sistema de Naciones Unidas.</w:t>
      </w:r>
    </w:p>
    <w:p w14:paraId="06638E2C" w14:textId="77777777" w:rsidR="00263E88" w:rsidRDefault="00263E88" w:rsidP="00662B45">
      <w:pPr>
        <w:spacing w:after="0" w:line="240" w:lineRule="auto"/>
        <w:ind w:right="-71"/>
        <w:jc w:val="both"/>
        <w:rPr>
          <w:rFonts w:ascii="Times New Roman" w:hAnsi="Times New Roman" w:cs="Times New Roman"/>
        </w:rPr>
      </w:pPr>
    </w:p>
    <w:p w14:paraId="3451D9AB" w14:textId="77777777" w:rsidR="00263E88" w:rsidRPr="00261FCE" w:rsidRDefault="00263E88" w:rsidP="00210910">
      <w:pPr>
        <w:spacing w:after="0" w:line="240" w:lineRule="auto"/>
        <w:ind w:right="71"/>
        <w:jc w:val="both"/>
        <w:rPr>
          <w:rFonts w:ascii="Times New Roman" w:hAnsi="Times New Roman" w:cs="Times New Roman"/>
        </w:rPr>
      </w:pPr>
      <w:r>
        <w:rPr>
          <w:rFonts w:ascii="Times New Roman" w:hAnsi="Times New Roman" w:cs="Times New Roman"/>
        </w:rPr>
        <w:t xml:space="preserve">Asimismo, el decreto contempla un beneficio monetario único por Q2 mil a todo el personal del Ministerio de Salud Pública y Asistencia Social. </w:t>
      </w:r>
    </w:p>
    <w:p w14:paraId="43184AFD" w14:textId="77777777" w:rsidR="00263E88" w:rsidRPr="00865C58" w:rsidRDefault="00263E88" w:rsidP="00662B45">
      <w:pPr>
        <w:spacing w:after="0" w:line="240" w:lineRule="auto"/>
        <w:ind w:right="71"/>
        <w:jc w:val="both"/>
        <w:rPr>
          <w:rFonts w:ascii="Times New Roman" w:hAnsi="Times New Roman" w:cs="Times New Roman"/>
        </w:rPr>
      </w:pPr>
    </w:p>
    <w:p w14:paraId="1601ABE5" w14:textId="77777777" w:rsidR="00263E88" w:rsidRDefault="00263E88" w:rsidP="00210910">
      <w:pPr>
        <w:spacing w:after="0" w:line="240" w:lineRule="auto"/>
        <w:ind w:right="71"/>
        <w:jc w:val="both"/>
        <w:rPr>
          <w:rFonts w:ascii="Times New Roman" w:hAnsi="Times New Roman" w:cs="Times New Roman"/>
        </w:rPr>
      </w:pPr>
      <w:r w:rsidRPr="00865C58">
        <w:rPr>
          <w:rFonts w:ascii="Times New Roman" w:hAnsi="Times New Roman" w:cs="Times New Roman"/>
        </w:rPr>
        <w:t xml:space="preserve">Dentro del portal del Ministerio de Finanzas Publicas se creó un tablero de control para el seguimiento de las adquisiciones realizadas al amparo de </w:t>
      </w:r>
      <w:r>
        <w:rPr>
          <w:rFonts w:ascii="Times New Roman" w:hAnsi="Times New Roman" w:cs="Times New Roman"/>
        </w:rPr>
        <w:t xml:space="preserve">esta </w:t>
      </w:r>
      <w:r w:rsidRPr="00865C58">
        <w:rPr>
          <w:rFonts w:ascii="Times New Roman" w:hAnsi="Times New Roman" w:cs="Times New Roman"/>
        </w:rPr>
        <w:t xml:space="preserve">ley. </w:t>
      </w:r>
      <w:r>
        <w:rPr>
          <w:rFonts w:ascii="Times New Roman" w:hAnsi="Times New Roman" w:cs="Times New Roman"/>
        </w:rPr>
        <w:t>Adicionalmente, se creó el subprograma 13 “Ley de Emergencia Nacional para la Atención de la Pandemia COVID-19” el cual cuenta con un presupuesto de Q1,878.0 millones, estando asignado en su totalidad en el Ministerio de Salud Pública y Asistencia Social, hasta la fecha aún no reporta ejecución.</w:t>
      </w:r>
    </w:p>
    <w:p w14:paraId="592C3DD1" w14:textId="77777777" w:rsidR="00263E88" w:rsidRDefault="00263E88" w:rsidP="00662B45">
      <w:pPr>
        <w:spacing w:after="0" w:line="240" w:lineRule="auto"/>
        <w:ind w:right="-71"/>
        <w:jc w:val="both"/>
        <w:rPr>
          <w:rFonts w:ascii="Times New Roman" w:hAnsi="Times New Roman" w:cs="Times New Roman"/>
        </w:rPr>
      </w:pPr>
    </w:p>
    <w:p w14:paraId="114C5BA9" w14:textId="77777777" w:rsidR="00263E88" w:rsidRDefault="00263E88" w:rsidP="00210910">
      <w:pPr>
        <w:spacing w:after="0" w:line="240" w:lineRule="auto"/>
        <w:ind w:right="71"/>
        <w:jc w:val="both"/>
        <w:rPr>
          <w:rFonts w:ascii="Times New Roman" w:hAnsi="Times New Roman" w:cs="Times New Roman"/>
        </w:rPr>
      </w:pPr>
      <w:r w:rsidRPr="008C0BA2">
        <w:rPr>
          <w:rFonts w:ascii="Times New Roman" w:hAnsi="Times New Roman" w:cs="Times New Roman"/>
        </w:rPr>
        <w:t>Por su parte, se declararon exentas de todos los impuestos de importación y del IVA y derechos arancelarios todas las donaciones vinculadas directamente con la prevención y atención de la enfermedad COVID-19.</w:t>
      </w:r>
      <w:r>
        <w:rPr>
          <w:rFonts w:ascii="Times New Roman" w:hAnsi="Times New Roman" w:cs="Times New Roman"/>
        </w:rPr>
        <w:t xml:space="preserve"> </w:t>
      </w:r>
      <w:r w:rsidRPr="00641822">
        <w:rPr>
          <w:rFonts w:ascii="Times New Roman" w:hAnsi="Times New Roman" w:cs="Times New Roman"/>
        </w:rPr>
        <w:t xml:space="preserve">El Ministerio de Finanzas quedó facultado a reprogramar y ajustar las fuentes de financiamiento que se identifiquen dentro del presupuesto con el objeto de viabilizar la </w:t>
      </w:r>
      <w:r>
        <w:rPr>
          <w:rFonts w:ascii="Times New Roman" w:hAnsi="Times New Roman" w:cs="Times New Roman"/>
        </w:rPr>
        <w:t xml:space="preserve">readecuación presupuestaria por Q1,878.0 millones, con el objetivo de incrementar el presupuesto del Ministerio de Salud Pública y Asistencia Social.  Adicionalmente, se faculta a que puedan realizarse reuniones semanales extraordinarias para someter a consideración del COPEP los requerimientos de cuota financiera que permitan dar cumplimiento a las erogaciones aprobadas. </w:t>
      </w:r>
    </w:p>
    <w:p w14:paraId="396528FA" w14:textId="77777777" w:rsidR="00263E88" w:rsidRDefault="00263E88" w:rsidP="00263E88">
      <w:pPr>
        <w:spacing w:after="0" w:line="240" w:lineRule="auto"/>
        <w:ind w:right="213"/>
        <w:jc w:val="both"/>
        <w:rPr>
          <w:rFonts w:ascii="Times New Roman" w:hAnsi="Times New Roman" w:cs="Times New Roman"/>
        </w:rPr>
      </w:pPr>
    </w:p>
    <w:p w14:paraId="78E1DCB4" w14:textId="77777777" w:rsidR="00263E88" w:rsidRDefault="00263E88" w:rsidP="00210910">
      <w:pPr>
        <w:spacing w:after="0" w:line="240" w:lineRule="auto"/>
        <w:ind w:right="71"/>
        <w:jc w:val="both"/>
        <w:rPr>
          <w:rFonts w:ascii="Times New Roman" w:hAnsi="Times New Roman" w:cs="Times New Roman"/>
        </w:rPr>
      </w:pPr>
      <w:r>
        <w:rPr>
          <w:rFonts w:ascii="Times New Roman" w:hAnsi="Times New Roman" w:cs="Times New Roman"/>
        </w:rPr>
        <w:t xml:space="preserve">Entre otras acciones relevantes aprobadas por el Decreto 11-2021 se encuentra la actualización de las disposiciones emitidas relacionadas a los aforos, cordones sanitarios, pruebas de diagnóstico con el fin de buscar la reducción de contagios, revisar medidas </w:t>
      </w:r>
      <w:r>
        <w:rPr>
          <w:rFonts w:ascii="Times New Roman" w:hAnsi="Times New Roman" w:cs="Times New Roman"/>
        </w:rPr>
        <w:t>alternativas de trabajo presencial, programar y desarrollar el proceso de vacunación en menores de edad comprendidos entre los 12 a 17 años, facultar al MSPAS e IGSS a suscribir convenios de cooperación a título gratuito con farmacias y entidades afines para ampliar el sistema de vacunación, incrementar las becas estudiantiles a todo estudiante que presta sus servicios para atender la emergencia del COVID-19 (siendo equivalente al monto del salario mínimo), permiso laboral a los trabajadores para que asistan a los centros de vacunación autorizados, entre otros.</w:t>
      </w:r>
    </w:p>
    <w:p w14:paraId="0BDCD616" w14:textId="77777777" w:rsidR="00263E88" w:rsidRDefault="00263E88" w:rsidP="00263E88">
      <w:pPr>
        <w:spacing w:after="0" w:line="240" w:lineRule="auto"/>
        <w:ind w:right="213"/>
        <w:jc w:val="both"/>
        <w:rPr>
          <w:rFonts w:ascii="Times New Roman" w:hAnsi="Times New Roman" w:cs="Times New Roman"/>
          <w:b/>
        </w:rPr>
      </w:pPr>
    </w:p>
    <w:p w14:paraId="320DC4AA" w14:textId="77777777" w:rsidR="00263E88" w:rsidRDefault="00263E88" w:rsidP="00210910">
      <w:pPr>
        <w:spacing w:after="0" w:line="240" w:lineRule="auto"/>
        <w:ind w:right="71"/>
        <w:jc w:val="both"/>
        <w:rPr>
          <w:rFonts w:ascii="Times New Roman" w:hAnsi="Times New Roman" w:cs="Times New Roman"/>
        </w:rPr>
      </w:pPr>
      <w:r>
        <w:rPr>
          <w:rFonts w:ascii="Times New Roman" w:hAnsi="Times New Roman" w:cs="Times New Roman"/>
          <w:b/>
        </w:rPr>
        <w:t xml:space="preserve">Derivado de los </w:t>
      </w:r>
      <w:r w:rsidRPr="0080225F">
        <w:rPr>
          <w:rFonts w:ascii="Times New Roman" w:hAnsi="Times New Roman" w:cs="Times New Roman"/>
          <w:b/>
        </w:rPr>
        <w:t xml:space="preserve">decretos anteriormente </w:t>
      </w:r>
      <w:r>
        <w:rPr>
          <w:rFonts w:ascii="Times New Roman" w:hAnsi="Times New Roman" w:cs="Times New Roman"/>
          <w:b/>
        </w:rPr>
        <w:t>aprobados</w:t>
      </w:r>
      <w:r w:rsidRPr="0080225F">
        <w:rPr>
          <w:rFonts w:ascii="Times New Roman" w:hAnsi="Times New Roman" w:cs="Times New Roman"/>
          <w:b/>
        </w:rPr>
        <w:t>, es posible darle seguimiento de la ejecución del gasto relacionado a la pandemia COVID-19, dado que fue creado el programa específico para su seguimiento,</w:t>
      </w:r>
      <w:r>
        <w:rPr>
          <w:rFonts w:ascii="Times New Roman" w:hAnsi="Times New Roman" w:cs="Times New Roman"/>
        </w:rPr>
        <w:t xml:space="preserve">  durante el año se han dado gastos importantes a nivel de tres ministerios, siendo el caso de Ministerio de Salud Pública y Asistencia Social por Q1,656.8 millones, Ministerio de Desarrollo Social por Q103.0 millones y Ministerio de Agricultura, Ganadería y Alimentación por Q113.3 millones que totalizan intervenciones por Q1,873.1 millones. Hace un año, las intervenciones por COVID-19 alcanzaban los Q11,151.6 millones, ejecución que estaba siendo impulsada por tres programas principalmente, Bono Familia, Fondo para Capital de Trabajo y Fondo de Protección de Empleo.</w:t>
      </w:r>
    </w:p>
    <w:p w14:paraId="553E69D9" w14:textId="77777777" w:rsidR="00263E88" w:rsidRDefault="00263E88" w:rsidP="00263E88">
      <w:pPr>
        <w:spacing w:after="0" w:line="240" w:lineRule="auto"/>
        <w:ind w:right="71"/>
        <w:jc w:val="both"/>
        <w:rPr>
          <w:rFonts w:ascii="Times New Roman" w:hAnsi="Times New Roman" w:cs="Times New Roman"/>
        </w:rPr>
      </w:pPr>
    </w:p>
    <w:p w14:paraId="566F9D98" w14:textId="77777777" w:rsidR="00263E88" w:rsidRDefault="00263E88" w:rsidP="00210910">
      <w:pPr>
        <w:spacing w:after="0" w:line="240" w:lineRule="auto"/>
        <w:ind w:right="71"/>
        <w:jc w:val="both"/>
        <w:rPr>
          <w:rFonts w:ascii="Times New Roman" w:hAnsi="Times New Roman" w:cs="Times New Roman"/>
        </w:rPr>
      </w:pPr>
      <w:r>
        <w:rPr>
          <w:rFonts w:ascii="Times New Roman" w:hAnsi="Times New Roman" w:cs="Times New Roman"/>
        </w:rPr>
        <w:t xml:space="preserve">Dentro de los gastos, resalta la ejecución relacionada al esquema de vacunación contra el COVID-19 (Q912.8 millones), el cual representa casi la mitad de la ejecución del gasto COVID-19 del 2021, dentro del Ministerio de Salud Pública también se han dado otras intervenciones como la atención de la emergencia COVID-19 (Q697.9 millones) y laboratorios beneficiados con materiales y equipo de atención de la emergencia COVID-19 (Q46.1 millones).  </w:t>
      </w:r>
    </w:p>
    <w:p w14:paraId="12FDC26A" w14:textId="77777777" w:rsidR="00662B45" w:rsidRDefault="00662B45" w:rsidP="004B3442">
      <w:pPr>
        <w:pStyle w:val="Sinespaciado"/>
        <w:ind w:right="213"/>
        <w:rPr>
          <w:rFonts w:ascii="Times New Roman" w:hAnsi="Times New Roman" w:cs="Times New Roman"/>
          <w:b/>
        </w:rPr>
      </w:pPr>
    </w:p>
    <w:p w14:paraId="2C180917" w14:textId="77777777" w:rsidR="00263E88" w:rsidRPr="00474998" w:rsidRDefault="00263E88" w:rsidP="00263E88">
      <w:pPr>
        <w:pStyle w:val="Sinespaciado"/>
        <w:ind w:right="213"/>
        <w:jc w:val="center"/>
        <w:rPr>
          <w:rFonts w:ascii="Times New Roman" w:hAnsi="Times New Roman" w:cs="Times New Roman"/>
          <w:b/>
        </w:rPr>
      </w:pPr>
      <w:r w:rsidRPr="00474998">
        <w:rPr>
          <w:rFonts w:ascii="Times New Roman" w:hAnsi="Times New Roman" w:cs="Times New Roman"/>
          <w:b/>
        </w:rPr>
        <w:t>Ejecución acumulada de los programas en atención al COVID-19</w:t>
      </w:r>
    </w:p>
    <w:p w14:paraId="3121941E" w14:textId="77777777" w:rsidR="00263E88" w:rsidRDefault="00263E88" w:rsidP="00263E88">
      <w:pPr>
        <w:pStyle w:val="Sinespaciado"/>
        <w:ind w:right="213"/>
        <w:jc w:val="center"/>
        <w:rPr>
          <w:rFonts w:ascii="Times New Roman" w:hAnsi="Times New Roman" w:cs="Times New Roman"/>
          <w:sz w:val="18"/>
        </w:rPr>
      </w:pPr>
      <w:r w:rsidRPr="00474998">
        <w:rPr>
          <w:rFonts w:ascii="Times New Roman" w:hAnsi="Times New Roman" w:cs="Times New Roman"/>
          <w:noProof/>
          <w:lang w:eastAsia="es-GT"/>
        </w:rPr>
        <w:drawing>
          <wp:anchor distT="0" distB="0" distL="114300" distR="114300" simplePos="0" relativeHeight="251915264" behindDoc="0" locked="0" layoutInCell="1" allowOverlap="1" wp14:anchorId="5DCF991E" wp14:editId="00320C03">
            <wp:simplePos x="0" y="0"/>
            <wp:positionH relativeFrom="column">
              <wp:posOffset>-175260</wp:posOffset>
            </wp:positionH>
            <wp:positionV relativeFrom="paragraph">
              <wp:posOffset>139065</wp:posOffset>
            </wp:positionV>
            <wp:extent cx="2857500" cy="2295525"/>
            <wp:effectExtent l="0" t="0" r="0" b="0"/>
            <wp:wrapSquare wrapText="bothSides"/>
            <wp:docPr id="25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474998">
        <w:rPr>
          <w:rFonts w:ascii="Times New Roman" w:hAnsi="Times New Roman" w:cs="Times New Roman"/>
          <w:sz w:val="18"/>
        </w:rPr>
        <w:t xml:space="preserve">Millones de quetzales </w:t>
      </w:r>
    </w:p>
    <w:p w14:paraId="703C17CA" w14:textId="77777777" w:rsidR="00263E88" w:rsidRDefault="00263E88" w:rsidP="00263E88">
      <w:pPr>
        <w:pStyle w:val="Sinespaciado"/>
        <w:ind w:right="213"/>
        <w:rPr>
          <w:rFonts w:ascii="Times New Roman" w:hAnsi="Times New Roman" w:cs="Times New Roman"/>
          <w:sz w:val="16"/>
        </w:rPr>
      </w:pPr>
      <w:r w:rsidRPr="00474998">
        <w:rPr>
          <w:rFonts w:ascii="Times New Roman" w:hAnsi="Times New Roman" w:cs="Times New Roman"/>
          <w:sz w:val="16"/>
        </w:rPr>
        <w:t>Fuente: Dirección de Análisis y Política Fiscal</w:t>
      </w:r>
    </w:p>
    <w:p w14:paraId="4C6998DE" w14:textId="77777777" w:rsidR="00263E88" w:rsidRDefault="00263E88" w:rsidP="00263E88">
      <w:pPr>
        <w:pStyle w:val="Sinespaciado"/>
        <w:ind w:right="213"/>
        <w:rPr>
          <w:rFonts w:ascii="Times New Roman" w:hAnsi="Times New Roman" w:cs="Times New Roman"/>
          <w:sz w:val="16"/>
        </w:rPr>
      </w:pPr>
    </w:p>
    <w:p w14:paraId="0A1A597D" w14:textId="77777777" w:rsidR="002A1EF9" w:rsidRDefault="00263E88" w:rsidP="00263E88">
      <w:pPr>
        <w:pStyle w:val="Sinespaciado"/>
        <w:ind w:right="71"/>
        <w:jc w:val="both"/>
        <w:rPr>
          <w:rFonts w:ascii="Times New Roman" w:hAnsi="Times New Roman" w:cs="Times New Roman"/>
        </w:rPr>
      </w:pPr>
      <w:r>
        <w:rPr>
          <w:rFonts w:ascii="Times New Roman" w:hAnsi="Times New Roman" w:cs="Times New Roman"/>
        </w:rPr>
        <w:t xml:space="preserve">Derivado de los esfuerzos antes mencionados, al cierre de octubre de acuerdo al tablero de seguimiento de COVID-19 del MSPAS, se han administrado alrededor de 8.6 millones de dosis, de las cuales 5.3 millones corresponden a primera dosis y 3.3 millones corresponden a segunda dosis (esquema completo). De la primera dosis, el 44.3% corresponde a Moderna, 27.7% a </w:t>
      </w:r>
      <w:proofErr w:type="spellStart"/>
      <w:r>
        <w:rPr>
          <w:rFonts w:ascii="Times New Roman" w:hAnsi="Times New Roman" w:cs="Times New Roman"/>
        </w:rPr>
        <w:t>Astrazeneca</w:t>
      </w:r>
      <w:proofErr w:type="spellEnd"/>
      <w:r>
        <w:rPr>
          <w:rFonts w:ascii="Times New Roman" w:hAnsi="Times New Roman" w:cs="Times New Roman"/>
        </w:rPr>
        <w:t xml:space="preserve">, 22.2% a Sputnik y 5.8% a Pfizer, lo cual corresponde a donaciones y compras hechas por el gobierno de Guatemala. Esto es relevante dado que en la vacunación se reflejan los esfuerzos del gobierno por asegurar la salud de los guatemaltecos ante los efectos de la pandemia COVID-19. </w:t>
      </w:r>
    </w:p>
    <w:p w14:paraId="2FE7C5E9" w14:textId="77777777" w:rsidR="002A1EF9" w:rsidRDefault="002A1EF9" w:rsidP="00263E88">
      <w:pPr>
        <w:pStyle w:val="Sinespaciado"/>
        <w:ind w:right="71"/>
        <w:jc w:val="both"/>
        <w:rPr>
          <w:rFonts w:ascii="Times New Roman" w:hAnsi="Times New Roman" w:cs="Times New Roman"/>
        </w:rPr>
      </w:pPr>
    </w:p>
    <w:p w14:paraId="69A049A5" w14:textId="77777777" w:rsidR="00263E88" w:rsidRDefault="00263E88" w:rsidP="002A1EF9">
      <w:pPr>
        <w:pStyle w:val="Sinespaciado"/>
        <w:ind w:right="71"/>
        <w:jc w:val="both"/>
        <w:rPr>
          <w:rFonts w:ascii="Times New Roman" w:hAnsi="Times New Roman" w:cs="Times New Roman"/>
        </w:rPr>
      </w:pPr>
      <w:r>
        <w:rPr>
          <w:rFonts w:ascii="Times New Roman" w:hAnsi="Times New Roman" w:cs="Times New Roman"/>
        </w:rPr>
        <w:t>No obstante, es importante mencionar que aún queda camino por recorrer para alcanzar el 70% de la población guatemalteca vacunada con esquema completo, dado que es el objetivo que algunos expertos en salud han marcado como clave para que el virus pierda capacidad de propagación.</w:t>
      </w:r>
    </w:p>
    <w:p w14:paraId="45361C27" w14:textId="77777777" w:rsidR="00662B45" w:rsidRDefault="00662B45" w:rsidP="002A1EF9">
      <w:pPr>
        <w:pStyle w:val="Sinespaciado"/>
        <w:ind w:right="71"/>
        <w:jc w:val="both"/>
        <w:rPr>
          <w:rFonts w:ascii="Times New Roman" w:hAnsi="Times New Roman" w:cs="Times New Roman"/>
        </w:rPr>
      </w:pPr>
    </w:p>
    <w:p w14:paraId="47E2DC82" w14:textId="77777777" w:rsidR="00662B45" w:rsidRDefault="00662B45" w:rsidP="002A1EF9">
      <w:pPr>
        <w:pStyle w:val="Sinespaciado"/>
        <w:ind w:right="71"/>
        <w:jc w:val="both"/>
        <w:rPr>
          <w:rFonts w:ascii="Times New Roman" w:hAnsi="Times New Roman" w:cs="Times New Roman"/>
        </w:rPr>
      </w:pPr>
    </w:p>
    <w:p w14:paraId="653246FC" w14:textId="77777777" w:rsidR="004B3442" w:rsidRPr="002A1EF9" w:rsidRDefault="004B3442" w:rsidP="002A1EF9">
      <w:pPr>
        <w:pStyle w:val="Sinespaciado"/>
        <w:ind w:right="71"/>
        <w:jc w:val="both"/>
        <w:rPr>
          <w:rFonts w:ascii="Times New Roman" w:hAnsi="Times New Roman" w:cs="Times New Roman"/>
        </w:rPr>
      </w:pPr>
    </w:p>
    <w:p w14:paraId="54DA10A1" w14:textId="77777777" w:rsidR="00263E88" w:rsidRDefault="00263E88" w:rsidP="00263E88">
      <w:pPr>
        <w:pStyle w:val="Sinespaciado"/>
        <w:ind w:right="213"/>
        <w:jc w:val="center"/>
        <w:rPr>
          <w:rFonts w:ascii="Times New Roman" w:hAnsi="Times New Roman" w:cs="Times New Roman"/>
          <w:b/>
        </w:rPr>
      </w:pPr>
      <w:r>
        <w:rPr>
          <w:rFonts w:ascii="Times New Roman" w:hAnsi="Times New Roman" w:cs="Times New Roman"/>
          <w:b/>
        </w:rPr>
        <w:t>Cantidad de dosis aplicadas y tipo de vacuna</w:t>
      </w:r>
    </w:p>
    <w:p w14:paraId="4CBCDD95" w14:textId="77777777" w:rsidR="00263E88" w:rsidRPr="006C7775" w:rsidRDefault="00263E88" w:rsidP="00263E88">
      <w:pPr>
        <w:pStyle w:val="Sinespaciado"/>
        <w:ind w:right="213"/>
        <w:jc w:val="center"/>
        <w:rPr>
          <w:rFonts w:ascii="Times New Roman" w:hAnsi="Times New Roman" w:cs="Times New Roman"/>
          <w:sz w:val="18"/>
        </w:rPr>
      </w:pPr>
      <w:r w:rsidRPr="006C7775">
        <w:rPr>
          <w:rFonts w:ascii="Times New Roman" w:hAnsi="Times New Roman" w:cs="Times New Roman"/>
          <w:noProof/>
          <w:sz w:val="18"/>
          <w:lang w:eastAsia="es-GT"/>
        </w:rPr>
        <w:drawing>
          <wp:anchor distT="0" distB="0" distL="114300" distR="114300" simplePos="0" relativeHeight="251914240" behindDoc="0" locked="0" layoutInCell="1" allowOverlap="1" wp14:anchorId="1B038916" wp14:editId="71AEDB18">
            <wp:simplePos x="0" y="0"/>
            <wp:positionH relativeFrom="column">
              <wp:posOffset>-240788</wp:posOffset>
            </wp:positionH>
            <wp:positionV relativeFrom="paragraph">
              <wp:posOffset>153158</wp:posOffset>
            </wp:positionV>
            <wp:extent cx="3001645" cy="2194560"/>
            <wp:effectExtent l="0" t="0" r="8255" b="0"/>
            <wp:wrapSquare wrapText="bothSides"/>
            <wp:docPr id="4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6C7775">
        <w:rPr>
          <w:rFonts w:ascii="Times New Roman" w:hAnsi="Times New Roman" w:cs="Times New Roman"/>
          <w:sz w:val="18"/>
        </w:rPr>
        <w:t>Cifras en millones y porcentajes</w:t>
      </w:r>
    </w:p>
    <w:p w14:paraId="048D88F4" w14:textId="77777777" w:rsidR="00263E88" w:rsidRPr="000E7632" w:rsidRDefault="00263E88" w:rsidP="00263E88">
      <w:pPr>
        <w:pStyle w:val="Sinespaciado"/>
        <w:ind w:right="213"/>
        <w:jc w:val="both"/>
        <w:rPr>
          <w:rFonts w:ascii="Times New Roman" w:hAnsi="Times New Roman" w:cs="Times New Roman"/>
          <w:sz w:val="16"/>
        </w:rPr>
      </w:pPr>
      <w:r w:rsidRPr="000E7632">
        <w:rPr>
          <w:rFonts w:ascii="Times New Roman" w:hAnsi="Times New Roman" w:cs="Times New Roman"/>
          <w:sz w:val="16"/>
        </w:rPr>
        <w:t xml:space="preserve">Fuente: Ministerio de Salud Pública y Asistencia Social </w:t>
      </w:r>
    </w:p>
    <w:p w14:paraId="44CBBABA" w14:textId="77777777" w:rsidR="00263E88" w:rsidRDefault="00263E88" w:rsidP="00263E88">
      <w:pPr>
        <w:spacing w:after="0" w:line="240" w:lineRule="auto"/>
        <w:ind w:right="213"/>
        <w:jc w:val="both"/>
        <w:rPr>
          <w:rFonts w:ascii="Times New Roman" w:hAnsi="Times New Roman" w:cs="Times New Roman"/>
        </w:rPr>
      </w:pPr>
    </w:p>
    <w:p w14:paraId="56C7535A" w14:textId="77777777" w:rsidR="00263E88" w:rsidRPr="00D92216" w:rsidRDefault="00263E88" w:rsidP="00263E88">
      <w:pPr>
        <w:spacing w:after="0" w:line="240" w:lineRule="auto"/>
        <w:ind w:right="213"/>
        <w:jc w:val="both"/>
        <w:rPr>
          <w:rFonts w:ascii="Times New Roman" w:hAnsi="Times New Roman" w:cs="Times New Roman"/>
        </w:rPr>
      </w:pPr>
      <w:r w:rsidRPr="00D92216">
        <w:rPr>
          <w:rFonts w:ascii="Times New Roman" w:hAnsi="Times New Roman" w:cs="Times New Roman"/>
        </w:rPr>
        <w:t xml:space="preserve">Al analizar las cifras de personas vacunadas con esquema completo por departamento, se observa grandes disparidades, el mayor avance se tiene en el Departamento de Guatemala con </w:t>
      </w:r>
      <w:r>
        <w:rPr>
          <w:rFonts w:ascii="Times New Roman" w:hAnsi="Times New Roman" w:cs="Times New Roman"/>
        </w:rPr>
        <w:t>43</w:t>
      </w:r>
      <w:r w:rsidRPr="00D92216">
        <w:rPr>
          <w:rFonts w:ascii="Times New Roman" w:hAnsi="Times New Roman" w:cs="Times New Roman"/>
        </w:rPr>
        <w:t>.</w:t>
      </w:r>
      <w:r>
        <w:rPr>
          <w:rFonts w:ascii="Times New Roman" w:hAnsi="Times New Roman" w:cs="Times New Roman"/>
        </w:rPr>
        <w:t>9</w:t>
      </w:r>
      <w:r w:rsidRPr="00D92216">
        <w:rPr>
          <w:rFonts w:ascii="Times New Roman" w:hAnsi="Times New Roman" w:cs="Times New Roman"/>
        </w:rPr>
        <w:t>%</w:t>
      </w:r>
      <w:r>
        <w:rPr>
          <w:rFonts w:ascii="Times New Roman" w:hAnsi="Times New Roman" w:cs="Times New Roman"/>
        </w:rPr>
        <w:t xml:space="preserve"> y Sacatepéquez con 36.3%</w:t>
      </w:r>
      <w:r w:rsidRPr="00D92216">
        <w:rPr>
          <w:rFonts w:ascii="Times New Roman" w:hAnsi="Times New Roman" w:cs="Times New Roman"/>
        </w:rPr>
        <w:t>, mientras que Alta Verapaz reporta el menor avance con apenas 1</w:t>
      </w:r>
      <w:r>
        <w:rPr>
          <w:rFonts w:ascii="Times New Roman" w:hAnsi="Times New Roman" w:cs="Times New Roman"/>
        </w:rPr>
        <w:t>1.3</w:t>
      </w:r>
      <w:r w:rsidRPr="00D92216">
        <w:rPr>
          <w:rFonts w:ascii="Times New Roman" w:hAnsi="Times New Roman" w:cs="Times New Roman"/>
        </w:rPr>
        <w:t xml:space="preserve">%. </w:t>
      </w:r>
    </w:p>
    <w:p w14:paraId="37D57F1C" w14:textId="77777777" w:rsidR="00263E88" w:rsidRPr="00D92216" w:rsidRDefault="00263E88" w:rsidP="00263E88">
      <w:pPr>
        <w:spacing w:after="0" w:line="240" w:lineRule="auto"/>
        <w:ind w:right="213"/>
        <w:jc w:val="both"/>
        <w:rPr>
          <w:rFonts w:ascii="Times New Roman" w:hAnsi="Times New Roman" w:cs="Times New Roman"/>
        </w:rPr>
      </w:pPr>
    </w:p>
    <w:p w14:paraId="147A1FBA" w14:textId="77777777" w:rsidR="00263E88" w:rsidRDefault="00263E88" w:rsidP="00263E88">
      <w:pPr>
        <w:spacing w:after="0" w:line="240" w:lineRule="auto"/>
        <w:ind w:right="213"/>
        <w:jc w:val="both"/>
        <w:rPr>
          <w:rFonts w:ascii="Times New Roman" w:hAnsi="Times New Roman" w:cs="Times New Roman"/>
        </w:rPr>
      </w:pPr>
      <w:r w:rsidRPr="00D92216">
        <w:rPr>
          <w:rFonts w:ascii="Times New Roman" w:hAnsi="Times New Roman" w:cs="Times New Roman"/>
        </w:rPr>
        <w:t>Los departamentos que reportan el mayor avance después de Guatemala</w:t>
      </w:r>
      <w:r>
        <w:rPr>
          <w:rFonts w:ascii="Times New Roman" w:hAnsi="Times New Roman" w:cs="Times New Roman"/>
        </w:rPr>
        <w:t xml:space="preserve"> y Sacatepéquez</w:t>
      </w:r>
      <w:r w:rsidRPr="00D92216">
        <w:rPr>
          <w:rFonts w:ascii="Times New Roman" w:hAnsi="Times New Roman" w:cs="Times New Roman"/>
        </w:rPr>
        <w:t xml:space="preserve"> son: </w:t>
      </w:r>
      <w:r>
        <w:rPr>
          <w:rFonts w:ascii="Times New Roman" w:hAnsi="Times New Roman" w:cs="Times New Roman"/>
        </w:rPr>
        <w:t xml:space="preserve">El Progreso (28.2%) </w:t>
      </w:r>
      <w:r w:rsidRPr="00D92216">
        <w:rPr>
          <w:rFonts w:ascii="Times New Roman" w:hAnsi="Times New Roman" w:cs="Times New Roman"/>
        </w:rPr>
        <w:t>Quetzaltenango (2</w:t>
      </w:r>
      <w:r>
        <w:rPr>
          <w:rFonts w:ascii="Times New Roman" w:hAnsi="Times New Roman" w:cs="Times New Roman"/>
        </w:rPr>
        <w:t>8</w:t>
      </w:r>
      <w:r w:rsidRPr="00D92216">
        <w:rPr>
          <w:rFonts w:ascii="Times New Roman" w:hAnsi="Times New Roman" w:cs="Times New Roman"/>
        </w:rPr>
        <w:t>.</w:t>
      </w:r>
      <w:r>
        <w:rPr>
          <w:rFonts w:ascii="Times New Roman" w:hAnsi="Times New Roman" w:cs="Times New Roman"/>
        </w:rPr>
        <w:t xml:space="preserve">2%) y Jutiapa (26.5%). </w:t>
      </w:r>
    </w:p>
    <w:p w14:paraId="2C1FF225" w14:textId="77777777" w:rsidR="00263E88" w:rsidRPr="00D92216" w:rsidRDefault="00263E88" w:rsidP="00263E88">
      <w:pPr>
        <w:spacing w:after="0" w:line="240" w:lineRule="auto"/>
        <w:ind w:right="213"/>
        <w:jc w:val="both"/>
        <w:rPr>
          <w:rFonts w:ascii="Times New Roman" w:hAnsi="Times New Roman" w:cs="Times New Roman"/>
        </w:rPr>
      </w:pPr>
    </w:p>
    <w:p w14:paraId="60994B88" w14:textId="77777777" w:rsidR="00263E88" w:rsidRPr="00D92216" w:rsidRDefault="00263E88" w:rsidP="00263E88">
      <w:pPr>
        <w:spacing w:after="0" w:line="240" w:lineRule="auto"/>
        <w:ind w:right="213"/>
        <w:jc w:val="both"/>
        <w:rPr>
          <w:rFonts w:ascii="Times New Roman" w:hAnsi="Times New Roman" w:cs="Times New Roman"/>
        </w:rPr>
      </w:pPr>
      <w:r w:rsidRPr="00D92216">
        <w:rPr>
          <w:rFonts w:ascii="Times New Roman" w:hAnsi="Times New Roman" w:cs="Times New Roman"/>
        </w:rPr>
        <w:t>Por su parte, los departamentos con menor avance después de Alta Verapaz son: Quiché (1</w:t>
      </w:r>
      <w:r>
        <w:rPr>
          <w:rFonts w:ascii="Times New Roman" w:hAnsi="Times New Roman" w:cs="Times New Roman"/>
        </w:rPr>
        <w:t>4</w:t>
      </w:r>
      <w:r w:rsidRPr="00D92216">
        <w:rPr>
          <w:rFonts w:ascii="Times New Roman" w:hAnsi="Times New Roman" w:cs="Times New Roman"/>
        </w:rPr>
        <w:t>.</w:t>
      </w:r>
      <w:r>
        <w:rPr>
          <w:rFonts w:ascii="Times New Roman" w:hAnsi="Times New Roman" w:cs="Times New Roman"/>
        </w:rPr>
        <w:t>5%), Sololá (16.8%), Totonicapán (16</w:t>
      </w:r>
      <w:r w:rsidRPr="00D92216">
        <w:rPr>
          <w:rFonts w:ascii="Times New Roman" w:hAnsi="Times New Roman" w:cs="Times New Roman"/>
        </w:rPr>
        <w:t>.</w:t>
      </w:r>
      <w:r>
        <w:rPr>
          <w:rFonts w:ascii="Times New Roman" w:hAnsi="Times New Roman" w:cs="Times New Roman"/>
        </w:rPr>
        <w:t>9%) y Petén (17.9%).</w:t>
      </w:r>
    </w:p>
    <w:p w14:paraId="73F3954B" w14:textId="77777777" w:rsidR="00263E88" w:rsidRPr="00D92216" w:rsidRDefault="00263E88" w:rsidP="00263E88">
      <w:pPr>
        <w:spacing w:after="0" w:line="240" w:lineRule="auto"/>
        <w:ind w:right="213"/>
        <w:jc w:val="both"/>
        <w:rPr>
          <w:rFonts w:ascii="Times New Roman" w:hAnsi="Times New Roman" w:cs="Times New Roman"/>
        </w:rPr>
      </w:pPr>
    </w:p>
    <w:p w14:paraId="62B345DF" w14:textId="77777777" w:rsidR="00263E88" w:rsidRPr="00263E88" w:rsidRDefault="00263E88" w:rsidP="00263E88">
      <w:pPr>
        <w:spacing w:after="0" w:line="240" w:lineRule="auto"/>
        <w:ind w:right="213"/>
        <w:jc w:val="both"/>
        <w:rPr>
          <w:rFonts w:ascii="Times New Roman" w:hAnsi="Times New Roman" w:cs="Times New Roman"/>
        </w:rPr>
      </w:pPr>
      <w:r w:rsidRPr="00D92216">
        <w:rPr>
          <w:rFonts w:ascii="Times New Roman" w:hAnsi="Times New Roman" w:cs="Times New Roman"/>
        </w:rPr>
        <w:t xml:space="preserve">En el interior del país, miembros de personal médico a cargo de la vacunación se han enfrentado a diferentes retos, algunos incluso han sido agredidos por personas que se oponen al proceso de vacunación ya sea por falta de información, desconfianza por </w:t>
      </w:r>
      <w:r w:rsidRPr="00263E88">
        <w:rPr>
          <w:rFonts w:ascii="Times New Roman" w:hAnsi="Times New Roman" w:cs="Times New Roman"/>
        </w:rPr>
        <w:t>posibles efectos secundarios, barreras de lenguaje, entre otros.</w:t>
      </w:r>
    </w:p>
    <w:p w14:paraId="128C5DF2" w14:textId="77777777" w:rsidR="00642070" w:rsidRPr="00263E88" w:rsidRDefault="00642070" w:rsidP="00642070">
      <w:pPr>
        <w:pStyle w:val="Sinespaciado"/>
        <w:ind w:right="213"/>
        <w:jc w:val="both"/>
        <w:rPr>
          <w:rFonts w:ascii="Times New Roman" w:hAnsi="Times New Roman" w:cs="Times New Roman"/>
          <w:b/>
        </w:rPr>
      </w:pPr>
    </w:p>
    <w:p w14:paraId="2DFCCFE7" w14:textId="77777777" w:rsidR="00642070" w:rsidRPr="00263E88" w:rsidRDefault="00642070" w:rsidP="00642070">
      <w:pPr>
        <w:pStyle w:val="Sinespaciado"/>
        <w:ind w:right="213"/>
        <w:jc w:val="center"/>
        <w:rPr>
          <w:rFonts w:ascii="Times New Roman" w:hAnsi="Times New Roman" w:cs="Times New Roman"/>
          <w:b/>
        </w:rPr>
      </w:pPr>
      <w:r w:rsidRPr="00263E88">
        <w:rPr>
          <w:rFonts w:ascii="Times New Roman" w:hAnsi="Times New Roman" w:cs="Times New Roman"/>
          <w:b/>
        </w:rPr>
        <w:t>Porcentaje de personas vacunadas con esquema completo por departamento</w:t>
      </w:r>
    </w:p>
    <w:p w14:paraId="56C0933A" w14:textId="77777777" w:rsidR="00642070" w:rsidRPr="00263E88" w:rsidRDefault="00642070" w:rsidP="00642070">
      <w:pPr>
        <w:pStyle w:val="Sinespaciado"/>
        <w:ind w:right="213"/>
        <w:jc w:val="center"/>
        <w:rPr>
          <w:rFonts w:ascii="Times New Roman" w:hAnsi="Times New Roman" w:cs="Times New Roman"/>
          <w:sz w:val="18"/>
        </w:rPr>
      </w:pPr>
      <w:r w:rsidRPr="00263E88">
        <w:rPr>
          <w:rFonts w:ascii="Times New Roman" w:hAnsi="Times New Roman" w:cs="Times New Roman"/>
          <w:sz w:val="18"/>
        </w:rPr>
        <w:t>Cifras en porcentajes</w:t>
      </w:r>
    </w:p>
    <w:p w14:paraId="34DD0EC2" w14:textId="77777777" w:rsidR="00505063" w:rsidRPr="00263E88" w:rsidRDefault="00505063" w:rsidP="00642070">
      <w:pPr>
        <w:pStyle w:val="Sinespaciado"/>
        <w:ind w:right="213"/>
        <w:jc w:val="center"/>
        <w:rPr>
          <w:rFonts w:ascii="Times New Roman" w:hAnsi="Times New Roman" w:cs="Times New Roman"/>
          <w:sz w:val="18"/>
        </w:rPr>
      </w:pPr>
      <w:r w:rsidRPr="00263E88">
        <w:rPr>
          <w:rFonts w:ascii="Times New Roman" w:hAnsi="Times New Roman" w:cs="Times New Roman"/>
          <w:noProof/>
          <w:sz w:val="18"/>
          <w:lang w:eastAsia="es-GT"/>
        </w:rPr>
        <w:drawing>
          <wp:anchor distT="0" distB="0" distL="114300" distR="114300" simplePos="0" relativeHeight="251902976" behindDoc="0" locked="0" layoutInCell="1" allowOverlap="1" wp14:anchorId="5C182898" wp14:editId="25DA393F">
            <wp:simplePos x="0" y="0"/>
            <wp:positionH relativeFrom="column">
              <wp:posOffset>15240</wp:posOffset>
            </wp:positionH>
            <wp:positionV relativeFrom="paragraph">
              <wp:posOffset>99695</wp:posOffset>
            </wp:positionV>
            <wp:extent cx="2647315" cy="2819400"/>
            <wp:effectExtent l="0" t="0" r="635" b="0"/>
            <wp:wrapNone/>
            <wp:docPr id="239" name="Imagen 239" descr="C:\Users\edeleon\AppData\Local\Microsoft\Windows\INetCache\Content.Outlook\U9OGEOAG\Mapa Guatemala vacunado esquema completo octu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eleon\AppData\Local\Microsoft\Windows\INetCache\Content.Outlook\U9OGEOAG\Mapa Guatemala vacunado esquema completo octubr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7501" cy="2819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BF787" w14:textId="77777777" w:rsidR="00505063" w:rsidRPr="00263E88" w:rsidRDefault="00505063" w:rsidP="00642070">
      <w:pPr>
        <w:pStyle w:val="Sinespaciado"/>
        <w:ind w:right="213"/>
        <w:jc w:val="center"/>
        <w:rPr>
          <w:rFonts w:ascii="Times New Roman" w:hAnsi="Times New Roman" w:cs="Times New Roman"/>
          <w:sz w:val="18"/>
        </w:rPr>
      </w:pPr>
    </w:p>
    <w:p w14:paraId="57A3C1B8" w14:textId="77777777" w:rsidR="00505063" w:rsidRPr="00263E88" w:rsidRDefault="00505063" w:rsidP="00642070">
      <w:pPr>
        <w:pStyle w:val="Sinespaciado"/>
        <w:ind w:right="213"/>
        <w:jc w:val="center"/>
        <w:rPr>
          <w:rFonts w:ascii="Times New Roman" w:hAnsi="Times New Roman" w:cs="Times New Roman"/>
          <w:sz w:val="18"/>
        </w:rPr>
      </w:pPr>
    </w:p>
    <w:p w14:paraId="404B9B37" w14:textId="77777777" w:rsidR="00505063" w:rsidRPr="00263E88" w:rsidRDefault="00505063" w:rsidP="00642070">
      <w:pPr>
        <w:pStyle w:val="Sinespaciado"/>
        <w:ind w:right="213"/>
        <w:jc w:val="center"/>
        <w:rPr>
          <w:rFonts w:ascii="Times New Roman" w:hAnsi="Times New Roman" w:cs="Times New Roman"/>
          <w:sz w:val="18"/>
        </w:rPr>
      </w:pPr>
    </w:p>
    <w:p w14:paraId="2F8E71FC" w14:textId="77777777" w:rsidR="00505063" w:rsidRPr="00263E88" w:rsidRDefault="00505063" w:rsidP="00642070">
      <w:pPr>
        <w:pStyle w:val="Sinespaciado"/>
        <w:ind w:right="213"/>
        <w:jc w:val="center"/>
        <w:rPr>
          <w:rFonts w:ascii="Times New Roman" w:hAnsi="Times New Roman" w:cs="Times New Roman"/>
          <w:sz w:val="18"/>
        </w:rPr>
      </w:pPr>
    </w:p>
    <w:p w14:paraId="06B7A4B2" w14:textId="77777777" w:rsidR="00505063" w:rsidRPr="00263E88" w:rsidRDefault="00505063" w:rsidP="00642070">
      <w:pPr>
        <w:pStyle w:val="Sinespaciado"/>
        <w:ind w:right="213"/>
        <w:jc w:val="center"/>
        <w:rPr>
          <w:rFonts w:ascii="Times New Roman" w:hAnsi="Times New Roman" w:cs="Times New Roman"/>
          <w:sz w:val="18"/>
        </w:rPr>
      </w:pPr>
    </w:p>
    <w:p w14:paraId="4E35F377" w14:textId="77777777" w:rsidR="00505063" w:rsidRPr="00263E88" w:rsidRDefault="00505063" w:rsidP="00642070">
      <w:pPr>
        <w:pStyle w:val="Sinespaciado"/>
        <w:ind w:right="213"/>
        <w:jc w:val="center"/>
        <w:rPr>
          <w:rFonts w:ascii="Times New Roman" w:hAnsi="Times New Roman" w:cs="Times New Roman"/>
          <w:sz w:val="18"/>
        </w:rPr>
      </w:pPr>
    </w:p>
    <w:p w14:paraId="06C9FBEB" w14:textId="77777777" w:rsidR="00505063" w:rsidRPr="00263E88" w:rsidRDefault="00505063" w:rsidP="00642070">
      <w:pPr>
        <w:pStyle w:val="Sinespaciado"/>
        <w:ind w:right="213"/>
        <w:jc w:val="center"/>
        <w:rPr>
          <w:rFonts w:ascii="Times New Roman" w:hAnsi="Times New Roman" w:cs="Times New Roman"/>
          <w:sz w:val="18"/>
        </w:rPr>
      </w:pPr>
    </w:p>
    <w:p w14:paraId="0DD21820" w14:textId="77777777" w:rsidR="00505063" w:rsidRPr="00263E88" w:rsidRDefault="00505063" w:rsidP="00642070">
      <w:pPr>
        <w:pStyle w:val="Sinespaciado"/>
        <w:ind w:right="213"/>
        <w:jc w:val="center"/>
        <w:rPr>
          <w:rFonts w:ascii="Times New Roman" w:hAnsi="Times New Roman" w:cs="Times New Roman"/>
          <w:sz w:val="18"/>
        </w:rPr>
      </w:pPr>
    </w:p>
    <w:p w14:paraId="4FF44E7A" w14:textId="77777777" w:rsidR="00505063" w:rsidRPr="00263E88" w:rsidRDefault="00505063" w:rsidP="00642070">
      <w:pPr>
        <w:pStyle w:val="Sinespaciado"/>
        <w:ind w:right="213"/>
        <w:jc w:val="center"/>
        <w:rPr>
          <w:rFonts w:ascii="Times New Roman" w:hAnsi="Times New Roman" w:cs="Times New Roman"/>
          <w:sz w:val="18"/>
        </w:rPr>
      </w:pPr>
    </w:p>
    <w:p w14:paraId="6A7389C4" w14:textId="77777777" w:rsidR="00505063" w:rsidRPr="00263E88" w:rsidRDefault="00505063" w:rsidP="00642070">
      <w:pPr>
        <w:pStyle w:val="Sinespaciado"/>
        <w:ind w:right="213"/>
        <w:jc w:val="center"/>
        <w:rPr>
          <w:rFonts w:ascii="Times New Roman" w:hAnsi="Times New Roman" w:cs="Times New Roman"/>
          <w:sz w:val="18"/>
        </w:rPr>
      </w:pPr>
    </w:p>
    <w:p w14:paraId="6D79102C" w14:textId="77777777" w:rsidR="00505063" w:rsidRPr="00263E88" w:rsidRDefault="00505063" w:rsidP="00642070">
      <w:pPr>
        <w:pStyle w:val="Sinespaciado"/>
        <w:ind w:right="213"/>
        <w:jc w:val="center"/>
        <w:rPr>
          <w:rFonts w:ascii="Times New Roman" w:hAnsi="Times New Roman" w:cs="Times New Roman"/>
          <w:sz w:val="18"/>
        </w:rPr>
      </w:pPr>
    </w:p>
    <w:p w14:paraId="586E5E5F" w14:textId="77777777" w:rsidR="00505063" w:rsidRPr="00263E88" w:rsidRDefault="00505063" w:rsidP="00642070">
      <w:pPr>
        <w:pStyle w:val="Sinespaciado"/>
        <w:ind w:right="213"/>
        <w:jc w:val="center"/>
        <w:rPr>
          <w:rFonts w:ascii="Times New Roman" w:hAnsi="Times New Roman" w:cs="Times New Roman"/>
          <w:sz w:val="18"/>
        </w:rPr>
      </w:pPr>
    </w:p>
    <w:p w14:paraId="1D273C0E" w14:textId="77777777" w:rsidR="00505063" w:rsidRPr="00263E88" w:rsidRDefault="00505063" w:rsidP="00642070">
      <w:pPr>
        <w:pStyle w:val="Sinespaciado"/>
        <w:ind w:right="213"/>
        <w:jc w:val="center"/>
        <w:rPr>
          <w:rFonts w:ascii="Times New Roman" w:hAnsi="Times New Roman" w:cs="Times New Roman"/>
          <w:sz w:val="18"/>
        </w:rPr>
      </w:pPr>
    </w:p>
    <w:p w14:paraId="05379AE3" w14:textId="77777777" w:rsidR="00505063" w:rsidRPr="00263E88" w:rsidRDefault="00505063" w:rsidP="00642070">
      <w:pPr>
        <w:pStyle w:val="Sinespaciado"/>
        <w:ind w:right="213"/>
        <w:jc w:val="center"/>
        <w:rPr>
          <w:rFonts w:ascii="Times New Roman" w:hAnsi="Times New Roman" w:cs="Times New Roman"/>
          <w:sz w:val="18"/>
        </w:rPr>
      </w:pPr>
    </w:p>
    <w:p w14:paraId="413DB9FA" w14:textId="77777777" w:rsidR="00505063" w:rsidRPr="00263E88" w:rsidRDefault="00505063" w:rsidP="00642070">
      <w:pPr>
        <w:pStyle w:val="Sinespaciado"/>
        <w:ind w:right="213"/>
        <w:jc w:val="center"/>
        <w:rPr>
          <w:rFonts w:ascii="Times New Roman" w:hAnsi="Times New Roman" w:cs="Times New Roman"/>
          <w:sz w:val="18"/>
        </w:rPr>
      </w:pPr>
    </w:p>
    <w:p w14:paraId="7814788B" w14:textId="77777777" w:rsidR="00505063" w:rsidRPr="00263E88" w:rsidRDefault="00505063" w:rsidP="00642070">
      <w:pPr>
        <w:pStyle w:val="Sinespaciado"/>
        <w:ind w:right="213"/>
        <w:jc w:val="center"/>
        <w:rPr>
          <w:rFonts w:ascii="Times New Roman" w:hAnsi="Times New Roman" w:cs="Times New Roman"/>
          <w:sz w:val="18"/>
        </w:rPr>
      </w:pPr>
    </w:p>
    <w:p w14:paraId="44616CB3" w14:textId="77777777" w:rsidR="00505063" w:rsidRDefault="00505063" w:rsidP="00642070">
      <w:pPr>
        <w:pStyle w:val="Sinespaciado"/>
        <w:ind w:right="213"/>
        <w:jc w:val="center"/>
        <w:rPr>
          <w:rFonts w:ascii="Times New Roman" w:hAnsi="Times New Roman" w:cs="Times New Roman"/>
          <w:sz w:val="18"/>
        </w:rPr>
      </w:pPr>
    </w:p>
    <w:p w14:paraId="6893E0C6" w14:textId="77777777" w:rsidR="002A1EF9" w:rsidRDefault="002A1EF9" w:rsidP="00642070">
      <w:pPr>
        <w:pStyle w:val="Sinespaciado"/>
        <w:ind w:right="213"/>
        <w:jc w:val="center"/>
        <w:rPr>
          <w:rFonts w:ascii="Times New Roman" w:hAnsi="Times New Roman" w:cs="Times New Roman"/>
          <w:sz w:val="18"/>
        </w:rPr>
      </w:pPr>
    </w:p>
    <w:p w14:paraId="0C22EC4A" w14:textId="77777777" w:rsidR="002A1EF9" w:rsidRDefault="002A1EF9" w:rsidP="00642070">
      <w:pPr>
        <w:pStyle w:val="Sinespaciado"/>
        <w:ind w:right="213"/>
        <w:jc w:val="center"/>
        <w:rPr>
          <w:rFonts w:ascii="Times New Roman" w:hAnsi="Times New Roman" w:cs="Times New Roman"/>
          <w:sz w:val="18"/>
        </w:rPr>
      </w:pPr>
    </w:p>
    <w:p w14:paraId="32CF9CFD" w14:textId="77777777" w:rsidR="002A1EF9" w:rsidRDefault="002A1EF9" w:rsidP="00642070">
      <w:pPr>
        <w:pStyle w:val="Sinespaciado"/>
        <w:ind w:right="213"/>
        <w:jc w:val="center"/>
        <w:rPr>
          <w:rFonts w:ascii="Times New Roman" w:hAnsi="Times New Roman" w:cs="Times New Roman"/>
          <w:sz w:val="18"/>
        </w:rPr>
      </w:pPr>
    </w:p>
    <w:p w14:paraId="61C66209" w14:textId="77777777" w:rsidR="002A1EF9" w:rsidRDefault="002A1EF9" w:rsidP="00642070">
      <w:pPr>
        <w:pStyle w:val="Sinespaciado"/>
        <w:ind w:right="213"/>
        <w:jc w:val="center"/>
        <w:rPr>
          <w:rFonts w:ascii="Times New Roman" w:hAnsi="Times New Roman" w:cs="Times New Roman"/>
          <w:sz w:val="18"/>
        </w:rPr>
      </w:pPr>
    </w:p>
    <w:p w14:paraId="12ABE217" w14:textId="77777777" w:rsidR="002A1EF9" w:rsidRPr="00263E88" w:rsidRDefault="002A1EF9" w:rsidP="00642070">
      <w:pPr>
        <w:pStyle w:val="Sinespaciado"/>
        <w:ind w:right="213"/>
        <w:jc w:val="center"/>
        <w:rPr>
          <w:rFonts w:ascii="Times New Roman" w:hAnsi="Times New Roman" w:cs="Times New Roman"/>
          <w:sz w:val="18"/>
        </w:rPr>
      </w:pPr>
    </w:p>
    <w:p w14:paraId="670D58A1" w14:textId="77777777" w:rsidR="00642070" w:rsidRPr="00263E88" w:rsidRDefault="00642070" w:rsidP="00642070">
      <w:pPr>
        <w:pStyle w:val="Sinespaciado"/>
        <w:ind w:right="213"/>
        <w:rPr>
          <w:rFonts w:ascii="Times New Roman" w:hAnsi="Times New Roman" w:cs="Times New Roman"/>
          <w:sz w:val="16"/>
        </w:rPr>
      </w:pPr>
      <w:r w:rsidRPr="00263E88">
        <w:rPr>
          <w:rFonts w:ascii="Times New Roman" w:hAnsi="Times New Roman" w:cs="Times New Roman"/>
          <w:sz w:val="16"/>
        </w:rPr>
        <w:t>Fuente: Ministerio de Salud Pública y Asistencia Social</w:t>
      </w:r>
    </w:p>
    <w:p w14:paraId="060E153F" w14:textId="77777777" w:rsidR="00642070" w:rsidRPr="0029550C" w:rsidRDefault="00642070" w:rsidP="00642070">
      <w:pPr>
        <w:pStyle w:val="Sinespaciado"/>
        <w:ind w:right="213"/>
        <w:jc w:val="both"/>
        <w:rPr>
          <w:rFonts w:ascii="Times New Roman" w:hAnsi="Times New Roman" w:cs="Times New Roman"/>
          <w:b/>
          <w:color w:val="FF0000"/>
        </w:rPr>
      </w:pPr>
    </w:p>
    <w:p w14:paraId="6551D5EB" w14:textId="77777777" w:rsidR="002A1EF9" w:rsidRDefault="00263E88" w:rsidP="00263E88">
      <w:pPr>
        <w:pStyle w:val="Sinespaciado"/>
        <w:ind w:right="213"/>
        <w:jc w:val="both"/>
        <w:rPr>
          <w:rFonts w:ascii="Times New Roman" w:hAnsi="Times New Roman" w:cs="Times New Roman"/>
        </w:rPr>
      </w:pPr>
      <w:r w:rsidRPr="00481971">
        <w:rPr>
          <w:rFonts w:ascii="Times New Roman" w:hAnsi="Times New Roman" w:cs="Times New Roman"/>
        </w:rPr>
        <w:t xml:space="preserve">Al analizar </w:t>
      </w:r>
      <w:r>
        <w:rPr>
          <w:rFonts w:ascii="Times New Roman" w:hAnsi="Times New Roman" w:cs="Times New Roman"/>
        </w:rPr>
        <w:t xml:space="preserve">las cifras de personas vacunadas por grupo etario resalta que el mayor grupo de vacunados tanto de primera dosis como esquema completo se encuentra en los mayores de 60 años, mientras que los menos vacunados son los de 12 a 17 años, aunque es importante tener en cuenta que el </w:t>
      </w:r>
      <w:r w:rsidRPr="00982014">
        <w:rPr>
          <w:rFonts w:ascii="Times New Roman" w:hAnsi="Times New Roman" w:cs="Times New Roman"/>
        </w:rPr>
        <w:t>Decreto 11-2021</w:t>
      </w:r>
      <w:r>
        <w:rPr>
          <w:rFonts w:ascii="Times New Roman" w:hAnsi="Times New Roman" w:cs="Times New Roman"/>
        </w:rPr>
        <w:t xml:space="preserve"> que posibilita la vacunación de este grupo etario fue publicado recientemente (septiembre). </w:t>
      </w:r>
    </w:p>
    <w:p w14:paraId="0F8895E1" w14:textId="77777777" w:rsidR="002A1EF9" w:rsidRDefault="002A1EF9" w:rsidP="00263E88">
      <w:pPr>
        <w:pStyle w:val="Sinespaciado"/>
        <w:ind w:right="213"/>
        <w:jc w:val="both"/>
        <w:rPr>
          <w:rFonts w:ascii="Times New Roman" w:hAnsi="Times New Roman" w:cs="Times New Roman"/>
        </w:rPr>
      </w:pPr>
    </w:p>
    <w:p w14:paraId="05EA95BC" w14:textId="77777777" w:rsidR="00263E88" w:rsidRDefault="00263E88" w:rsidP="00263E88">
      <w:pPr>
        <w:pStyle w:val="Sinespaciado"/>
        <w:ind w:right="213"/>
        <w:jc w:val="both"/>
        <w:rPr>
          <w:rFonts w:ascii="Times New Roman" w:hAnsi="Times New Roman" w:cs="Times New Roman"/>
        </w:rPr>
      </w:pPr>
      <w:r>
        <w:rPr>
          <w:rFonts w:ascii="Times New Roman" w:hAnsi="Times New Roman" w:cs="Times New Roman"/>
        </w:rPr>
        <w:t>No obstante, se observa un avance importante en la vacunación de este grupo en octubre, con 10.1% de la población vacunada con primera dosis, mientras un 0.6% cuenta con segunda dosis, este grupo ha sido vacunado en su mayoría con Pfizer.</w:t>
      </w:r>
    </w:p>
    <w:p w14:paraId="137EFB3B" w14:textId="77777777" w:rsidR="00263E88" w:rsidRDefault="00263E88" w:rsidP="00263E88">
      <w:pPr>
        <w:pStyle w:val="Sinespaciado"/>
        <w:ind w:right="213"/>
        <w:jc w:val="both"/>
        <w:rPr>
          <w:rFonts w:ascii="Times New Roman" w:hAnsi="Times New Roman" w:cs="Times New Roman"/>
        </w:rPr>
      </w:pPr>
    </w:p>
    <w:p w14:paraId="0978C72D" w14:textId="77777777" w:rsidR="002A1EF9" w:rsidRDefault="002A1EF9" w:rsidP="00263E88">
      <w:pPr>
        <w:pStyle w:val="Sinespaciado"/>
        <w:ind w:right="213"/>
        <w:jc w:val="both"/>
        <w:rPr>
          <w:rFonts w:ascii="Times New Roman" w:hAnsi="Times New Roman" w:cs="Times New Roman"/>
        </w:rPr>
      </w:pPr>
    </w:p>
    <w:p w14:paraId="797DBA6C" w14:textId="77777777" w:rsidR="002A1EF9" w:rsidRDefault="002A1EF9" w:rsidP="00263E88">
      <w:pPr>
        <w:pStyle w:val="Sinespaciado"/>
        <w:ind w:right="213"/>
        <w:jc w:val="both"/>
        <w:rPr>
          <w:rFonts w:ascii="Times New Roman" w:hAnsi="Times New Roman" w:cs="Times New Roman"/>
        </w:rPr>
      </w:pPr>
    </w:p>
    <w:p w14:paraId="6765C076" w14:textId="77777777" w:rsidR="002A1EF9" w:rsidRDefault="002A1EF9" w:rsidP="00263E88">
      <w:pPr>
        <w:pStyle w:val="Sinespaciado"/>
        <w:ind w:right="213"/>
        <w:jc w:val="both"/>
        <w:rPr>
          <w:rFonts w:ascii="Times New Roman" w:hAnsi="Times New Roman" w:cs="Times New Roman"/>
        </w:rPr>
      </w:pPr>
    </w:p>
    <w:p w14:paraId="45955931" w14:textId="77777777" w:rsidR="002A1EF9" w:rsidRDefault="002A1EF9" w:rsidP="00263E88">
      <w:pPr>
        <w:pStyle w:val="Sinespaciado"/>
        <w:ind w:right="213"/>
        <w:jc w:val="both"/>
        <w:rPr>
          <w:rFonts w:ascii="Times New Roman" w:hAnsi="Times New Roman" w:cs="Times New Roman"/>
        </w:rPr>
      </w:pPr>
    </w:p>
    <w:p w14:paraId="0D8B7CFA" w14:textId="77777777" w:rsidR="00263E88" w:rsidRDefault="00263E88" w:rsidP="00263E88">
      <w:pPr>
        <w:pStyle w:val="Sinespaciado"/>
        <w:ind w:right="213"/>
        <w:jc w:val="center"/>
        <w:rPr>
          <w:rFonts w:ascii="Times New Roman" w:hAnsi="Times New Roman" w:cs="Times New Roman"/>
          <w:b/>
        </w:rPr>
      </w:pPr>
      <w:r>
        <w:rPr>
          <w:rFonts w:ascii="Times New Roman" w:hAnsi="Times New Roman" w:cs="Times New Roman"/>
          <w:b/>
        </w:rPr>
        <w:t>Porcentaje de vacunados por grupo etario</w:t>
      </w:r>
    </w:p>
    <w:p w14:paraId="3B4643EF" w14:textId="77777777" w:rsidR="00263E88" w:rsidRPr="00D92216" w:rsidRDefault="00263E88" w:rsidP="00263E88">
      <w:pPr>
        <w:pStyle w:val="Sinespaciado"/>
        <w:ind w:right="213"/>
        <w:jc w:val="center"/>
        <w:rPr>
          <w:rFonts w:ascii="Times New Roman" w:hAnsi="Times New Roman" w:cs="Times New Roman"/>
          <w:sz w:val="18"/>
        </w:rPr>
      </w:pPr>
      <w:r>
        <w:rPr>
          <w:rFonts w:ascii="Times New Roman" w:hAnsi="Times New Roman" w:cs="Times New Roman"/>
          <w:b/>
          <w:noProof/>
          <w:lang w:eastAsia="es-GT"/>
        </w:rPr>
        <w:drawing>
          <wp:anchor distT="0" distB="0" distL="114300" distR="114300" simplePos="0" relativeHeight="251917312" behindDoc="0" locked="0" layoutInCell="1" allowOverlap="1" wp14:anchorId="3FD2DA30" wp14:editId="1709350A">
            <wp:simplePos x="0" y="0"/>
            <wp:positionH relativeFrom="column">
              <wp:posOffset>-29689</wp:posOffset>
            </wp:positionH>
            <wp:positionV relativeFrom="paragraph">
              <wp:posOffset>166139</wp:posOffset>
            </wp:positionV>
            <wp:extent cx="2766695" cy="1911350"/>
            <wp:effectExtent l="0" t="0" r="0" b="0"/>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Pr="00D92216">
        <w:rPr>
          <w:rFonts w:ascii="Times New Roman" w:hAnsi="Times New Roman" w:cs="Times New Roman"/>
          <w:sz w:val="18"/>
        </w:rPr>
        <w:t>Cifras en porcentajes</w:t>
      </w:r>
    </w:p>
    <w:p w14:paraId="11A8FBBF" w14:textId="77777777" w:rsidR="00263E88" w:rsidRPr="00481971" w:rsidRDefault="00263E88" w:rsidP="00263E88">
      <w:pPr>
        <w:pStyle w:val="Sinespaciado"/>
        <w:ind w:right="213"/>
        <w:rPr>
          <w:rFonts w:ascii="Times New Roman" w:hAnsi="Times New Roman" w:cs="Times New Roman"/>
          <w:sz w:val="16"/>
        </w:rPr>
      </w:pPr>
      <w:r w:rsidRPr="00481971">
        <w:rPr>
          <w:rFonts w:ascii="Times New Roman" w:hAnsi="Times New Roman" w:cs="Times New Roman"/>
          <w:sz w:val="16"/>
        </w:rPr>
        <w:t>Fuente: Ministerio de Salud Pública y Asistencia Social</w:t>
      </w:r>
    </w:p>
    <w:p w14:paraId="1ACE92A6" w14:textId="77777777" w:rsidR="00263E88" w:rsidRDefault="00263E88" w:rsidP="00263E88">
      <w:pPr>
        <w:pStyle w:val="Sinespaciado"/>
        <w:ind w:right="213"/>
        <w:jc w:val="both"/>
        <w:rPr>
          <w:rFonts w:ascii="Times New Roman" w:hAnsi="Times New Roman" w:cs="Times New Roman"/>
          <w:b/>
        </w:rPr>
      </w:pPr>
    </w:p>
    <w:p w14:paraId="01DCAFFE" w14:textId="77777777" w:rsidR="00263E88" w:rsidRDefault="00263E88" w:rsidP="00263E88">
      <w:pPr>
        <w:pStyle w:val="Sinespaciado"/>
        <w:ind w:right="71"/>
        <w:jc w:val="both"/>
        <w:rPr>
          <w:rFonts w:ascii="Times New Roman" w:hAnsi="Times New Roman" w:cs="Times New Roman"/>
          <w:color w:val="FF0000"/>
        </w:rPr>
      </w:pPr>
      <w:r w:rsidRPr="008F16DC">
        <w:rPr>
          <w:rFonts w:ascii="Times New Roman" w:hAnsi="Times New Roman" w:cs="Times New Roman"/>
          <w:b/>
        </w:rPr>
        <w:t>Respecto al subprograma 11, relacionado al Estado de Calamidad Pública por la Depresión Tropical ETA (DG 20-2020 y 21-2020)</w:t>
      </w:r>
      <w:r>
        <w:rPr>
          <w:rFonts w:ascii="Times New Roman" w:hAnsi="Times New Roman" w:cs="Times New Roman"/>
        </w:rPr>
        <w:t xml:space="preserve"> reporta una ejecución de Q205</w:t>
      </w:r>
      <w:r w:rsidRPr="004C71BC">
        <w:rPr>
          <w:rFonts w:ascii="Times New Roman" w:hAnsi="Times New Roman" w:cs="Times New Roman"/>
        </w:rPr>
        <w:t>.</w:t>
      </w:r>
      <w:r>
        <w:rPr>
          <w:rFonts w:ascii="Times New Roman" w:hAnsi="Times New Roman" w:cs="Times New Roman"/>
        </w:rPr>
        <w:t>3</w:t>
      </w:r>
      <w:r w:rsidRPr="004C71BC">
        <w:rPr>
          <w:rFonts w:ascii="Times New Roman" w:hAnsi="Times New Roman" w:cs="Times New Roman"/>
        </w:rPr>
        <w:t xml:space="preserve"> millones, de los cuales Q</w:t>
      </w:r>
      <w:r>
        <w:rPr>
          <w:rFonts w:ascii="Times New Roman" w:hAnsi="Times New Roman" w:cs="Times New Roman"/>
        </w:rPr>
        <w:t>201</w:t>
      </w:r>
      <w:r w:rsidRPr="004C71BC">
        <w:rPr>
          <w:rFonts w:ascii="Times New Roman" w:hAnsi="Times New Roman" w:cs="Times New Roman"/>
        </w:rPr>
        <w:t>.</w:t>
      </w:r>
      <w:r>
        <w:rPr>
          <w:rFonts w:ascii="Times New Roman" w:hAnsi="Times New Roman" w:cs="Times New Roman"/>
        </w:rPr>
        <w:t>8</w:t>
      </w:r>
      <w:r w:rsidRPr="004C71BC">
        <w:rPr>
          <w:rFonts w:ascii="Times New Roman" w:hAnsi="Times New Roman" w:cs="Times New Roman"/>
        </w:rPr>
        <w:t xml:space="preserve"> millones corresponden al Ministerio de Comunicaciones, Infraestructura y Vivienda para el mantenimiento y reparación </w:t>
      </w:r>
      <w:r>
        <w:rPr>
          <w:rFonts w:ascii="Times New Roman" w:hAnsi="Times New Roman" w:cs="Times New Roman"/>
        </w:rPr>
        <w:t>de infraestructura</w:t>
      </w:r>
      <w:r w:rsidRPr="004C71BC">
        <w:rPr>
          <w:rFonts w:ascii="Times New Roman" w:hAnsi="Times New Roman" w:cs="Times New Roman"/>
        </w:rPr>
        <w:t>, lo cual incluye gastos de mantenimiento y repar</w:t>
      </w:r>
      <w:r>
        <w:rPr>
          <w:rFonts w:ascii="Times New Roman" w:hAnsi="Times New Roman" w:cs="Times New Roman"/>
        </w:rPr>
        <w:t>ación de carreteras y puentes y arrendamiento de maquinaria y equipo de construcción. Adicionalmente, el Ministerio de Desarrollo Social y el Ministerio de Cultura y Deportes reportan una ejecución de Q1.7 y Q1.8 millones, respectivamente, por materiales de construcción y enseres y mantenimiento y reparación de bienes nacionales.</w:t>
      </w:r>
      <w:r w:rsidRPr="00D700D1">
        <w:rPr>
          <w:rFonts w:ascii="Times New Roman" w:hAnsi="Times New Roman" w:cs="Times New Roman"/>
          <w:color w:val="FF0000"/>
        </w:rPr>
        <w:t xml:space="preserve">  </w:t>
      </w:r>
    </w:p>
    <w:p w14:paraId="0A5853E8" w14:textId="77777777" w:rsidR="00263E88" w:rsidRDefault="00263E88" w:rsidP="00263E88">
      <w:pPr>
        <w:pStyle w:val="Sinespaciado"/>
        <w:ind w:right="213"/>
        <w:jc w:val="both"/>
        <w:rPr>
          <w:rFonts w:ascii="Times New Roman" w:hAnsi="Times New Roman" w:cs="Times New Roman"/>
          <w:color w:val="FF0000"/>
        </w:rPr>
      </w:pPr>
    </w:p>
    <w:p w14:paraId="79979A56" w14:textId="77777777" w:rsidR="00864787" w:rsidRPr="0029550C" w:rsidRDefault="00263E88" w:rsidP="00662B45">
      <w:pPr>
        <w:pStyle w:val="Sinespaciado"/>
        <w:ind w:right="71"/>
        <w:jc w:val="both"/>
        <w:rPr>
          <w:rFonts w:ascii="Times New Roman" w:hAnsi="Times New Roman" w:cs="Times New Roman"/>
          <w:color w:val="FF0000"/>
        </w:rPr>
      </w:pPr>
      <w:r w:rsidRPr="0087775B">
        <w:rPr>
          <w:rFonts w:ascii="Times New Roman" w:hAnsi="Times New Roman" w:cs="Times New Roman"/>
        </w:rPr>
        <w:t>Dentro del portal del Ministerio de Finanzas se encuentra disponible el tablero de control “Estado de Calamidad Púbica por la Depresión Tropical ETA” con el objetivo de facilitar el seguimiento y auditoria social del gasto público, por concepto de donaciones tanto externas co</w:t>
      </w:r>
      <w:r>
        <w:rPr>
          <w:rFonts w:ascii="Times New Roman" w:hAnsi="Times New Roman" w:cs="Times New Roman"/>
        </w:rPr>
        <w:t>mo internas, se han recibido Q1.6 millones.</w:t>
      </w:r>
      <w:r w:rsidR="00011BF4" w:rsidRPr="0029550C">
        <w:rPr>
          <w:rFonts w:ascii="Times New Roman" w:hAnsi="Times New Roman" w:cs="Times New Roman"/>
          <w:color w:val="FF0000"/>
        </w:rPr>
        <w:t xml:space="preserve"> </w:t>
      </w:r>
    </w:p>
    <w:p w14:paraId="4808C8C6" w14:textId="77777777" w:rsidR="004C71BC" w:rsidRDefault="004C71BC" w:rsidP="004456FD">
      <w:pPr>
        <w:pStyle w:val="Sinespaciado"/>
        <w:rPr>
          <w:rFonts w:ascii="Times New Roman" w:hAnsi="Times New Roman" w:cs="Times New Roman"/>
          <w:color w:val="FF0000"/>
          <w:sz w:val="16"/>
        </w:rPr>
      </w:pPr>
    </w:p>
    <w:p w14:paraId="140B2215" w14:textId="77777777" w:rsidR="002A1EF9" w:rsidRDefault="002A1EF9" w:rsidP="004456FD">
      <w:pPr>
        <w:pStyle w:val="Sinespaciado"/>
        <w:rPr>
          <w:rFonts w:ascii="Times New Roman" w:hAnsi="Times New Roman" w:cs="Times New Roman"/>
          <w:color w:val="FF0000"/>
          <w:sz w:val="16"/>
        </w:rPr>
      </w:pPr>
    </w:p>
    <w:p w14:paraId="0A27446B" w14:textId="77777777" w:rsidR="002A1EF9" w:rsidRDefault="002A1EF9" w:rsidP="004456FD">
      <w:pPr>
        <w:pStyle w:val="Sinespaciado"/>
        <w:rPr>
          <w:rFonts w:ascii="Times New Roman" w:hAnsi="Times New Roman" w:cs="Times New Roman"/>
          <w:color w:val="FF0000"/>
          <w:sz w:val="16"/>
        </w:rPr>
      </w:pPr>
    </w:p>
    <w:p w14:paraId="1F78669C" w14:textId="77777777" w:rsidR="002A1EF9" w:rsidRDefault="002A1EF9" w:rsidP="004456FD">
      <w:pPr>
        <w:pStyle w:val="Sinespaciado"/>
        <w:rPr>
          <w:rFonts w:ascii="Times New Roman" w:hAnsi="Times New Roman" w:cs="Times New Roman"/>
          <w:color w:val="FF0000"/>
          <w:sz w:val="16"/>
        </w:rPr>
      </w:pPr>
    </w:p>
    <w:p w14:paraId="690528D0" w14:textId="77777777" w:rsidR="002A1EF9" w:rsidRPr="0029550C" w:rsidRDefault="002A1EF9" w:rsidP="004456FD">
      <w:pPr>
        <w:pStyle w:val="Sinespaciado"/>
        <w:rPr>
          <w:rFonts w:ascii="Times New Roman" w:hAnsi="Times New Roman" w:cs="Times New Roman"/>
          <w:color w:val="FF0000"/>
          <w:sz w:val="16"/>
        </w:rPr>
        <w:sectPr w:rsidR="002A1EF9" w:rsidRPr="0029550C" w:rsidSect="008E66C1">
          <w:type w:val="continuous"/>
          <w:pgSz w:w="12240" w:h="15840"/>
          <w:pgMar w:top="1417" w:right="1467" w:bottom="1417" w:left="1701" w:header="708" w:footer="708" w:gutter="0"/>
          <w:cols w:num="2" w:space="708"/>
          <w:docGrid w:linePitch="360"/>
        </w:sectPr>
      </w:pPr>
    </w:p>
    <w:p w14:paraId="05FBB1F8" w14:textId="77777777" w:rsidR="009B76D6" w:rsidRPr="0029550C" w:rsidRDefault="009B76D6" w:rsidP="00D4202F">
      <w:pPr>
        <w:spacing w:after="0"/>
        <w:rPr>
          <w:rFonts w:ascii="Times New Roman" w:hAnsi="Times New Roman" w:cs="Times New Roman"/>
          <w:color w:val="FF0000"/>
          <w:sz w:val="10"/>
          <w:lang w:val="es-MX"/>
        </w:rPr>
        <w:sectPr w:rsidR="009B76D6" w:rsidRPr="0029550C" w:rsidSect="004E358C">
          <w:type w:val="continuous"/>
          <w:pgSz w:w="12240" w:h="15840"/>
          <w:pgMar w:top="1417" w:right="1701" w:bottom="1417" w:left="1701" w:header="708" w:footer="708" w:gutter="0"/>
          <w:cols w:num="2" w:space="708"/>
          <w:docGrid w:linePitch="360"/>
        </w:sectPr>
      </w:pPr>
    </w:p>
    <w:p w14:paraId="23E73AFB" w14:textId="77777777" w:rsidR="00494D1D" w:rsidRPr="002A1EF9" w:rsidRDefault="0042387A" w:rsidP="00BB4C28">
      <w:pPr>
        <w:pBdr>
          <w:top w:val="single" w:sz="4" w:space="0"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494D1D" w:rsidRPr="002A1EF9" w:rsidSect="00FA3B81">
          <w:headerReference w:type="default" r:id="rId39"/>
          <w:footerReference w:type="default" r:id="rId40"/>
          <w:type w:val="continuous"/>
          <w:pgSz w:w="12240" w:h="15840" w:code="1"/>
          <w:pgMar w:top="1418" w:right="1418" w:bottom="1418" w:left="1418" w:header="709" w:footer="709" w:gutter="0"/>
          <w:cols w:space="708"/>
          <w:docGrid w:linePitch="360"/>
        </w:sectPr>
      </w:pPr>
      <w:r w:rsidRPr="002A1EF9">
        <w:rPr>
          <w:rFonts w:ascii="Times New Roman" w:hAnsi="Times New Roman" w:cs="Times New Roman"/>
          <w:b/>
          <w:lang w:val="es-MX"/>
        </w:rPr>
        <w:t>Ambientes macroeconómicos (externo e interno)</w:t>
      </w:r>
    </w:p>
    <w:p w14:paraId="78CE7863" w14:textId="77777777" w:rsidR="00494D1D" w:rsidRPr="002A1EF9" w:rsidRDefault="00494D1D" w:rsidP="00BD6CCD">
      <w:pPr>
        <w:pStyle w:val="Sinespaciado"/>
        <w:jc w:val="both"/>
        <w:rPr>
          <w:rFonts w:ascii="Times New Roman" w:hAnsi="Times New Roman" w:cs="Times New Roman"/>
          <w:b/>
          <w:sz w:val="28"/>
          <w:lang w:val="es-MX"/>
        </w:rPr>
        <w:sectPr w:rsidR="00494D1D" w:rsidRPr="002A1EF9" w:rsidSect="004E358C">
          <w:type w:val="continuous"/>
          <w:pgSz w:w="12240" w:h="15840"/>
          <w:pgMar w:top="1417" w:right="1701" w:bottom="1417" w:left="1701" w:header="708" w:footer="708" w:gutter="0"/>
          <w:cols w:space="708"/>
          <w:docGrid w:linePitch="360"/>
        </w:sectPr>
      </w:pPr>
    </w:p>
    <w:p w14:paraId="23ED5990" w14:textId="77777777" w:rsidR="00D71969" w:rsidRPr="002A1EF9" w:rsidRDefault="00D71969" w:rsidP="00D71969">
      <w:pPr>
        <w:pStyle w:val="Textodeglobo"/>
        <w:jc w:val="both"/>
        <w:rPr>
          <w:rFonts w:ascii="Times New Roman" w:hAnsi="Times New Roman" w:cs="Times New Roman"/>
          <w:sz w:val="22"/>
          <w:szCs w:val="22"/>
          <w:lang w:val="es-MX"/>
        </w:rPr>
      </w:pPr>
      <w:r w:rsidRPr="002A1EF9">
        <w:rPr>
          <w:rFonts w:ascii="Times New Roman" w:hAnsi="Times New Roman" w:cs="Times New Roman"/>
          <w:sz w:val="22"/>
          <w:szCs w:val="22"/>
        </w:rPr>
        <w:t xml:space="preserve">En el ámbito económico externo, en octubre el Fondo Monetario Internacional (FMI) actualizó sus perspectivas económicas mundiales, las cuales sitúan el crecimiento económico en </w:t>
      </w:r>
      <w:r w:rsidRPr="002A1EF9">
        <w:rPr>
          <w:rFonts w:ascii="Times New Roman" w:hAnsi="Times New Roman" w:cs="Times New Roman"/>
          <w:sz w:val="22"/>
          <w:szCs w:val="22"/>
          <w:lang w:val="es-MX"/>
        </w:rPr>
        <w:t xml:space="preserve">5.9% en 2021 y 4.9% en 2022, 0.1 puntos porcentuales menos en 2021 que lo previsto en julio. La revisión a la baja de 2021 refleja </w:t>
      </w:r>
      <w:r w:rsidR="00317AA8" w:rsidRPr="002A1EF9">
        <w:rPr>
          <w:rFonts w:ascii="Times New Roman" w:hAnsi="Times New Roman" w:cs="Times New Roman"/>
          <w:sz w:val="22"/>
          <w:szCs w:val="22"/>
          <w:lang w:val="es-MX"/>
        </w:rPr>
        <w:t>una leve desaceleración en el ritmo de crecimiento</w:t>
      </w:r>
      <w:r w:rsidRPr="002A1EF9">
        <w:rPr>
          <w:rFonts w:ascii="Times New Roman" w:hAnsi="Times New Roman" w:cs="Times New Roman"/>
          <w:sz w:val="22"/>
          <w:szCs w:val="22"/>
          <w:lang w:val="es-MX"/>
        </w:rPr>
        <w:t xml:space="preserve"> en las economías avanzadas, debido en parte a los trastornos del suministro y en los países en desarrollo de bajo ingreso, sobre todo debido a la desmejora de la dinámica creada por la pandemia.</w:t>
      </w:r>
    </w:p>
    <w:p w14:paraId="6391BCDB" w14:textId="77777777" w:rsidR="00011BF4" w:rsidRPr="002A1EF9" w:rsidRDefault="00011BF4" w:rsidP="00D71969">
      <w:pPr>
        <w:pStyle w:val="Textodeglobo"/>
        <w:jc w:val="both"/>
        <w:rPr>
          <w:rFonts w:ascii="Times New Roman" w:hAnsi="Times New Roman" w:cs="Times New Roman"/>
          <w:sz w:val="22"/>
          <w:szCs w:val="22"/>
          <w:lang w:val="es-MX"/>
        </w:rPr>
      </w:pPr>
    </w:p>
    <w:p w14:paraId="69070BB3" w14:textId="77777777" w:rsidR="00D71969" w:rsidRPr="002A1EF9" w:rsidRDefault="00D71969" w:rsidP="00D71969">
      <w:pPr>
        <w:pStyle w:val="Textodeglobo"/>
        <w:jc w:val="center"/>
        <w:rPr>
          <w:rFonts w:ascii="Times New Roman" w:hAnsi="Times New Roman" w:cs="Times New Roman"/>
          <w:b/>
          <w:sz w:val="22"/>
          <w:szCs w:val="22"/>
        </w:rPr>
      </w:pPr>
      <w:r w:rsidRPr="002A1EF9">
        <w:rPr>
          <w:rFonts w:ascii="Times New Roman" w:hAnsi="Times New Roman" w:cs="Times New Roman"/>
          <w:b/>
          <w:sz w:val="22"/>
          <w:szCs w:val="22"/>
        </w:rPr>
        <w:t>Perspectivas económicas mundiales, actualización octubre 2021</w:t>
      </w:r>
    </w:p>
    <w:p w14:paraId="4E58D2AE" w14:textId="77777777" w:rsidR="00D71969" w:rsidRPr="002A1EF9" w:rsidRDefault="00D71969" w:rsidP="00D71969">
      <w:pPr>
        <w:pStyle w:val="Textodeglobo"/>
        <w:jc w:val="both"/>
        <w:rPr>
          <w:rFonts w:ascii="Times New Roman" w:hAnsi="Times New Roman" w:cs="Times New Roman"/>
          <w:sz w:val="22"/>
          <w:szCs w:val="22"/>
        </w:rPr>
      </w:pPr>
      <w:r w:rsidRPr="002A1EF9">
        <w:rPr>
          <w:noProof/>
          <w:lang w:eastAsia="es-GT"/>
        </w:rPr>
        <w:drawing>
          <wp:inline distT="0" distB="0" distL="0" distR="0" wp14:anchorId="57446CB1" wp14:editId="770A94A5">
            <wp:extent cx="2510077" cy="2767054"/>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2544" cy="2791821"/>
                    </a:xfrm>
                    <a:prstGeom prst="rect">
                      <a:avLst/>
                    </a:prstGeom>
                    <a:noFill/>
                    <a:ln>
                      <a:noFill/>
                    </a:ln>
                  </pic:spPr>
                </pic:pic>
              </a:graphicData>
            </a:graphic>
          </wp:inline>
        </w:drawing>
      </w:r>
    </w:p>
    <w:p w14:paraId="40973254" w14:textId="77777777" w:rsidR="00D71969" w:rsidRPr="002A1EF9" w:rsidRDefault="00D71969" w:rsidP="00D71969">
      <w:pPr>
        <w:pStyle w:val="Textodeglobo"/>
        <w:jc w:val="both"/>
        <w:rPr>
          <w:rFonts w:ascii="Times New Roman" w:hAnsi="Times New Roman" w:cs="Times New Roman"/>
          <w:szCs w:val="22"/>
        </w:rPr>
      </w:pPr>
      <w:r w:rsidRPr="002A1EF9">
        <w:rPr>
          <w:rFonts w:ascii="Times New Roman" w:hAnsi="Times New Roman" w:cs="Times New Roman"/>
          <w:szCs w:val="22"/>
        </w:rPr>
        <w:t xml:space="preserve">Fuente: FMI, </w:t>
      </w:r>
      <w:r w:rsidR="00011BF4" w:rsidRPr="002A1EF9">
        <w:rPr>
          <w:rFonts w:ascii="Times New Roman" w:hAnsi="Times New Roman" w:cs="Times New Roman"/>
          <w:szCs w:val="22"/>
        </w:rPr>
        <w:t>actualización de</w:t>
      </w:r>
      <w:r w:rsidRPr="002A1EF9">
        <w:rPr>
          <w:rFonts w:ascii="Times New Roman" w:hAnsi="Times New Roman" w:cs="Times New Roman"/>
          <w:szCs w:val="22"/>
        </w:rPr>
        <w:t xml:space="preserve"> octubre 2021.</w:t>
      </w:r>
    </w:p>
    <w:p w14:paraId="0372A78C" w14:textId="77777777" w:rsidR="00D71969" w:rsidRPr="002A1EF9" w:rsidRDefault="00D71969" w:rsidP="00D71969">
      <w:pPr>
        <w:pStyle w:val="Textodeglobo"/>
        <w:jc w:val="both"/>
        <w:rPr>
          <w:rFonts w:ascii="Times New Roman" w:hAnsi="Times New Roman" w:cs="Times New Roman"/>
          <w:sz w:val="18"/>
          <w:szCs w:val="22"/>
        </w:rPr>
      </w:pPr>
    </w:p>
    <w:p w14:paraId="60924FF8" w14:textId="77777777" w:rsidR="005C15AD" w:rsidRPr="002A1EF9" w:rsidRDefault="00317AA8" w:rsidP="00851AA6">
      <w:pPr>
        <w:pStyle w:val="Textodeglobo"/>
        <w:jc w:val="both"/>
        <w:rPr>
          <w:rFonts w:ascii="Times New Roman" w:hAnsi="Times New Roman" w:cs="Times New Roman"/>
          <w:sz w:val="22"/>
          <w:szCs w:val="22"/>
        </w:rPr>
      </w:pPr>
      <w:r w:rsidRPr="002A1EF9">
        <w:rPr>
          <w:rFonts w:ascii="Times New Roman" w:hAnsi="Times New Roman" w:cs="Times New Roman"/>
          <w:sz w:val="22"/>
          <w:szCs w:val="22"/>
          <w:lang w:val="es-MX"/>
        </w:rPr>
        <w:t>L</w:t>
      </w:r>
      <w:r w:rsidR="001353D2" w:rsidRPr="002A1EF9">
        <w:rPr>
          <w:rFonts w:ascii="Times New Roman" w:hAnsi="Times New Roman" w:cs="Times New Roman"/>
          <w:sz w:val="22"/>
          <w:szCs w:val="22"/>
          <w:lang w:val="es-MX"/>
        </w:rPr>
        <w:t>a Oficina de Anális</w:t>
      </w:r>
      <w:r w:rsidR="00EC697A" w:rsidRPr="002A1EF9">
        <w:rPr>
          <w:rFonts w:ascii="Times New Roman" w:hAnsi="Times New Roman" w:cs="Times New Roman"/>
          <w:sz w:val="22"/>
          <w:szCs w:val="22"/>
          <w:lang w:val="es-MX"/>
        </w:rPr>
        <w:t xml:space="preserve">is Económico de Estados Unidos </w:t>
      </w:r>
      <w:r w:rsidR="001353D2" w:rsidRPr="002A1EF9">
        <w:rPr>
          <w:rFonts w:ascii="Times New Roman" w:hAnsi="Times New Roman" w:cs="Times New Roman"/>
          <w:sz w:val="22"/>
          <w:szCs w:val="22"/>
          <w:lang w:val="es-MX"/>
        </w:rPr>
        <w:t>informó que l</w:t>
      </w:r>
      <w:r w:rsidR="006A2218" w:rsidRPr="002A1EF9">
        <w:rPr>
          <w:rFonts w:ascii="Times New Roman" w:hAnsi="Times New Roman" w:cs="Times New Roman"/>
          <w:sz w:val="22"/>
          <w:szCs w:val="22"/>
        </w:rPr>
        <w:t>a recuperación económica</w:t>
      </w:r>
      <w:r w:rsidR="001353D2" w:rsidRPr="002A1EF9">
        <w:rPr>
          <w:rFonts w:ascii="Times New Roman" w:hAnsi="Times New Roman" w:cs="Times New Roman"/>
          <w:sz w:val="22"/>
          <w:szCs w:val="22"/>
        </w:rPr>
        <w:t xml:space="preserve"> estadounidense se frenó </w:t>
      </w:r>
      <w:r w:rsidR="00EC697A" w:rsidRPr="002A1EF9">
        <w:rPr>
          <w:rFonts w:ascii="Times New Roman" w:hAnsi="Times New Roman" w:cs="Times New Roman"/>
          <w:sz w:val="22"/>
          <w:szCs w:val="22"/>
        </w:rPr>
        <w:t xml:space="preserve">en </w:t>
      </w:r>
      <w:r w:rsidR="001353D2" w:rsidRPr="002A1EF9">
        <w:rPr>
          <w:rFonts w:ascii="Times New Roman" w:hAnsi="Times New Roman" w:cs="Times New Roman"/>
          <w:sz w:val="22"/>
          <w:szCs w:val="22"/>
        </w:rPr>
        <w:t>e</w:t>
      </w:r>
      <w:r w:rsidR="00A10AB8" w:rsidRPr="002A1EF9">
        <w:rPr>
          <w:rFonts w:ascii="Times New Roman" w:hAnsi="Times New Roman" w:cs="Times New Roman"/>
          <w:sz w:val="22"/>
          <w:szCs w:val="22"/>
        </w:rPr>
        <w:t>l tercer trimestre del año, el Producto Interior B</w:t>
      </w:r>
      <w:r w:rsidR="001353D2" w:rsidRPr="002A1EF9">
        <w:rPr>
          <w:rFonts w:ascii="Times New Roman" w:hAnsi="Times New Roman" w:cs="Times New Roman"/>
          <w:sz w:val="22"/>
          <w:szCs w:val="22"/>
        </w:rPr>
        <w:t>ruto (PIB) regis</w:t>
      </w:r>
      <w:r w:rsidR="006A2218" w:rsidRPr="002A1EF9">
        <w:rPr>
          <w:rFonts w:ascii="Times New Roman" w:hAnsi="Times New Roman" w:cs="Times New Roman"/>
          <w:sz w:val="22"/>
          <w:szCs w:val="22"/>
        </w:rPr>
        <w:t>tró un crecimiento de 0.</w:t>
      </w:r>
      <w:r w:rsidR="00EC697A" w:rsidRPr="002A1EF9">
        <w:rPr>
          <w:rFonts w:ascii="Times New Roman" w:hAnsi="Times New Roman" w:cs="Times New Roman"/>
          <w:sz w:val="22"/>
          <w:szCs w:val="22"/>
        </w:rPr>
        <w:t>5</w:t>
      </w:r>
      <w:r w:rsidR="001353D2" w:rsidRPr="002A1EF9">
        <w:rPr>
          <w:rFonts w:ascii="Times New Roman" w:hAnsi="Times New Roman" w:cs="Times New Roman"/>
          <w:sz w:val="22"/>
          <w:szCs w:val="22"/>
        </w:rPr>
        <w:t>%, debido entre otras razones al impacto de la variante delta de la Covid-19, la r</w:t>
      </w:r>
      <w:r w:rsidR="006A2218" w:rsidRPr="002A1EF9">
        <w:rPr>
          <w:rFonts w:ascii="Times New Roman" w:hAnsi="Times New Roman" w:cs="Times New Roman"/>
          <w:sz w:val="22"/>
          <w:szCs w:val="22"/>
        </w:rPr>
        <w:t xml:space="preserve">etirada </w:t>
      </w:r>
      <w:r w:rsidR="00A10AB8" w:rsidRPr="002A1EF9">
        <w:rPr>
          <w:rFonts w:ascii="Times New Roman" w:hAnsi="Times New Roman" w:cs="Times New Roman"/>
          <w:sz w:val="22"/>
          <w:szCs w:val="22"/>
        </w:rPr>
        <w:t xml:space="preserve">del paquete de </w:t>
      </w:r>
      <w:r w:rsidR="00A10AB8" w:rsidRPr="002A1EF9">
        <w:rPr>
          <w:rFonts w:ascii="Times New Roman" w:hAnsi="Times New Roman" w:cs="Times New Roman"/>
          <w:sz w:val="22"/>
          <w:szCs w:val="22"/>
        </w:rPr>
        <w:t>estímulos</w:t>
      </w:r>
      <w:r w:rsidR="006A2218" w:rsidRPr="002A1EF9">
        <w:rPr>
          <w:rFonts w:ascii="Times New Roman" w:hAnsi="Times New Roman" w:cs="Times New Roman"/>
          <w:sz w:val="22"/>
          <w:szCs w:val="22"/>
        </w:rPr>
        <w:t xml:space="preserve"> </w:t>
      </w:r>
      <w:r w:rsidR="00A10AB8" w:rsidRPr="002A1EF9">
        <w:rPr>
          <w:rFonts w:ascii="Times New Roman" w:hAnsi="Times New Roman" w:cs="Times New Roman"/>
          <w:sz w:val="22"/>
          <w:szCs w:val="22"/>
        </w:rPr>
        <w:t xml:space="preserve">(por 2 billones de dólares) al inicio de la pandemia, y fueron prolongados en diciembre y marzo 2021, </w:t>
      </w:r>
      <w:r w:rsidR="006A2218" w:rsidRPr="002A1EF9">
        <w:rPr>
          <w:rFonts w:ascii="Times New Roman" w:hAnsi="Times New Roman" w:cs="Times New Roman"/>
          <w:sz w:val="22"/>
          <w:szCs w:val="22"/>
        </w:rPr>
        <w:t>y</w:t>
      </w:r>
      <w:r w:rsidR="001353D2" w:rsidRPr="002A1EF9">
        <w:rPr>
          <w:rFonts w:ascii="Times New Roman" w:hAnsi="Times New Roman" w:cs="Times New Roman"/>
          <w:sz w:val="22"/>
          <w:szCs w:val="22"/>
        </w:rPr>
        <w:t xml:space="preserve"> los problemas en las cadenas de suministro.</w:t>
      </w:r>
      <w:r w:rsidR="006A2218" w:rsidRPr="002A1EF9">
        <w:rPr>
          <w:rFonts w:ascii="Times New Roman" w:hAnsi="Times New Roman" w:cs="Times New Roman"/>
          <w:sz w:val="22"/>
          <w:szCs w:val="22"/>
        </w:rPr>
        <w:t xml:space="preserve">  Entre las cifras que explican esta ralentización económica está la del gasto del Gobierno, que cayó un 4.7% respect</w:t>
      </w:r>
      <w:r w:rsidR="00011BF4" w:rsidRPr="002A1EF9">
        <w:rPr>
          <w:rFonts w:ascii="Times New Roman" w:hAnsi="Times New Roman" w:cs="Times New Roman"/>
          <w:sz w:val="22"/>
          <w:szCs w:val="22"/>
        </w:rPr>
        <w:t xml:space="preserve">o a los tres meses precedentes; </w:t>
      </w:r>
      <w:r w:rsidR="006A2218" w:rsidRPr="002A1EF9">
        <w:rPr>
          <w:rFonts w:ascii="Times New Roman" w:hAnsi="Times New Roman" w:cs="Times New Roman"/>
          <w:sz w:val="22"/>
          <w:szCs w:val="22"/>
        </w:rPr>
        <w:t>la tasa de ahorro de los hogares se redujo del 10.5% al 8.9</w:t>
      </w:r>
      <w:r w:rsidR="00011BF4" w:rsidRPr="002A1EF9">
        <w:rPr>
          <w:rFonts w:ascii="Times New Roman" w:hAnsi="Times New Roman" w:cs="Times New Roman"/>
          <w:sz w:val="22"/>
          <w:szCs w:val="22"/>
        </w:rPr>
        <w:t>%; y e</w:t>
      </w:r>
      <w:r w:rsidR="006A2218" w:rsidRPr="002A1EF9">
        <w:rPr>
          <w:rFonts w:ascii="Times New Roman" w:hAnsi="Times New Roman" w:cs="Times New Roman"/>
          <w:sz w:val="22"/>
          <w:szCs w:val="22"/>
        </w:rPr>
        <w:t>l gasto de los consumidores, creció solo un 1.6% entre julio y septiembre, frente al 12% del segundo trimestre del año.</w:t>
      </w:r>
    </w:p>
    <w:p w14:paraId="6812BA14" w14:textId="77777777" w:rsidR="00410B23" w:rsidRPr="002A1EF9" w:rsidRDefault="00410B23" w:rsidP="00851AA6">
      <w:pPr>
        <w:pStyle w:val="Textodeglobo"/>
        <w:jc w:val="both"/>
        <w:rPr>
          <w:rFonts w:ascii="Times New Roman" w:hAnsi="Times New Roman" w:cs="Times New Roman"/>
          <w:szCs w:val="22"/>
        </w:rPr>
      </w:pPr>
    </w:p>
    <w:p w14:paraId="31797B11" w14:textId="77777777" w:rsidR="005C15AD" w:rsidRPr="002A1EF9" w:rsidRDefault="00CD52C9" w:rsidP="00CD52C9">
      <w:pPr>
        <w:pStyle w:val="Textodeglobo"/>
        <w:jc w:val="both"/>
        <w:rPr>
          <w:rFonts w:ascii="Times New Roman" w:hAnsi="Times New Roman" w:cs="Times New Roman"/>
          <w:sz w:val="22"/>
          <w:szCs w:val="22"/>
        </w:rPr>
      </w:pPr>
      <w:r w:rsidRPr="002A1EF9">
        <w:rPr>
          <w:rFonts w:ascii="Times New Roman" w:hAnsi="Times New Roman" w:cs="Times New Roman"/>
          <w:sz w:val="22"/>
          <w:szCs w:val="22"/>
        </w:rPr>
        <w:t xml:space="preserve">Por su parte, la creación de empleo se recuperó en Estados Unidos en octubre y casi se duplicó en comparación con septiembre, en el marco de la recuperación tras el revés por la ola de contagios causada por la variante delta del coronavirus. En efecto, la economía estadounidense agregó 531,000 puestos y la tasa de desempleo cayó a 4.6%.  </w:t>
      </w:r>
    </w:p>
    <w:p w14:paraId="1C7300F0" w14:textId="77777777" w:rsidR="00CD52C9" w:rsidRPr="002A1EF9" w:rsidRDefault="00CD52C9" w:rsidP="00CD52C9">
      <w:pPr>
        <w:pStyle w:val="Textodeglobo"/>
        <w:jc w:val="both"/>
        <w:rPr>
          <w:rFonts w:ascii="Times New Roman" w:hAnsi="Times New Roman" w:cs="Times New Roman"/>
          <w:szCs w:val="22"/>
        </w:rPr>
      </w:pPr>
    </w:p>
    <w:p w14:paraId="02F7AECA" w14:textId="77777777" w:rsidR="005C15AD" w:rsidRPr="002A1EF9" w:rsidRDefault="005C15AD" w:rsidP="00F424CE">
      <w:pPr>
        <w:pStyle w:val="Textodeglobo"/>
        <w:jc w:val="both"/>
        <w:rPr>
          <w:rFonts w:ascii="Times New Roman" w:hAnsi="Times New Roman" w:cs="Times New Roman"/>
          <w:sz w:val="22"/>
          <w:szCs w:val="22"/>
        </w:rPr>
      </w:pPr>
      <w:r w:rsidRPr="002A1EF9">
        <w:rPr>
          <w:rFonts w:ascii="Times New Roman" w:hAnsi="Times New Roman" w:cs="Times New Roman"/>
          <w:sz w:val="22"/>
          <w:szCs w:val="22"/>
        </w:rPr>
        <w:t>En</w:t>
      </w:r>
      <w:r w:rsidR="00E6457C" w:rsidRPr="002A1EF9">
        <w:rPr>
          <w:rFonts w:ascii="Times New Roman" w:hAnsi="Times New Roman" w:cs="Times New Roman"/>
          <w:sz w:val="22"/>
          <w:szCs w:val="22"/>
        </w:rPr>
        <w:t xml:space="preserve"> </w:t>
      </w:r>
      <w:r w:rsidR="000812E3" w:rsidRPr="002A1EF9">
        <w:rPr>
          <w:rFonts w:ascii="Times New Roman" w:hAnsi="Times New Roman" w:cs="Times New Roman"/>
          <w:sz w:val="22"/>
          <w:szCs w:val="22"/>
        </w:rPr>
        <w:t xml:space="preserve">la zona euro, </w:t>
      </w:r>
      <w:r w:rsidR="00F424CE" w:rsidRPr="002A1EF9">
        <w:rPr>
          <w:rFonts w:ascii="Times New Roman" w:hAnsi="Times New Roman" w:cs="Times New Roman"/>
          <w:sz w:val="22"/>
          <w:szCs w:val="22"/>
        </w:rPr>
        <w:t xml:space="preserve">el producto interior bruto (PIB) registró en el tercer trimestre del año una expansión del 2.2%, acelerándose una décima respecto del crecimiento del 2.1% del trimestre anterior, según la primera estimación del dato publicada por Eurostat, que ha adelantado también el dato de inflación del mes de octubre, cuando los precios subieron un 4.1% interanual, el mayor incremento desde julio de 2008.  </w:t>
      </w:r>
    </w:p>
    <w:p w14:paraId="72F92650" w14:textId="77777777" w:rsidR="005C15AD" w:rsidRPr="002A1EF9" w:rsidRDefault="005C15AD" w:rsidP="005C15AD">
      <w:pPr>
        <w:pStyle w:val="Textodeglobo"/>
        <w:jc w:val="both"/>
        <w:rPr>
          <w:rFonts w:ascii="Times New Roman" w:hAnsi="Times New Roman" w:cs="Times New Roman"/>
          <w:szCs w:val="22"/>
        </w:rPr>
      </w:pPr>
    </w:p>
    <w:p w14:paraId="5B3FCE56" w14:textId="77777777" w:rsidR="00AC33CD" w:rsidRDefault="00B61961" w:rsidP="00AC33CD">
      <w:pPr>
        <w:spacing w:after="0" w:line="240" w:lineRule="auto"/>
        <w:jc w:val="both"/>
        <w:rPr>
          <w:rFonts w:ascii="Times New Roman" w:hAnsi="Times New Roman" w:cs="Times New Roman"/>
        </w:rPr>
      </w:pPr>
      <w:r w:rsidRPr="002A1EF9">
        <w:rPr>
          <w:rFonts w:ascii="Times New Roman" w:hAnsi="Times New Roman" w:cs="Times New Roman"/>
        </w:rPr>
        <w:t xml:space="preserve">En China, </w:t>
      </w:r>
      <w:r w:rsidR="000D7057" w:rsidRPr="002A1EF9">
        <w:rPr>
          <w:rFonts w:ascii="Times New Roman" w:hAnsi="Times New Roman" w:cs="Times New Roman"/>
        </w:rPr>
        <w:t>la economía ha pasado de crecer casi un 9% anual en el segundo trimestre a crecer menos de un 5% en el tercer trimestre de 2021. El resultado se atribuye a la crisis de Evergrande, que refleja la situación del sector inmobiliario, la variante Delta y el '</w:t>
      </w:r>
      <w:proofErr w:type="spellStart"/>
      <w:r w:rsidR="000D7057" w:rsidRPr="002A1EF9">
        <w:rPr>
          <w:rFonts w:ascii="Times New Roman" w:hAnsi="Times New Roman" w:cs="Times New Roman"/>
        </w:rPr>
        <w:t>crunch</w:t>
      </w:r>
      <w:proofErr w:type="spellEnd"/>
      <w:r w:rsidR="000D7057" w:rsidRPr="002A1EF9">
        <w:rPr>
          <w:rFonts w:ascii="Times New Roman" w:hAnsi="Times New Roman" w:cs="Times New Roman"/>
        </w:rPr>
        <w:t xml:space="preserve">' energético sin precedentes cuyo origen está en la reducción de emisiones para reducir la contaminación, pero que también se ha visto </w:t>
      </w:r>
      <w:r w:rsidR="00E93DB9" w:rsidRPr="002A1EF9">
        <w:rPr>
          <w:rFonts w:ascii="Times New Roman" w:hAnsi="Times New Roman" w:cs="Times New Roman"/>
        </w:rPr>
        <w:t xml:space="preserve">agravada por el auge del precio petróleo, </w:t>
      </w:r>
      <w:r w:rsidR="000D7057" w:rsidRPr="002A1EF9">
        <w:rPr>
          <w:rFonts w:ascii="Times New Roman" w:hAnsi="Times New Roman" w:cs="Times New Roman"/>
        </w:rPr>
        <w:t>del carbón y el gas a nivel global.</w:t>
      </w:r>
    </w:p>
    <w:p w14:paraId="39DBB327" w14:textId="77777777" w:rsidR="00C56022" w:rsidRPr="002A1EF9" w:rsidRDefault="00C56022" w:rsidP="00AC33CD">
      <w:pPr>
        <w:spacing w:after="0" w:line="240" w:lineRule="auto"/>
        <w:jc w:val="both"/>
        <w:rPr>
          <w:rFonts w:ascii="Times New Roman" w:hAnsi="Times New Roman" w:cs="Times New Roman"/>
        </w:rPr>
      </w:pPr>
    </w:p>
    <w:p w14:paraId="3C74A6F3" w14:textId="77777777" w:rsidR="003421D8" w:rsidRPr="002A1EF9" w:rsidRDefault="009D0DA6" w:rsidP="00CD52C9">
      <w:pPr>
        <w:spacing w:after="0" w:line="240" w:lineRule="auto"/>
        <w:jc w:val="both"/>
        <w:rPr>
          <w:rFonts w:ascii="Times New Roman" w:hAnsi="Times New Roman" w:cs="Times New Roman"/>
        </w:rPr>
      </w:pPr>
      <w:r w:rsidRPr="002A1EF9">
        <w:rPr>
          <w:rFonts w:ascii="Times New Roman" w:hAnsi="Times New Roman" w:cs="Times New Roman"/>
        </w:rPr>
        <w:t xml:space="preserve">Es importante indicar que el </w:t>
      </w:r>
      <w:r w:rsidR="00CD52C9" w:rsidRPr="002A1EF9">
        <w:rPr>
          <w:rFonts w:ascii="Times New Roman" w:hAnsi="Times New Roman" w:cs="Times New Roman"/>
        </w:rPr>
        <w:t xml:space="preserve">Fondo Monetario Internacional (FMI) subió las previsiones de crecimiento de América Latina en 2021 al 6.3%, medio punto por encima de su pronóstico de julio, gracias principalmente al buen desarrollo del sector exportador de materias primas.  Esta mejora se dio porque la mayoría de países latinoamericanos, entre ellos Chile, Argentina y Colombia, </w:t>
      </w:r>
      <w:r w:rsidR="00011BF4" w:rsidRPr="002A1EF9">
        <w:rPr>
          <w:rFonts w:ascii="Times New Roman" w:hAnsi="Times New Roman" w:cs="Times New Roman"/>
        </w:rPr>
        <w:t>aumentaron</w:t>
      </w:r>
      <w:r w:rsidR="00CD52C9" w:rsidRPr="002A1EF9">
        <w:rPr>
          <w:rFonts w:ascii="Times New Roman" w:hAnsi="Times New Roman" w:cs="Times New Roman"/>
        </w:rPr>
        <w:t xml:space="preserve"> sus perspectivas de crecimiento</w:t>
      </w:r>
      <w:r w:rsidR="00011BF4" w:rsidRPr="002A1EF9">
        <w:rPr>
          <w:rFonts w:ascii="Times New Roman" w:hAnsi="Times New Roman" w:cs="Times New Roman"/>
        </w:rPr>
        <w:t>.</w:t>
      </w:r>
    </w:p>
    <w:p w14:paraId="62359290" w14:textId="77777777" w:rsidR="00E50D06" w:rsidRPr="002A1EF9" w:rsidRDefault="00E50D06" w:rsidP="00474998">
      <w:pPr>
        <w:pStyle w:val="Sinespaciado"/>
        <w:jc w:val="both"/>
        <w:rPr>
          <w:rFonts w:ascii="Times New Roman" w:eastAsia="Times New Roman" w:hAnsi="Times New Roman" w:cs="Times New Roman"/>
          <w:sz w:val="18"/>
          <w:lang w:val="es-MX"/>
        </w:rPr>
      </w:pPr>
    </w:p>
    <w:p w14:paraId="3C4499CB" w14:textId="77777777" w:rsidR="001B3FB0" w:rsidRDefault="005C15AD" w:rsidP="005C15AD">
      <w:pPr>
        <w:pStyle w:val="Sinespaciado"/>
        <w:jc w:val="both"/>
        <w:rPr>
          <w:rFonts w:ascii="Times New Roman" w:hAnsi="Times New Roman" w:cs="Times New Roman"/>
          <w:lang w:val="es-MX"/>
        </w:rPr>
      </w:pPr>
      <w:r w:rsidRPr="002A1EF9">
        <w:rPr>
          <w:rFonts w:ascii="Times New Roman" w:hAnsi="Times New Roman" w:cs="Times New Roman"/>
          <w:lang w:val="es-MX"/>
        </w:rPr>
        <w:t xml:space="preserve">En el ámbito interno, el nivel del Índice de Confianza de la Actividad Económica se situó en </w:t>
      </w:r>
      <w:r w:rsidR="00680393" w:rsidRPr="002A1EF9">
        <w:rPr>
          <w:rFonts w:ascii="Times New Roman" w:hAnsi="Times New Roman" w:cs="Times New Roman"/>
          <w:lang w:val="es-MX"/>
        </w:rPr>
        <w:t>69.74</w:t>
      </w:r>
      <w:r w:rsidRPr="002A1EF9">
        <w:rPr>
          <w:rFonts w:ascii="Times New Roman" w:hAnsi="Times New Roman" w:cs="Times New Roman"/>
          <w:lang w:val="es-MX"/>
        </w:rPr>
        <w:t xml:space="preserve"> puntos, </w:t>
      </w:r>
      <w:r w:rsidR="00680393" w:rsidRPr="002A1EF9">
        <w:rPr>
          <w:rFonts w:ascii="Times New Roman" w:hAnsi="Times New Roman" w:cs="Times New Roman"/>
          <w:lang w:val="es-MX"/>
        </w:rPr>
        <w:t>inferior</w:t>
      </w:r>
      <w:r w:rsidRPr="002A1EF9">
        <w:rPr>
          <w:rFonts w:ascii="Times New Roman" w:hAnsi="Times New Roman" w:cs="Times New Roman"/>
          <w:lang w:val="es-MX"/>
        </w:rPr>
        <w:t xml:space="preserve"> en</w:t>
      </w:r>
      <w:r w:rsidR="007F5898" w:rsidRPr="002A1EF9">
        <w:rPr>
          <w:rFonts w:ascii="Times New Roman" w:hAnsi="Times New Roman" w:cs="Times New Roman"/>
          <w:lang w:val="es-MX"/>
        </w:rPr>
        <w:t xml:space="preserve"> </w:t>
      </w:r>
      <w:r w:rsidR="00680393" w:rsidRPr="002A1EF9">
        <w:rPr>
          <w:rFonts w:ascii="Times New Roman" w:hAnsi="Times New Roman" w:cs="Times New Roman"/>
          <w:lang w:val="es-MX"/>
        </w:rPr>
        <w:t>0.21</w:t>
      </w:r>
      <w:r w:rsidRPr="002A1EF9">
        <w:rPr>
          <w:rFonts w:ascii="Times New Roman" w:hAnsi="Times New Roman" w:cs="Times New Roman"/>
          <w:lang w:val="es-MX"/>
        </w:rPr>
        <w:t xml:space="preserve">% con respecto al registrado el mes anterior y </w:t>
      </w:r>
      <w:r w:rsidR="00680393" w:rsidRPr="002A1EF9">
        <w:rPr>
          <w:rFonts w:ascii="Times New Roman" w:hAnsi="Times New Roman" w:cs="Times New Roman"/>
          <w:lang w:val="es-MX"/>
        </w:rPr>
        <w:t>aumentó en 33.50</w:t>
      </w:r>
      <w:r w:rsidRPr="002A1EF9">
        <w:rPr>
          <w:rFonts w:ascii="Times New Roman" w:hAnsi="Times New Roman" w:cs="Times New Roman"/>
          <w:lang w:val="es-MX"/>
        </w:rPr>
        <w:t xml:space="preserve">% respecto al registrado en </w:t>
      </w:r>
      <w:r w:rsidR="00680393" w:rsidRPr="002A1EF9">
        <w:rPr>
          <w:rFonts w:ascii="Times New Roman" w:hAnsi="Times New Roman" w:cs="Times New Roman"/>
          <w:lang w:val="es-MX"/>
        </w:rPr>
        <w:t>octu</w:t>
      </w:r>
      <w:r w:rsidR="00B13AF1" w:rsidRPr="002A1EF9">
        <w:rPr>
          <w:rFonts w:ascii="Times New Roman" w:hAnsi="Times New Roman" w:cs="Times New Roman"/>
          <w:lang w:val="es-MX"/>
        </w:rPr>
        <w:t>bre</w:t>
      </w:r>
      <w:r w:rsidR="00A82417" w:rsidRPr="002A1EF9">
        <w:rPr>
          <w:rFonts w:ascii="Times New Roman" w:hAnsi="Times New Roman" w:cs="Times New Roman"/>
          <w:lang w:val="es-MX"/>
        </w:rPr>
        <w:t xml:space="preserve"> 2020</w:t>
      </w:r>
      <w:r w:rsidRPr="002A1EF9">
        <w:rPr>
          <w:rFonts w:ascii="Times New Roman" w:hAnsi="Times New Roman" w:cs="Times New Roman"/>
          <w:lang w:val="es-MX"/>
        </w:rPr>
        <w:t xml:space="preserve">.   </w:t>
      </w:r>
    </w:p>
    <w:p w14:paraId="2ECCE7C6" w14:textId="77777777" w:rsidR="001B3FB0" w:rsidRDefault="001B3FB0" w:rsidP="005C15AD">
      <w:pPr>
        <w:pStyle w:val="Sinespaciado"/>
        <w:jc w:val="both"/>
        <w:rPr>
          <w:rFonts w:ascii="Times New Roman" w:hAnsi="Times New Roman" w:cs="Times New Roman"/>
          <w:lang w:val="es-MX"/>
        </w:rPr>
      </w:pPr>
    </w:p>
    <w:p w14:paraId="05E46768" w14:textId="77777777" w:rsidR="001B3FB0" w:rsidRDefault="001B3FB0" w:rsidP="005C15AD">
      <w:pPr>
        <w:pStyle w:val="Sinespaciado"/>
        <w:jc w:val="both"/>
        <w:rPr>
          <w:rFonts w:ascii="Times New Roman" w:hAnsi="Times New Roman" w:cs="Times New Roman"/>
          <w:lang w:val="es-MX"/>
        </w:rPr>
      </w:pPr>
    </w:p>
    <w:p w14:paraId="265FB768" w14:textId="77777777" w:rsidR="001B3FB0" w:rsidRDefault="001B3FB0" w:rsidP="005C15AD">
      <w:pPr>
        <w:pStyle w:val="Sinespaciado"/>
        <w:jc w:val="both"/>
        <w:rPr>
          <w:rFonts w:ascii="Times New Roman" w:hAnsi="Times New Roman" w:cs="Times New Roman"/>
          <w:lang w:val="es-MX"/>
        </w:rPr>
      </w:pPr>
    </w:p>
    <w:p w14:paraId="410BD438" w14:textId="77777777" w:rsidR="001B3FB0" w:rsidRDefault="001B3FB0" w:rsidP="005C15AD">
      <w:pPr>
        <w:pStyle w:val="Sinespaciado"/>
        <w:jc w:val="both"/>
        <w:rPr>
          <w:rFonts w:ascii="Times New Roman" w:hAnsi="Times New Roman" w:cs="Times New Roman"/>
          <w:lang w:val="es-MX"/>
        </w:rPr>
      </w:pPr>
    </w:p>
    <w:p w14:paraId="7DD92E19" w14:textId="77777777" w:rsidR="001B3FB0" w:rsidRDefault="001B3FB0" w:rsidP="005C15AD">
      <w:pPr>
        <w:pStyle w:val="Sinespaciado"/>
        <w:jc w:val="both"/>
        <w:rPr>
          <w:rFonts w:ascii="Times New Roman" w:hAnsi="Times New Roman" w:cs="Times New Roman"/>
          <w:lang w:val="es-MX"/>
        </w:rPr>
      </w:pPr>
    </w:p>
    <w:p w14:paraId="0FCA7969" w14:textId="77777777" w:rsidR="001B3FB0" w:rsidRDefault="001B3FB0" w:rsidP="005C15AD">
      <w:pPr>
        <w:pStyle w:val="Sinespaciado"/>
        <w:jc w:val="both"/>
        <w:rPr>
          <w:rFonts w:ascii="Times New Roman" w:hAnsi="Times New Roman" w:cs="Times New Roman"/>
          <w:lang w:val="es-MX"/>
        </w:rPr>
      </w:pPr>
    </w:p>
    <w:p w14:paraId="65A05C3A" w14:textId="77777777" w:rsidR="001B3FB0" w:rsidRDefault="001B3FB0" w:rsidP="005C15AD">
      <w:pPr>
        <w:pStyle w:val="Sinespaciado"/>
        <w:jc w:val="both"/>
        <w:rPr>
          <w:rFonts w:ascii="Times New Roman" w:hAnsi="Times New Roman" w:cs="Times New Roman"/>
          <w:lang w:val="es-MX"/>
        </w:rPr>
      </w:pPr>
    </w:p>
    <w:p w14:paraId="53FF07EB" w14:textId="77777777" w:rsidR="001B3FB0" w:rsidRDefault="001B3FB0" w:rsidP="005C15AD">
      <w:pPr>
        <w:pStyle w:val="Sinespaciado"/>
        <w:jc w:val="both"/>
        <w:rPr>
          <w:rFonts w:ascii="Times New Roman" w:hAnsi="Times New Roman" w:cs="Times New Roman"/>
          <w:lang w:val="es-MX"/>
        </w:rPr>
      </w:pPr>
    </w:p>
    <w:p w14:paraId="79DF9CF5" w14:textId="77777777" w:rsidR="001B3FB0" w:rsidRDefault="001B3FB0" w:rsidP="005C15AD">
      <w:pPr>
        <w:pStyle w:val="Sinespaciado"/>
        <w:jc w:val="both"/>
        <w:rPr>
          <w:rFonts w:ascii="Times New Roman" w:hAnsi="Times New Roman" w:cs="Times New Roman"/>
          <w:lang w:val="es-MX"/>
        </w:rPr>
      </w:pPr>
    </w:p>
    <w:p w14:paraId="12955400" w14:textId="77777777" w:rsidR="001B3FB0" w:rsidRDefault="001B3FB0" w:rsidP="005C15AD">
      <w:pPr>
        <w:pStyle w:val="Sinespaciado"/>
        <w:jc w:val="both"/>
        <w:rPr>
          <w:rFonts w:ascii="Times New Roman" w:hAnsi="Times New Roman" w:cs="Times New Roman"/>
          <w:lang w:val="es-MX"/>
        </w:rPr>
      </w:pPr>
    </w:p>
    <w:p w14:paraId="05C4342F" w14:textId="77777777" w:rsidR="001B3FB0" w:rsidRDefault="001B3FB0" w:rsidP="005C15AD">
      <w:pPr>
        <w:pStyle w:val="Sinespaciado"/>
        <w:jc w:val="both"/>
        <w:rPr>
          <w:rFonts w:ascii="Times New Roman" w:hAnsi="Times New Roman" w:cs="Times New Roman"/>
          <w:lang w:val="es-MX"/>
        </w:rPr>
      </w:pPr>
    </w:p>
    <w:p w14:paraId="53129AAF" w14:textId="77777777" w:rsidR="001B3FB0" w:rsidRDefault="001B3FB0" w:rsidP="005C15AD">
      <w:pPr>
        <w:pStyle w:val="Sinespaciado"/>
        <w:jc w:val="both"/>
        <w:rPr>
          <w:rFonts w:ascii="Times New Roman" w:hAnsi="Times New Roman" w:cs="Times New Roman"/>
          <w:lang w:val="es-MX"/>
        </w:rPr>
      </w:pPr>
    </w:p>
    <w:p w14:paraId="0BC4FA7A" w14:textId="77777777" w:rsidR="001B3FB0" w:rsidRDefault="001B3FB0" w:rsidP="005C15AD">
      <w:pPr>
        <w:pStyle w:val="Sinespaciado"/>
        <w:jc w:val="both"/>
        <w:rPr>
          <w:rFonts w:ascii="Times New Roman" w:hAnsi="Times New Roman" w:cs="Times New Roman"/>
          <w:lang w:val="es-MX"/>
        </w:rPr>
      </w:pPr>
    </w:p>
    <w:p w14:paraId="1EC9D810" w14:textId="77777777" w:rsidR="001B3FB0" w:rsidRDefault="001B3FB0" w:rsidP="005C15AD">
      <w:pPr>
        <w:pStyle w:val="Sinespaciado"/>
        <w:jc w:val="both"/>
        <w:rPr>
          <w:rFonts w:ascii="Times New Roman" w:hAnsi="Times New Roman" w:cs="Times New Roman"/>
          <w:lang w:val="es-MX"/>
        </w:rPr>
      </w:pPr>
    </w:p>
    <w:p w14:paraId="4072AB10" w14:textId="77777777" w:rsidR="001B3FB0" w:rsidRDefault="001B3FB0" w:rsidP="005C15AD">
      <w:pPr>
        <w:pStyle w:val="Sinespaciado"/>
        <w:jc w:val="both"/>
        <w:rPr>
          <w:rFonts w:ascii="Times New Roman" w:hAnsi="Times New Roman" w:cs="Times New Roman"/>
          <w:lang w:val="es-MX"/>
        </w:rPr>
      </w:pPr>
    </w:p>
    <w:p w14:paraId="0A196912" w14:textId="77777777" w:rsidR="001B3FB0" w:rsidRDefault="001B3FB0" w:rsidP="005C15AD">
      <w:pPr>
        <w:pStyle w:val="Sinespaciado"/>
        <w:jc w:val="both"/>
        <w:rPr>
          <w:rFonts w:ascii="Times New Roman" w:hAnsi="Times New Roman" w:cs="Times New Roman"/>
          <w:lang w:val="es-MX"/>
        </w:rPr>
      </w:pPr>
    </w:p>
    <w:p w14:paraId="0BE08C5E" w14:textId="77777777" w:rsidR="001B3FB0" w:rsidRDefault="001B3FB0" w:rsidP="005C15AD">
      <w:pPr>
        <w:pStyle w:val="Sinespaciado"/>
        <w:jc w:val="both"/>
        <w:rPr>
          <w:rFonts w:ascii="Times New Roman" w:hAnsi="Times New Roman" w:cs="Times New Roman"/>
          <w:lang w:val="es-MX"/>
        </w:rPr>
      </w:pPr>
    </w:p>
    <w:p w14:paraId="4075A7CC" w14:textId="77777777" w:rsidR="001B3FB0" w:rsidRDefault="001B3FB0" w:rsidP="005C15AD">
      <w:pPr>
        <w:pStyle w:val="Sinespaciado"/>
        <w:jc w:val="both"/>
        <w:rPr>
          <w:rFonts w:ascii="Times New Roman" w:hAnsi="Times New Roman" w:cs="Times New Roman"/>
          <w:lang w:val="es-MX"/>
        </w:rPr>
      </w:pPr>
    </w:p>
    <w:p w14:paraId="7CB3190B" w14:textId="77777777" w:rsidR="001B3FB0" w:rsidRDefault="001B3FB0" w:rsidP="005C15AD">
      <w:pPr>
        <w:pStyle w:val="Sinespaciado"/>
        <w:jc w:val="both"/>
        <w:rPr>
          <w:rFonts w:ascii="Times New Roman" w:hAnsi="Times New Roman" w:cs="Times New Roman"/>
          <w:lang w:val="es-MX"/>
        </w:rPr>
      </w:pPr>
    </w:p>
    <w:p w14:paraId="7DD4B653" w14:textId="77777777" w:rsidR="001B3FB0" w:rsidRDefault="001B3FB0" w:rsidP="005C15AD">
      <w:pPr>
        <w:pStyle w:val="Sinespaciado"/>
        <w:jc w:val="both"/>
        <w:rPr>
          <w:rFonts w:ascii="Times New Roman" w:hAnsi="Times New Roman" w:cs="Times New Roman"/>
          <w:lang w:val="es-MX"/>
        </w:rPr>
      </w:pPr>
    </w:p>
    <w:p w14:paraId="64638DC1" w14:textId="77777777" w:rsidR="001B3FB0" w:rsidRDefault="001B3FB0" w:rsidP="005C15AD">
      <w:pPr>
        <w:pStyle w:val="Sinespaciado"/>
        <w:jc w:val="both"/>
        <w:rPr>
          <w:rFonts w:ascii="Times New Roman" w:hAnsi="Times New Roman" w:cs="Times New Roman"/>
          <w:lang w:val="es-MX"/>
        </w:rPr>
      </w:pPr>
    </w:p>
    <w:p w14:paraId="5A420BD7" w14:textId="77777777" w:rsidR="001B3FB0" w:rsidRDefault="001B3FB0" w:rsidP="005C15AD">
      <w:pPr>
        <w:pStyle w:val="Sinespaciado"/>
        <w:jc w:val="both"/>
        <w:rPr>
          <w:rFonts w:ascii="Times New Roman" w:hAnsi="Times New Roman" w:cs="Times New Roman"/>
          <w:lang w:val="es-MX"/>
        </w:rPr>
      </w:pPr>
    </w:p>
    <w:p w14:paraId="32CD1212" w14:textId="77777777" w:rsidR="001B3FB0" w:rsidRDefault="001B3FB0" w:rsidP="005C15AD">
      <w:pPr>
        <w:pStyle w:val="Sinespaciado"/>
        <w:jc w:val="both"/>
        <w:rPr>
          <w:rFonts w:ascii="Times New Roman" w:hAnsi="Times New Roman" w:cs="Times New Roman"/>
          <w:lang w:val="es-MX"/>
        </w:rPr>
      </w:pPr>
    </w:p>
    <w:p w14:paraId="003B03A6" w14:textId="77777777" w:rsidR="001B3FB0" w:rsidRDefault="001B3FB0" w:rsidP="005C15AD">
      <w:pPr>
        <w:pStyle w:val="Sinespaciado"/>
        <w:jc w:val="both"/>
        <w:rPr>
          <w:rFonts w:ascii="Times New Roman" w:hAnsi="Times New Roman" w:cs="Times New Roman"/>
          <w:lang w:val="es-MX"/>
        </w:rPr>
      </w:pPr>
    </w:p>
    <w:p w14:paraId="7307B93D" w14:textId="77777777" w:rsidR="001B3FB0" w:rsidRDefault="001B3FB0" w:rsidP="005C15AD">
      <w:pPr>
        <w:pStyle w:val="Sinespaciado"/>
        <w:jc w:val="both"/>
        <w:rPr>
          <w:rFonts w:ascii="Times New Roman" w:hAnsi="Times New Roman" w:cs="Times New Roman"/>
          <w:lang w:val="es-MX"/>
        </w:rPr>
      </w:pPr>
    </w:p>
    <w:p w14:paraId="0A5A5360" w14:textId="77777777" w:rsidR="001B3FB0" w:rsidRDefault="001B3FB0" w:rsidP="005C15AD">
      <w:pPr>
        <w:pStyle w:val="Sinespaciado"/>
        <w:jc w:val="both"/>
        <w:rPr>
          <w:rFonts w:ascii="Times New Roman" w:hAnsi="Times New Roman" w:cs="Times New Roman"/>
          <w:lang w:val="es-MX"/>
        </w:rPr>
      </w:pPr>
    </w:p>
    <w:p w14:paraId="463D2F44" w14:textId="77777777" w:rsidR="001B3FB0" w:rsidRDefault="001B3FB0" w:rsidP="005C15AD">
      <w:pPr>
        <w:pStyle w:val="Sinespaciado"/>
        <w:jc w:val="both"/>
        <w:rPr>
          <w:rFonts w:ascii="Times New Roman" w:hAnsi="Times New Roman" w:cs="Times New Roman"/>
          <w:lang w:val="es-MX"/>
        </w:rPr>
      </w:pPr>
    </w:p>
    <w:p w14:paraId="344B0FAE" w14:textId="77777777" w:rsidR="001B3FB0" w:rsidRDefault="001B3FB0" w:rsidP="005C15AD">
      <w:pPr>
        <w:pStyle w:val="Sinespaciado"/>
        <w:jc w:val="both"/>
        <w:rPr>
          <w:rFonts w:ascii="Times New Roman" w:hAnsi="Times New Roman" w:cs="Times New Roman"/>
          <w:lang w:val="es-MX"/>
        </w:rPr>
      </w:pPr>
    </w:p>
    <w:p w14:paraId="3EA56718" w14:textId="77777777" w:rsidR="001B3FB0" w:rsidRDefault="001B3FB0" w:rsidP="005C15AD">
      <w:pPr>
        <w:pStyle w:val="Sinespaciado"/>
        <w:jc w:val="both"/>
        <w:rPr>
          <w:rFonts w:ascii="Times New Roman" w:hAnsi="Times New Roman" w:cs="Times New Roman"/>
          <w:lang w:val="es-MX"/>
        </w:rPr>
      </w:pPr>
    </w:p>
    <w:p w14:paraId="6A70D83C" w14:textId="77777777" w:rsidR="005C15AD" w:rsidRPr="002A1EF9" w:rsidRDefault="005C15AD" w:rsidP="005C15AD">
      <w:pPr>
        <w:pStyle w:val="Sinespaciado"/>
        <w:jc w:val="both"/>
        <w:rPr>
          <w:rFonts w:ascii="Times New Roman" w:hAnsi="Times New Roman" w:cs="Times New Roman"/>
          <w:lang w:val="es-MX"/>
        </w:rPr>
      </w:pPr>
      <w:r w:rsidRPr="002A1EF9">
        <w:rPr>
          <w:rFonts w:ascii="Times New Roman" w:hAnsi="Times New Roman" w:cs="Times New Roman"/>
          <w:lang w:val="es-MX"/>
        </w:rPr>
        <w:t xml:space="preserve">Así mismo, se espera un ritmo inflacionario de </w:t>
      </w:r>
      <w:r w:rsidR="00183252" w:rsidRPr="002A1EF9">
        <w:rPr>
          <w:rFonts w:ascii="Times New Roman" w:hAnsi="Times New Roman" w:cs="Times New Roman"/>
          <w:lang w:val="es-MX"/>
        </w:rPr>
        <w:t>4.01</w:t>
      </w:r>
      <w:r w:rsidRPr="002A1EF9">
        <w:rPr>
          <w:rFonts w:ascii="Times New Roman" w:hAnsi="Times New Roman" w:cs="Times New Roman"/>
          <w:lang w:val="es-MX"/>
        </w:rPr>
        <w:t xml:space="preserve">% para </w:t>
      </w:r>
      <w:r w:rsidR="00183252" w:rsidRPr="002A1EF9">
        <w:rPr>
          <w:rFonts w:ascii="Times New Roman" w:hAnsi="Times New Roman" w:cs="Times New Roman"/>
          <w:lang w:val="es-MX"/>
        </w:rPr>
        <w:t>octu</w:t>
      </w:r>
      <w:r w:rsidR="00B13AF1" w:rsidRPr="002A1EF9">
        <w:rPr>
          <w:rFonts w:ascii="Times New Roman" w:hAnsi="Times New Roman" w:cs="Times New Roman"/>
          <w:lang w:val="es-MX"/>
        </w:rPr>
        <w:t>bre</w:t>
      </w:r>
      <w:r w:rsidR="00D257A3" w:rsidRPr="002A1EF9">
        <w:rPr>
          <w:rFonts w:ascii="Times New Roman" w:hAnsi="Times New Roman" w:cs="Times New Roman"/>
          <w:lang w:val="es-MX"/>
        </w:rPr>
        <w:t xml:space="preserve"> y </w:t>
      </w:r>
      <w:r w:rsidR="00183252" w:rsidRPr="002A1EF9">
        <w:rPr>
          <w:rFonts w:ascii="Times New Roman" w:hAnsi="Times New Roman" w:cs="Times New Roman"/>
          <w:lang w:val="es-MX"/>
        </w:rPr>
        <w:t>4.39% para diciem</w:t>
      </w:r>
      <w:r w:rsidR="00B13AF1" w:rsidRPr="002A1EF9">
        <w:rPr>
          <w:rFonts w:ascii="Times New Roman" w:hAnsi="Times New Roman" w:cs="Times New Roman"/>
          <w:lang w:val="es-MX"/>
        </w:rPr>
        <w:t>bre</w:t>
      </w:r>
      <w:r w:rsidR="007F5898" w:rsidRPr="002A1EF9">
        <w:rPr>
          <w:rFonts w:ascii="Times New Roman" w:hAnsi="Times New Roman" w:cs="Times New Roman"/>
          <w:lang w:val="es-MX"/>
        </w:rPr>
        <w:t xml:space="preserve"> 2021</w:t>
      </w:r>
      <w:r w:rsidRPr="002A1EF9">
        <w:rPr>
          <w:rFonts w:ascii="Times New Roman" w:hAnsi="Times New Roman" w:cs="Times New Roman"/>
          <w:lang w:val="es-MX"/>
        </w:rPr>
        <w:t>; en un horizonte de 12 y 24 mes</w:t>
      </w:r>
      <w:r w:rsidR="007F5898" w:rsidRPr="002A1EF9">
        <w:rPr>
          <w:rFonts w:ascii="Times New Roman" w:hAnsi="Times New Roman" w:cs="Times New Roman"/>
          <w:lang w:val="es-MX"/>
        </w:rPr>
        <w:t>es se</w:t>
      </w:r>
      <w:r w:rsidR="00B13AF1" w:rsidRPr="002A1EF9">
        <w:rPr>
          <w:rFonts w:ascii="Times New Roman" w:hAnsi="Times New Roman" w:cs="Times New Roman"/>
          <w:lang w:val="es-MX"/>
        </w:rPr>
        <w:t xml:space="preserve"> esperaría un </w:t>
      </w:r>
      <w:r w:rsidR="00183252" w:rsidRPr="002A1EF9">
        <w:rPr>
          <w:rFonts w:ascii="Times New Roman" w:hAnsi="Times New Roman" w:cs="Times New Roman"/>
          <w:lang w:val="es-MX"/>
        </w:rPr>
        <w:t>ritmo de 4.22% y 3.89</w:t>
      </w:r>
      <w:r w:rsidRPr="002A1EF9">
        <w:rPr>
          <w:rFonts w:ascii="Times New Roman" w:hAnsi="Times New Roman" w:cs="Times New Roman"/>
          <w:lang w:val="es-MX"/>
        </w:rPr>
        <w:t xml:space="preserve">% respectivamente. </w:t>
      </w:r>
    </w:p>
    <w:p w14:paraId="062471CF" w14:textId="77777777" w:rsidR="005C15AD" w:rsidRPr="001B3FB0" w:rsidRDefault="005C15AD" w:rsidP="005C15AD">
      <w:pPr>
        <w:pStyle w:val="Sinespaciado"/>
        <w:jc w:val="both"/>
        <w:rPr>
          <w:rFonts w:ascii="Times New Roman" w:hAnsi="Times New Roman" w:cs="Times New Roman"/>
          <w:lang w:val="es-MX"/>
        </w:rPr>
      </w:pPr>
    </w:p>
    <w:p w14:paraId="3F2EB6EA" w14:textId="77777777" w:rsidR="00864787" w:rsidRPr="002A1EF9" w:rsidRDefault="00136989" w:rsidP="00864787">
      <w:pPr>
        <w:pStyle w:val="NormalWeb"/>
        <w:shd w:val="clear" w:color="auto" w:fill="FFFFFF"/>
        <w:spacing w:before="0" w:beforeAutospacing="0" w:after="0" w:afterAutospacing="0"/>
        <w:jc w:val="both"/>
        <w:textAlignment w:val="baseline"/>
        <w:rPr>
          <w:rFonts w:eastAsiaTheme="minorHAnsi"/>
          <w:sz w:val="22"/>
          <w:szCs w:val="22"/>
          <w:lang w:eastAsia="en-US"/>
        </w:rPr>
      </w:pPr>
      <w:r w:rsidRPr="002A1EF9">
        <w:rPr>
          <w:rFonts w:eastAsiaTheme="minorHAnsi"/>
          <w:sz w:val="22"/>
          <w:szCs w:val="22"/>
          <w:lang w:eastAsia="en-US"/>
        </w:rPr>
        <w:t>El Banco Mundial en su informe “Recobrar el crecimiento” publicado en octubre, indicó que la crisis económica que causó la pandem</w:t>
      </w:r>
      <w:r w:rsidR="00D257A3" w:rsidRPr="002A1EF9">
        <w:rPr>
          <w:rFonts w:eastAsiaTheme="minorHAnsi"/>
          <w:sz w:val="22"/>
          <w:szCs w:val="22"/>
          <w:lang w:eastAsia="en-US"/>
        </w:rPr>
        <w:t xml:space="preserve">ia de Covid-19 se está alejando; para Guatemala, estimó </w:t>
      </w:r>
      <w:r w:rsidRPr="002A1EF9">
        <w:rPr>
          <w:rFonts w:eastAsiaTheme="minorHAnsi"/>
          <w:sz w:val="22"/>
          <w:szCs w:val="22"/>
          <w:lang w:eastAsia="en-US"/>
        </w:rPr>
        <w:t xml:space="preserve">un cierre de 5.1% </w:t>
      </w:r>
      <w:r w:rsidR="00D257A3" w:rsidRPr="002A1EF9">
        <w:rPr>
          <w:rFonts w:eastAsiaTheme="minorHAnsi"/>
          <w:sz w:val="22"/>
          <w:szCs w:val="22"/>
          <w:lang w:eastAsia="en-US"/>
        </w:rPr>
        <w:t xml:space="preserve">en 2021 </w:t>
      </w:r>
      <w:r w:rsidRPr="002A1EF9">
        <w:rPr>
          <w:rFonts w:eastAsiaTheme="minorHAnsi"/>
          <w:sz w:val="22"/>
          <w:szCs w:val="22"/>
          <w:lang w:eastAsia="en-US"/>
        </w:rPr>
        <w:t>y para 2022 espera un 4.1%, superior al previsto en enero, cuando solamente esperaba un crecimiento de 3.8 %.</w:t>
      </w:r>
    </w:p>
    <w:p w14:paraId="7E2C08FE" w14:textId="77777777" w:rsidR="00AC33CD" w:rsidRPr="002A1EF9" w:rsidRDefault="00AC33CD" w:rsidP="00AC33CD">
      <w:pPr>
        <w:pStyle w:val="Sinespaciado"/>
        <w:jc w:val="both"/>
        <w:rPr>
          <w:rFonts w:ascii="Times New Roman" w:eastAsia="Times New Roman" w:hAnsi="Times New Roman" w:cs="Times New Roman"/>
          <w:sz w:val="16"/>
        </w:rPr>
      </w:pPr>
    </w:p>
    <w:p w14:paraId="7A61FE3E" w14:textId="77777777" w:rsidR="00B807A2" w:rsidRPr="002A1EF9" w:rsidRDefault="00B807A2" w:rsidP="00474998">
      <w:pPr>
        <w:pStyle w:val="Sinespaciado"/>
        <w:jc w:val="both"/>
        <w:rPr>
          <w:rFonts w:ascii="Times New Roman" w:hAnsi="Times New Roman" w:cs="Times New Roman"/>
          <w:sz w:val="16"/>
        </w:rPr>
        <w:sectPr w:rsidR="00B807A2" w:rsidRPr="002A1EF9" w:rsidSect="00474998">
          <w:headerReference w:type="default" r:id="rId42"/>
          <w:footerReference w:type="default" r:id="rId43"/>
          <w:type w:val="continuous"/>
          <w:pgSz w:w="12240" w:h="15840" w:code="1"/>
          <w:pgMar w:top="1418" w:right="1608" w:bottom="1418" w:left="1701" w:header="709" w:footer="709" w:gutter="0"/>
          <w:cols w:num="2" w:space="802"/>
          <w:docGrid w:linePitch="360"/>
        </w:sectPr>
      </w:pPr>
    </w:p>
    <w:p w14:paraId="1C638809" w14:textId="77777777" w:rsidR="00B46934" w:rsidRDefault="00B46934" w:rsidP="00AD5816">
      <w:pPr>
        <w:spacing w:after="0" w:line="240" w:lineRule="auto"/>
        <w:rPr>
          <w:rFonts w:ascii="Times New Roman" w:hAnsi="Times New Roman" w:cs="Times New Roman"/>
          <w:noProof/>
          <w:sz w:val="16"/>
          <w:lang w:eastAsia="es-GT"/>
        </w:rPr>
      </w:pPr>
    </w:p>
    <w:p w14:paraId="31669052" w14:textId="77777777" w:rsidR="00B46934" w:rsidRDefault="00B46934" w:rsidP="00AD5816">
      <w:pPr>
        <w:spacing w:after="0" w:line="240" w:lineRule="auto"/>
        <w:rPr>
          <w:rFonts w:ascii="Times New Roman" w:hAnsi="Times New Roman" w:cs="Times New Roman"/>
          <w:noProof/>
          <w:sz w:val="16"/>
          <w:lang w:eastAsia="es-GT"/>
        </w:rPr>
      </w:pPr>
    </w:p>
    <w:p w14:paraId="46BB6577" w14:textId="77777777" w:rsidR="00B46934" w:rsidRDefault="00B46934" w:rsidP="00B46934">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pPr>
      <w:r w:rsidRPr="002A1EF9">
        <w:rPr>
          <w:rFonts w:ascii="Times New Roman" w:hAnsi="Times New Roman" w:cs="Times New Roman"/>
          <w:b/>
          <w:lang w:val="es-MX"/>
        </w:rPr>
        <w:t>Anexo</w:t>
      </w:r>
    </w:p>
    <w:p w14:paraId="1E30719B" w14:textId="77777777" w:rsidR="001B3FB0" w:rsidRDefault="001B3FB0" w:rsidP="00B46934">
      <w:pPr>
        <w:spacing w:after="0" w:line="240" w:lineRule="auto"/>
        <w:rPr>
          <w:rFonts w:ascii="Times New Roman" w:hAnsi="Times New Roman" w:cs="Times New Roman"/>
          <w:noProof/>
          <w:sz w:val="16"/>
          <w:lang w:eastAsia="es-GT"/>
        </w:rPr>
      </w:pPr>
    </w:p>
    <w:p w14:paraId="438305F3" w14:textId="77777777" w:rsidR="001B3FB0" w:rsidRDefault="001B3FB0" w:rsidP="001B3FB0">
      <w:pPr>
        <w:rPr>
          <w:rFonts w:ascii="Times New Roman" w:hAnsi="Times New Roman" w:cs="Times New Roman"/>
          <w:sz w:val="16"/>
          <w:lang w:eastAsia="es-GT"/>
        </w:rPr>
      </w:pPr>
      <w:r w:rsidRPr="00B46934">
        <w:rPr>
          <w:noProof/>
          <w:lang w:eastAsia="es-GT"/>
        </w:rPr>
        <w:drawing>
          <wp:inline distT="0" distB="0" distL="0" distR="0" wp14:anchorId="6BF56FAE" wp14:editId="41CA5C39">
            <wp:extent cx="5971540" cy="4776111"/>
            <wp:effectExtent l="0" t="0" r="0" b="571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71540" cy="4776111"/>
                    </a:xfrm>
                    <a:prstGeom prst="rect">
                      <a:avLst/>
                    </a:prstGeom>
                    <a:noFill/>
                    <a:ln>
                      <a:noFill/>
                    </a:ln>
                  </pic:spPr>
                </pic:pic>
              </a:graphicData>
            </a:graphic>
          </wp:inline>
        </w:drawing>
      </w:r>
    </w:p>
    <w:p w14:paraId="14880F6D" w14:textId="77777777" w:rsidR="00A015C5" w:rsidRPr="001B3FB0" w:rsidRDefault="00A015C5" w:rsidP="001B3FB0">
      <w:pPr>
        <w:rPr>
          <w:lang w:eastAsia="es-GT"/>
        </w:rPr>
      </w:pPr>
    </w:p>
    <w:sectPr w:rsidR="00A015C5" w:rsidRPr="001B3FB0" w:rsidSect="00AB38CA">
      <w:headerReference w:type="default" r:id="rId45"/>
      <w:footerReference w:type="default" r:id="rId46"/>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8A0C0" w14:textId="77777777" w:rsidR="0069768C" w:rsidRDefault="0069768C" w:rsidP="007D4651">
      <w:pPr>
        <w:spacing w:after="0" w:line="240" w:lineRule="auto"/>
      </w:pPr>
      <w:r>
        <w:separator/>
      </w:r>
    </w:p>
  </w:endnote>
  <w:endnote w:type="continuationSeparator" w:id="0">
    <w:p w14:paraId="0C675B1C" w14:textId="77777777" w:rsidR="0069768C" w:rsidRDefault="0069768C"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562943337"/>
      <w:docPartObj>
        <w:docPartGallery w:val="Page Numbers (Bottom of Page)"/>
        <w:docPartUnique/>
      </w:docPartObj>
    </w:sdtPr>
    <w:sdtEndPr/>
    <w:sdtContent>
      <w:p w14:paraId="203DB630" w14:textId="77777777" w:rsidR="00094C53" w:rsidRDefault="00094C53">
        <w:pPr>
          <w:pStyle w:val="Piedepgina"/>
          <w:jc w:val="right"/>
          <w:rPr>
            <w:lang w:val="es-ES"/>
          </w:rPr>
        </w:pPr>
      </w:p>
      <w:p w14:paraId="7A831D5C" w14:textId="77777777" w:rsidR="00094C53" w:rsidRDefault="00094C5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838464" behindDoc="0" locked="0" layoutInCell="1" allowOverlap="1" wp14:anchorId="37DD5934" wp14:editId="41B40498">
                  <wp:simplePos x="0" y="0"/>
                  <wp:positionH relativeFrom="column">
                    <wp:posOffset>1755792</wp:posOffset>
                  </wp:positionH>
                  <wp:positionV relativeFrom="paragraph">
                    <wp:posOffset>70485</wp:posOffset>
                  </wp:positionV>
                  <wp:extent cx="5155565" cy="45719"/>
                  <wp:effectExtent l="38100" t="38100" r="64135" b="88265"/>
                  <wp:wrapNone/>
                  <wp:docPr id="251"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C54C61" id="3 Rectángulo" o:spid="_x0000_s1026" style="position:absolute;margin-left:138.25pt;margin-top:5.55pt;width:405.95pt;height:3.6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6wjPg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130A4F08" w14:textId="77777777" w:rsidR="00094C53" w:rsidRDefault="00094C5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B651C5" w:rsidRPr="00B651C5">
          <w:rPr>
            <w:rFonts w:ascii="Times New Roman" w:hAnsi="Times New Roman" w:cs="Times New Roman"/>
            <w:b/>
            <w:noProof/>
            <w:color w:val="1F497D" w:themeColor="text2"/>
            <w:lang w:val="es-ES"/>
          </w:rPr>
          <w:t>1</w:t>
        </w:r>
        <w:r w:rsidRPr="007D4651">
          <w:rPr>
            <w:rFonts w:ascii="Times New Roman" w:hAnsi="Times New Roman" w:cs="Times New Roman"/>
            <w:b/>
            <w:color w:val="1F497D" w:themeColor="text2"/>
          </w:rPr>
          <w:fldChar w:fldCharType="end"/>
        </w:r>
        <w:r>
          <w:rPr>
            <w:lang w:val="es-ES"/>
          </w:rPr>
          <w:t xml:space="preserve"> </w:t>
        </w:r>
      </w:p>
    </w:sdtContent>
  </w:sdt>
  <w:p w14:paraId="0D869C15" w14:textId="77777777" w:rsidR="00094C53" w:rsidRDefault="00094C53" w:rsidP="007D4651">
    <w:pPr>
      <w:pStyle w:val="Piedepgina"/>
      <w:tabs>
        <w:tab w:val="clear" w:pos="4419"/>
        <w:tab w:val="clear" w:pos="8838"/>
        <w:tab w:val="left" w:pos="5777"/>
      </w:tabs>
    </w:pPr>
  </w:p>
  <w:p w14:paraId="001E919F" w14:textId="77777777" w:rsidR="00094C53" w:rsidRDefault="00094C53"/>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676346006"/>
      <w:docPartObj>
        <w:docPartGallery w:val="Page Numbers (Bottom of Page)"/>
        <w:docPartUnique/>
      </w:docPartObj>
    </w:sdtPr>
    <w:sdtEndPr/>
    <w:sdtContent>
      <w:p w14:paraId="16E7C89B" w14:textId="77777777" w:rsidR="00094C53" w:rsidRDefault="00094C53">
        <w:pPr>
          <w:pStyle w:val="Piedepgina"/>
          <w:jc w:val="right"/>
          <w:rPr>
            <w:lang w:val="es-ES"/>
          </w:rPr>
        </w:pPr>
      </w:p>
      <w:p w14:paraId="550794E2" w14:textId="77777777" w:rsidR="00094C53" w:rsidRDefault="00094C5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83840" behindDoc="0" locked="0" layoutInCell="1" allowOverlap="1" wp14:anchorId="751AD5AB" wp14:editId="2183EA06">
                  <wp:simplePos x="0" y="0"/>
                  <wp:positionH relativeFrom="column">
                    <wp:posOffset>1776669</wp:posOffset>
                  </wp:positionH>
                  <wp:positionV relativeFrom="paragraph">
                    <wp:posOffset>70516</wp:posOffset>
                  </wp:positionV>
                  <wp:extent cx="5155565" cy="45719"/>
                  <wp:effectExtent l="38100" t="38100" r="64135" b="88265"/>
                  <wp:wrapNone/>
                  <wp:docPr id="39"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3A2FEC" id="39 Rectángulo" o:spid="_x0000_s1026" style="position:absolute;margin-left:139.9pt;margin-top:5.55pt;width:405.9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2T2O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1EE7933F" w14:textId="77777777" w:rsidR="00094C53" w:rsidRDefault="00094C5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B651C5" w:rsidRPr="00B651C5">
          <w:rPr>
            <w:rFonts w:ascii="Times New Roman" w:hAnsi="Times New Roman" w:cs="Times New Roman"/>
            <w:b/>
            <w:noProof/>
            <w:color w:val="1F497D" w:themeColor="text2"/>
            <w:lang w:val="es-ES"/>
          </w:rPr>
          <w:t>15</w:t>
        </w:r>
        <w:r w:rsidRPr="007D4651">
          <w:rPr>
            <w:rFonts w:ascii="Times New Roman" w:hAnsi="Times New Roman" w:cs="Times New Roman"/>
            <w:b/>
            <w:color w:val="1F497D" w:themeColor="text2"/>
          </w:rPr>
          <w:fldChar w:fldCharType="end"/>
        </w:r>
        <w:r>
          <w:rPr>
            <w:lang w:val="es-ES"/>
          </w:rPr>
          <w:t xml:space="preserve"> </w:t>
        </w:r>
      </w:p>
    </w:sdtContent>
  </w:sdt>
  <w:p w14:paraId="35089601" w14:textId="77777777" w:rsidR="00094C53" w:rsidRDefault="00094C53" w:rsidP="007D4651">
    <w:pPr>
      <w:pStyle w:val="Piedepgina"/>
      <w:tabs>
        <w:tab w:val="clear" w:pos="4419"/>
        <w:tab w:val="clear" w:pos="8838"/>
        <w:tab w:val="left" w:pos="5777"/>
      </w:tabs>
    </w:pPr>
  </w:p>
  <w:p w14:paraId="256F6E18" w14:textId="77777777" w:rsidR="00094C53" w:rsidRDefault="00094C5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606041391"/>
      <w:docPartObj>
        <w:docPartGallery w:val="Page Numbers (Bottom of Page)"/>
        <w:docPartUnique/>
      </w:docPartObj>
    </w:sdtPr>
    <w:sdtEndPr/>
    <w:sdtContent>
      <w:p w14:paraId="7E3A58AD" w14:textId="77777777" w:rsidR="00094C53" w:rsidRDefault="00094C53">
        <w:pPr>
          <w:pStyle w:val="Piedepgina"/>
          <w:jc w:val="right"/>
          <w:rPr>
            <w:lang w:val="es-ES"/>
          </w:rPr>
        </w:pPr>
      </w:p>
      <w:p w14:paraId="1F68DBE9" w14:textId="77777777" w:rsidR="00094C53" w:rsidRDefault="00094C5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3360" behindDoc="0" locked="0" layoutInCell="1" allowOverlap="1" wp14:anchorId="16656090" wp14:editId="4A3631E7">
                  <wp:simplePos x="0" y="0"/>
                  <wp:positionH relativeFrom="column">
                    <wp:posOffset>1755792</wp:posOffset>
                  </wp:positionH>
                  <wp:positionV relativeFrom="paragraph">
                    <wp:posOffset>70485</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48AE77" id="3 Rectángulo" o:spid="_x0000_s1026" style="position:absolute;margin-left:138.25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14C94540" w14:textId="77777777" w:rsidR="00094C53" w:rsidRDefault="00094C5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B651C5" w:rsidRPr="00B651C5">
          <w:rPr>
            <w:rFonts w:ascii="Times New Roman" w:hAnsi="Times New Roman" w:cs="Times New Roman"/>
            <w:b/>
            <w:noProof/>
            <w:color w:val="1F497D" w:themeColor="text2"/>
            <w:lang w:val="es-ES"/>
          </w:rPr>
          <w:t>2</w:t>
        </w:r>
        <w:r w:rsidRPr="007D4651">
          <w:rPr>
            <w:rFonts w:ascii="Times New Roman" w:hAnsi="Times New Roman" w:cs="Times New Roman"/>
            <w:b/>
            <w:color w:val="1F497D" w:themeColor="text2"/>
          </w:rPr>
          <w:fldChar w:fldCharType="end"/>
        </w:r>
        <w:r>
          <w:rPr>
            <w:lang w:val="es-ES"/>
          </w:rPr>
          <w:t xml:space="preserve"> </w:t>
        </w:r>
      </w:p>
    </w:sdtContent>
  </w:sdt>
  <w:p w14:paraId="0872664B" w14:textId="77777777" w:rsidR="00094C53" w:rsidRDefault="00094C53" w:rsidP="007D4651">
    <w:pPr>
      <w:pStyle w:val="Piedepgina"/>
      <w:tabs>
        <w:tab w:val="clear" w:pos="4419"/>
        <w:tab w:val="clear" w:pos="8838"/>
        <w:tab w:val="left" w:pos="5777"/>
      </w:tabs>
    </w:pPr>
  </w:p>
  <w:p w14:paraId="27CB0E02" w14:textId="77777777" w:rsidR="00094C53" w:rsidRDefault="00094C5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85034144"/>
      <w:docPartObj>
        <w:docPartGallery w:val="Page Numbers (Bottom of Page)"/>
        <w:docPartUnique/>
      </w:docPartObj>
    </w:sdtPr>
    <w:sdtEndPr/>
    <w:sdtContent>
      <w:p w14:paraId="1E457DBC" w14:textId="77777777" w:rsidR="00094C53" w:rsidRDefault="00094C53">
        <w:pPr>
          <w:pStyle w:val="Piedepgina"/>
          <w:jc w:val="right"/>
          <w:rPr>
            <w:lang w:val="es-ES"/>
          </w:rPr>
        </w:pPr>
      </w:p>
      <w:p w14:paraId="6AF5555C" w14:textId="77777777" w:rsidR="00094C53" w:rsidRDefault="00094C5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7456" behindDoc="0" locked="0" layoutInCell="1" allowOverlap="1" wp14:anchorId="59F06B61" wp14:editId="77545FD2">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1D3D7C"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60D88FE0" w14:textId="77777777" w:rsidR="00094C53" w:rsidRDefault="00094C5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B651C5" w:rsidRPr="00B651C5">
          <w:rPr>
            <w:rFonts w:ascii="Times New Roman" w:hAnsi="Times New Roman" w:cs="Times New Roman"/>
            <w:b/>
            <w:noProof/>
            <w:color w:val="1F497D" w:themeColor="text2"/>
            <w:lang w:val="es-ES"/>
          </w:rPr>
          <w:t>4</w:t>
        </w:r>
        <w:r w:rsidRPr="007D4651">
          <w:rPr>
            <w:rFonts w:ascii="Times New Roman" w:hAnsi="Times New Roman" w:cs="Times New Roman"/>
            <w:b/>
            <w:color w:val="1F497D" w:themeColor="text2"/>
          </w:rPr>
          <w:fldChar w:fldCharType="end"/>
        </w:r>
        <w:r>
          <w:rPr>
            <w:lang w:val="es-ES"/>
          </w:rPr>
          <w:t xml:space="preserve"> </w:t>
        </w:r>
      </w:p>
    </w:sdtContent>
  </w:sdt>
  <w:p w14:paraId="6F145C1D" w14:textId="77777777" w:rsidR="00094C53" w:rsidRDefault="00094C53" w:rsidP="007D4651">
    <w:pPr>
      <w:pStyle w:val="Piedepgina"/>
      <w:tabs>
        <w:tab w:val="clear" w:pos="4419"/>
        <w:tab w:val="clear" w:pos="8838"/>
        <w:tab w:val="left" w:pos="5777"/>
      </w:tabs>
    </w:pPr>
  </w:p>
  <w:p w14:paraId="7B1EB945" w14:textId="77777777" w:rsidR="00094C53" w:rsidRDefault="00094C5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00554852"/>
      <w:docPartObj>
        <w:docPartGallery w:val="Page Numbers (Bottom of Page)"/>
        <w:docPartUnique/>
      </w:docPartObj>
    </w:sdtPr>
    <w:sdtEndPr/>
    <w:sdtContent>
      <w:p w14:paraId="1CCA9A18" w14:textId="77777777" w:rsidR="00094C53" w:rsidRDefault="00094C53">
        <w:pPr>
          <w:pStyle w:val="Piedepgina"/>
          <w:jc w:val="right"/>
          <w:rPr>
            <w:lang w:val="es-ES"/>
          </w:rPr>
        </w:pPr>
      </w:p>
      <w:p w14:paraId="23864AC9" w14:textId="77777777" w:rsidR="00094C53" w:rsidRDefault="00094C5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833344" behindDoc="0" locked="0" layoutInCell="1" allowOverlap="1" wp14:anchorId="1F52D24C" wp14:editId="475A679B">
                  <wp:simplePos x="0" y="0"/>
                  <wp:positionH relativeFrom="column">
                    <wp:posOffset>1776669</wp:posOffset>
                  </wp:positionH>
                  <wp:positionV relativeFrom="paragraph">
                    <wp:posOffset>70516</wp:posOffset>
                  </wp:positionV>
                  <wp:extent cx="5155565" cy="45719"/>
                  <wp:effectExtent l="38100" t="38100" r="64135" b="88265"/>
                  <wp:wrapNone/>
                  <wp:docPr id="32"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B35C07" id="16 Rectángulo" o:spid="_x0000_s1026" style="position:absolute;margin-left:139.9pt;margin-top:5.55pt;width:405.95pt;height:3.6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SoPg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qai0qD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71EFC01B" w14:textId="77777777" w:rsidR="00094C53" w:rsidRDefault="00094C5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B11ECC" w:rsidRPr="00B11ECC">
          <w:rPr>
            <w:rFonts w:ascii="Times New Roman" w:hAnsi="Times New Roman" w:cs="Times New Roman"/>
            <w:b/>
            <w:noProof/>
            <w:color w:val="1F497D" w:themeColor="text2"/>
            <w:lang w:val="es-ES"/>
          </w:rPr>
          <w:t>5</w:t>
        </w:r>
        <w:r w:rsidRPr="007D4651">
          <w:rPr>
            <w:rFonts w:ascii="Times New Roman" w:hAnsi="Times New Roman" w:cs="Times New Roman"/>
            <w:b/>
            <w:color w:val="1F497D" w:themeColor="text2"/>
          </w:rPr>
          <w:fldChar w:fldCharType="end"/>
        </w:r>
        <w:r>
          <w:rPr>
            <w:lang w:val="es-ES"/>
          </w:rPr>
          <w:t xml:space="preserve"> </w:t>
        </w:r>
      </w:p>
    </w:sdtContent>
  </w:sdt>
  <w:p w14:paraId="15A9C9C4" w14:textId="77777777" w:rsidR="00094C53" w:rsidRDefault="00094C53" w:rsidP="007D4651">
    <w:pPr>
      <w:pStyle w:val="Piedepgina"/>
      <w:tabs>
        <w:tab w:val="clear" w:pos="4419"/>
        <w:tab w:val="clear" w:pos="8838"/>
        <w:tab w:val="left" w:pos="5777"/>
      </w:tabs>
    </w:pPr>
  </w:p>
  <w:p w14:paraId="2DAE24B8" w14:textId="77777777" w:rsidR="00094C53" w:rsidRDefault="00094C5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057080796"/>
      <w:docPartObj>
        <w:docPartGallery w:val="Page Numbers (Bottom of Page)"/>
        <w:docPartUnique/>
      </w:docPartObj>
    </w:sdtPr>
    <w:sdtEndPr/>
    <w:sdtContent>
      <w:p w14:paraId="6927898B" w14:textId="77777777" w:rsidR="00094C53" w:rsidRDefault="00094C53">
        <w:pPr>
          <w:pStyle w:val="Piedepgina"/>
          <w:jc w:val="right"/>
          <w:rPr>
            <w:lang w:val="es-ES"/>
          </w:rPr>
        </w:pPr>
      </w:p>
      <w:p w14:paraId="2CD49940" w14:textId="77777777" w:rsidR="00094C53" w:rsidRDefault="00094C5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1552" behindDoc="0" locked="0" layoutInCell="1" allowOverlap="1" wp14:anchorId="32627B05" wp14:editId="07164F7A">
                  <wp:simplePos x="0" y="0"/>
                  <wp:positionH relativeFrom="column">
                    <wp:posOffset>1776669</wp:posOffset>
                  </wp:positionH>
                  <wp:positionV relativeFrom="paragraph">
                    <wp:posOffset>70516</wp:posOffset>
                  </wp:positionV>
                  <wp:extent cx="5155565" cy="45719"/>
                  <wp:effectExtent l="38100" t="38100" r="64135" b="88265"/>
                  <wp:wrapNone/>
                  <wp:docPr id="16"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5413E9" id="16 Rectángulo" o:spid="_x0000_s1026" style="position:absolute;margin-left:139.9pt;margin-top:5.55pt;width:405.9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&#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DkCE3GPQMAAKc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7307FA79" w14:textId="77777777" w:rsidR="00094C53" w:rsidRDefault="00094C5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Pr="009325CC">
          <w:rPr>
            <w:rFonts w:ascii="Times New Roman" w:hAnsi="Times New Roman" w:cs="Times New Roman"/>
            <w:b/>
            <w:noProof/>
            <w:color w:val="1F497D" w:themeColor="text2"/>
            <w:lang w:val="es-ES"/>
          </w:rPr>
          <w:t>5</w:t>
        </w:r>
        <w:r w:rsidRPr="007D4651">
          <w:rPr>
            <w:rFonts w:ascii="Times New Roman" w:hAnsi="Times New Roman" w:cs="Times New Roman"/>
            <w:b/>
            <w:color w:val="1F497D" w:themeColor="text2"/>
          </w:rPr>
          <w:fldChar w:fldCharType="end"/>
        </w:r>
        <w:r>
          <w:rPr>
            <w:lang w:val="es-ES"/>
          </w:rPr>
          <w:t xml:space="preserve"> </w:t>
        </w:r>
      </w:p>
    </w:sdtContent>
  </w:sdt>
  <w:p w14:paraId="1420E613" w14:textId="77777777" w:rsidR="00094C53" w:rsidRDefault="00094C53" w:rsidP="007D4651">
    <w:pPr>
      <w:pStyle w:val="Piedepgina"/>
      <w:tabs>
        <w:tab w:val="clear" w:pos="4419"/>
        <w:tab w:val="clear" w:pos="8838"/>
        <w:tab w:val="left" w:pos="5777"/>
      </w:tabs>
    </w:pPr>
  </w:p>
  <w:p w14:paraId="4D2732F4" w14:textId="77777777" w:rsidR="00094C53" w:rsidRDefault="00094C5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906532020"/>
      <w:docPartObj>
        <w:docPartGallery w:val="Page Numbers (Bottom of Page)"/>
        <w:docPartUnique/>
      </w:docPartObj>
    </w:sdtPr>
    <w:sdtEndPr/>
    <w:sdtContent>
      <w:p w14:paraId="4A504DEA" w14:textId="77777777" w:rsidR="00094C53" w:rsidRDefault="00094C53">
        <w:pPr>
          <w:pStyle w:val="Piedepgina"/>
          <w:jc w:val="right"/>
          <w:rPr>
            <w:lang w:val="es-ES"/>
          </w:rPr>
        </w:pPr>
      </w:p>
      <w:p w14:paraId="05C9DA56" w14:textId="77777777" w:rsidR="00094C53" w:rsidRDefault="00094C5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8896" behindDoc="0" locked="0" layoutInCell="1" allowOverlap="1" wp14:anchorId="10E26106" wp14:editId="57B0EEB5">
                  <wp:simplePos x="0" y="0"/>
                  <wp:positionH relativeFrom="column">
                    <wp:posOffset>1751347</wp:posOffset>
                  </wp:positionH>
                  <wp:positionV relativeFrom="paragraph">
                    <wp:posOffset>72390</wp:posOffset>
                  </wp:positionV>
                  <wp:extent cx="5155565" cy="45719"/>
                  <wp:effectExtent l="38100" t="38100" r="64135" b="88265"/>
                  <wp:wrapNone/>
                  <wp:docPr id="55"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F92A91" id="23 Rectángulo" o:spid="_x0000_s1026" style="position:absolute;margin-left:137.9pt;margin-top:5.7pt;width:405.9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PQPQ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2BC9BDEE" w14:textId="77777777" w:rsidR="00094C53" w:rsidRDefault="00094C5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B651C5" w:rsidRPr="00B651C5">
          <w:rPr>
            <w:rFonts w:ascii="Times New Roman" w:hAnsi="Times New Roman" w:cs="Times New Roman"/>
            <w:b/>
            <w:noProof/>
            <w:color w:val="1F497D" w:themeColor="text2"/>
            <w:lang w:val="es-ES"/>
          </w:rPr>
          <w:t>7</w:t>
        </w:r>
        <w:r w:rsidRPr="007D4651">
          <w:rPr>
            <w:rFonts w:ascii="Times New Roman" w:hAnsi="Times New Roman" w:cs="Times New Roman"/>
            <w:b/>
            <w:color w:val="1F497D" w:themeColor="text2"/>
          </w:rPr>
          <w:fldChar w:fldCharType="end"/>
        </w:r>
        <w:r>
          <w:rPr>
            <w:lang w:val="es-ES"/>
          </w:rPr>
          <w:t xml:space="preserve"> </w:t>
        </w:r>
      </w:p>
    </w:sdtContent>
  </w:sdt>
  <w:p w14:paraId="75881F23" w14:textId="77777777" w:rsidR="00094C53" w:rsidRDefault="00094C53" w:rsidP="007D4651">
    <w:pPr>
      <w:pStyle w:val="Piedepgina"/>
      <w:tabs>
        <w:tab w:val="clear" w:pos="4419"/>
        <w:tab w:val="clear" w:pos="8838"/>
        <w:tab w:val="left" w:pos="5777"/>
      </w:tabs>
    </w:pPr>
  </w:p>
  <w:p w14:paraId="021F6D17" w14:textId="77777777" w:rsidR="00094C53" w:rsidRDefault="00094C5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928763468"/>
      <w:docPartObj>
        <w:docPartGallery w:val="Page Numbers (Bottom of Page)"/>
        <w:docPartUnique/>
      </w:docPartObj>
    </w:sdtPr>
    <w:sdtEndPr/>
    <w:sdtContent>
      <w:p w14:paraId="4959E049" w14:textId="77777777" w:rsidR="00094C53" w:rsidRDefault="00094C53">
        <w:pPr>
          <w:pStyle w:val="Piedepgina"/>
          <w:jc w:val="right"/>
          <w:rPr>
            <w:lang w:val="es-ES"/>
          </w:rPr>
        </w:pPr>
      </w:p>
      <w:p w14:paraId="17FE23EB" w14:textId="77777777" w:rsidR="00094C53" w:rsidRDefault="00094C5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5648" behindDoc="0" locked="0" layoutInCell="1" allowOverlap="1" wp14:anchorId="4022D360" wp14:editId="1313DA20">
                  <wp:simplePos x="0" y="0"/>
                  <wp:positionH relativeFrom="column">
                    <wp:posOffset>1751347</wp:posOffset>
                  </wp:positionH>
                  <wp:positionV relativeFrom="paragraph">
                    <wp:posOffset>72390</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22DF1A" id="23 Rectángulo" o:spid="_x0000_s1026" style="position:absolute;margin-left:137.9pt;margin-top:5.7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0BB4A838" w14:textId="77777777" w:rsidR="00094C53" w:rsidRDefault="00094C5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B651C5" w:rsidRPr="00B651C5">
          <w:rPr>
            <w:rFonts w:ascii="Times New Roman" w:hAnsi="Times New Roman" w:cs="Times New Roman"/>
            <w:b/>
            <w:noProof/>
            <w:color w:val="1F497D" w:themeColor="text2"/>
            <w:lang w:val="es-ES"/>
          </w:rPr>
          <w:t>13</w:t>
        </w:r>
        <w:r w:rsidRPr="007D4651">
          <w:rPr>
            <w:rFonts w:ascii="Times New Roman" w:hAnsi="Times New Roman" w:cs="Times New Roman"/>
            <w:b/>
            <w:color w:val="1F497D" w:themeColor="text2"/>
          </w:rPr>
          <w:fldChar w:fldCharType="end"/>
        </w:r>
        <w:r>
          <w:rPr>
            <w:lang w:val="es-ES"/>
          </w:rPr>
          <w:t xml:space="preserve"> </w:t>
        </w:r>
      </w:p>
    </w:sdtContent>
  </w:sdt>
  <w:p w14:paraId="2CA62883" w14:textId="77777777" w:rsidR="00094C53" w:rsidRDefault="00094C53" w:rsidP="007D4651">
    <w:pPr>
      <w:pStyle w:val="Piedepgina"/>
      <w:tabs>
        <w:tab w:val="clear" w:pos="4419"/>
        <w:tab w:val="clear" w:pos="8838"/>
        <w:tab w:val="left" w:pos="5777"/>
      </w:tabs>
    </w:pPr>
  </w:p>
  <w:p w14:paraId="7D6CFDF5" w14:textId="77777777" w:rsidR="00094C53" w:rsidRDefault="00094C5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567338240"/>
      <w:docPartObj>
        <w:docPartGallery w:val="Page Numbers (Bottom of Page)"/>
        <w:docPartUnique/>
      </w:docPartObj>
    </w:sdtPr>
    <w:sdtEndPr/>
    <w:sdtContent>
      <w:p w14:paraId="59A045B8" w14:textId="77777777" w:rsidR="00094C53" w:rsidRDefault="00094C53">
        <w:pPr>
          <w:pStyle w:val="Piedepgina"/>
          <w:jc w:val="right"/>
          <w:rPr>
            <w:lang w:val="es-ES"/>
          </w:rPr>
        </w:pPr>
      </w:p>
      <w:p w14:paraId="749F86F9" w14:textId="77777777" w:rsidR="00094C53" w:rsidRDefault="00094C5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9744" behindDoc="0" locked="0" layoutInCell="1" allowOverlap="1" wp14:anchorId="1A871F4B" wp14:editId="4CC8318C">
                  <wp:simplePos x="0" y="0"/>
                  <wp:positionH relativeFrom="column">
                    <wp:posOffset>1759602</wp:posOffset>
                  </wp:positionH>
                  <wp:positionV relativeFrom="paragraph">
                    <wp:posOffset>70485</wp:posOffset>
                  </wp:positionV>
                  <wp:extent cx="5155565" cy="45719"/>
                  <wp:effectExtent l="38100" t="38100" r="64135" b="88265"/>
                  <wp:wrapNone/>
                  <wp:docPr id="26"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E24CAD" id="26 Rectángulo" o:spid="_x0000_s1026" style="position:absolute;margin-left:138.55pt;margin-top:5.55pt;width:405.9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QAPgMAAKc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C4DNAA+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2709E436" w14:textId="77777777" w:rsidR="00094C53" w:rsidRDefault="00094C5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4B3442" w:rsidRPr="004B3442">
          <w:rPr>
            <w:rFonts w:ascii="Times New Roman" w:hAnsi="Times New Roman" w:cs="Times New Roman"/>
            <w:b/>
            <w:noProof/>
            <w:color w:val="1F497D" w:themeColor="text2"/>
            <w:lang w:val="es-ES"/>
          </w:rPr>
          <w:t>13</w:t>
        </w:r>
        <w:r w:rsidRPr="007D4651">
          <w:rPr>
            <w:rFonts w:ascii="Times New Roman" w:hAnsi="Times New Roman" w:cs="Times New Roman"/>
            <w:b/>
            <w:color w:val="1F497D" w:themeColor="text2"/>
          </w:rPr>
          <w:fldChar w:fldCharType="end"/>
        </w:r>
        <w:r>
          <w:rPr>
            <w:lang w:val="es-ES"/>
          </w:rPr>
          <w:t xml:space="preserve"> </w:t>
        </w:r>
      </w:p>
    </w:sdtContent>
  </w:sdt>
  <w:p w14:paraId="4184B8DE" w14:textId="77777777" w:rsidR="00094C53" w:rsidRDefault="00094C53" w:rsidP="007D4651">
    <w:pPr>
      <w:pStyle w:val="Piedepgina"/>
      <w:tabs>
        <w:tab w:val="clear" w:pos="4419"/>
        <w:tab w:val="clear" w:pos="8838"/>
        <w:tab w:val="left" w:pos="5777"/>
      </w:tabs>
    </w:pPr>
  </w:p>
  <w:p w14:paraId="1BB500E8" w14:textId="77777777" w:rsidR="00094C53" w:rsidRDefault="00094C53"/>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444506453"/>
      <w:docPartObj>
        <w:docPartGallery w:val="Page Numbers (Bottom of Page)"/>
        <w:docPartUnique/>
      </w:docPartObj>
    </w:sdtPr>
    <w:sdtEndPr/>
    <w:sdtContent>
      <w:p w14:paraId="080250B3" w14:textId="77777777" w:rsidR="00094C53" w:rsidRDefault="00094C53">
        <w:pPr>
          <w:pStyle w:val="Piedepgina"/>
          <w:jc w:val="right"/>
          <w:rPr>
            <w:lang w:val="es-ES"/>
          </w:rPr>
        </w:pPr>
      </w:p>
      <w:p w14:paraId="5BDEA7E3" w14:textId="77777777" w:rsidR="00094C53" w:rsidRDefault="00094C53" w:rsidP="00AF4290">
        <w:pPr>
          <w:pStyle w:val="Piedepgina"/>
          <w:tabs>
            <w:tab w:val="left" w:pos="2694"/>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4800" behindDoc="0" locked="0" layoutInCell="1" allowOverlap="1" wp14:anchorId="65D81EFC" wp14:editId="2F29A0D6">
                  <wp:simplePos x="0" y="0"/>
                  <wp:positionH relativeFrom="column">
                    <wp:posOffset>1776669</wp:posOffset>
                  </wp:positionH>
                  <wp:positionV relativeFrom="paragraph">
                    <wp:posOffset>70516</wp:posOffset>
                  </wp:positionV>
                  <wp:extent cx="5155565" cy="45719"/>
                  <wp:effectExtent l="38100" t="38100" r="64135" b="88265"/>
                  <wp:wrapNone/>
                  <wp:docPr id="7" name="24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C88D4" id="24 Rectángulo" o:spid="_x0000_s1026" style="position:absolute;margin-left:139.9pt;margin-top:5.55pt;width:405.95pt;height:3.6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&#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CTfsNYPQMAAKY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07DB8689" w14:textId="77777777" w:rsidR="00094C53" w:rsidRDefault="00094C5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B651C5" w:rsidRPr="00B651C5">
          <w:rPr>
            <w:rFonts w:ascii="Times New Roman" w:hAnsi="Times New Roman" w:cs="Times New Roman"/>
            <w:b/>
            <w:noProof/>
            <w:color w:val="1F497D" w:themeColor="text2"/>
            <w:lang w:val="es-ES"/>
          </w:rPr>
          <w:t>14</w:t>
        </w:r>
        <w:r w:rsidRPr="007D4651">
          <w:rPr>
            <w:rFonts w:ascii="Times New Roman" w:hAnsi="Times New Roman" w:cs="Times New Roman"/>
            <w:b/>
            <w:color w:val="1F497D" w:themeColor="text2"/>
          </w:rPr>
          <w:fldChar w:fldCharType="end"/>
        </w:r>
        <w:r>
          <w:rPr>
            <w:lang w:val="es-ES"/>
          </w:rPr>
          <w:t xml:space="preserve"> </w:t>
        </w:r>
      </w:p>
    </w:sdtContent>
  </w:sdt>
  <w:p w14:paraId="0BC4EBCC" w14:textId="77777777" w:rsidR="00094C53" w:rsidRDefault="00094C53" w:rsidP="007D4651">
    <w:pPr>
      <w:pStyle w:val="Piedepgina"/>
      <w:tabs>
        <w:tab w:val="clear" w:pos="4419"/>
        <w:tab w:val="clear" w:pos="8838"/>
        <w:tab w:val="left" w:pos="5777"/>
      </w:tabs>
    </w:pPr>
  </w:p>
  <w:p w14:paraId="1C96A32A" w14:textId="77777777" w:rsidR="00094C53" w:rsidRDefault="00094C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E0803" w14:textId="77777777" w:rsidR="0069768C" w:rsidRDefault="0069768C" w:rsidP="007D4651">
      <w:pPr>
        <w:spacing w:after="0" w:line="240" w:lineRule="auto"/>
      </w:pPr>
      <w:r>
        <w:separator/>
      </w:r>
    </w:p>
  </w:footnote>
  <w:footnote w:type="continuationSeparator" w:id="0">
    <w:p w14:paraId="346F40FC" w14:textId="77777777" w:rsidR="0069768C" w:rsidRDefault="0069768C" w:rsidP="007D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45F82" w14:textId="77777777" w:rsidR="00094C53" w:rsidRPr="002E105E" w:rsidRDefault="00094C53"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40512" behindDoc="1" locked="1" layoutInCell="1" allowOverlap="1" wp14:anchorId="5BB7F705" wp14:editId="3B8C62D1">
          <wp:simplePos x="0" y="0"/>
          <wp:positionH relativeFrom="column">
            <wp:posOffset>-46990</wp:posOffset>
          </wp:positionH>
          <wp:positionV relativeFrom="page">
            <wp:posOffset>217805</wp:posOffset>
          </wp:positionV>
          <wp:extent cx="1282700" cy="1022985"/>
          <wp:effectExtent l="0" t="0" r="0" b="5715"/>
          <wp:wrapNone/>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0CE19" w14:textId="77777777" w:rsidR="00094C53" w:rsidRPr="002E105E" w:rsidRDefault="00094C53"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Octubre</w:t>
    </w:r>
    <w:r w:rsidRPr="002E105E">
      <w:rPr>
        <w:rFonts w:ascii="Times New Roman" w:hAnsi="Times New Roman" w:cs="Times New Roman"/>
        <w:color w:val="1F497D" w:themeColor="text2"/>
        <w:sz w:val="20"/>
        <w:lang w:val="es-MX"/>
      </w:rPr>
      <w:t xml:space="preserve"> 2021</w:t>
    </w:r>
  </w:p>
  <w:p w14:paraId="0DEF870D" w14:textId="77777777" w:rsidR="00094C53" w:rsidRDefault="00094C53" w:rsidP="00234F86">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39488" behindDoc="0" locked="0" layoutInCell="1" allowOverlap="1" wp14:anchorId="13B7CA43" wp14:editId="0CD73A1E">
              <wp:simplePos x="0" y="0"/>
              <wp:positionH relativeFrom="column">
                <wp:posOffset>1352514</wp:posOffset>
              </wp:positionH>
              <wp:positionV relativeFrom="paragraph">
                <wp:posOffset>12472</wp:posOffset>
              </wp:positionV>
              <wp:extent cx="4744528" cy="45719"/>
              <wp:effectExtent l="38100" t="38100" r="56515" b="88265"/>
              <wp:wrapNone/>
              <wp:docPr id="250"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C33CC" id="11 Rectángulo" o:spid="_x0000_s1026" style="position:absolute;margin-left:106.5pt;margin-top:1pt;width:373.6pt;height:3.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391CBBC4" w14:textId="77777777" w:rsidR="00094C53" w:rsidRPr="0073581B" w:rsidRDefault="00094C53"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14:paraId="1E5C10F7" w14:textId="77777777" w:rsidR="00094C53" w:rsidRPr="00E16925" w:rsidRDefault="00094C53" w:rsidP="00E16925">
    <w:pPr>
      <w:pStyle w:val="Encabezado"/>
      <w:rPr>
        <w:rFonts w:ascii="Times New Roman" w:hAnsi="Times New Roman" w:cs="Times New Roman"/>
        <w:lang w:val="es-MX"/>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EA8BA" w14:textId="77777777" w:rsidR="00094C53" w:rsidRPr="002E105E" w:rsidRDefault="00094C53"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24128" behindDoc="1" locked="1" layoutInCell="1" allowOverlap="1" wp14:anchorId="6B0BEBCF" wp14:editId="43625BA3">
          <wp:simplePos x="0" y="0"/>
          <wp:positionH relativeFrom="column">
            <wp:posOffset>-46990</wp:posOffset>
          </wp:positionH>
          <wp:positionV relativeFrom="page">
            <wp:posOffset>217805</wp:posOffset>
          </wp:positionV>
          <wp:extent cx="1282700" cy="1022985"/>
          <wp:effectExtent l="0" t="0" r="0" b="5715"/>
          <wp:wrapNone/>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ABAEAE" w14:textId="77777777" w:rsidR="00094C53" w:rsidRPr="002E105E" w:rsidRDefault="00094C53"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Octubre</w:t>
    </w:r>
    <w:r w:rsidRPr="002E105E">
      <w:rPr>
        <w:rFonts w:ascii="Times New Roman" w:hAnsi="Times New Roman" w:cs="Times New Roman"/>
        <w:color w:val="1F497D" w:themeColor="text2"/>
        <w:sz w:val="20"/>
        <w:lang w:val="es-MX"/>
      </w:rPr>
      <w:t xml:space="preserve"> 2021</w:t>
    </w:r>
  </w:p>
  <w:p w14:paraId="03590B27" w14:textId="77777777" w:rsidR="00094C53" w:rsidRDefault="00094C53" w:rsidP="00234F86">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23104" behindDoc="0" locked="0" layoutInCell="1" allowOverlap="1" wp14:anchorId="2F62445F" wp14:editId="67E5C747">
              <wp:simplePos x="0" y="0"/>
              <wp:positionH relativeFrom="column">
                <wp:posOffset>1352514</wp:posOffset>
              </wp:positionH>
              <wp:positionV relativeFrom="paragraph">
                <wp:posOffset>12472</wp:posOffset>
              </wp:positionV>
              <wp:extent cx="4744528" cy="45719"/>
              <wp:effectExtent l="38100" t="38100" r="56515" b="88265"/>
              <wp:wrapNone/>
              <wp:docPr id="35"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E2E6E" id="11 Rectángulo" o:spid="_x0000_s1026" style="position:absolute;margin-left:106.5pt;margin-top:1pt;width:373.6pt;height:3.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0A0D84A7" w14:textId="77777777" w:rsidR="00094C53" w:rsidRPr="0073581B" w:rsidRDefault="00094C53"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14:paraId="43A6B7F6" w14:textId="77777777" w:rsidR="00094C53" w:rsidRPr="00E16925" w:rsidRDefault="00094C53" w:rsidP="00E16925">
    <w:pPr>
      <w:pStyle w:val="Encabezado"/>
      <w:rPr>
        <w:rFonts w:ascii="Times New Roman" w:hAnsi="Times New Roman" w:cs="Times New Roman"/>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11D1" w14:textId="77777777" w:rsidR="00094C53" w:rsidRPr="002E105E" w:rsidRDefault="00094C53"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05696" behindDoc="1" locked="1" layoutInCell="1" allowOverlap="1" wp14:anchorId="322119DB" wp14:editId="3AE9A9D8">
          <wp:simplePos x="0" y="0"/>
          <wp:positionH relativeFrom="column">
            <wp:posOffset>-46990</wp:posOffset>
          </wp:positionH>
          <wp:positionV relativeFrom="page">
            <wp:posOffset>217805</wp:posOffset>
          </wp:positionV>
          <wp:extent cx="1282700" cy="1022985"/>
          <wp:effectExtent l="0" t="0" r="0" b="5715"/>
          <wp:wrapNone/>
          <wp:docPr id="2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CC4D60" w14:textId="77777777" w:rsidR="00094C53" w:rsidRPr="002E105E" w:rsidRDefault="00094C53"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Septiembre</w:t>
    </w:r>
    <w:r w:rsidRPr="002E105E">
      <w:rPr>
        <w:rFonts w:ascii="Times New Roman" w:hAnsi="Times New Roman" w:cs="Times New Roman"/>
        <w:color w:val="1F497D" w:themeColor="text2"/>
        <w:sz w:val="20"/>
        <w:lang w:val="es-MX"/>
      </w:rPr>
      <w:t xml:space="preserve"> 2021</w:t>
    </w:r>
  </w:p>
  <w:p w14:paraId="0EC13C89" w14:textId="77777777" w:rsidR="00094C53" w:rsidRDefault="00094C53" w:rsidP="00234F86">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04672" behindDoc="0" locked="0" layoutInCell="1" allowOverlap="1" wp14:anchorId="3125A1A8" wp14:editId="0BB769E0">
              <wp:simplePos x="0" y="0"/>
              <wp:positionH relativeFrom="column">
                <wp:posOffset>1352514</wp:posOffset>
              </wp:positionH>
              <wp:positionV relativeFrom="paragraph">
                <wp:posOffset>12472</wp:posOffset>
              </wp:positionV>
              <wp:extent cx="4744528" cy="45719"/>
              <wp:effectExtent l="38100" t="38100" r="56515" b="88265"/>
              <wp:wrapNone/>
              <wp:docPr id="18"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54779" id="11 Rectángulo" o:spid="_x0000_s1026" style="position:absolute;margin-left:106.5pt;margin-top:1pt;width:373.6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263C1363" w14:textId="77777777" w:rsidR="00094C53" w:rsidRPr="0073581B" w:rsidRDefault="00094C53"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14:paraId="69C0789B" w14:textId="77777777" w:rsidR="00094C53" w:rsidRPr="00E16925" w:rsidRDefault="00094C53" w:rsidP="00E16925">
    <w:pPr>
      <w:pStyle w:val="Encabezado"/>
      <w:rPr>
        <w:rFonts w:ascii="Times New Roman" w:hAnsi="Times New Roman" w:cs="Times New Roman"/>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882D2" w14:textId="77777777" w:rsidR="00094C53" w:rsidRPr="002E105E" w:rsidRDefault="00094C53"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773952" behindDoc="1" locked="1" layoutInCell="1" allowOverlap="1" wp14:anchorId="1C255099" wp14:editId="5E91C3B7">
          <wp:simplePos x="0" y="0"/>
          <wp:positionH relativeFrom="column">
            <wp:posOffset>-46990</wp:posOffset>
          </wp:positionH>
          <wp:positionV relativeFrom="page">
            <wp:posOffset>217805</wp:posOffset>
          </wp:positionV>
          <wp:extent cx="1282700" cy="1022985"/>
          <wp:effectExtent l="0" t="0" r="0" b="5715"/>
          <wp:wrapNone/>
          <wp:docPr id="2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FA693" w14:textId="77777777" w:rsidR="00094C53" w:rsidRPr="002E105E" w:rsidRDefault="00094C53"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Octubre</w:t>
    </w:r>
    <w:r w:rsidRPr="002E105E">
      <w:rPr>
        <w:rFonts w:ascii="Times New Roman" w:hAnsi="Times New Roman" w:cs="Times New Roman"/>
        <w:color w:val="1F497D" w:themeColor="text2"/>
        <w:sz w:val="20"/>
        <w:lang w:val="es-MX"/>
      </w:rPr>
      <w:t xml:space="preserve"> 2021</w:t>
    </w:r>
  </w:p>
  <w:p w14:paraId="1D565203" w14:textId="77777777" w:rsidR="00094C53" w:rsidRDefault="00094C53" w:rsidP="002E105E">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71904" behindDoc="0" locked="0" layoutInCell="1" allowOverlap="1" wp14:anchorId="190E1DEC" wp14:editId="4D9EA36D">
              <wp:simplePos x="0" y="0"/>
              <wp:positionH relativeFrom="column">
                <wp:posOffset>1352514</wp:posOffset>
              </wp:positionH>
              <wp:positionV relativeFrom="paragraph">
                <wp:posOffset>12472</wp:posOffset>
              </wp:positionV>
              <wp:extent cx="4744528" cy="45719"/>
              <wp:effectExtent l="38100" t="38100" r="56515" b="88265"/>
              <wp:wrapNone/>
              <wp:docPr id="17"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7EF83" id="11 Rectángulo" o:spid="_x0000_s1026" style="position:absolute;margin-left:106.5pt;margin-top:1pt;width:373.6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1394F344" w14:textId="77777777" w:rsidR="00094C53" w:rsidRPr="0073581B" w:rsidRDefault="00094C53"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14:paraId="544537B1" w14:textId="77777777" w:rsidR="00094C53" w:rsidRPr="00E16925" w:rsidRDefault="00094C53" w:rsidP="00E16925">
    <w:pPr>
      <w:pStyle w:val="Encabezado"/>
      <w:rPr>
        <w:rFonts w:ascii="Times New Roman" w:hAnsi="Times New Roman" w:cs="Times New Roman"/>
        <w:lang w:val="es-MX"/>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004D0" w14:textId="77777777" w:rsidR="00094C53" w:rsidRPr="002E105E" w:rsidRDefault="00094C53" w:rsidP="002E105E">
    <w:pPr>
      <w:pStyle w:val="Encabezado"/>
      <w:jc w:val="center"/>
      <w:rPr>
        <w:rFonts w:ascii="Times New Roman" w:hAnsi="Times New Roman" w:cs="Times New Roman"/>
        <w:b/>
        <w:color w:val="1F497D" w:themeColor="text2"/>
        <w:lang w:val="es-MX"/>
      </w:rPr>
    </w:pPr>
    <w:r w:rsidRPr="002E105E">
      <w:rPr>
        <w:noProof/>
        <w:sz w:val="20"/>
        <w:lang w:eastAsia="es-GT"/>
      </w:rPr>
      <w:drawing>
        <wp:anchor distT="0" distB="0" distL="114300" distR="114300" simplePos="0" relativeHeight="251835392" behindDoc="0" locked="0" layoutInCell="1" allowOverlap="1" wp14:anchorId="7AECF798" wp14:editId="6FE3693E">
          <wp:simplePos x="0" y="0"/>
          <wp:positionH relativeFrom="column">
            <wp:posOffset>-548640</wp:posOffset>
          </wp:positionH>
          <wp:positionV relativeFrom="paragraph">
            <wp:posOffset>-8587</wp:posOffset>
          </wp:positionV>
          <wp:extent cx="1598212" cy="723976"/>
          <wp:effectExtent l="0" t="0" r="2540" b="0"/>
          <wp:wrapNone/>
          <wp:docPr id="33" name="Imagen 33"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36416" behindDoc="1" locked="1" layoutInCell="1" allowOverlap="1" wp14:anchorId="02496670" wp14:editId="54EB945A">
          <wp:simplePos x="0" y="0"/>
          <wp:positionH relativeFrom="column">
            <wp:posOffset>5207000</wp:posOffset>
          </wp:positionH>
          <wp:positionV relativeFrom="page">
            <wp:posOffset>166370</wp:posOffset>
          </wp:positionV>
          <wp:extent cx="1282700" cy="1022985"/>
          <wp:effectExtent l="0" t="0" r="0" b="5715"/>
          <wp:wrapNone/>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357FEC" w14:textId="77777777" w:rsidR="00094C53" w:rsidRPr="002E105E" w:rsidRDefault="00094C53" w:rsidP="002E105E">
    <w:pPr>
      <w:pStyle w:val="Encabezado"/>
      <w:jc w:val="center"/>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Mayo</w:t>
    </w:r>
    <w:r w:rsidRPr="002E105E">
      <w:rPr>
        <w:rFonts w:ascii="Times New Roman" w:hAnsi="Times New Roman" w:cs="Times New Roman"/>
        <w:color w:val="1F497D" w:themeColor="text2"/>
        <w:sz w:val="20"/>
        <w:lang w:val="es-MX"/>
      </w:rPr>
      <w:t xml:space="preserve"> 2021</w:t>
    </w:r>
  </w:p>
  <w:p w14:paraId="32794AD7" w14:textId="77777777" w:rsidR="00094C53" w:rsidRDefault="00094C53" w:rsidP="002E105E">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34368" behindDoc="0" locked="0" layoutInCell="1" allowOverlap="1" wp14:anchorId="6CA72D57" wp14:editId="648361FB">
              <wp:simplePos x="0" y="0"/>
              <wp:positionH relativeFrom="column">
                <wp:posOffset>1214617</wp:posOffset>
              </wp:positionH>
              <wp:positionV relativeFrom="paragraph">
                <wp:posOffset>14357</wp:posOffset>
              </wp:positionV>
              <wp:extent cx="3991555" cy="45719"/>
              <wp:effectExtent l="38100" t="38100" r="66675" b="88265"/>
              <wp:wrapNone/>
              <wp:docPr id="254" name="11 Rectángulo"/>
              <wp:cNvGraphicFramePr/>
              <a:graphic xmlns:a="http://schemas.openxmlformats.org/drawingml/2006/main">
                <a:graphicData uri="http://schemas.microsoft.com/office/word/2010/wordprocessingShape">
                  <wps:wsp>
                    <wps:cNvSpPr/>
                    <wps:spPr>
                      <a:xfrm>
                        <a:off x="0" y="0"/>
                        <a:ext cx="399155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2775B" id="11 Rectángulo" o:spid="_x0000_s1026" style="position:absolute;margin-left:95.65pt;margin-top:1.15pt;width:314.3pt;height:3.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7238E63B" w14:textId="77777777" w:rsidR="00094C53" w:rsidRPr="0073581B" w:rsidRDefault="00094C53"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14:paraId="0BE55442" w14:textId="77777777" w:rsidR="00094C53" w:rsidRPr="00E16925" w:rsidRDefault="00094C53" w:rsidP="00E16925">
    <w:pPr>
      <w:pStyle w:val="Encabezado"/>
      <w:rPr>
        <w:rFonts w:ascii="Times New Roman" w:hAnsi="Times New Roman" w:cs="Times New Roman"/>
        <w:lang w:val="es-MX"/>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E9377" w14:textId="77777777" w:rsidR="00094C53" w:rsidRPr="002E105E" w:rsidRDefault="00094C53" w:rsidP="002E105E">
    <w:pPr>
      <w:pStyle w:val="Encabezado"/>
      <w:jc w:val="center"/>
      <w:rPr>
        <w:rFonts w:ascii="Times New Roman" w:hAnsi="Times New Roman" w:cs="Times New Roman"/>
        <w:b/>
        <w:color w:val="1F497D" w:themeColor="text2"/>
        <w:lang w:val="es-MX"/>
      </w:rPr>
    </w:pPr>
    <w:r w:rsidRPr="002E105E">
      <w:rPr>
        <w:noProof/>
        <w:sz w:val="20"/>
        <w:lang w:eastAsia="es-GT"/>
      </w:rPr>
      <w:drawing>
        <wp:anchor distT="0" distB="0" distL="114300" distR="114300" simplePos="0" relativeHeight="251777024" behindDoc="0" locked="0" layoutInCell="1" allowOverlap="1" wp14:anchorId="72456F69" wp14:editId="6CD001A2">
          <wp:simplePos x="0" y="0"/>
          <wp:positionH relativeFrom="column">
            <wp:posOffset>-548640</wp:posOffset>
          </wp:positionH>
          <wp:positionV relativeFrom="paragraph">
            <wp:posOffset>-8587</wp:posOffset>
          </wp:positionV>
          <wp:extent cx="1598212" cy="723976"/>
          <wp:effectExtent l="0" t="0" r="2540" b="0"/>
          <wp:wrapNone/>
          <wp:docPr id="242" name="Imagen 242"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778048" behindDoc="1" locked="1" layoutInCell="1" allowOverlap="1" wp14:anchorId="02DB92AD" wp14:editId="3C969CD6">
          <wp:simplePos x="0" y="0"/>
          <wp:positionH relativeFrom="column">
            <wp:posOffset>5207000</wp:posOffset>
          </wp:positionH>
          <wp:positionV relativeFrom="page">
            <wp:posOffset>166370</wp:posOffset>
          </wp:positionV>
          <wp:extent cx="1282700" cy="1022985"/>
          <wp:effectExtent l="0" t="0" r="0" b="5715"/>
          <wp:wrapNone/>
          <wp:docPr id="2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5C2548" w14:textId="77777777" w:rsidR="00094C53" w:rsidRPr="002E105E" w:rsidRDefault="00094C53" w:rsidP="002E105E">
    <w:pPr>
      <w:pStyle w:val="Encabezado"/>
      <w:jc w:val="center"/>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Mayo</w:t>
    </w:r>
    <w:r w:rsidRPr="002E105E">
      <w:rPr>
        <w:rFonts w:ascii="Times New Roman" w:hAnsi="Times New Roman" w:cs="Times New Roman"/>
        <w:color w:val="1F497D" w:themeColor="text2"/>
        <w:sz w:val="20"/>
        <w:lang w:val="es-MX"/>
      </w:rPr>
      <w:t xml:space="preserve"> 2021</w:t>
    </w:r>
  </w:p>
  <w:p w14:paraId="150F07F6" w14:textId="77777777" w:rsidR="00094C53" w:rsidRDefault="00094C53" w:rsidP="002E105E">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76000" behindDoc="0" locked="0" layoutInCell="1" allowOverlap="1" wp14:anchorId="790B9B1A" wp14:editId="4D4A31BA">
              <wp:simplePos x="0" y="0"/>
              <wp:positionH relativeFrom="column">
                <wp:posOffset>1214617</wp:posOffset>
              </wp:positionH>
              <wp:positionV relativeFrom="paragraph">
                <wp:posOffset>14357</wp:posOffset>
              </wp:positionV>
              <wp:extent cx="3991555" cy="45719"/>
              <wp:effectExtent l="38100" t="38100" r="66675" b="88265"/>
              <wp:wrapNone/>
              <wp:docPr id="236" name="11 Rectángulo"/>
              <wp:cNvGraphicFramePr/>
              <a:graphic xmlns:a="http://schemas.openxmlformats.org/drawingml/2006/main">
                <a:graphicData uri="http://schemas.microsoft.com/office/word/2010/wordprocessingShape">
                  <wps:wsp>
                    <wps:cNvSpPr/>
                    <wps:spPr>
                      <a:xfrm>
                        <a:off x="0" y="0"/>
                        <a:ext cx="399155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E741E" id="11 Rectángulo" o:spid="_x0000_s1026" style="position:absolute;margin-left:95.65pt;margin-top:1.15pt;width:314.3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7CB122CF" w14:textId="77777777" w:rsidR="00094C53" w:rsidRPr="0073581B" w:rsidRDefault="00094C53"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14:paraId="3291531D" w14:textId="77777777" w:rsidR="00094C53" w:rsidRPr="00E16925" w:rsidRDefault="00094C53" w:rsidP="00E16925">
    <w:pPr>
      <w:pStyle w:val="Encabezado"/>
      <w:rPr>
        <w:rFonts w:ascii="Times New Roman" w:hAnsi="Times New Roman" w:cs="Times New Roman"/>
        <w:lang w:val="es-MX"/>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88C2C" w14:textId="77777777" w:rsidR="00094C53" w:rsidRPr="002E105E" w:rsidRDefault="00094C53"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08768" behindDoc="1" locked="1" layoutInCell="1" allowOverlap="1" wp14:anchorId="7DF3BAEE" wp14:editId="0A5744D6">
          <wp:simplePos x="0" y="0"/>
          <wp:positionH relativeFrom="column">
            <wp:posOffset>-46990</wp:posOffset>
          </wp:positionH>
          <wp:positionV relativeFrom="page">
            <wp:posOffset>217805</wp:posOffset>
          </wp:positionV>
          <wp:extent cx="1282700" cy="1022985"/>
          <wp:effectExtent l="0" t="0" r="0" b="5715"/>
          <wp:wrapNone/>
          <wp:docPr id="2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464A13" w14:textId="77777777" w:rsidR="00094C53" w:rsidRPr="002E105E" w:rsidRDefault="00094C53"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Octubre</w:t>
    </w:r>
    <w:r w:rsidRPr="002E105E">
      <w:rPr>
        <w:rFonts w:ascii="Times New Roman" w:hAnsi="Times New Roman" w:cs="Times New Roman"/>
        <w:color w:val="1F497D" w:themeColor="text2"/>
        <w:sz w:val="20"/>
        <w:lang w:val="es-MX"/>
      </w:rPr>
      <w:t xml:space="preserve"> 2021</w:t>
    </w:r>
  </w:p>
  <w:p w14:paraId="6B94AFCA" w14:textId="77777777" w:rsidR="00094C53" w:rsidRDefault="00094C53" w:rsidP="00234F86">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07744" behindDoc="0" locked="0" layoutInCell="1" allowOverlap="1" wp14:anchorId="50F86955" wp14:editId="64EDC66E">
              <wp:simplePos x="0" y="0"/>
              <wp:positionH relativeFrom="column">
                <wp:posOffset>1352514</wp:posOffset>
              </wp:positionH>
              <wp:positionV relativeFrom="paragraph">
                <wp:posOffset>12472</wp:posOffset>
              </wp:positionV>
              <wp:extent cx="4744528" cy="45719"/>
              <wp:effectExtent l="38100" t="38100" r="56515" b="88265"/>
              <wp:wrapNone/>
              <wp:docPr id="24"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E9D67" id="11 Rectángulo" o:spid="_x0000_s1026" style="position:absolute;margin-left:106.5pt;margin-top:1pt;width:373.6pt;height: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4228C002" w14:textId="77777777" w:rsidR="00094C53" w:rsidRPr="0073581B" w:rsidRDefault="00094C53"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14:paraId="305AEEA9" w14:textId="77777777" w:rsidR="00094C53" w:rsidRPr="00E16925" w:rsidRDefault="00094C53" w:rsidP="00E16925">
    <w:pPr>
      <w:pStyle w:val="Encabezado"/>
      <w:rPr>
        <w:rFonts w:ascii="Times New Roman" w:hAnsi="Times New Roman" w:cs="Times New Roman"/>
        <w:lang w:val="es-MX"/>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CEFA8" w14:textId="77777777" w:rsidR="00094C53" w:rsidRPr="002E105E" w:rsidRDefault="00094C53"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11840" behindDoc="1" locked="1" layoutInCell="1" allowOverlap="1" wp14:anchorId="39C27331" wp14:editId="73C9E5AE">
          <wp:simplePos x="0" y="0"/>
          <wp:positionH relativeFrom="column">
            <wp:posOffset>-46990</wp:posOffset>
          </wp:positionH>
          <wp:positionV relativeFrom="page">
            <wp:posOffset>217805</wp:posOffset>
          </wp:positionV>
          <wp:extent cx="1282700" cy="1022985"/>
          <wp:effectExtent l="0" t="0" r="0" b="5715"/>
          <wp:wrapNone/>
          <wp:docPr id="2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62C5B4" w14:textId="77777777" w:rsidR="00094C53" w:rsidRPr="002E105E" w:rsidRDefault="00094C53"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Octubre</w:t>
    </w:r>
    <w:r w:rsidRPr="002E105E">
      <w:rPr>
        <w:rFonts w:ascii="Times New Roman" w:hAnsi="Times New Roman" w:cs="Times New Roman"/>
        <w:color w:val="1F497D" w:themeColor="text2"/>
        <w:sz w:val="20"/>
        <w:lang w:val="es-MX"/>
      </w:rPr>
      <w:t xml:space="preserve"> 2021</w:t>
    </w:r>
  </w:p>
  <w:p w14:paraId="1847787E" w14:textId="77777777" w:rsidR="00094C53" w:rsidRDefault="00094C53" w:rsidP="00234F86">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10816" behindDoc="0" locked="0" layoutInCell="1" allowOverlap="1" wp14:anchorId="237D3DF9" wp14:editId="16BF3361">
              <wp:simplePos x="0" y="0"/>
              <wp:positionH relativeFrom="column">
                <wp:posOffset>1352514</wp:posOffset>
              </wp:positionH>
              <wp:positionV relativeFrom="paragraph">
                <wp:posOffset>12472</wp:posOffset>
              </wp:positionV>
              <wp:extent cx="4744528" cy="45719"/>
              <wp:effectExtent l="38100" t="38100" r="56515" b="88265"/>
              <wp:wrapNone/>
              <wp:docPr id="27"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A4B6E" id="11 Rectángulo" o:spid="_x0000_s1026" style="position:absolute;margin-left:106.5pt;margin-top:1pt;width:373.6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08E62E27" w14:textId="77777777" w:rsidR="00094C53" w:rsidRPr="0073581B" w:rsidRDefault="00094C53"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14:paraId="01854060" w14:textId="77777777" w:rsidR="00094C53" w:rsidRPr="00E16925" w:rsidRDefault="00094C53" w:rsidP="00E16925">
    <w:pPr>
      <w:pStyle w:val="Encabezado"/>
      <w:rPr>
        <w:rFonts w:ascii="Times New Roman" w:hAnsi="Times New Roman" w:cs="Times New Roman"/>
        <w:lang w:val="es-MX"/>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2424D" w14:textId="77777777" w:rsidR="00094C53" w:rsidRPr="002E105E" w:rsidRDefault="00094C53"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14912" behindDoc="1" locked="1" layoutInCell="1" allowOverlap="1" wp14:anchorId="7BA3C5B4" wp14:editId="54E4808D">
          <wp:simplePos x="0" y="0"/>
          <wp:positionH relativeFrom="column">
            <wp:posOffset>-46990</wp:posOffset>
          </wp:positionH>
          <wp:positionV relativeFrom="page">
            <wp:posOffset>217805</wp:posOffset>
          </wp:positionV>
          <wp:extent cx="1282700" cy="1022985"/>
          <wp:effectExtent l="0" t="0" r="0" b="5715"/>
          <wp:wrapNone/>
          <wp:docPr id="2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E63DD0" w14:textId="77777777" w:rsidR="00094C53" w:rsidRPr="002E105E" w:rsidRDefault="00094C53"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Octubre</w:t>
    </w:r>
    <w:r w:rsidRPr="002E105E">
      <w:rPr>
        <w:rFonts w:ascii="Times New Roman" w:hAnsi="Times New Roman" w:cs="Times New Roman"/>
        <w:color w:val="1F497D" w:themeColor="text2"/>
        <w:sz w:val="20"/>
        <w:lang w:val="es-MX"/>
      </w:rPr>
      <w:t xml:space="preserve"> 2021</w:t>
    </w:r>
  </w:p>
  <w:p w14:paraId="61DE5D74" w14:textId="77777777" w:rsidR="00094C53" w:rsidRDefault="00094C53" w:rsidP="00234F86">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13888" behindDoc="0" locked="0" layoutInCell="1" allowOverlap="1" wp14:anchorId="5D248C4B" wp14:editId="5E2708BD">
              <wp:simplePos x="0" y="0"/>
              <wp:positionH relativeFrom="column">
                <wp:posOffset>1352514</wp:posOffset>
              </wp:positionH>
              <wp:positionV relativeFrom="paragraph">
                <wp:posOffset>12472</wp:posOffset>
              </wp:positionV>
              <wp:extent cx="4744528" cy="45719"/>
              <wp:effectExtent l="38100" t="38100" r="56515" b="88265"/>
              <wp:wrapNone/>
              <wp:docPr id="29"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CA931" id="11 Rectángulo" o:spid="_x0000_s1026" style="position:absolute;margin-left:106.5pt;margin-top:1pt;width:373.6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2AB425F3" w14:textId="77777777" w:rsidR="00094C53" w:rsidRPr="0073581B" w:rsidRDefault="00094C53"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14:paraId="5C20A9F3" w14:textId="77777777" w:rsidR="00094C53" w:rsidRPr="007452E2" w:rsidRDefault="00094C53" w:rsidP="00E16925">
    <w:pPr>
      <w:pStyle w:val="Encabezado"/>
      <w:rPr>
        <w:rFonts w:ascii="Times New Roman" w:hAnsi="Times New Roman" w:cs="Times New Roman"/>
        <w:lang w:val="es-MX"/>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2DCD1" w14:textId="77777777" w:rsidR="00C56022" w:rsidRPr="002E105E" w:rsidRDefault="00C56022" w:rsidP="00C56022">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51776" behindDoc="1" locked="1" layoutInCell="1" allowOverlap="1" wp14:anchorId="3721B5A1" wp14:editId="2341BF4D">
          <wp:simplePos x="0" y="0"/>
          <wp:positionH relativeFrom="column">
            <wp:posOffset>-46990</wp:posOffset>
          </wp:positionH>
          <wp:positionV relativeFrom="page">
            <wp:posOffset>217805</wp:posOffset>
          </wp:positionV>
          <wp:extent cx="1282700" cy="1022985"/>
          <wp:effectExtent l="0" t="0" r="0" b="5715"/>
          <wp:wrapNone/>
          <wp:docPr id="2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E403B" w14:textId="77777777" w:rsidR="00C56022" w:rsidRPr="002E105E" w:rsidRDefault="00C56022" w:rsidP="00C56022">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Octubre</w:t>
    </w:r>
    <w:r w:rsidRPr="002E105E">
      <w:rPr>
        <w:rFonts w:ascii="Times New Roman" w:hAnsi="Times New Roman" w:cs="Times New Roman"/>
        <w:color w:val="1F497D" w:themeColor="text2"/>
        <w:sz w:val="20"/>
        <w:lang w:val="es-MX"/>
      </w:rPr>
      <w:t xml:space="preserve"> 2021</w:t>
    </w:r>
  </w:p>
  <w:p w14:paraId="6DB2C609" w14:textId="77777777" w:rsidR="00C56022" w:rsidRDefault="00C56022" w:rsidP="00C56022">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50752" behindDoc="0" locked="0" layoutInCell="1" allowOverlap="1" wp14:anchorId="2C54B056" wp14:editId="47FD9208">
              <wp:simplePos x="0" y="0"/>
              <wp:positionH relativeFrom="column">
                <wp:posOffset>1352514</wp:posOffset>
              </wp:positionH>
              <wp:positionV relativeFrom="paragraph">
                <wp:posOffset>12472</wp:posOffset>
              </wp:positionV>
              <wp:extent cx="4744528" cy="45719"/>
              <wp:effectExtent l="38100" t="38100" r="56515" b="88265"/>
              <wp:wrapNone/>
              <wp:docPr id="258"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A6F42" id="11 Rectángulo" o:spid="_x0000_s1026" style="position:absolute;margin-left:106.5pt;margin-top:1pt;width:373.6pt;height:3.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7E6446B8" w14:textId="77777777" w:rsidR="00C56022" w:rsidRPr="0073581B" w:rsidRDefault="00C56022" w:rsidP="00C56022">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14:paraId="67F9FFFF" w14:textId="77777777" w:rsidR="00094C53" w:rsidRPr="00E16925" w:rsidRDefault="00094C53" w:rsidP="00E16925">
    <w:pPr>
      <w:pStyle w:val="Encabezado"/>
      <w:rPr>
        <w:rFonts w:ascii="Times New Roman" w:hAnsi="Times New Roman" w:cs="Times New Roman"/>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2341B"/>
    <w:multiLevelType w:val="hybridMultilevel"/>
    <w:tmpl w:val="7614440A"/>
    <w:lvl w:ilvl="0" w:tplc="B25265AA">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9E5567E"/>
    <w:multiLevelType w:val="hybridMultilevel"/>
    <w:tmpl w:val="668C7A32"/>
    <w:lvl w:ilvl="0" w:tplc="3E663D0C">
      <w:start w:val="1"/>
      <w:numFmt w:val="lowerLetter"/>
      <w:lvlText w:val="%1)"/>
      <w:lvlJc w:val="left"/>
      <w:pPr>
        <w:ind w:left="720" w:hanging="360"/>
      </w:pPr>
      <w:rPr>
        <w:rFonts w:ascii="Times New Roman" w:eastAsiaTheme="minorHAnsi" w:hAnsi="Times New Roman" w:cs="Times New Roman"/>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E370CD0"/>
    <w:multiLevelType w:val="hybridMultilevel"/>
    <w:tmpl w:val="6AFCB7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15:restartNumberingAfterBreak="0">
    <w:nsid w:val="284F18C2"/>
    <w:multiLevelType w:val="hybridMultilevel"/>
    <w:tmpl w:val="60180018"/>
    <w:lvl w:ilvl="0" w:tplc="8DF2F090">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2DA43097"/>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2E3D271E"/>
    <w:multiLevelType w:val="hybridMultilevel"/>
    <w:tmpl w:val="C66CBD6C"/>
    <w:lvl w:ilvl="0" w:tplc="7A684F14">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32216C57"/>
    <w:multiLevelType w:val="hybridMultilevel"/>
    <w:tmpl w:val="4C9095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2FF1852"/>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34920911"/>
    <w:multiLevelType w:val="hybridMultilevel"/>
    <w:tmpl w:val="1104419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7515E66"/>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3AF330C7"/>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3FF856EE"/>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 w15:restartNumberingAfterBreak="0">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69506CB3"/>
    <w:multiLevelType w:val="hybridMultilevel"/>
    <w:tmpl w:val="E098E3D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6DAE7A0A"/>
    <w:multiLevelType w:val="hybridMultilevel"/>
    <w:tmpl w:val="F59ACDD0"/>
    <w:lvl w:ilvl="0" w:tplc="527E0502">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7BFA7B7A"/>
    <w:multiLevelType w:val="hybridMultilevel"/>
    <w:tmpl w:val="83745F2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9"/>
  </w:num>
  <w:num w:numId="4">
    <w:abstractNumId w:val="2"/>
  </w:num>
  <w:num w:numId="5">
    <w:abstractNumId w:val="18"/>
  </w:num>
  <w:num w:numId="6">
    <w:abstractNumId w:val="23"/>
  </w:num>
  <w:num w:numId="7">
    <w:abstractNumId w:val="21"/>
  </w:num>
  <w:num w:numId="8">
    <w:abstractNumId w:val="4"/>
  </w:num>
  <w:num w:numId="9">
    <w:abstractNumId w:val="12"/>
  </w:num>
  <w:num w:numId="10">
    <w:abstractNumId w:val="7"/>
  </w:num>
  <w:num w:numId="11">
    <w:abstractNumId w:val="10"/>
  </w:num>
  <w:num w:numId="12">
    <w:abstractNumId w:val="8"/>
  </w:num>
  <w:num w:numId="13">
    <w:abstractNumId w:val="0"/>
  </w:num>
  <w:num w:numId="14">
    <w:abstractNumId w:val="3"/>
  </w:num>
  <w:num w:numId="15">
    <w:abstractNumId w:val="6"/>
  </w:num>
  <w:num w:numId="16">
    <w:abstractNumId w:val="20"/>
  </w:num>
  <w:num w:numId="17">
    <w:abstractNumId w:val="13"/>
  </w:num>
  <w:num w:numId="18">
    <w:abstractNumId w:val="19"/>
  </w:num>
  <w:num w:numId="19">
    <w:abstractNumId w:val="14"/>
  </w:num>
  <w:num w:numId="20">
    <w:abstractNumId w:val="15"/>
  </w:num>
  <w:num w:numId="21">
    <w:abstractNumId w:val="16"/>
  </w:num>
  <w:num w:numId="22">
    <w:abstractNumId w:val="11"/>
  </w:num>
  <w:num w:numId="23">
    <w:abstractNumId w:val="1"/>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651"/>
    <w:rsid w:val="0000354D"/>
    <w:rsid w:val="000053A7"/>
    <w:rsid w:val="00006489"/>
    <w:rsid w:val="000064C3"/>
    <w:rsid w:val="000067B1"/>
    <w:rsid w:val="00010575"/>
    <w:rsid w:val="00011BF4"/>
    <w:rsid w:val="00013A7F"/>
    <w:rsid w:val="00013C63"/>
    <w:rsid w:val="0001606E"/>
    <w:rsid w:val="0001624A"/>
    <w:rsid w:val="00020E23"/>
    <w:rsid w:val="00022E98"/>
    <w:rsid w:val="00025121"/>
    <w:rsid w:val="00025788"/>
    <w:rsid w:val="00025D1E"/>
    <w:rsid w:val="0002628B"/>
    <w:rsid w:val="0002658D"/>
    <w:rsid w:val="00035835"/>
    <w:rsid w:val="000378CF"/>
    <w:rsid w:val="00040C99"/>
    <w:rsid w:val="00042B27"/>
    <w:rsid w:val="00045D14"/>
    <w:rsid w:val="0004709F"/>
    <w:rsid w:val="00051776"/>
    <w:rsid w:val="00051A92"/>
    <w:rsid w:val="000530BD"/>
    <w:rsid w:val="00053517"/>
    <w:rsid w:val="0006261A"/>
    <w:rsid w:val="00063120"/>
    <w:rsid w:val="0006646A"/>
    <w:rsid w:val="00067F82"/>
    <w:rsid w:val="000704F4"/>
    <w:rsid w:val="000723B2"/>
    <w:rsid w:val="00072EEB"/>
    <w:rsid w:val="00073F2F"/>
    <w:rsid w:val="00074BC6"/>
    <w:rsid w:val="00076AB4"/>
    <w:rsid w:val="00076AD2"/>
    <w:rsid w:val="00076BF9"/>
    <w:rsid w:val="000802A8"/>
    <w:rsid w:val="00080B88"/>
    <w:rsid w:val="00080BD8"/>
    <w:rsid w:val="000812E3"/>
    <w:rsid w:val="0008320B"/>
    <w:rsid w:val="0008348D"/>
    <w:rsid w:val="00084499"/>
    <w:rsid w:val="00087ADE"/>
    <w:rsid w:val="00091917"/>
    <w:rsid w:val="00094C53"/>
    <w:rsid w:val="000A0A4F"/>
    <w:rsid w:val="000A6E8E"/>
    <w:rsid w:val="000B0279"/>
    <w:rsid w:val="000B20DC"/>
    <w:rsid w:val="000B568D"/>
    <w:rsid w:val="000B56CE"/>
    <w:rsid w:val="000B6744"/>
    <w:rsid w:val="000C1547"/>
    <w:rsid w:val="000C1FF2"/>
    <w:rsid w:val="000C21E1"/>
    <w:rsid w:val="000C2C25"/>
    <w:rsid w:val="000C4EC0"/>
    <w:rsid w:val="000C65AB"/>
    <w:rsid w:val="000D016D"/>
    <w:rsid w:val="000D2E0C"/>
    <w:rsid w:val="000D2FA4"/>
    <w:rsid w:val="000D489E"/>
    <w:rsid w:val="000D7057"/>
    <w:rsid w:val="000E164F"/>
    <w:rsid w:val="000E43A8"/>
    <w:rsid w:val="000E4859"/>
    <w:rsid w:val="000E5E43"/>
    <w:rsid w:val="000F1314"/>
    <w:rsid w:val="000F3B7F"/>
    <w:rsid w:val="000F4520"/>
    <w:rsid w:val="000F509C"/>
    <w:rsid w:val="000F5A9A"/>
    <w:rsid w:val="000F5F87"/>
    <w:rsid w:val="000F6E9F"/>
    <w:rsid w:val="000F7F65"/>
    <w:rsid w:val="00102939"/>
    <w:rsid w:val="00103705"/>
    <w:rsid w:val="00103DA9"/>
    <w:rsid w:val="001045CE"/>
    <w:rsid w:val="00106793"/>
    <w:rsid w:val="00107309"/>
    <w:rsid w:val="00107D10"/>
    <w:rsid w:val="00110662"/>
    <w:rsid w:val="0011194C"/>
    <w:rsid w:val="00111B77"/>
    <w:rsid w:val="001178B6"/>
    <w:rsid w:val="00120C4D"/>
    <w:rsid w:val="001259BA"/>
    <w:rsid w:val="0012792C"/>
    <w:rsid w:val="0013022C"/>
    <w:rsid w:val="001339A4"/>
    <w:rsid w:val="00133DBA"/>
    <w:rsid w:val="0013436D"/>
    <w:rsid w:val="001353D2"/>
    <w:rsid w:val="00136989"/>
    <w:rsid w:val="00136D08"/>
    <w:rsid w:val="0014167F"/>
    <w:rsid w:val="00142BF3"/>
    <w:rsid w:val="00142F1A"/>
    <w:rsid w:val="00143620"/>
    <w:rsid w:val="00145313"/>
    <w:rsid w:val="001463FC"/>
    <w:rsid w:val="00150585"/>
    <w:rsid w:val="00152798"/>
    <w:rsid w:val="001549AB"/>
    <w:rsid w:val="00155A02"/>
    <w:rsid w:val="00156534"/>
    <w:rsid w:val="00156DE0"/>
    <w:rsid w:val="00157402"/>
    <w:rsid w:val="00157C3A"/>
    <w:rsid w:val="00160EAC"/>
    <w:rsid w:val="00163944"/>
    <w:rsid w:val="00171909"/>
    <w:rsid w:val="001735EE"/>
    <w:rsid w:val="001741D8"/>
    <w:rsid w:val="0017454D"/>
    <w:rsid w:val="00180819"/>
    <w:rsid w:val="00182730"/>
    <w:rsid w:val="00183252"/>
    <w:rsid w:val="00183309"/>
    <w:rsid w:val="00185253"/>
    <w:rsid w:val="00186D6D"/>
    <w:rsid w:val="001913A4"/>
    <w:rsid w:val="00196A44"/>
    <w:rsid w:val="001A0C82"/>
    <w:rsid w:val="001A27B3"/>
    <w:rsid w:val="001A3185"/>
    <w:rsid w:val="001A6038"/>
    <w:rsid w:val="001A790A"/>
    <w:rsid w:val="001A79F4"/>
    <w:rsid w:val="001A7B1C"/>
    <w:rsid w:val="001B1DBB"/>
    <w:rsid w:val="001B3984"/>
    <w:rsid w:val="001B3EEE"/>
    <w:rsid w:val="001B3FB0"/>
    <w:rsid w:val="001B4A4C"/>
    <w:rsid w:val="001B5046"/>
    <w:rsid w:val="001C2FF5"/>
    <w:rsid w:val="001C3649"/>
    <w:rsid w:val="001C67EF"/>
    <w:rsid w:val="001C7451"/>
    <w:rsid w:val="001D0065"/>
    <w:rsid w:val="001D01CB"/>
    <w:rsid w:val="001D1406"/>
    <w:rsid w:val="001D3345"/>
    <w:rsid w:val="001D46C3"/>
    <w:rsid w:val="001D4C8E"/>
    <w:rsid w:val="001D5A5B"/>
    <w:rsid w:val="001E05BE"/>
    <w:rsid w:val="001E0E10"/>
    <w:rsid w:val="001E0F86"/>
    <w:rsid w:val="001E3B99"/>
    <w:rsid w:val="001E4CD2"/>
    <w:rsid w:val="001E61BB"/>
    <w:rsid w:val="001F1609"/>
    <w:rsid w:val="001F2EA3"/>
    <w:rsid w:val="001F34AD"/>
    <w:rsid w:val="001F4EE1"/>
    <w:rsid w:val="001F4F78"/>
    <w:rsid w:val="001F5240"/>
    <w:rsid w:val="001F5581"/>
    <w:rsid w:val="001F7141"/>
    <w:rsid w:val="00200FB1"/>
    <w:rsid w:val="00202594"/>
    <w:rsid w:val="0020377F"/>
    <w:rsid w:val="00205BF7"/>
    <w:rsid w:val="00207693"/>
    <w:rsid w:val="002101C9"/>
    <w:rsid w:val="00210910"/>
    <w:rsid w:val="00212A2C"/>
    <w:rsid w:val="00213C92"/>
    <w:rsid w:val="0021435D"/>
    <w:rsid w:val="00216605"/>
    <w:rsid w:val="0021693D"/>
    <w:rsid w:val="00216B0E"/>
    <w:rsid w:val="00216DA8"/>
    <w:rsid w:val="002215C9"/>
    <w:rsid w:val="00222598"/>
    <w:rsid w:val="00226B35"/>
    <w:rsid w:val="002302ED"/>
    <w:rsid w:val="00232A32"/>
    <w:rsid w:val="002335EE"/>
    <w:rsid w:val="00233EB9"/>
    <w:rsid w:val="00234F86"/>
    <w:rsid w:val="0023642A"/>
    <w:rsid w:val="00240D86"/>
    <w:rsid w:val="00242202"/>
    <w:rsid w:val="00242A7B"/>
    <w:rsid w:val="00244AAA"/>
    <w:rsid w:val="00246DD3"/>
    <w:rsid w:val="0025116F"/>
    <w:rsid w:val="002512EC"/>
    <w:rsid w:val="00251969"/>
    <w:rsid w:val="00252B28"/>
    <w:rsid w:val="00255F1F"/>
    <w:rsid w:val="0025608A"/>
    <w:rsid w:val="00256F02"/>
    <w:rsid w:val="002610FC"/>
    <w:rsid w:val="00261B5A"/>
    <w:rsid w:val="00261B7A"/>
    <w:rsid w:val="00262E76"/>
    <w:rsid w:val="00263007"/>
    <w:rsid w:val="00263CC4"/>
    <w:rsid w:val="00263E88"/>
    <w:rsid w:val="00264C3A"/>
    <w:rsid w:val="00264FC5"/>
    <w:rsid w:val="002672D5"/>
    <w:rsid w:val="00270CAB"/>
    <w:rsid w:val="002719C8"/>
    <w:rsid w:val="00271EDC"/>
    <w:rsid w:val="00273E2C"/>
    <w:rsid w:val="002752BD"/>
    <w:rsid w:val="00275B04"/>
    <w:rsid w:val="00275F3F"/>
    <w:rsid w:val="00276250"/>
    <w:rsid w:val="0027637A"/>
    <w:rsid w:val="00276A28"/>
    <w:rsid w:val="00281439"/>
    <w:rsid w:val="00281FB7"/>
    <w:rsid w:val="0028212F"/>
    <w:rsid w:val="00292AD2"/>
    <w:rsid w:val="00292AD8"/>
    <w:rsid w:val="0029321A"/>
    <w:rsid w:val="00295365"/>
    <w:rsid w:val="0029550C"/>
    <w:rsid w:val="002955BE"/>
    <w:rsid w:val="00296D57"/>
    <w:rsid w:val="0029751C"/>
    <w:rsid w:val="002977ED"/>
    <w:rsid w:val="00297AA7"/>
    <w:rsid w:val="002A076B"/>
    <w:rsid w:val="002A1EF9"/>
    <w:rsid w:val="002A375D"/>
    <w:rsid w:val="002A5B1B"/>
    <w:rsid w:val="002A63DE"/>
    <w:rsid w:val="002A7979"/>
    <w:rsid w:val="002B5E9D"/>
    <w:rsid w:val="002B7644"/>
    <w:rsid w:val="002B769D"/>
    <w:rsid w:val="002C0021"/>
    <w:rsid w:val="002C2547"/>
    <w:rsid w:val="002C482A"/>
    <w:rsid w:val="002C4CB2"/>
    <w:rsid w:val="002C6478"/>
    <w:rsid w:val="002C68B8"/>
    <w:rsid w:val="002C7F2B"/>
    <w:rsid w:val="002D11E8"/>
    <w:rsid w:val="002D1C01"/>
    <w:rsid w:val="002D3469"/>
    <w:rsid w:val="002D54E6"/>
    <w:rsid w:val="002E105E"/>
    <w:rsid w:val="002E3F4C"/>
    <w:rsid w:val="002F0EAF"/>
    <w:rsid w:val="002F14AA"/>
    <w:rsid w:val="002F29DE"/>
    <w:rsid w:val="002F2A42"/>
    <w:rsid w:val="002F5408"/>
    <w:rsid w:val="002F7E08"/>
    <w:rsid w:val="002F7FDC"/>
    <w:rsid w:val="0030020D"/>
    <w:rsid w:val="003004FC"/>
    <w:rsid w:val="00302D40"/>
    <w:rsid w:val="00306038"/>
    <w:rsid w:val="0030695C"/>
    <w:rsid w:val="00312262"/>
    <w:rsid w:val="00312D85"/>
    <w:rsid w:val="0031651A"/>
    <w:rsid w:val="00317AA8"/>
    <w:rsid w:val="00321745"/>
    <w:rsid w:val="0032198D"/>
    <w:rsid w:val="00322ECC"/>
    <w:rsid w:val="00326005"/>
    <w:rsid w:val="00330A9D"/>
    <w:rsid w:val="00333949"/>
    <w:rsid w:val="00334324"/>
    <w:rsid w:val="00336F5B"/>
    <w:rsid w:val="003371DC"/>
    <w:rsid w:val="00340AB7"/>
    <w:rsid w:val="003421D8"/>
    <w:rsid w:val="00343A5D"/>
    <w:rsid w:val="00345216"/>
    <w:rsid w:val="00346F8B"/>
    <w:rsid w:val="0034700C"/>
    <w:rsid w:val="003523F0"/>
    <w:rsid w:val="0035279B"/>
    <w:rsid w:val="003531E5"/>
    <w:rsid w:val="003546B6"/>
    <w:rsid w:val="003551C3"/>
    <w:rsid w:val="003566E1"/>
    <w:rsid w:val="0036168D"/>
    <w:rsid w:val="003649D9"/>
    <w:rsid w:val="00364DD6"/>
    <w:rsid w:val="00366770"/>
    <w:rsid w:val="00367E12"/>
    <w:rsid w:val="0037150D"/>
    <w:rsid w:val="00374D44"/>
    <w:rsid w:val="003762C5"/>
    <w:rsid w:val="00376802"/>
    <w:rsid w:val="00376FE9"/>
    <w:rsid w:val="0038008D"/>
    <w:rsid w:val="003804E5"/>
    <w:rsid w:val="00381A4F"/>
    <w:rsid w:val="003844F4"/>
    <w:rsid w:val="0038488D"/>
    <w:rsid w:val="00385BA8"/>
    <w:rsid w:val="00387AFB"/>
    <w:rsid w:val="00393E59"/>
    <w:rsid w:val="0039499F"/>
    <w:rsid w:val="0039681F"/>
    <w:rsid w:val="003968DB"/>
    <w:rsid w:val="003A1300"/>
    <w:rsid w:val="003A3726"/>
    <w:rsid w:val="003A37AC"/>
    <w:rsid w:val="003A3AB5"/>
    <w:rsid w:val="003A72C9"/>
    <w:rsid w:val="003B00D2"/>
    <w:rsid w:val="003B13B4"/>
    <w:rsid w:val="003B1A93"/>
    <w:rsid w:val="003B24E3"/>
    <w:rsid w:val="003B7D31"/>
    <w:rsid w:val="003C3922"/>
    <w:rsid w:val="003C4892"/>
    <w:rsid w:val="003C7085"/>
    <w:rsid w:val="003D05CE"/>
    <w:rsid w:val="003D15F7"/>
    <w:rsid w:val="003D2128"/>
    <w:rsid w:val="003D2C99"/>
    <w:rsid w:val="003D38A7"/>
    <w:rsid w:val="003D557F"/>
    <w:rsid w:val="003D60E4"/>
    <w:rsid w:val="003D72D3"/>
    <w:rsid w:val="003D7EBA"/>
    <w:rsid w:val="003E25F8"/>
    <w:rsid w:val="003E2823"/>
    <w:rsid w:val="003E28F4"/>
    <w:rsid w:val="003E591D"/>
    <w:rsid w:val="003E70E0"/>
    <w:rsid w:val="003E79CF"/>
    <w:rsid w:val="003F0660"/>
    <w:rsid w:val="003F1E83"/>
    <w:rsid w:val="003F32A1"/>
    <w:rsid w:val="003F4609"/>
    <w:rsid w:val="003F7076"/>
    <w:rsid w:val="0040361C"/>
    <w:rsid w:val="004053C6"/>
    <w:rsid w:val="0040580B"/>
    <w:rsid w:val="00410690"/>
    <w:rsid w:val="00410B23"/>
    <w:rsid w:val="0041262B"/>
    <w:rsid w:val="00413452"/>
    <w:rsid w:val="00413FBE"/>
    <w:rsid w:val="00416D41"/>
    <w:rsid w:val="00421BA0"/>
    <w:rsid w:val="0042387A"/>
    <w:rsid w:val="0042628E"/>
    <w:rsid w:val="00426F4F"/>
    <w:rsid w:val="00434FC6"/>
    <w:rsid w:val="00443336"/>
    <w:rsid w:val="00443385"/>
    <w:rsid w:val="00443621"/>
    <w:rsid w:val="00443689"/>
    <w:rsid w:val="004456FD"/>
    <w:rsid w:val="00447F4F"/>
    <w:rsid w:val="00450531"/>
    <w:rsid w:val="00451504"/>
    <w:rsid w:val="00452A5A"/>
    <w:rsid w:val="004552E3"/>
    <w:rsid w:val="004575BA"/>
    <w:rsid w:val="004606FD"/>
    <w:rsid w:val="004611E4"/>
    <w:rsid w:val="00464DB9"/>
    <w:rsid w:val="004650C5"/>
    <w:rsid w:val="00465F37"/>
    <w:rsid w:val="00471B35"/>
    <w:rsid w:val="00474998"/>
    <w:rsid w:val="00474EC2"/>
    <w:rsid w:val="00476161"/>
    <w:rsid w:val="00480824"/>
    <w:rsid w:val="004830FD"/>
    <w:rsid w:val="004835C8"/>
    <w:rsid w:val="00483632"/>
    <w:rsid w:val="0048385B"/>
    <w:rsid w:val="00484E5F"/>
    <w:rsid w:val="00487136"/>
    <w:rsid w:val="00491F92"/>
    <w:rsid w:val="00492967"/>
    <w:rsid w:val="00494116"/>
    <w:rsid w:val="00494BC6"/>
    <w:rsid w:val="00494D1D"/>
    <w:rsid w:val="00495AED"/>
    <w:rsid w:val="00495C21"/>
    <w:rsid w:val="00495F43"/>
    <w:rsid w:val="00497DD6"/>
    <w:rsid w:val="004A28E4"/>
    <w:rsid w:val="004A3D32"/>
    <w:rsid w:val="004A3DB8"/>
    <w:rsid w:val="004A6705"/>
    <w:rsid w:val="004A73AA"/>
    <w:rsid w:val="004B1E1A"/>
    <w:rsid w:val="004B336D"/>
    <w:rsid w:val="004B3442"/>
    <w:rsid w:val="004B4B9F"/>
    <w:rsid w:val="004B5B0F"/>
    <w:rsid w:val="004B799B"/>
    <w:rsid w:val="004C208F"/>
    <w:rsid w:val="004C2A11"/>
    <w:rsid w:val="004C3B4E"/>
    <w:rsid w:val="004C71BC"/>
    <w:rsid w:val="004D0A0F"/>
    <w:rsid w:val="004D1F76"/>
    <w:rsid w:val="004D401E"/>
    <w:rsid w:val="004D4775"/>
    <w:rsid w:val="004D7482"/>
    <w:rsid w:val="004E01C1"/>
    <w:rsid w:val="004E23E4"/>
    <w:rsid w:val="004E358C"/>
    <w:rsid w:val="004E4FDE"/>
    <w:rsid w:val="004E54B7"/>
    <w:rsid w:val="004E5D0E"/>
    <w:rsid w:val="004E6078"/>
    <w:rsid w:val="004E61EC"/>
    <w:rsid w:val="004F02B2"/>
    <w:rsid w:val="004F4F4D"/>
    <w:rsid w:val="004F50D4"/>
    <w:rsid w:val="004F72F9"/>
    <w:rsid w:val="005004C9"/>
    <w:rsid w:val="005016F6"/>
    <w:rsid w:val="005016F7"/>
    <w:rsid w:val="00502FD6"/>
    <w:rsid w:val="00505063"/>
    <w:rsid w:val="00506BDB"/>
    <w:rsid w:val="005077A5"/>
    <w:rsid w:val="00507E67"/>
    <w:rsid w:val="005104DC"/>
    <w:rsid w:val="00511C93"/>
    <w:rsid w:val="00512601"/>
    <w:rsid w:val="0051308A"/>
    <w:rsid w:val="00513134"/>
    <w:rsid w:val="005136F3"/>
    <w:rsid w:val="00514CFD"/>
    <w:rsid w:val="00515C51"/>
    <w:rsid w:val="00515CE6"/>
    <w:rsid w:val="00517930"/>
    <w:rsid w:val="00520351"/>
    <w:rsid w:val="00520FB0"/>
    <w:rsid w:val="005226CD"/>
    <w:rsid w:val="00523738"/>
    <w:rsid w:val="00527291"/>
    <w:rsid w:val="00530EAC"/>
    <w:rsid w:val="00532025"/>
    <w:rsid w:val="0053566F"/>
    <w:rsid w:val="005364DE"/>
    <w:rsid w:val="00541A32"/>
    <w:rsid w:val="005428C6"/>
    <w:rsid w:val="00544E9A"/>
    <w:rsid w:val="00546650"/>
    <w:rsid w:val="0055248B"/>
    <w:rsid w:val="005537D0"/>
    <w:rsid w:val="005550D8"/>
    <w:rsid w:val="0055590E"/>
    <w:rsid w:val="00561402"/>
    <w:rsid w:val="00562204"/>
    <w:rsid w:val="00573652"/>
    <w:rsid w:val="00573AB0"/>
    <w:rsid w:val="005755E9"/>
    <w:rsid w:val="00575DFA"/>
    <w:rsid w:val="00580066"/>
    <w:rsid w:val="00580234"/>
    <w:rsid w:val="00580D47"/>
    <w:rsid w:val="00582F9F"/>
    <w:rsid w:val="005831AA"/>
    <w:rsid w:val="00586745"/>
    <w:rsid w:val="005879A5"/>
    <w:rsid w:val="00591D14"/>
    <w:rsid w:val="005922EF"/>
    <w:rsid w:val="005925BD"/>
    <w:rsid w:val="00592D6E"/>
    <w:rsid w:val="0059421A"/>
    <w:rsid w:val="005948F0"/>
    <w:rsid w:val="005958E9"/>
    <w:rsid w:val="0059655C"/>
    <w:rsid w:val="00596662"/>
    <w:rsid w:val="0059700F"/>
    <w:rsid w:val="005979EB"/>
    <w:rsid w:val="005A03A9"/>
    <w:rsid w:val="005A1EFC"/>
    <w:rsid w:val="005A34F5"/>
    <w:rsid w:val="005A6ACE"/>
    <w:rsid w:val="005A6F91"/>
    <w:rsid w:val="005B0E33"/>
    <w:rsid w:val="005B0E84"/>
    <w:rsid w:val="005B1B53"/>
    <w:rsid w:val="005B44D1"/>
    <w:rsid w:val="005B4E4C"/>
    <w:rsid w:val="005B6D05"/>
    <w:rsid w:val="005B78CA"/>
    <w:rsid w:val="005C103A"/>
    <w:rsid w:val="005C15AD"/>
    <w:rsid w:val="005C275E"/>
    <w:rsid w:val="005C4C97"/>
    <w:rsid w:val="005D2336"/>
    <w:rsid w:val="005D34FC"/>
    <w:rsid w:val="005D5151"/>
    <w:rsid w:val="005D51CA"/>
    <w:rsid w:val="005D6423"/>
    <w:rsid w:val="005D7AC4"/>
    <w:rsid w:val="005E4A68"/>
    <w:rsid w:val="005E4D76"/>
    <w:rsid w:val="005E6BD0"/>
    <w:rsid w:val="005E7E89"/>
    <w:rsid w:val="005F01EF"/>
    <w:rsid w:val="005F04EC"/>
    <w:rsid w:val="005F18DE"/>
    <w:rsid w:val="005F470C"/>
    <w:rsid w:val="005F493D"/>
    <w:rsid w:val="005F591A"/>
    <w:rsid w:val="0060094A"/>
    <w:rsid w:val="0060136C"/>
    <w:rsid w:val="00601491"/>
    <w:rsid w:val="006014EC"/>
    <w:rsid w:val="00601BE6"/>
    <w:rsid w:val="00601C99"/>
    <w:rsid w:val="00603743"/>
    <w:rsid w:val="00604F51"/>
    <w:rsid w:val="006060AD"/>
    <w:rsid w:val="00606D70"/>
    <w:rsid w:val="00610F84"/>
    <w:rsid w:val="00615821"/>
    <w:rsid w:val="006174C1"/>
    <w:rsid w:val="00620D69"/>
    <w:rsid w:val="00621070"/>
    <w:rsid w:val="0062255C"/>
    <w:rsid w:val="00622FB1"/>
    <w:rsid w:val="00623DEA"/>
    <w:rsid w:val="00623EC9"/>
    <w:rsid w:val="00624417"/>
    <w:rsid w:val="00625AA5"/>
    <w:rsid w:val="00632EE6"/>
    <w:rsid w:val="00633616"/>
    <w:rsid w:val="0063426D"/>
    <w:rsid w:val="00637772"/>
    <w:rsid w:val="00637AC9"/>
    <w:rsid w:val="006407B8"/>
    <w:rsid w:val="00640B12"/>
    <w:rsid w:val="00642070"/>
    <w:rsid w:val="0064258A"/>
    <w:rsid w:val="00643685"/>
    <w:rsid w:val="00643FB6"/>
    <w:rsid w:val="006470E2"/>
    <w:rsid w:val="00651522"/>
    <w:rsid w:val="00651D53"/>
    <w:rsid w:val="006525C5"/>
    <w:rsid w:val="006530FD"/>
    <w:rsid w:val="00654855"/>
    <w:rsid w:val="006553D6"/>
    <w:rsid w:val="00656178"/>
    <w:rsid w:val="006576D5"/>
    <w:rsid w:val="00660888"/>
    <w:rsid w:val="00661E2A"/>
    <w:rsid w:val="00662B45"/>
    <w:rsid w:val="006630B2"/>
    <w:rsid w:val="00663EB3"/>
    <w:rsid w:val="00665BB7"/>
    <w:rsid w:val="00666477"/>
    <w:rsid w:val="006668D4"/>
    <w:rsid w:val="0066791B"/>
    <w:rsid w:val="00670F33"/>
    <w:rsid w:val="0067132B"/>
    <w:rsid w:val="00674EAE"/>
    <w:rsid w:val="00676765"/>
    <w:rsid w:val="00680393"/>
    <w:rsid w:val="0068170A"/>
    <w:rsid w:val="006820CE"/>
    <w:rsid w:val="006830CD"/>
    <w:rsid w:val="00683AF9"/>
    <w:rsid w:val="00685A33"/>
    <w:rsid w:val="00685C3A"/>
    <w:rsid w:val="00687029"/>
    <w:rsid w:val="00690C8D"/>
    <w:rsid w:val="006924F1"/>
    <w:rsid w:val="006968BB"/>
    <w:rsid w:val="0069768C"/>
    <w:rsid w:val="006A1473"/>
    <w:rsid w:val="006A2218"/>
    <w:rsid w:val="006A33A0"/>
    <w:rsid w:val="006A41F1"/>
    <w:rsid w:val="006A64D5"/>
    <w:rsid w:val="006B0D82"/>
    <w:rsid w:val="006B40EC"/>
    <w:rsid w:val="006B5C28"/>
    <w:rsid w:val="006B7BFD"/>
    <w:rsid w:val="006C0680"/>
    <w:rsid w:val="006C2F15"/>
    <w:rsid w:val="006C47AE"/>
    <w:rsid w:val="006C7015"/>
    <w:rsid w:val="006D1251"/>
    <w:rsid w:val="006D1857"/>
    <w:rsid w:val="006D404D"/>
    <w:rsid w:val="006D7959"/>
    <w:rsid w:val="006D7B6E"/>
    <w:rsid w:val="006D7BB6"/>
    <w:rsid w:val="006E082A"/>
    <w:rsid w:val="006E1D11"/>
    <w:rsid w:val="006E27A5"/>
    <w:rsid w:val="006E4937"/>
    <w:rsid w:val="006E63F3"/>
    <w:rsid w:val="006E6A13"/>
    <w:rsid w:val="006F10D1"/>
    <w:rsid w:val="006F157C"/>
    <w:rsid w:val="006F1B31"/>
    <w:rsid w:val="006F202E"/>
    <w:rsid w:val="006F20A4"/>
    <w:rsid w:val="006F3C0D"/>
    <w:rsid w:val="006F3FF3"/>
    <w:rsid w:val="006F410A"/>
    <w:rsid w:val="006F4891"/>
    <w:rsid w:val="006F5EA0"/>
    <w:rsid w:val="006F7575"/>
    <w:rsid w:val="007027B7"/>
    <w:rsid w:val="00706506"/>
    <w:rsid w:val="00706A33"/>
    <w:rsid w:val="00712339"/>
    <w:rsid w:val="00714E40"/>
    <w:rsid w:val="00715429"/>
    <w:rsid w:val="00715C88"/>
    <w:rsid w:val="00715D8F"/>
    <w:rsid w:val="0071791E"/>
    <w:rsid w:val="007206C9"/>
    <w:rsid w:val="00720E64"/>
    <w:rsid w:val="00723F6E"/>
    <w:rsid w:val="00725F93"/>
    <w:rsid w:val="00731FB9"/>
    <w:rsid w:val="0073367E"/>
    <w:rsid w:val="007336AF"/>
    <w:rsid w:val="0073437F"/>
    <w:rsid w:val="0073581B"/>
    <w:rsid w:val="007362C1"/>
    <w:rsid w:val="0074137E"/>
    <w:rsid w:val="007413CE"/>
    <w:rsid w:val="00741591"/>
    <w:rsid w:val="00741F6B"/>
    <w:rsid w:val="0074369F"/>
    <w:rsid w:val="0074502B"/>
    <w:rsid w:val="0074528B"/>
    <w:rsid w:val="007452E2"/>
    <w:rsid w:val="00747C79"/>
    <w:rsid w:val="00751CCA"/>
    <w:rsid w:val="00754057"/>
    <w:rsid w:val="007572E9"/>
    <w:rsid w:val="0075770C"/>
    <w:rsid w:val="00757FCC"/>
    <w:rsid w:val="0076028F"/>
    <w:rsid w:val="0076218A"/>
    <w:rsid w:val="00762722"/>
    <w:rsid w:val="00762FE3"/>
    <w:rsid w:val="0076667B"/>
    <w:rsid w:val="00767573"/>
    <w:rsid w:val="00767B56"/>
    <w:rsid w:val="007701C9"/>
    <w:rsid w:val="007703A2"/>
    <w:rsid w:val="007706F8"/>
    <w:rsid w:val="00771670"/>
    <w:rsid w:val="00773919"/>
    <w:rsid w:val="007744C7"/>
    <w:rsid w:val="00775116"/>
    <w:rsid w:val="00775DE3"/>
    <w:rsid w:val="00776974"/>
    <w:rsid w:val="0078135B"/>
    <w:rsid w:val="007814D6"/>
    <w:rsid w:val="007846C7"/>
    <w:rsid w:val="00784AF8"/>
    <w:rsid w:val="007859CD"/>
    <w:rsid w:val="007A05AB"/>
    <w:rsid w:val="007A1680"/>
    <w:rsid w:val="007A345B"/>
    <w:rsid w:val="007A6523"/>
    <w:rsid w:val="007A71F2"/>
    <w:rsid w:val="007A7272"/>
    <w:rsid w:val="007A7814"/>
    <w:rsid w:val="007A7FB8"/>
    <w:rsid w:val="007B26CD"/>
    <w:rsid w:val="007B3D0C"/>
    <w:rsid w:val="007B5BA5"/>
    <w:rsid w:val="007B720C"/>
    <w:rsid w:val="007C06D3"/>
    <w:rsid w:val="007C0C8C"/>
    <w:rsid w:val="007C4E46"/>
    <w:rsid w:val="007C6379"/>
    <w:rsid w:val="007C6F35"/>
    <w:rsid w:val="007D0566"/>
    <w:rsid w:val="007D268B"/>
    <w:rsid w:val="007D38A9"/>
    <w:rsid w:val="007D4651"/>
    <w:rsid w:val="007D76FD"/>
    <w:rsid w:val="007D7CFE"/>
    <w:rsid w:val="007E314A"/>
    <w:rsid w:val="007E5841"/>
    <w:rsid w:val="007E6BCF"/>
    <w:rsid w:val="007E6F28"/>
    <w:rsid w:val="007F126E"/>
    <w:rsid w:val="007F443F"/>
    <w:rsid w:val="007F4528"/>
    <w:rsid w:val="007F525E"/>
    <w:rsid w:val="007F5898"/>
    <w:rsid w:val="007F6F57"/>
    <w:rsid w:val="008010A6"/>
    <w:rsid w:val="00802814"/>
    <w:rsid w:val="00804E1C"/>
    <w:rsid w:val="00805711"/>
    <w:rsid w:val="00806D75"/>
    <w:rsid w:val="0081055D"/>
    <w:rsid w:val="0081058F"/>
    <w:rsid w:val="00810A4C"/>
    <w:rsid w:val="008112C9"/>
    <w:rsid w:val="00813E3C"/>
    <w:rsid w:val="0081609E"/>
    <w:rsid w:val="00822C6B"/>
    <w:rsid w:val="00823719"/>
    <w:rsid w:val="00825110"/>
    <w:rsid w:val="00826AEC"/>
    <w:rsid w:val="00826D9D"/>
    <w:rsid w:val="008274C1"/>
    <w:rsid w:val="008277A9"/>
    <w:rsid w:val="0083002D"/>
    <w:rsid w:val="008316E1"/>
    <w:rsid w:val="00833E90"/>
    <w:rsid w:val="00835216"/>
    <w:rsid w:val="008353E7"/>
    <w:rsid w:val="00835D5C"/>
    <w:rsid w:val="00842D8F"/>
    <w:rsid w:val="00842FFE"/>
    <w:rsid w:val="008501C7"/>
    <w:rsid w:val="00851AA6"/>
    <w:rsid w:val="00851B4B"/>
    <w:rsid w:val="00853D11"/>
    <w:rsid w:val="00855D0B"/>
    <w:rsid w:val="00857302"/>
    <w:rsid w:val="00857341"/>
    <w:rsid w:val="0085741B"/>
    <w:rsid w:val="00861640"/>
    <w:rsid w:val="00864787"/>
    <w:rsid w:val="008662DB"/>
    <w:rsid w:val="00867436"/>
    <w:rsid w:val="00870831"/>
    <w:rsid w:val="008718E5"/>
    <w:rsid w:val="00871B31"/>
    <w:rsid w:val="00874862"/>
    <w:rsid w:val="008801C1"/>
    <w:rsid w:val="008827D6"/>
    <w:rsid w:val="008844B1"/>
    <w:rsid w:val="00886F39"/>
    <w:rsid w:val="00891B11"/>
    <w:rsid w:val="00891F2D"/>
    <w:rsid w:val="00892181"/>
    <w:rsid w:val="00892DE1"/>
    <w:rsid w:val="0089425E"/>
    <w:rsid w:val="00894DC9"/>
    <w:rsid w:val="00895722"/>
    <w:rsid w:val="00897192"/>
    <w:rsid w:val="008A1777"/>
    <w:rsid w:val="008A2427"/>
    <w:rsid w:val="008A2503"/>
    <w:rsid w:val="008A5760"/>
    <w:rsid w:val="008B0176"/>
    <w:rsid w:val="008B062E"/>
    <w:rsid w:val="008B110A"/>
    <w:rsid w:val="008B3C43"/>
    <w:rsid w:val="008B47CF"/>
    <w:rsid w:val="008B5573"/>
    <w:rsid w:val="008C079A"/>
    <w:rsid w:val="008C147E"/>
    <w:rsid w:val="008C24EA"/>
    <w:rsid w:val="008C2DDF"/>
    <w:rsid w:val="008C6964"/>
    <w:rsid w:val="008D3F91"/>
    <w:rsid w:val="008D5E9E"/>
    <w:rsid w:val="008D6C33"/>
    <w:rsid w:val="008E0F73"/>
    <w:rsid w:val="008E3A30"/>
    <w:rsid w:val="008E4CBB"/>
    <w:rsid w:val="008E54C0"/>
    <w:rsid w:val="008E5C4F"/>
    <w:rsid w:val="008E6162"/>
    <w:rsid w:val="008E66C1"/>
    <w:rsid w:val="008E7869"/>
    <w:rsid w:val="008E7927"/>
    <w:rsid w:val="008F2683"/>
    <w:rsid w:val="008F312E"/>
    <w:rsid w:val="008F370C"/>
    <w:rsid w:val="008F46B7"/>
    <w:rsid w:val="008F4BCE"/>
    <w:rsid w:val="008F4D62"/>
    <w:rsid w:val="008F5915"/>
    <w:rsid w:val="008F59E6"/>
    <w:rsid w:val="008F5DBB"/>
    <w:rsid w:val="0090034D"/>
    <w:rsid w:val="009060FA"/>
    <w:rsid w:val="009062A4"/>
    <w:rsid w:val="00910163"/>
    <w:rsid w:val="009121F7"/>
    <w:rsid w:val="00912A58"/>
    <w:rsid w:val="009140AB"/>
    <w:rsid w:val="00916532"/>
    <w:rsid w:val="00917786"/>
    <w:rsid w:val="0092152F"/>
    <w:rsid w:val="00924740"/>
    <w:rsid w:val="00924E88"/>
    <w:rsid w:val="009325CC"/>
    <w:rsid w:val="0093267D"/>
    <w:rsid w:val="00934746"/>
    <w:rsid w:val="00934D66"/>
    <w:rsid w:val="0093522C"/>
    <w:rsid w:val="00935D14"/>
    <w:rsid w:val="00936E17"/>
    <w:rsid w:val="00940C2E"/>
    <w:rsid w:val="00942163"/>
    <w:rsid w:val="0094219B"/>
    <w:rsid w:val="00943253"/>
    <w:rsid w:val="00945C92"/>
    <w:rsid w:val="00946523"/>
    <w:rsid w:val="00950874"/>
    <w:rsid w:val="00951347"/>
    <w:rsid w:val="00954FB2"/>
    <w:rsid w:val="00956270"/>
    <w:rsid w:val="009567D5"/>
    <w:rsid w:val="00956DD7"/>
    <w:rsid w:val="00963756"/>
    <w:rsid w:val="00964466"/>
    <w:rsid w:val="00964ECA"/>
    <w:rsid w:val="00965239"/>
    <w:rsid w:val="009652AF"/>
    <w:rsid w:val="00965F44"/>
    <w:rsid w:val="00970846"/>
    <w:rsid w:val="00972FCF"/>
    <w:rsid w:val="009743AB"/>
    <w:rsid w:val="00975E49"/>
    <w:rsid w:val="00981FB0"/>
    <w:rsid w:val="00982379"/>
    <w:rsid w:val="00986297"/>
    <w:rsid w:val="0099341E"/>
    <w:rsid w:val="00993857"/>
    <w:rsid w:val="00994379"/>
    <w:rsid w:val="0099523B"/>
    <w:rsid w:val="00995540"/>
    <w:rsid w:val="00996BA4"/>
    <w:rsid w:val="00997A06"/>
    <w:rsid w:val="009A12F9"/>
    <w:rsid w:val="009A1EA3"/>
    <w:rsid w:val="009A1FA7"/>
    <w:rsid w:val="009A3187"/>
    <w:rsid w:val="009A47FE"/>
    <w:rsid w:val="009A5380"/>
    <w:rsid w:val="009A7441"/>
    <w:rsid w:val="009A7D66"/>
    <w:rsid w:val="009B10B6"/>
    <w:rsid w:val="009B2AD3"/>
    <w:rsid w:val="009B4C07"/>
    <w:rsid w:val="009B606E"/>
    <w:rsid w:val="009B7148"/>
    <w:rsid w:val="009B7429"/>
    <w:rsid w:val="009B76D6"/>
    <w:rsid w:val="009C0583"/>
    <w:rsid w:val="009C0B93"/>
    <w:rsid w:val="009C361A"/>
    <w:rsid w:val="009C3938"/>
    <w:rsid w:val="009C4027"/>
    <w:rsid w:val="009C5F4E"/>
    <w:rsid w:val="009D0D94"/>
    <w:rsid w:val="009D0DA6"/>
    <w:rsid w:val="009D1232"/>
    <w:rsid w:val="009D14C8"/>
    <w:rsid w:val="009D2132"/>
    <w:rsid w:val="009D25F9"/>
    <w:rsid w:val="009D2C22"/>
    <w:rsid w:val="009D38BF"/>
    <w:rsid w:val="009D4E7A"/>
    <w:rsid w:val="009D72CF"/>
    <w:rsid w:val="009E0376"/>
    <w:rsid w:val="009E5BD2"/>
    <w:rsid w:val="009E61BB"/>
    <w:rsid w:val="009F15B9"/>
    <w:rsid w:val="009F164F"/>
    <w:rsid w:val="009F1C07"/>
    <w:rsid w:val="009F1C62"/>
    <w:rsid w:val="009F2F46"/>
    <w:rsid w:val="009F36DC"/>
    <w:rsid w:val="009F530C"/>
    <w:rsid w:val="009F628A"/>
    <w:rsid w:val="00A00D30"/>
    <w:rsid w:val="00A0113A"/>
    <w:rsid w:val="00A015C5"/>
    <w:rsid w:val="00A05D6C"/>
    <w:rsid w:val="00A07383"/>
    <w:rsid w:val="00A07BE4"/>
    <w:rsid w:val="00A10AB8"/>
    <w:rsid w:val="00A1145F"/>
    <w:rsid w:val="00A11B04"/>
    <w:rsid w:val="00A15244"/>
    <w:rsid w:val="00A159B6"/>
    <w:rsid w:val="00A16E67"/>
    <w:rsid w:val="00A2151F"/>
    <w:rsid w:val="00A21A6A"/>
    <w:rsid w:val="00A21CA3"/>
    <w:rsid w:val="00A24C4D"/>
    <w:rsid w:val="00A25906"/>
    <w:rsid w:val="00A26C76"/>
    <w:rsid w:val="00A305E5"/>
    <w:rsid w:val="00A32AA1"/>
    <w:rsid w:val="00A34EAE"/>
    <w:rsid w:val="00A36C8F"/>
    <w:rsid w:val="00A40EAF"/>
    <w:rsid w:val="00A4399A"/>
    <w:rsid w:val="00A446DB"/>
    <w:rsid w:val="00A448DF"/>
    <w:rsid w:val="00A45BC8"/>
    <w:rsid w:val="00A46630"/>
    <w:rsid w:val="00A53877"/>
    <w:rsid w:val="00A54CC2"/>
    <w:rsid w:val="00A56612"/>
    <w:rsid w:val="00A60591"/>
    <w:rsid w:val="00A63A53"/>
    <w:rsid w:val="00A64AE4"/>
    <w:rsid w:val="00A66588"/>
    <w:rsid w:val="00A67992"/>
    <w:rsid w:val="00A706A2"/>
    <w:rsid w:val="00A710E7"/>
    <w:rsid w:val="00A7383F"/>
    <w:rsid w:val="00A73B4D"/>
    <w:rsid w:val="00A74007"/>
    <w:rsid w:val="00A74F16"/>
    <w:rsid w:val="00A75539"/>
    <w:rsid w:val="00A75E19"/>
    <w:rsid w:val="00A775C6"/>
    <w:rsid w:val="00A8024A"/>
    <w:rsid w:val="00A808B8"/>
    <w:rsid w:val="00A817F8"/>
    <w:rsid w:val="00A82417"/>
    <w:rsid w:val="00A875EE"/>
    <w:rsid w:val="00A900E8"/>
    <w:rsid w:val="00A922E8"/>
    <w:rsid w:val="00A92B4B"/>
    <w:rsid w:val="00A92D6E"/>
    <w:rsid w:val="00A93052"/>
    <w:rsid w:val="00A970F8"/>
    <w:rsid w:val="00AA11B9"/>
    <w:rsid w:val="00AA136F"/>
    <w:rsid w:val="00AA4872"/>
    <w:rsid w:val="00AA54A5"/>
    <w:rsid w:val="00AA559F"/>
    <w:rsid w:val="00AA6C6B"/>
    <w:rsid w:val="00AA7DB0"/>
    <w:rsid w:val="00AB100D"/>
    <w:rsid w:val="00AB20BD"/>
    <w:rsid w:val="00AB2522"/>
    <w:rsid w:val="00AB38CA"/>
    <w:rsid w:val="00AB39D4"/>
    <w:rsid w:val="00AB52BE"/>
    <w:rsid w:val="00AC33CD"/>
    <w:rsid w:val="00AC4ECF"/>
    <w:rsid w:val="00AC5CAC"/>
    <w:rsid w:val="00AC614D"/>
    <w:rsid w:val="00AC7961"/>
    <w:rsid w:val="00AD02C8"/>
    <w:rsid w:val="00AD255C"/>
    <w:rsid w:val="00AD3FF3"/>
    <w:rsid w:val="00AD4251"/>
    <w:rsid w:val="00AD4EF6"/>
    <w:rsid w:val="00AD55FD"/>
    <w:rsid w:val="00AD5816"/>
    <w:rsid w:val="00AD7F64"/>
    <w:rsid w:val="00AE1096"/>
    <w:rsid w:val="00AE2039"/>
    <w:rsid w:val="00AE50A8"/>
    <w:rsid w:val="00AF067F"/>
    <w:rsid w:val="00AF073D"/>
    <w:rsid w:val="00AF21D8"/>
    <w:rsid w:val="00AF4290"/>
    <w:rsid w:val="00AF644A"/>
    <w:rsid w:val="00AF6555"/>
    <w:rsid w:val="00AF68D3"/>
    <w:rsid w:val="00AF7ACE"/>
    <w:rsid w:val="00B00205"/>
    <w:rsid w:val="00B00A4F"/>
    <w:rsid w:val="00B00E20"/>
    <w:rsid w:val="00B0107A"/>
    <w:rsid w:val="00B01AD0"/>
    <w:rsid w:val="00B02673"/>
    <w:rsid w:val="00B04199"/>
    <w:rsid w:val="00B04D97"/>
    <w:rsid w:val="00B05AC1"/>
    <w:rsid w:val="00B06546"/>
    <w:rsid w:val="00B11ECC"/>
    <w:rsid w:val="00B11FD1"/>
    <w:rsid w:val="00B136D6"/>
    <w:rsid w:val="00B13AF1"/>
    <w:rsid w:val="00B1448A"/>
    <w:rsid w:val="00B1707D"/>
    <w:rsid w:val="00B21010"/>
    <w:rsid w:val="00B21D47"/>
    <w:rsid w:val="00B24905"/>
    <w:rsid w:val="00B24D42"/>
    <w:rsid w:val="00B26014"/>
    <w:rsid w:val="00B26F2C"/>
    <w:rsid w:val="00B2709E"/>
    <w:rsid w:val="00B307C2"/>
    <w:rsid w:val="00B33CEF"/>
    <w:rsid w:val="00B35FDC"/>
    <w:rsid w:val="00B368DA"/>
    <w:rsid w:val="00B36B7C"/>
    <w:rsid w:val="00B42A82"/>
    <w:rsid w:val="00B43892"/>
    <w:rsid w:val="00B468EF"/>
    <w:rsid w:val="00B46934"/>
    <w:rsid w:val="00B5017E"/>
    <w:rsid w:val="00B5079C"/>
    <w:rsid w:val="00B508E2"/>
    <w:rsid w:val="00B5628E"/>
    <w:rsid w:val="00B579BB"/>
    <w:rsid w:val="00B57AAB"/>
    <w:rsid w:val="00B57CED"/>
    <w:rsid w:val="00B606D0"/>
    <w:rsid w:val="00B61961"/>
    <w:rsid w:val="00B632B3"/>
    <w:rsid w:val="00B63567"/>
    <w:rsid w:val="00B651C5"/>
    <w:rsid w:val="00B667BC"/>
    <w:rsid w:val="00B667E7"/>
    <w:rsid w:val="00B7015D"/>
    <w:rsid w:val="00B7136E"/>
    <w:rsid w:val="00B7616E"/>
    <w:rsid w:val="00B807A2"/>
    <w:rsid w:val="00B80C7C"/>
    <w:rsid w:val="00B822A9"/>
    <w:rsid w:val="00B827E1"/>
    <w:rsid w:val="00B82ABC"/>
    <w:rsid w:val="00B83CAC"/>
    <w:rsid w:val="00B84995"/>
    <w:rsid w:val="00B85950"/>
    <w:rsid w:val="00B86812"/>
    <w:rsid w:val="00B87A60"/>
    <w:rsid w:val="00B91010"/>
    <w:rsid w:val="00B917E5"/>
    <w:rsid w:val="00B926A5"/>
    <w:rsid w:val="00B9286A"/>
    <w:rsid w:val="00B93470"/>
    <w:rsid w:val="00B95BBF"/>
    <w:rsid w:val="00B96036"/>
    <w:rsid w:val="00B96AC8"/>
    <w:rsid w:val="00B97122"/>
    <w:rsid w:val="00BA12CD"/>
    <w:rsid w:val="00BA25B6"/>
    <w:rsid w:val="00BA3920"/>
    <w:rsid w:val="00BA782D"/>
    <w:rsid w:val="00BB1AAC"/>
    <w:rsid w:val="00BB4591"/>
    <w:rsid w:val="00BB4C28"/>
    <w:rsid w:val="00BB5426"/>
    <w:rsid w:val="00BC1B3C"/>
    <w:rsid w:val="00BC2768"/>
    <w:rsid w:val="00BC33C2"/>
    <w:rsid w:val="00BC4F9E"/>
    <w:rsid w:val="00BC647C"/>
    <w:rsid w:val="00BC7539"/>
    <w:rsid w:val="00BC79C1"/>
    <w:rsid w:val="00BD0FCC"/>
    <w:rsid w:val="00BD1088"/>
    <w:rsid w:val="00BD33FC"/>
    <w:rsid w:val="00BD3A7C"/>
    <w:rsid w:val="00BD4961"/>
    <w:rsid w:val="00BD6CCD"/>
    <w:rsid w:val="00BE0387"/>
    <w:rsid w:val="00BE1CD4"/>
    <w:rsid w:val="00BE2D99"/>
    <w:rsid w:val="00BE54D6"/>
    <w:rsid w:val="00BE58B5"/>
    <w:rsid w:val="00BE5CD0"/>
    <w:rsid w:val="00BF1481"/>
    <w:rsid w:val="00BF2610"/>
    <w:rsid w:val="00BF4EE6"/>
    <w:rsid w:val="00C001D0"/>
    <w:rsid w:val="00C01040"/>
    <w:rsid w:val="00C02A39"/>
    <w:rsid w:val="00C02D50"/>
    <w:rsid w:val="00C02FE1"/>
    <w:rsid w:val="00C04E3C"/>
    <w:rsid w:val="00C05425"/>
    <w:rsid w:val="00C06568"/>
    <w:rsid w:val="00C069B8"/>
    <w:rsid w:val="00C06E6C"/>
    <w:rsid w:val="00C074EF"/>
    <w:rsid w:val="00C1020B"/>
    <w:rsid w:val="00C10B42"/>
    <w:rsid w:val="00C12720"/>
    <w:rsid w:val="00C15432"/>
    <w:rsid w:val="00C15AC4"/>
    <w:rsid w:val="00C162B2"/>
    <w:rsid w:val="00C21149"/>
    <w:rsid w:val="00C2355D"/>
    <w:rsid w:val="00C2773E"/>
    <w:rsid w:val="00C3128B"/>
    <w:rsid w:val="00C33674"/>
    <w:rsid w:val="00C3385B"/>
    <w:rsid w:val="00C36B12"/>
    <w:rsid w:val="00C41470"/>
    <w:rsid w:val="00C41FF2"/>
    <w:rsid w:val="00C422C2"/>
    <w:rsid w:val="00C47479"/>
    <w:rsid w:val="00C54747"/>
    <w:rsid w:val="00C5514E"/>
    <w:rsid w:val="00C55462"/>
    <w:rsid w:val="00C56022"/>
    <w:rsid w:val="00C56C98"/>
    <w:rsid w:val="00C61690"/>
    <w:rsid w:val="00C6254D"/>
    <w:rsid w:val="00C629B9"/>
    <w:rsid w:val="00C645BC"/>
    <w:rsid w:val="00C646C4"/>
    <w:rsid w:val="00C647CD"/>
    <w:rsid w:val="00C64B43"/>
    <w:rsid w:val="00C6700D"/>
    <w:rsid w:val="00C67BA2"/>
    <w:rsid w:val="00C75935"/>
    <w:rsid w:val="00C76463"/>
    <w:rsid w:val="00C77E67"/>
    <w:rsid w:val="00C813D6"/>
    <w:rsid w:val="00C84EF0"/>
    <w:rsid w:val="00C85696"/>
    <w:rsid w:val="00C85F93"/>
    <w:rsid w:val="00C8692F"/>
    <w:rsid w:val="00C9002C"/>
    <w:rsid w:val="00C90FF9"/>
    <w:rsid w:val="00C91204"/>
    <w:rsid w:val="00C91553"/>
    <w:rsid w:val="00C922D7"/>
    <w:rsid w:val="00C935C2"/>
    <w:rsid w:val="00C93727"/>
    <w:rsid w:val="00C95BFB"/>
    <w:rsid w:val="00C97A4D"/>
    <w:rsid w:val="00CA1458"/>
    <w:rsid w:val="00CA19F5"/>
    <w:rsid w:val="00CA4AD0"/>
    <w:rsid w:val="00CA57D4"/>
    <w:rsid w:val="00CA6173"/>
    <w:rsid w:val="00CA628D"/>
    <w:rsid w:val="00CA65FF"/>
    <w:rsid w:val="00CB0938"/>
    <w:rsid w:val="00CB220A"/>
    <w:rsid w:val="00CB5234"/>
    <w:rsid w:val="00CC1604"/>
    <w:rsid w:val="00CC2800"/>
    <w:rsid w:val="00CC3420"/>
    <w:rsid w:val="00CC3BC7"/>
    <w:rsid w:val="00CC547C"/>
    <w:rsid w:val="00CC60FF"/>
    <w:rsid w:val="00CC741C"/>
    <w:rsid w:val="00CD5166"/>
    <w:rsid w:val="00CD52C9"/>
    <w:rsid w:val="00CD58C8"/>
    <w:rsid w:val="00CD687B"/>
    <w:rsid w:val="00CD7760"/>
    <w:rsid w:val="00CE0468"/>
    <w:rsid w:val="00CE05BD"/>
    <w:rsid w:val="00CE123C"/>
    <w:rsid w:val="00CE13DA"/>
    <w:rsid w:val="00CE2620"/>
    <w:rsid w:val="00CE2837"/>
    <w:rsid w:val="00CE3C39"/>
    <w:rsid w:val="00CE75B5"/>
    <w:rsid w:val="00CE7A73"/>
    <w:rsid w:val="00CF0F94"/>
    <w:rsid w:val="00CF2D98"/>
    <w:rsid w:val="00CF436B"/>
    <w:rsid w:val="00CF5AB1"/>
    <w:rsid w:val="00CF73B4"/>
    <w:rsid w:val="00D00395"/>
    <w:rsid w:val="00D00E78"/>
    <w:rsid w:val="00D01738"/>
    <w:rsid w:val="00D04F96"/>
    <w:rsid w:val="00D101B7"/>
    <w:rsid w:val="00D1031C"/>
    <w:rsid w:val="00D112CE"/>
    <w:rsid w:val="00D1279C"/>
    <w:rsid w:val="00D1383A"/>
    <w:rsid w:val="00D22050"/>
    <w:rsid w:val="00D231C6"/>
    <w:rsid w:val="00D23424"/>
    <w:rsid w:val="00D24DA4"/>
    <w:rsid w:val="00D257A3"/>
    <w:rsid w:val="00D26F28"/>
    <w:rsid w:val="00D30D15"/>
    <w:rsid w:val="00D31977"/>
    <w:rsid w:val="00D32839"/>
    <w:rsid w:val="00D33EE3"/>
    <w:rsid w:val="00D343EC"/>
    <w:rsid w:val="00D3500F"/>
    <w:rsid w:val="00D35260"/>
    <w:rsid w:val="00D36EA4"/>
    <w:rsid w:val="00D40769"/>
    <w:rsid w:val="00D4202F"/>
    <w:rsid w:val="00D43052"/>
    <w:rsid w:val="00D436D4"/>
    <w:rsid w:val="00D44203"/>
    <w:rsid w:val="00D45810"/>
    <w:rsid w:val="00D466D2"/>
    <w:rsid w:val="00D50ABF"/>
    <w:rsid w:val="00D51EBD"/>
    <w:rsid w:val="00D532B4"/>
    <w:rsid w:val="00D55ACB"/>
    <w:rsid w:val="00D571E0"/>
    <w:rsid w:val="00D60160"/>
    <w:rsid w:val="00D616E2"/>
    <w:rsid w:val="00D61F8E"/>
    <w:rsid w:val="00D63636"/>
    <w:rsid w:val="00D63CFC"/>
    <w:rsid w:val="00D66147"/>
    <w:rsid w:val="00D66D34"/>
    <w:rsid w:val="00D700D1"/>
    <w:rsid w:val="00D716E4"/>
    <w:rsid w:val="00D71969"/>
    <w:rsid w:val="00D73D1A"/>
    <w:rsid w:val="00D7427C"/>
    <w:rsid w:val="00D75694"/>
    <w:rsid w:val="00D75C74"/>
    <w:rsid w:val="00D75E95"/>
    <w:rsid w:val="00D770B0"/>
    <w:rsid w:val="00D858E5"/>
    <w:rsid w:val="00D917C5"/>
    <w:rsid w:val="00D918FA"/>
    <w:rsid w:val="00D92627"/>
    <w:rsid w:val="00D927DC"/>
    <w:rsid w:val="00DA13C8"/>
    <w:rsid w:val="00DA26EC"/>
    <w:rsid w:val="00DA53C7"/>
    <w:rsid w:val="00DA5809"/>
    <w:rsid w:val="00DA58BF"/>
    <w:rsid w:val="00DA7B48"/>
    <w:rsid w:val="00DA7C18"/>
    <w:rsid w:val="00DB03B7"/>
    <w:rsid w:val="00DB0850"/>
    <w:rsid w:val="00DB2350"/>
    <w:rsid w:val="00DB4551"/>
    <w:rsid w:val="00DB4688"/>
    <w:rsid w:val="00DC1048"/>
    <w:rsid w:val="00DC25F0"/>
    <w:rsid w:val="00DC3E44"/>
    <w:rsid w:val="00DC44CF"/>
    <w:rsid w:val="00DC6DE1"/>
    <w:rsid w:val="00DC711C"/>
    <w:rsid w:val="00DC7AAA"/>
    <w:rsid w:val="00DD01C5"/>
    <w:rsid w:val="00DD23C0"/>
    <w:rsid w:val="00DD24D7"/>
    <w:rsid w:val="00DD4AB3"/>
    <w:rsid w:val="00DD4D5D"/>
    <w:rsid w:val="00DD517E"/>
    <w:rsid w:val="00DE17E2"/>
    <w:rsid w:val="00DE3020"/>
    <w:rsid w:val="00DE4D85"/>
    <w:rsid w:val="00DE67FE"/>
    <w:rsid w:val="00DE6D9A"/>
    <w:rsid w:val="00DE6DD3"/>
    <w:rsid w:val="00DE6FB7"/>
    <w:rsid w:val="00DF18B6"/>
    <w:rsid w:val="00DF317F"/>
    <w:rsid w:val="00DF3C7A"/>
    <w:rsid w:val="00DF42DF"/>
    <w:rsid w:val="00DF4B52"/>
    <w:rsid w:val="00DF57A6"/>
    <w:rsid w:val="00DF70C1"/>
    <w:rsid w:val="00DF71A8"/>
    <w:rsid w:val="00E027B0"/>
    <w:rsid w:val="00E02A24"/>
    <w:rsid w:val="00E0599F"/>
    <w:rsid w:val="00E06484"/>
    <w:rsid w:val="00E06DEC"/>
    <w:rsid w:val="00E0750D"/>
    <w:rsid w:val="00E11403"/>
    <w:rsid w:val="00E11DA9"/>
    <w:rsid w:val="00E1309C"/>
    <w:rsid w:val="00E16303"/>
    <w:rsid w:val="00E16925"/>
    <w:rsid w:val="00E27247"/>
    <w:rsid w:val="00E30236"/>
    <w:rsid w:val="00E31CA5"/>
    <w:rsid w:val="00E31D49"/>
    <w:rsid w:val="00E3303B"/>
    <w:rsid w:val="00E3382E"/>
    <w:rsid w:val="00E348DD"/>
    <w:rsid w:val="00E3492D"/>
    <w:rsid w:val="00E3753A"/>
    <w:rsid w:val="00E37543"/>
    <w:rsid w:val="00E412A7"/>
    <w:rsid w:val="00E4153A"/>
    <w:rsid w:val="00E42E28"/>
    <w:rsid w:val="00E43BF3"/>
    <w:rsid w:val="00E44DE5"/>
    <w:rsid w:val="00E45C4B"/>
    <w:rsid w:val="00E47525"/>
    <w:rsid w:val="00E47720"/>
    <w:rsid w:val="00E47F91"/>
    <w:rsid w:val="00E50D06"/>
    <w:rsid w:val="00E5126C"/>
    <w:rsid w:val="00E526A4"/>
    <w:rsid w:val="00E52D3C"/>
    <w:rsid w:val="00E53A90"/>
    <w:rsid w:val="00E53B45"/>
    <w:rsid w:val="00E545F1"/>
    <w:rsid w:val="00E54BAD"/>
    <w:rsid w:val="00E551C4"/>
    <w:rsid w:val="00E56B67"/>
    <w:rsid w:val="00E570ED"/>
    <w:rsid w:val="00E60A24"/>
    <w:rsid w:val="00E6202B"/>
    <w:rsid w:val="00E627ED"/>
    <w:rsid w:val="00E63798"/>
    <w:rsid w:val="00E6457C"/>
    <w:rsid w:val="00E6619D"/>
    <w:rsid w:val="00E701B7"/>
    <w:rsid w:val="00E7442E"/>
    <w:rsid w:val="00E756CD"/>
    <w:rsid w:val="00E80EA8"/>
    <w:rsid w:val="00E82188"/>
    <w:rsid w:val="00E825A1"/>
    <w:rsid w:val="00E829E3"/>
    <w:rsid w:val="00E85293"/>
    <w:rsid w:val="00E871CE"/>
    <w:rsid w:val="00E87AC7"/>
    <w:rsid w:val="00E91D50"/>
    <w:rsid w:val="00E9315E"/>
    <w:rsid w:val="00E93DB9"/>
    <w:rsid w:val="00E94F03"/>
    <w:rsid w:val="00E97903"/>
    <w:rsid w:val="00EA145C"/>
    <w:rsid w:val="00EA37FC"/>
    <w:rsid w:val="00EA68DF"/>
    <w:rsid w:val="00EA7845"/>
    <w:rsid w:val="00EB0687"/>
    <w:rsid w:val="00EB0FC5"/>
    <w:rsid w:val="00EB1910"/>
    <w:rsid w:val="00EB317F"/>
    <w:rsid w:val="00EB335D"/>
    <w:rsid w:val="00EB38A7"/>
    <w:rsid w:val="00EB46C3"/>
    <w:rsid w:val="00EB62F2"/>
    <w:rsid w:val="00EC25D0"/>
    <w:rsid w:val="00EC5082"/>
    <w:rsid w:val="00EC697A"/>
    <w:rsid w:val="00ED100E"/>
    <w:rsid w:val="00ED2C29"/>
    <w:rsid w:val="00ED3624"/>
    <w:rsid w:val="00ED7253"/>
    <w:rsid w:val="00ED7B45"/>
    <w:rsid w:val="00EE02F0"/>
    <w:rsid w:val="00EE2F16"/>
    <w:rsid w:val="00EE68A4"/>
    <w:rsid w:val="00EE6FBD"/>
    <w:rsid w:val="00EE72DB"/>
    <w:rsid w:val="00EE73CD"/>
    <w:rsid w:val="00EF0600"/>
    <w:rsid w:val="00EF1CB1"/>
    <w:rsid w:val="00EF32F5"/>
    <w:rsid w:val="00EF4692"/>
    <w:rsid w:val="00EF5550"/>
    <w:rsid w:val="00EF56F9"/>
    <w:rsid w:val="00F00537"/>
    <w:rsid w:val="00F03418"/>
    <w:rsid w:val="00F04678"/>
    <w:rsid w:val="00F062BF"/>
    <w:rsid w:val="00F06437"/>
    <w:rsid w:val="00F06559"/>
    <w:rsid w:val="00F0775B"/>
    <w:rsid w:val="00F07EED"/>
    <w:rsid w:val="00F10A29"/>
    <w:rsid w:val="00F10ACE"/>
    <w:rsid w:val="00F16658"/>
    <w:rsid w:val="00F16692"/>
    <w:rsid w:val="00F20D0D"/>
    <w:rsid w:val="00F21DB9"/>
    <w:rsid w:val="00F229CE"/>
    <w:rsid w:val="00F23065"/>
    <w:rsid w:val="00F25E21"/>
    <w:rsid w:val="00F26087"/>
    <w:rsid w:val="00F27024"/>
    <w:rsid w:val="00F27173"/>
    <w:rsid w:val="00F3088D"/>
    <w:rsid w:val="00F341FB"/>
    <w:rsid w:val="00F34933"/>
    <w:rsid w:val="00F37AD2"/>
    <w:rsid w:val="00F424CE"/>
    <w:rsid w:val="00F43CF0"/>
    <w:rsid w:val="00F454D8"/>
    <w:rsid w:val="00F45F14"/>
    <w:rsid w:val="00F4680E"/>
    <w:rsid w:val="00F46EBB"/>
    <w:rsid w:val="00F47088"/>
    <w:rsid w:val="00F4723C"/>
    <w:rsid w:val="00F51B37"/>
    <w:rsid w:val="00F541D1"/>
    <w:rsid w:val="00F54627"/>
    <w:rsid w:val="00F54C17"/>
    <w:rsid w:val="00F641E1"/>
    <w:rsid w:val="00F644EA"/>
    <w:rsid w:val="00F6521F"/>
    <w:rsid w:val="00F652E7"/>
    <w:rsid w:val="00F654C6"/>
    <w:rsid w:val="00F674C8"/>
    <w:rsid w:val="00F70176"/>
    <w:rsid w:val="00F70871"/>
    <w:rsid w:val="00F708DC"/>
    <w:rsid w:val="00F73186"/>
    <w:rsid w:val="00F74B8C"/>
    <w:rsid w:val="00F75C84"/>
    <w:rsid w:val="00F75EDB"/>
    <w:rsid w:val="00F762E5"/>
    <w:rsid w:val="00F76491"/>
    <w:rsid w:val="00F8230E"/>
    <w:rsid w:val="00F82B41"/>
    <w:rsid w:val="00F84C6C"/>
    <w:rsid w:val="00F84D0A"/>
    <w:rsid w:val="00F8628C"/>
    <w:rsid w:val="00F930A8"/>
    <w:rsid w:val="00FA3B81"/>
    <w:rsid w:val="00FA5DE4"/>
    <w:rsid w:val="00FA5E7B"/>
    <w:rsid w:val="00FA7384"/>
    <w:rsid w:val="00FB2C2F"/>
    <w:rsid w:val="00FB5F5C"/>
    <w:rsid w:val="00FB6AF8"/>
    <w:rsid w:val="00FC0D3E"/>
    <w:rsid w:val="00FC319F"/>
    <w:rsid w:val="00FC3884"/>
    <w:rsid w:val="00FC4BEB"/>
    <w:rsid w:val="00FC4DC9"/>
    <w:rsid w:val="00FC4F6B"/>
    <w:rsid w:val="00FD36A3"/>
    <w:rsid w:val="00FD4333"/>
    <w:rsid w:val="00FD46E0"/>
    <w:rsid w:val="00FD61B9"/>
    <w:rsid w:val="00FD7FF0"/>
    <w:rsid w:val="00FE16D2"/>
    <w:rsid w:val="00FE1AFF"/>
    <w:rsid w:val="00FE2ED3"/>
    <w:rsid w:val="00FE4F72"/>
    <w:rsid w:val="00FE500D"/>
    <w:rsid w:val="00FE52A7"/>
    <w:rsid w:val="00FE56B8"/>
    <w:rsid w:val="00FE65DB"/>
    <w:rsid w:val="00FE66F6"/>
    <w:rsid w:val="00FE6FD3"/>
    <w:rsid w:val="00FF0C96"/>
    <w:rsid w:val="00FF2904"/>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81B38"/>
  <w15:docId w15:val="{18D36900-51F2-4F7F-A188-A7A5369EB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 w:type="character" w:styleId="Refdecomentario">
    <w:name w:val="annotation reference"/>
    <w:basedOn w:val="Fuentedeprrafopredeter"/>
    <w:uiPriority w:val="99"/>
    <w:semiHidden/>
    <w:unhideWhenUsed/>
    <w:rsid w:val="00DE6FB7"/>
    <w:rPr>
      <w:sz w:val="16"/>
      <w:szCs w:val="16"/>
    </w:rPr>
  </w:style>
  <w:style w:type="paragraph" w:styleId="Textocomentario">
    <w:name w:val="annotation text"/>
    <w:basedOn w:val="Normal"/>
    <w:link w:val="TextocomentarioCar"/>
    <w:uiPriority w:val="99"/>
    <w:semiHidden/>
    <w:unhideWhenUsed/>
    <w:rsid w:val="00DE6F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E6FB7"/>
    <w:rPr>
      <w:sz w:val="20"/>
      <w:szCs w:val="20"/>
    </w:rPr>
  </w:style>
  <w:style w:type="paragraph" w:styleId="Asuntodelcomentario">
    <w:name w:val="annotation subject"/>
    <w:basedOn w:val="Textocomentario"/>
    <w:next w:val="Textocomentario"/>
    <w:link w:val="AsuntodelcomentarioCar"/>
    <w:uiPriority w:val="99"/>
    <w:semiHidden/>
    <w:unhideWhenUsed/>
    <w:rsid w:val="00DE6FB7"/>
    <w:rPr>
      <w:b/>
      <w:bCs/>
    </w:rPr>
  </w:style>
  <w:style w:type="character" w:customStyle="1" w:styleId="AsuntodelcomentarioCar">
    <w:name w:val="Asunto del comentario Car"/>
    <w:basedOn w:val="TextocomentarioCar"/>
    <w:link w:val="Asuntodelcomentario"/>
    <w:uiPriority w:val="99"/>
    <w:semiHidden/>
    <w:rsid w:val="00DE6F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21564">
      <w:bodyDiv w:val="1"/>
      <w:marLeft w:val="0"/>
      <w:marRight w:val="0"/>
      <w:marTop w:val="0"/>
      <w:marBottom w:val="0"/>
      <w:divBdr>
        <w:top w:val="none" w:sz="0" w:space="0" w:color="auto"/>
        <w:left w:val="none" w:sz="0" w:space="0" w:color="auto"/>
        <w:bottom w:val="none" w:sz="0" w:space="0" w:color="auto"/>
        <w:right w:val="none" w:sz="0" w:space="0" w:color="auto"/>
      </w:divBdr>
    </w:div>
    <w:div w:id="454951055">
      <w:bodyDiv w:val="1"/>
      <w:marLeft w:val="0"/>
      <w:marRight w:val="0"/>
      <w:marTop w:val="0"/>
      <w:marBottom w:val="0"/>
      <w:divBdr>
        <w:top w:val="none" w:sz="0" w:space="0" w:color="auto"/>
        <w:left w:val="none" w:sz="0" w:space="0" w:color="auto"/>
        <w:bottom w:val="none" w:sz="0" w:space="0" w:color="auto"/>
        <w:right w:val="none" w:sz="0" w:space="0" w:color="auto"/>
      </w:divBdr>
    </w:div>
    <w:div w:id="517159523">
      <w:bodyDiv w:val="1"/>
      <w:marLeft w:val="0"/>
      <w:marRight w:val="0"/>
      <w:marTop w:val="0"/>
      <w:marBottom w:val="0"/>
      <w:divBdr>
        <w:top w:val="none" w:sz="0" w:space="0" w:color="auto"/>
        <w:left w:val="none" w:sz="0" w:space="0" w:color="auto"/>
        <w:bottom w:val="none" w:sz="0" w:space="0" w:color="auto"/>
        <w:right w:val="none" w:sz="0" w:space="0" w:color="auto"/>
      </w:divBdr>
    </w:div>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536358022">
      <w:bodyDiv w:val="1"/>
      <w:marLeft w:val="0"/>
      <w:marRight w:val="0"/>
      <w:marTop w:val="0"/>
      <w:marBottom w:val="0"/>
      <w:divBdr>
        <w:top w:val="none" w:sz="0" w:space="0" w:color="auto"/>
        <w:left w:val="none" w:sz="0" w:space="0" w:color="auto"/>
        <w:bottom w:val="none" w:sz="0" w:space="0" w:color="auto"/>
        <w:right w:val="none" w:sz="0" w:space="0" w:color="auto"/>
      </w:divBdr>
    </w:div>
    <w:div w:id="782306113">
      <w:bodyDiv w:val="1"/>
      <w:marLeft w:val="0"/>
      <w:marRight w:val="0"/>
      <w:marTop w:val="0"/>
      <w:marBottom w:val="0"/>
      <w:divBdr>
        <w:top w:val="none" w:sz="0" w:space="0" w:color="auto"/>
        <w:left w:val="none" w:sz="0" w:space="0" w:color="auto"/>
        <w:bottom w:val="none" w:sz="0" w:space="0" w:color="auto"/>
        <w:right w:val="none" w:sz="0" w:space="0" w:color="auto"/>
      </w:divBdr>
    </w:div>
    <w:div w:id="790591874">
      <w:bodyDiv w:val="1"/>
      <w:marLeft w:val="0"/>
      <w:marRight w:val="0"/>
      <w:marTop w:val="0"/>
      <w:marBottom w:val="0"/>
      <w:divBdr>
        <w:top w:val="none" w:sz="0" w:space="0" w:color="auto"/>
        <w:left w:val="none" w:sz="0" w:space="0" w:color="auto"/>
        <w:bottom w:val="none" w:sz="0" w:space="0" w:color="auto"/>
        <w:right w:val="none" w:sz="0" w:space="0" w:color="auto"/>
      </w:divBdr>
    </w:div>
    <w:div w:id="801312384">
      <w:bodyDiv w:val="1"/>
      <w:marLeft w:val="0"/>
      <w:marRight w:val="0"/>
      <w:marTop w:val="0"/>
      <w:marBottom w:val="0"/>
      <w:divBdr>
        <w:top w:val="none" w:sz="0" w:space="0" w:color="auto"/>
        <w:left w:val="none" w:sz="0" w:space="0" w:color="auto"/>
        <w:bottom w:val="none" w:sz="0" w:space="0" w:color="auto"/>
        <w:right w:val="none" w:sz="0" w:space="0" w:color="auto"/>
      </w:divBdr>
    </w:div>
    <w:div w:id="1090859446">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 w:id="1499081137">
      <w:bodyDiv w:val="1"/>
      <w:marLeft w:val="0"/>
      <w:marRight w:val="0"/>
      <w:marTop w:val="0"/>
      <w:marBottom w:val="0"/>
      <w:divBdr>
        <w:top w:val="none" w:sz="0" w:space="0" w:color="auto"/>
        <w:left w:val="none" w:sz="0" w:space="0" w:color="auto"/>
        <w:bottom w:val="none" w:sz="0" w:space="0" w:color="auto"/>
        <w:right w:val="none" w:sz="0" w:space="0" w:color="auto"/>
      </w:divBdr>
    </w:div>
    <w:div w:id="1562714576">
      <w:bodyDiv w:val="1"/>
      <w:marLeft w:val="0"/>
      <w:marRight w:val="0"/>
      <w:marTop w:val="0"/>
      <w:marBottom w:val="0"/>
      <w:divBdr>
        <w:top w:val="none" w:sz="0" w:space="0" w:color="auto"/>
        <w:left w:val="none" w:sz="0" w:space="0" w:color="auto"/>
        <w:bottom w:val="none" w:sz="0" w:space="0" w:color="auto"/>
        <w:right w:val="none" w:sz="0" w:space="0" w:color="auto"/>
      </w:divBdr>
      <w:divsChild>
        <w:div w:id="330841121">
          <w:marLeft w:val="150"/>
          <w:marRight w:val="0"/>
          <w:marTop w:val="90"/>
          <w:marBottom w:val="0"/>
          <w:divBdr>
            <w:top w:val="none" w:sz="0" w:space="0" w:color="auto"/>
            <w:left w:val="none" w:sz="0" w:space="0" w:color="auto"/>
            <w:bottom w:val="none" w:sz="0" w:space="0" w:color="auto"/>
            <w:right w:val="none" w:sz="0" w:space="0" w:color="auto"/>
          </w:divBdr>
        </w:div>
        <w:div w:id="1742369145">
          <w:marLeft w:val="0"/>
          <w:marRight w:val="0"/>
          <w:marTop w:val="0"/>
          <w:marBottom w:val="0"/>
          <w:divBdr>
            <w:top w:val="none" w:sz="0" w:space="0" w:color="auto"/>
            <w:left w:val="none" w:sz="0" w:space="0" w:color="auto"/>
            <w:bottom w:val="none" w:sz="0" w:space="0" w:color="auto"/>
            <w:right w:val="none" w:sz="0" w:space="0" w:color="auto"/>
          </w:divBdr>
        </w:div>
      </w:divsChild>
    </w:div>
    <w:div w:id="1790584602">
      <w:bodyDiv w:val="1"/>
      <w:marLeft w:val="0"/>
      <w:marRight w:val="0"/>
      <w:marTop w:val="0"/>
      <w:marBottom w:val="0"/>
      <w:divBdr>
        <w:top w:val="none" w:sz="0" w:space="0" w:color="auto"/>
        <w:left w:val="none" w:sz="0" w:space="0" w:color="auto"/>
        <w:bottom w:val="none" w:sz="0" w:space="0" w:color="auto"/>
        <w:right w:val="none" w:sz="0" w:space="0" w:color="auto"/>
      </w:divBdr>
    </w:div>
    <w:div w:id="1856572314">
      <w:bodyDiv w:val="1"/>
      <w:marLeft w:val="0"/>
      <w:marRight w:val="0"/>
      <w:marTop w:val="0"/>
      <w:marBottom w:val="0"/>
      <w:divBdr>
        <w:top w:val="none" w:sz="0" w:space="0" w:color="auto"/>
        <w:left w:val="none" w:sz="0" w:space="0" w:color="auto"/>
        <w:bottom w:val="none" w:sz="0" w:space="0" w:color="auto"/>
        <w:right w:val="none" w:sz="0" w:space="0" w:color="auto"/>
      </w:divBdr>
    </w:div>
    <w:div w:id="1938250269">
      <w:bodyDiv w:val="1"/>
      <w:marLeft w:val="0"/>
      <w:marRight w:val="0"/>
      <w:marTop w:val="0"/>
      <w:marBottom w:val="0"/>
      <w:divBdr>
        <w:top w:val="none" w:sz="0" w:space="0" w:color="auto"/>
        <w:left w:val="none" w:sz="0" w:space="0" w:color="auto"/>
        <w:bottom w:val="none" w:sz="0" w:space="0" w:color="auto"/>
        <w:right w:val="none" w:sz="0" w:space="0" w:color="auto"/>
      </w:divBdr>
    </w:div>
    <w:div w:id="1989505390">
      <w:bodyDiv w:val="1"/>
      <w:marLeft w:val="0"/>
      <w:marRight w:val="0"/>
      <w:marTop w:val="0"/>
      <w:marBottom w:val="0"/>
      <w:divBdr>
        <w:top w:val="none" w:sz="0" w:space="0" w:color="auto"/>
        <w:left w:val="none" w:sz="0" w:space="0" w:color="auto"/>
        <w:bottom w:val="none" w:sz="0" w:space="0" w:color="auto"/>
        <w:right w:val="none" w:sz="0" w:space="0" w:color="auto"/>
      </w:divBdr>
    </w:div>
    <w:div w:id="2047025171">
      <w:bodyDiv w:val="1"/>
      <w:marLeft w:val="0"/>
      <w:marRight w:val="0"/>
      <w:marTop w:val="0"/>
      <w:marBottom w:val="0"/>
      <w:divBdr>
        <w:top w:val="none" w:sz="0" w:space="0" w:color="auto"/>
        <w:left w:val="none" w:sz="0" w:space="0" w:color="auto"/>
        <w:bottom w:val="none" w:sz="0" w:space="0" w:color="auto"/>
        <w:right w:val="none" w:sz="0" w:space="0" w:color="auto"/>
      </w:divBdr>
    </w:div>
    <w:div w:id="207234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chart" Target="charts/chart8.xm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7.xml"/><Relationship Id="rId42" Type="http://schemas.openxmlformats.org/officeDocument/2006/relationships/header" Target="header9.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header" Target="header7.xml"/><Relationship Id="rId38" Type="http://schemas.openxmlformats.org/officeDocument/2006/relationships/chart" Target="charts/chart14.xm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4.xml"/><Relationship Id="rId29" Type="http://schemas.openxmlformats.org/officeDocument/2006/relationships/header" Target="header6.xm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6.xml"/><Relationship Id="rId32" Type="http://schemas.openxmlformats.org/officeDocument/2006/relationships/chart" Target="charts/chart11.xml"/><Relationship Id="rId37" Type="http://schemas.openxmlformats.org/officeDocument/2006/relationships/image" Target="media/image5.png"/><Relationship Id="rId40" Type="http://schemas.openxmlformats.org/officeDocument/2006/relationships/footer" Target="footer8.xml"/><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5.xml"/><Relationship Id="rId28" Type="http://schemas.openxmlformats.org/officeDocument/2006/relationships/image" Target="media/image4.emf"/><Relationship Id="rId36" Type="http://schemas.openxmlformats.org/officeDocument/2006/relationships/chart" Target="charts/chart13.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chart" Target="charts/chart10.xml"/><Relationship Id="rId44"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chart" Target="charts/chart9.xml"/><Relationship Id="rId30" Type="http://schemas.openxmlformats.org/officeDocument/2006/relationships/footer" Target="footer6.xml"/><Relationship Id="rId35" Type="http://schemas.openxmlformats.org/officeDocument/2006/relationships/chart" Target="charts/chart12.xml"/><Relationship Id="rId43" Type="http://schemas.openxmlformats.org/officeDocument/2006/relationships/footer" Target="footer9.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seargueta\Desktop\Informes%202021\Sitfin\Octubre\Sitfin%20al%20311021%20(1611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801624387420669E-2"/>
          <c:y val="2.9240924092409241E-2"/>
          <c:w val="0.87879660984298036"/>
          <c:h val="0.84854759491697196"/>
        </c:manualLayout>
      </c:layout>
      <c:barChart>
        <c:barDir val="col"/>
        <c:grouping val="clustered"/>
        <c:varyColors val="0"/>
        <c:ser>
          <c:idx val="0"/>
          <c:order val="0"/>
          <c:tx>
            <c:strRef>
              <c:f>'Reporte Diario'!$L$62</c:f>
              <c:strCache>
                <c:ptCount val="1"/>
                <c:pt idx="0">
                  <c:v>Déficit</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DC39-4646-A453-5F75AE7A578C}"/>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2018</c:v>
                </c:pt>
                <c:pt idx="1">
                  <c:v>2019</c:v>
                </c:pt>
                <c:pt idx="2">
                  <c:v>2020</c:v>
                </c:pt>
                <c:pt idx="3">
                  <c:v>2021</c:v>
                </c:pt>
              </c:numCache>
            </c:numRef>
          </c:cat>
          <c:val>
            <c:numRef>
              <c:f>'Reporte Diario'!$M$62:$P$62</c:f>
              <c:numCache>
                <c:formatCode>_-* #,##0.0_-;\-* #,##0.0_-;_-* "-"??_-;_-@_-</c:formatCode>
                <c:ptCount val="4"/>
                <c:pt idx="0">
                  <c:v>-3156.4674119400015</c:v>
                </c:pt>
                <c:pt idx="1">
                  <c:v>-7325.503519169999</c:v>
                </c:pt>
                <c:pt idx="2">
                  <c:v>-19361.215974179995</c:v>
                </c:pt>
                <c:pt idx="3">
                  <c:v>-622.23369060001278</c:v>
                </c:pt>
              </c:numCache>
            </c:numRef>
          </c:val>
          <c:extLst>
            <c:ext xmlns:c16="http://schemas.microsoft.com/office/drawing/2014/chart" uri="{C3380CC4-5D6E-409C-BE32-E72D297353CC}">
              <c16:uniqueId val="{00000002-DC39-4646-A453-5F75AE7A578C}"/>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2306229196386118E-2"/>
          <c:y val="5.7049714751426242E-2"/>
          <c:w val="0.9308482680978839"/>
          <c:h val="0.82390804716164423"/>
        </c:manualLayout>
      </c:layout>
      <c:ofPieChart>
        <c:ofPieType val="pie"/>
        <c:varyColors val="1"/>
        <c:ser>
          <c:idx val="0"/>
          <c:order val="0"/>
          <c:tx>
            <c:strRef>
              <c:f>Sheet1!$B$1</c:f>
              <c:strCache>
                <c:ptCount val="1"/>
                <c:pt idx="0">
                  <c:v>Column1</c:v>
                </c:pt>
              </c:strCache>
            </c:strRef>
          </c:tx>
          <c:spPr>
            <a:ln w="9525">
              <a:solidFill>
                <a:schemeClr val="tx1"/>
              </a:solidFill>
            </a:ln>
            <a:effectLst>
              <a:softEdge rad="0"/>
            </a:effectLst>
          </c:spPr>
          <c:dPt>
            <c:idx val="0"/>
            <c:bubble3D val="0"/>
            <c:spPr>
              <a:solidFill>
                <a:schemeClr val="accent1">
                  <a:shade val="58000"/>
                </a:schemeClr>
              </a:solidFill>
              <a:ln w="9525">
                <a:solidFill>
                  <a:schemeClr val="tx1"/>
                </a:solidFill>
              </a:ln>
              <a:effectLst>
                <a:softEdge rad="0"/>
              </a:effectLst>
            </c:spPr>
            <c:extLst>
              <c:ext xmlns:c16="http://schemas.microsoft.com/office/drawing/2014/chart" uri="{C3380CC4-5D6E-409C-BE32-E72D297353CC}">
                <c16:uniqueId val="{00000001-2FA6-4E54-BE0D-845918DBA21C}"/>
              </c:ext>
            </c:extLst>
          </c:dPt>
          <c:dPt>
            <c:idx val="1"/>
            <c:bubble3D val="0"/>
            <c:spPr>
              <a:solidFill>
                <a:schemeClr val="accent1">
                  <a:shade val="86000"/>
                </a:schemeClr>
              </a:solidFill>
              <a:ln w="9525">
                <a:solidFill>
                  <a:schemeClr val="tx1"/>
                </a:solidFill>
              </a:ln>
              <a:effectLst>
                <a:softEdge rad="0"/>
              </a:effectLst>
            </c:spPr>
            <c:extLst>
              <c:ext xmlns:c16="http://schemas.microsoft.com/office/drawing/2014/chart" uri="{C3380CC4-5D6E-409C-BE32-E72D297353CC}">
                <c16:uniqueId val="{00000003-2FA6-4E54-BE0D-845918DBA21C}"/>
              </c:ext>
            </c:extLst>
          </c:dPt>
          <c:dPt>
            <c:idx val="2"/>
            <c:bubble3D val="0"/>
            <c:spPr>
              <a:solidFill>
                <a:schemeClr val="accent1">
                  <a:tint val="86000"/>
                </a:schemeClr>
              </a:solidFill>
              <a:ln w="9525">
                <a:solidFill>
                  <a:schemeClr val="tx1"/>
                </a:solidFill>
              </a:ln>
              <a:effectLst>
                <a:softEdge rad="0"/>
              </a:effectLst>
            </c:spPr>
            <c:extLst>
              <c:ext xmlns:c16="http://schemas.microsoft.com/office/drawing/2014/chart" uri="{C3380CC4-5D6E-409C-BE32-E72D297353CC}">
                <c16:uniqueId val="{00000005-2FA6-4E54-BE0D-845918DBA21C}"/>
              </c:ext>
            </c:extLst>
          </c:dPt>
          <c:dPt>
            <c:idx val="3"/>
            <c:bubble3D val="0"/>
            <c:spPr>
              <a:solidFill>
                <a:schemeClr val="accent1">
                  <a:tint val="58000"/>
                </a:schemeClr>
              </a:solidFill>
              <a:ln w="9525">
                <a:solidFill>
                  <a:schemeClr val="tx1"/>
                </a:solidFill>
              </a:ln>
              <a:effectLst>
                <a:softEdge rad="0"/>
              </a:effectLst>
            </c:spPr>
            <c:extLst>
              <c:ext xmlns:c16="http://schemas.microsoft.com/office/drawing/2014/chart" uri="{C3380CC4-5D6E-409C-BE32-E72D297353CC}">
                <c16:uniqueId val="{00000007-2FA6-4E54-BE0D-845918DBA21C}"/>
              </c:ext>
            </c:extLst>
          </c:dPt>
          <c:dPt>
            <c:idx val="4"/>
            <c:bubble3D val="0"/>
            <c:spPr>
              <a:solidFill>
                <a:schemeClr val="accent1">
                  <a:lumMod val="50000"/>
                </a:schemeClr>
              </a:solidFill>
              <a:ln w="9525">
                <a:solidFill>
                  <a:schemeClr val="tx1"/>
                </a:solidFill>
              </a:ln>
              <a:effectLst>
                <a:softEdge rad="0"/>
              </a:effectLst>
            </c:spPr>
            <c:extLst>
              <c:ext xmlns:c16="http://schemas.microsoft.com/office/drawing/2014/chart" uri="{C3380CC4-5D6E-409C-BE32-E72D297353CC}">
                <c16:uniqueId val="{00000009-2FA6-4E54-BE0D-845918DBA21C}"/>
              </c:ext>
            </c:extLst>
          </c:dPt>
          <c:dLbls>
            <c:dLbl>
              <c:idx val="0"/>
              <c:layout>
                <c:manualLayout>
                  <c:x val="0.12586056243917079"/>
                  <c:y val="-0.13279601285794332"/>
                </c:manualLayout>
              </c:layout>
              <c:spPr>
                <a:noFill/>
                <a:ln w="6350">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FA6-4E54-BE0D-845918DBA21C}"/>
                </c:ext>
              </c:extLst>
            </c:dLbl>
            <c:dLbl>
              <c:idx val="2"/>
              <c:layout>
                <c:manualLayout>
                  <c:x val="-4.1135390293522291E-2"/>
                  <c:y val="0.20000029490695687"/>
                </c:manualLayout>
              </c:layout>
              <c:spPr>
                <a:noFill/>
                <a:ln w="6350">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34806034482758619"/>
                      <c:h val="0.3345132743362832"/>
                    </c:manualLayout>
                  </c15:layout>
                </c:ext>
                <c:ext xmlns:c16="http://schemas.microsoft.com/office/drawing/2014/chart" uri="{C3380CC4-5D6E-409C-BE32-E72D297353CC}">
                  <c16:uniqueId val="{00000005-2FA6-4E54-BE0D-845918DBA21C}"/>
                </c:ext>
              </c:extLst>
            </c:dLbl>
            <c:dLbl>
              <c:idx val="3"/>
              <c:layout>
                <c:manualLayout>
                  <c:x val="0.10928036238047628"/>
                  <c:y val="-0.18120490992290886"/>
                </c:manualLayout>
              </c:layout>
              <c:spPr>
                <a:noFill/>
                <a:ln w="6350">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3387136620556664"/>
                      <c:h val="0.29044502617801049"/>
                    </c:manualLayout>
                  </c15:layout>
                </c:ext>
                <c:ext xmlns:c16="http://schemas.microsoft.com/office/drawing/2014/chart" uri="{C3380CC4-5D6E-409C-BE32-E72D297353CC}">
                  <c16:uniqueId val="{00000007-2FA6-4E54-BE0D-845918DBA21C}"/>
                </c:ext>
              </c:extLst>
            </c:dLbl>
            <c:dLbl>
              <c:idx val="4"/>
              <c:layout>
                <c:manualLayout>
                  <c:x val="-0.27233085125256379"/>
                  <c:y val="1.61749701117203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baseline="0">
                        <a:solidFill>
                          <a:schemeClr val="bg1"/>
                        </a:solidFill>
                        <a:latin typeface="Times New Roman" panose="02020603050405020304" pitchFamily="18" charset="0"/>
                        <a:cs typeface="Times New Roman" panose="02020603050405020304" pitchFamily="18" charset="0"/>
                      </a:rPr>
                      <a:t>Colocado; </a:t>
                    </a:r>
                    <a:fld id="{6AC21147-B1CF-4B77-B9E2-10ABADC3CA3C}" type="VALUE">
                      <a:rPr lang="en-US" baseline="0">
                        <a:solidFill>
                          <a:schemeClr val="bg1"/>
                        </a:solidFill>
                        <a:latin typeface="Times New Roman" panose="02020603050405020304" pitchFamily="18" charset="0"/>
                        <a:cs typeface="Times New Roman" panose="02020603050405020304" pitchFamily="18" charset="0"/>
                      </a:rPr>
                      <a:pPr>
                        <a:defRPr b="1">
                          <a:solidFill>
                            <a:schemeClr val="bg1"/>
                          </a:solidFill>
                          <a:latin typeface="Times New Roman" panose="02020603050405020304" pitchFamily="18" charset="0"/>
                          <a:cs typeface="Times New Roman" panose="02020603050405020304" pitchFamily="18" charset="0"/>
                        </a:defRPr>
                      </a:pPr>
                      <a:t>[VALOR]</a:t>
                    </a:fld>
                    <a:endParaRPr lang="en-US" baseline="0">
                      <a:solidFill>
                        <a:schemeClr val="bg1"/>
                      </a:solidFill>
                      <a:latin typeface="Times New Roman" panose="02020603050405020304" pitchFamily="18" charset="0"/>
                      <a:cs typeface="Times New Roman" panose="02020603050405020304" pitchFamily="18" charset="0"/>
                    </a:endParaRPr>
                  </a:p>
                </c:rich>
              </c:tx>
              <c:numFmt formatCode="#,##0.0" sourceLinked="0"/>
              <c:spPr>
                <a:noFill/>
                <a:ln w="6350">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3581790115780696"/>
                      <c:h val="0.30127643566805451"/>
                    </c:manualLayout>
                  </c15:layout>
                  <c15:dlblFieldTable/>
                  <c15:showDataLabelsRange val="0"/>
                </c:ext>
                <c:ext xmlns:c16="http://schemas.microsoft.com/office/drawing/2014/chart" uri="{C3380CC4-5D6E-409C-BE32-E72D297353CC}">
                  <c16:uniqueId val="{00000009-2FA6-4E54-BE0D-845918DBA21C}"/>
                </c:ext>
              </c:extLst>
            </c:dLbl>
            <c:spPr>
              <a:noFill/>
              <a:ln w="6350">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showLeaderLines val="0"/>
            <c:extLst>
              <c:ext xmlns:c15="http://schemas.microsoft.com/office/drawing/2012/chart" uri="{CE6537A1-D6FC-4f65-9D91-7224C49458BB}"/>
            </c:extLst>
          </c:dLbls>
          <c:cat>
            <c:strRef>
              <c:f>Sheet1!$A$2:$A$5</c:f>
              <c:strCache>
                <c:ptCount val="4"/>
                <c:pt idx="0">
                  <c:v>Por Colocar</c:v>
                </c:pt>
                <c:pt idx="1">
                  <c:v>Colocado</c:v>
                </c:pt>
                <c:pt idx="2">
                  <c:v>Nuevo Endeudamiento</c:v>
                </c:pt>
                <c:pt idx="3">
                  <c:v>Roll Over</c:v>
                </c:pt>
              </c:strCache>
            </c:strRef>
          </c:cat>
          <c:val>
            <c:numRef>
              <c:f>Sheet1!$B$2:$B$5</c:f>
              <c:numCache>
                <c:formatCode>General</c:formatCode>
                <c:ptCount val="4"/>
                <c:pt idx="0" formatCode="#,##0.0">
                  <c:v>271.73154945000169</c:v>
                </c:pt>
                <c:pt idx="2" formatCode="#,##0.0">
                  <c:v>18776.219450550001</c:v>
                </c:pt>
                <c:pt idx="3" formatCode="#,##0.0">
                  <c:v>5430.5190000000002</c:v>
                </c:pt>
              </c:numCache>
            </c:numRef>
          </c:val>
          <c:extLst>
            <c:ext xmlns:c16="http://schemas.microsoft.com/office/drawing/2014/chart" uri="{C3380CC4-5D6E-409C-BE32-E72D297353CC}">
              <c16:uniqueId val="{0000000A-2FA6-4E54-BE0D-845918DBA21C}"/>
            </c:ext>
          </c:extLst>
        </c:ser>
        <c:dLbls>
          <c:showLegendKey val="0"/>
          <c:showVal val="0"/>
          <c:showCatName val="0"/>
          <c:showSerName val="0"/>
          <c:showPercent val="0"/>
          <c:showBubbleSize val="0"/>
          <c:showLeaderLines val="0"/>
        </c:dLbls>
        <c:gapWidth val="29"/>
        <c:secondPieSize val="63"/>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291694840084052E-2"/>
          <c:y val="0"/>
          <c:w val="0.96970830515991591"/>
          <c:h val="0.7335964961971575"/>
        </c:manualLayout>
      </c:layout>
      <c:barChart>
        <c:barDir val="col"/>
        <c:grouping val="clustered"/>
        <c:varyColors val="0"/>
        <c:ser>
          <c:idx val="0"/>
          <c:order val="0"/>
          <c:tx>
            <c:strRef>
              <c:f>Sheet1!$B$1</c:f>
              <c:strCache>
                <c:ptCount val="1"/>
                <c:pt idx="0">
                  <c:v>2019</c:v>
                </c:pt>
              </c:strCache>
            </c:strRef>
          </c:tx>
          <c:spPr>
            <a:solidFill>
              <a:srgbClr val="FF9933"/>
            </a:solidFill>
            <a:ln>
              <a:solidFill>
                <a:schemeClr val="tx1"/>
              </a:solidFill>
            </a:ln>
            <a:effectLst/>
          </c:spPr>
          <c:invertIfNegative val="0"/>
          <c:dLbls>
            <c:dLbl>
              <c:idx val="3"/>
              <c:layout>
                <c:manualLayout>
                  <c:x val="-1.773049645390079E-2"/>
                  <c:y val="7.57288905717529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E7-424A-BEC7-3FCFD7FF046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10 años (US$500)</c:v>
                </c:pt>
                <c:pt idx="1">
                  <c:v>12 Años (US$500)</c:v>
                </c:pt>
                <c:pt idx="2">
                  <c:v>20 años (US$500)</c:v>
                </c:pt>
                <c:pt idx="3">
                  <c:v>30 años (US$700)</c:v>
                </c:pt>
              </c:strCache>
            </c:strRef>
          </c:cat>
          <c:val>
            <c:numRef>
              <c:f>Sheet1!$B$2:$B$5</c:f>
              <c:numCache>
                <c:formatCode>General</c:formatCode>
                <c:ptCount val="4"/>
                <c:pt idx="0">
                  <c:v>4.9000000000000004</c:v>
                </c:pt>
                <c:pt idx="3">
                  <c:v>6.125</c:v>
                </c:pt>
              </c:numCache>
            </c:numRef>
          </c:val>
          <c:extLst>
            <c:ext xmlns:c16="http://schemas.microsoft.com/office/drawing/2014/chart" uri="{C3380CC4-5D6E-409C-BE32-E72D297353CC}">
              <c16:uniqueId val="{00000001-AEE7-424A-BEC7-3FCFD7FF0466}"/>
            </c:ext>
          </c:extLst>
        </c:ser>
        <c:ser>
          <c:idx val="1"/>
          <c:order val="1"/>
          <c:tx>
            <c:strRef>
              <c:f>Sheet1!$C$1</c:f>
              <c:strCache>
                <c:ptCount val="1"/>
                <c:pt idx="0">
                  <c:v>2020</c:v>
                </c:pt>
              </c:strCache>
            </c:strRef>
          </c:tx>
          <c:spPr>
            <a:solidFill>
              <a:schemeClr val="accent6">
                <a:lumMod val="75000"/>
              </a:schemeClr>
            </a:solidFill>
            <a:ln>
              <a:solidFill>
                <a:schemeClr val="tx1"/>
              </a:solidFill>
            </a:ln>
            <a:effectLst/>
          </c:spPr>
          <c:invertIfNegative val="0"/>
          <c:dLbls>
            <c:dLbl>
              <c:idx val="3"/>
              <c:layout>
                <c:manualLayout>
                  <c:x val="3.1028368794326241E-2"/>
                  <c:y val="7.57288905717529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E7-424A-BEC7-3FCFD7FF046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10 años (US$500)</c:v>
                </c:pt>
                <c:pt idx="1">
                  <c:v>12 Años (US$500)</c:v>
                </c:pt>
                <c:pt idx="2">
                  <c:v>20 años (US$500)</c:v>
                </c:pt>
                <c:pt idx="3">
                  <c:v>30 años (US$700)</c:v>
                </c:pt>
              </c:strCache>
            </c:strRef>
          </c:cat>
          <c:val>
            <c:numRef>
              <c:f>Sheet1!$C$2:$C$5</c:f>
              <c:numCache>
                <c:formatCode>General</c:formatCode>
                <c:ptCount val="4"/>
                <c:pt idx="1">
                  <c:v>5.375</c:v>
                </c:pt>
                <c:pt idx="3">
                  <c:v>6.125</c:v>
                </c:pt>
              </c:numCache>
            </c:numRef>
          </c:val>
          <c:extLst>
            <c:ext xmlns:c16="http://schemas.microsoft.com/office/drawing/2014/chart" uri="{C3380CC4-5D6E-409C-BE32-E72D297353CC}">
              <c16:uniqueId val="{00000003-AEE7-424A-BEC7-3FCFD7FF0466}"/>
            </c:ext>
          </c:extLst>
        </c:ser>
        <c:ser>
          <c:idx val="2"/>
          <c:order val="2"/>
          <c:tx>
            <c:strRef>
              <c:f>Sheet1!$D$1</c:f>
              <c:strCache>
                <c:ptCount val="1"/>
                <c:pt idx="0">
                  <c:v>2021</c:v>
                </c:pt>
              </c:strCache>
            </c:strRef>
          </c:tx>
          <c:spPr>
            <a:solidFill>
              <a:schemeClr val="accent5">
                <a:lumMod val="50000"/>
              </a:schemeClr>
            </a:solidFill>
            <a:ln>
              <a:solidFill>
                <a:schemeClr val="tx1"/>
              </a:solidFill>
            </a:ln>
            <a:effectLst/>
          </c:spPr>
          <c:invertIfNegative val="0"/>
          <c:dLbls>
            <c:dLbl>
              <c:idx val="1"/>
              <c:layout>
                <c:manualLayout>
                  <c:x val="8.8652482269503553E-3"/>
                  <c:y val="1.514577811435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E7-424A-BEC7-3FCFD7FF0466}"/>
                </c:ext>
              </c:extLst>
            </c:dLbl>
            <c:dLbl>
              <c:idx val="2"/>
              <c:layout>
                <c:manualLayout>
                  <c:x val="-4.4326241134752583E-3"/>
                  <c:y val="3.029155622870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E7-424A-BEC7-3FCFD7FF046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10 años (US$500)</c:v>
                </c:pt>
                <c:pt idx="1">
                  <c:v>12 Años (US$500)</c:v>
                </c:pt>
                <c:pt idx="2">
                  <c:v>20 años (US$500)</c:v>
                </c:pt>
                <c:pt idx="3">
                  <c:v>30 años (US$700)</c:v>
                </c:pt>
              </c:strCache>
            </c:strRef>
          </c:cat>
          <c:val>
            <c:numRef>
              <c:f>Sheet1!$D$2:$D$5</c:f>
              <c:numCache>
                <c:formatCode>General</c:formatCode>
                <c:ptCount val="4"/>
                <c:pt idx="1">
                  <c:v>3.7</c:v>
                </c:pt>
                <c:pt idx="2">
                  <c:v>4.6500000000000004</c:v>
                </c:pt>
              </c:numCache>
            </c:numRef>
          </c:val>
          <c:extLst>
            <c:ext xmlns:c16="http://schemas.microsoft.com/office/drawing/2014/chart" uri="{C3380CC4-5D6E-409C-BE32-E72D297353CC}">
              <c16:uniqueId val="{00000006-AEE7-424A-BEC7-3FCFD7FF0466}"/>
            </c:ext>
          </c:extLst>
        </c:ser>
        <c:dLbls>
          <c:showLegendKey val="0"/>
          <c:showVal val="0"/>
          <c:showCatName val="0"/>
          <c:showSerName val="0"/>
          <c:showPercent val="0"/>
          <c:showBubbleSize val="0"/>
        </c:dLbls>
        <c:gapWidth val="129"/>
        <c:axId val="450638368"/>
        <c:axId val="450634432"/>
      </c:barChart>
      <c:catAx>
        <c:axId val="45063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50634432"/>
        <c:crosses val="autoZero"/>
        <c:auto val="1"/>
        <c:lblAlgn val="ctr"/>
        <c:lblOffset val="100"/>
        <c:noMultiLvlLbl val="0"/>
      </c:catAx>
      <c:valAx>
        <c:axId val="4506344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50638368"/>
        <c:crosses val="autoZero"/>
        <c:crossBetween val="between"/>
      </c:valAx>
      <c:spPr>
        <a:noFill/>
        <a:ln>
          <a:noFill/>
        </a:ln>
        <a:effectLst/>
      </c:spPr>
    </c:plotArea>
    <c:legend>
      <c:legendPos val="b"/>
      <c:layout>
        <c:manualLayout>
          <c:xMode val="edge"/>
          <c:yMode val="edge"/>
          <c:x val="0.28482576646004359"/>
          <c:y val="0.93286365520099457"/>
          <c:w val="0.43034846707991287"/>
          <c:h val="6.713634479900539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68521434820648"/>
          <c:y val="3.1265625695093197E-2"/>
          <c:w val="0.77462957130358701"/>
          <c:h val="0.73727745896169761"/>
        </c:manualLayout>
      </c:layout>
      <c:barChart>
        <c:barDir val="col"/>
        <c:grouping val="clustered"/>
        <c:varyColors val="0"/>
        <c:ser>
          <c:idx val="0"/>
          <c:order val="1"/>
          <c:tx>
            <c:strRef>
              <c:f>Sheet1!$C$1</c:f>
              <c:strCache>
                <c:ptCount val="1"/>
                <c:pt idx="0">
                  <c:v>Ejecución 2021</c:v>
                </c:pt>
              </c:strCache>
            </c:strRef>
          </c:tx>
          <c:spPr>
            <a:solidFill>
              <a:srgbClr val="FFC000"/>
            </a:solidFill>
            <a:ln>
              <a:solidFill>
                <a:schemeClr val="tx1"/>
              </a:solidFill>
            </a:ln>
            <a:effectLst/>
          </c:spPr>
          <c:invertIfNegative val="0"/>
          <c:dLbls>
            <c:dLbl>
              <c:idx val="2"/>
              <c:layout>
                <c:manualLayout>
                  <c:x val="0"/>
                  <c:y val="3.42679432741064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0C-4F94-8A45-D31B7DDD6004}"/>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Enero</c:v>
                </c:pt>
                <c:pt idx="1">
                  <c:v>Febrero</c:v>
                </c:pt>
                <c:pt idx="2">
                  <c:v>Marzo</c:v>
                </c:pt>
                <c:pt idx="3">
                  <c:v>Abril </c:v>
                </c:pt>
                <c:pt idx="4">
                  <c:v>Mayo</c:v>
                </c:pt>
                <c:pt idx="5">
                  <c:v>Junio</c:v>
                </c:pt>
                <c:pt idx="6">
                  <c:v>Julio</c:v>
                </c:pt>
                <c:pt idx="7">
                  <c:v>Agosto</c:v>
                </c:pt>
                <c:pt idx="8">
                  <c:v>Septiembre</c:v>
                </c:pt>
                <c:pt idx="9">
                  <c:v>Octubre</c:v>
                </c:pt>
              </c:strCache>
            </c:strRef>
          </c:cat>
          <c:val>
            <c:numRef>
              <c:f>Sheet1!$C$2:$C$11</c:f>
              <c:numCache>
                <c:formatCode>_-* #,##0.0_-;\-* #,##0.0_-;_-* "-"??_-;_-@_-</c:formatCode>
                <c:ptCount val="10"/>
                <c:pt idx="0">
                  <c:v>4.03</c:v>
                </c:pt>
                <c:pt idx="1">
                  <c:v>22.38</c:v>
                </c:pt>
                <c:pt idx="2">
                  <c:v>139.29</c:v>
                </c:pt>
                <c:pt idx="3">
                  <c:v>1010.3</c:v>
                </c:pt>
                <c:pt idx="4">
                  <c:v>1099.79</c:v>
                </c:pt>
                <c:pt idx="5">
                  <c:v>1218.47</c:v>
                </c:pt>
                <c:pt idx="6">
                  <c:v>1308.33</c:v>
                </c:pt>
                <c:pt idx="7">
                  <c:v>1429.6381633000001</c:v>
                </c:pt>
                <c:pt idx="8">
                  <c:v>1554.32</c:v>
                </c:pt>
                <c:pt idx="9">
                  <c:v>1873.13</c:v>
                </c:pt>
              </c:numCache>
            </c:numRef>
          </c:val>
          <c:extLst>
            <c:ext xmlns:c16="http://schemas.microsoft.com/office/drawing/2014/chart" uri="{C3380CC4-5D6E-409C-BE32-E72D297353CC}">
              <c16:uniqueId val="{00000001-700C-4F94-8A45-D31B7DDD6004}"/>
            </c:ext>
          </c:extLst>
        </c:ser>
        <c:dLbls>
          <c:showLegendKey val="0"/>
          <c:showVal val="0"/>
          <c:showCatName val="0"/>
          <c:showSerName val="0"/>
          <c:showPercent val="0"/>
          <c:showBubbleSize val="0"/>
        </c:dLbls>
        <c:gapWidth val="32"/>
        <c:axId val="393788496"/>
        <c:axId val="393781280"/>
      </c:barChart>
      <c:lineChart>
        <c:grouping val="standard"/>
        <c:varyColors val="0"/>
        <c:ser>
          <c:idx val="1"/>
          <c:order val="0"/>
          <c:tx>
            <c:strRef>
              <c:f>Sheet1!$B$1</c:f>
              <c:strCache>
                <c:ptCount val="1"/>
                <c:pt idx="0">
                  <c:v>Ejecución 2020</c:v>
                </c:pt>
              </c:strCache>
            </c:strRef>
          </c:tx>
          <c:spPr>
            <a:ln w="28575" cap="rnd">
              <a:solidFill>
                <a:schemeClr val="accent2"/>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700C-4F94-8A45-D31B7DDD6004}"/>
                </c:ext>
              </c:extLst>
            </c:dLbl>
            <c:dLbl>
              <c:idx val="1"/>
              <c:delete val="1"/>
              <c:extLst>
                <c:ext xmlns:c15="http://schemas.microsoft.com/office/drawing/2012/chart" uri="{CE6537A1-D6FC-4f65-9D91-7224C49458BB}"/>
                <c:ext xmlns:c16="http://schemas.microsoft.com/office/drawing/2014/chart" uri="{C3380CC4-5D6E-409C-BE32-E72D297353CC}">
                  <c16:uniqueId val="{00000003-700C-4F94-8A45-D31B7DDD6004}"/>
                </c:ext>
              </c:extLst>
            </c:dLbl>
            <c:dLbl>
              <c:idx val="2"/>
              <c:delete val="1"/>
              <c:extLst>
                <c:ext xmlns:c15="http://schemas.microsoft.com/office/drawing/2012/chart" uri="{CE6537A1-D6FC-4f65-9D91-7224C49458BB}"/>
                <c:ext xmlns:c16="http://schemas.microsoft.com/office/drawing/2014/chart" uri="{C3380CC4-5D6E-409C-BE32-E72D297353CC}">
                  <c16:uniqueId val="{00000004-700C-4F94-8A45-D31B7DDD6004}"/>
                </c:ext>
              </c:extLst>
            </c:dLbl>
            <c:dLbl>
              <c:idx val="3"/>
              <c:delete val="1"/>
              <c:extLst>
                <c:ext xmlns:c15="http://schemas.microsoft.com/office/drawing/2012/chart" uri="{CE6537A1-D6FC-4f65-9D91-7224C49458BB}"/>
                <c:ext xmlns:c16="http://schemas.microsoft.com/office/drawing/2014/chart" uri="{C3380CC4-5D6E-409C-BE32-E72D297353CC}">
                  <c16:uniqueId val="{00000005-700C-4F94-8A45-D31B7DDD6004}"/>
                </c:ext>
              </c:extLst>
            </c:dLbl>
            <c:dLbl>
              <c:idx val="4"/>
              <c:layout>
                <c:manualLayout>
                  <c:x val="-0.13451027555273165"/>
                  <c:y val="-0.2439301026507812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0C-4F94-8A45-D31B7DDD6004}"/>
                </c:ext>
              </c:extLst>
            </c:dLbl>
            <c:dLbl>
              <c:idx val="5"/>
              <c:layout>
                <c:manualLayout>
                  <c:x val="-0.148919497454749"/>
                  <c:y val="-0.2177520921795770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0C-4F94-8A45-D31B7DDD6004}"/>
                </c:ext>
              </c:extLst>
            </c:dLbl>
            <c:dLbl>
              <c:idx val="6"/>
              <c:layout>
                <c:manualLayout>
                  <c:x val="-0.15852564538942718"/>
                  <c:y val="-0.237385600032980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0C-4F94-8A45-D31B7DDD6004}"/>
                </c:ext>
              </c:extLst>
            </c:dLbl>
            <c:dLbl>
              <c:idx val="7"/>
              <c:layout>
                <c:manualLayout>
                  <c:x val="-0.15372257142208817"/>
                  <c:y val="-0.1915740817083728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0C-4F94-8A45-D31B7DDD6004}"/>
                </c:ext>
              </c:extLst>
            </c:dLbl>
            <c:dLbl>
              <c:idx val="8"/>
              <c:layout>
                <c:manualLayout>
                  <c:x val="-0.148919497454749"/>
                  <c:y val="-0.1195845529125613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00C-4F94-8A45-D31B7DDD6004}"/>
                </c:ext>
              </c:extLst>
            </c:dLbl>
            <c:dLbl>
              <c:idx val="9"/>
              <c:layout>
                <c:manualLayout>
                  <c:x val="-9.0321995053212006E-2"/>
                  <c:y val="-9.3406542441357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00C-4F94-8A45-D31B7DDD6004}"/>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C00000"/>
                      </a:solidFill>
                      <a:round/>
                    </a:ln>
                    <a:effectLst/>
                  </c:spPr>
                </c15:leaderLines>
              </c:ext>
            </c:extLst>
          </c:dLbls>
          <c:cat>
            <c:strRef>
              <c:f>Sheet1!$A$2:$A$11</c:f>
              <c:strCache>
                <c:ptCount val="10"/>
                <c:pt idx="0">
                  <c:v>Enero</c:v>
                </c:pt>
                <c:pt idx="1">
                  <c:v>Febrero</c:v>
                </c:pt>
                <c:pt idx="2">
                  <c:v>Marzo</c:v>
                </c:pt>
                <c:pt idx="3">
                  <c:v>Abril </c:v>
                </c:pt>
                <c:pt idx="4">
                  <c:v>Mayo</c:v>
                </c:pt>
                <c:pt idx="5">
                  <c:v>Junio</c:v>
                </c:pt>
                <c:pt idx="6">
                  <c:v>Julio</c:v>
                </c:pt>
                <c:pt idx="7">
                  <c:v>Agosto</c:v>
                </c:pt>
                <c:pt idx="8">
                  <c:v>Septiembre</c:v>
                </c:pt>
                <c:pt idx="9">
                  <c:v>Octubre</c:v>
                </c:pt>
              </c:strCache>
            </c:strRef>
          </c:cat>
          <c:val>
            <c:numRef>
              <c:f>Sheet1!$B$2:$B$11</c:f>
              <c:numCache>
                <c:formatCode>General</c:formatCode>
                <c:ptCount val="10"/>
                <c:pt idx="0">
                  <c:v>0</c:v>
                </c:pt>
                <c:pt idx="1">
                  <c:v>0</c:v>
                </c:pt>
                <c:pt idx="2">
                  <c:v>0</c:v>
                </c:pt>
                <c:pt idx="3">
                  <c:v>0</c:v>
                </c:pt>
                <c:pt idx="4" formatCode="_-* #,##0.0_-;\-* #,##0.0_-;_-* &quot;-&quot;??_-;_-@_-">
                  <c:v>2120.6800000000003</c:v>
                </c:pt>
                <c:pt idx="5" formatCode="_-* #,##0.0_-;\-* #,##0.0_-;_-* &quot;-&quot;??_-;_-@_-">
                  <c:v>4006.5029999999997</c:v>
                </c:pt>
                <c:pt idx="6" formatCode="_-* #,##0.0_-;\-* #,##0.0_-;_-* &quot;-&quot;??_-;_-@_-">
                  <c:v>4935.3299730000008</c:v>
                </c:pt>
                <c:pt idx="7" formatCode="_-* #,##0.0_-;\-* #,##0.0_-;_-* &quot;-&quot;??_-;_-@_-">
                  <c:v>7035.3304124899996</c:v>
                </c:pt>
                <c:pt idx="8" formatCode="_-* #,##0.0_-;\-* #,##0.0_-;_-* &quot;-&quot;??_-;_-@_-">
                  <c:v>9807.7554124899998</c:v>
                </c:pt>
                <c:pt idx="9" formatCode="_-* #,##0.0_-;\-* #,##0.0_-;_-* &quot;-&quot;??_-;_-@_-">
                  <c:v>11151.555412489999</c:v>
                </c:pt>
              </c:numCache>
            </c:numRef>
          </c:val>
          <c:smooth val="0"/>
          <c:extLst>
            <c:ext xmlns:c16="http://schemas.microsoft.com/office/drawing/2014/chart" uri="{C3380CC4-5D6E-409C-BE32-E72D297353CC}">
              <c16:uniqueId val="{0000000C-700C-4F94-8A45-D31B7DDD6004}"/>
            </c:ext>
          </c:extLst>
        </c:ser>
        <c:dLbls>
          <c:showLegendKey val="0"/>
          <c:showVal val="0"/>
          <c:showCatName val="0"/>
          <c:showSerName val="0"/>
          <c:showPercent val="0"/>
          <c:showBubbleSize val="0"/>
        </c:dLbls>
        <c:marker val="1"/>
        <c:smooth val="0"/>
        <c:axId val="445851672"/>
        <c:axId val="445851016"/>
      </c:lineChart>
      <c:valAx>
        <c:axId val="445851016"/>
        <c:scaling>
          <c:orientation val="minMax"/>
          <c:max val="14000"/>
          <c:min val="0"/>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45851672"/>
        <c:crosses val="max"/>
        <c:crossBetween val="between"/>
      </c:valAx>
      <c:catAx>
        <c:axId val="445851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45851016"/>
        <c:crosses val="autoZero"/>
        <c:auto val="1"/>
        <c:lblAlgn val="ctr"/>
        <c:lblOffset val="100"/>
        <c:noMultiLvlLbl val="0"/>
      </c:catAx>
      <c:valAx>
        <c:axId val="393781280"/>
        <c:scaling>
          <c:orientation val="minMax"/>
          <c:max val="2400"/>
          <c:min val="0"/>
        </c:scaling>
        <c:delete val="0"/>
        <c:axPos val="l"/>
        <c:numFmt formatCode="_-* #,##0.0_-;\-* #,##0.0_-;_-* &quot;-&quot;??_-;_-@_-"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93788496"/>
        <c:crosses val="autoZero"/>
        <c:crossBetween val="between"/>
      </c:valAx>
      <c:catAx>
        <c:axId val="393788496"/>
        <c:scaling>
          <c:orientation val="minMax"/>
        </c:scaling>
        <c:delete val="1"/>
        <c:axPos val="b"/>
        <c:numFmt formatCode="General" sourceLinked="1"/>
        <c:majorTickMark val="out"/>
        <c:minorTickMark val="none"/>
        <c:tickLblPos val="nextTo"/>
        <c:crossAx val="393781280"/>
        <c:crosses val="autoZero"/>
        <c:auto val="1"/>
        <c:lblAlgn val="ctr"/>
        <c:lblOffset val="100"/>
        <c:noMultiLvlLbl val="0"/>
      </c:catAx>
      <c:spPr>
        <a:noFill/>
        <a:ln>
          <a:noFill/>
        </a:ln>
        <a:effectLst/>
      </c:spPr>
    </c:plotArea>
    <c:legend>
      <c:legendPos val="b"/>
      <c:layout>
        <c:manualLayout>
          <c:xMode val="edge"/>
          <c:yMode val="edge"/>
          <c:x val="7.6088888888888886E-2"/>
          <c:y val="0.93014191022732329"/>
          <c:w val="0.77164446663187269"/>
          <c:h val="6.6381511633079746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322189999150465E-4"/>
          <c:y val="5.3060050186034442E-2"/>
          <c:w val="0.97017979770072604"/>
          <c:h val="0.87543800614666767"/>
        </c:manualLayout>
      </c:layout>
      <c:ofPieChart>
        <c:ofPieType val="bar"/>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64-4D56-A6D5-CFB4D95EBD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264-4D56-A6D5-CFB4D95EBD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264-4D56-A6D5-CFB4D95EBD7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264-4D56-A6D5-CFB4D95EBD79}"/>
              </c:ext>
            </c:extLst>
          </c:dPt>
          <c:dPt>
            <c:idx val="4"/>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9-8264-4D56-A6D5-CFB4D95EBD7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264-4D56-A6D5-CFB4D95EBD7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264-4D56-A6D5-CFB4D95EBD79}"/>
              </c:ext>
            </c:extLst>
          </c:dPt>
          <c:dLbls>
            <c:dLbl>
              <c:idx val="0"/>
              <c:layout>
                <c:manualLayout>
                  <c:x val="2.675699491445524E-2"/>
                  <c:y val="3.5335784849810439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FDC7BDA1-E372-4970-8527-358DD59F94FF}" type="CATEGORYNAME">
                      <a:rPr lang="en-US" sz="900">
                        <a:solidFill>
                          <a:schemeClr val="bg1"/>
                        </a:solidFill>
                        <a:latin typeface="Times New Roman" panose="02020603050405020304" pitchFamily="18" charset="0"/>
                        <a:cs typeface="Times New Roman" panose="02020603050405020304" pitchFamily="18" charset="0"/>
                      </a:rPr>
                      <a:pPr>
                        <a:defRPr b="1">
                          <a:solidFill>
                            <a:schemeClr val="bg1"/>
                          </a:solidFill>
                          <a:latin typeface="Times New Roman" panose="02020603050405020304" pitchFamily="18" charset="0"/>
                          <a:cs typeface="Times New Roman" panose="02020603050405020304" pitchFamily="18" charset="0"/>
                        </a:defRPr>
                      </a:pPr>
                      <a:t>[NOMBRE DE CATEGORÍA]</a:t>
                    </a:fld>
                    <a:r>
                      <a:rPr lang="en-US" sz="900" baseline="0">
                        <a:solidFill>
                          <a:schemeClr val="bg1"/>
                        </a:solidFill>
                        <a:latin typeface="Times New Roman" panose="02020603050405020304" pitchFamily="18" charset="0"/>
                        <a:cs typeface="Times New Roman" panose="02020603050405020304" pitchFamily="18" charset="0"/>
                      </a:rPr>
                      <a:t>; </a:t>
                    </a:r>
                    <a:fld id="{A62E6584-E5F5-4B14-9482-26CC836CD6EA}" type="VALUE">
                      <a:rPr lang="en-US" sz="900" baseline="0">
                        <a:solidFill>
                          <a:schemeClr val="bg1"/>
                        </a:solidFill>
                        <a:latin typeface="Times New Roman" panose="02020603050405020304" pitchFamily="18" charset="0"/>
                        <a:cs typeface="Times New Roman" panose="02020603050405020304" pitchFamily="18" charset="0"/>
                      </a:rPr>
                      <a:pPr>
                        <a:defRPr b="1">
                          <a:solidFill>
                            <a:schemeClr val="bg1"/>
                          </a:solidFill>
                          <a:latin typeface="Times New Roman" panose="02020603050405020304" pitchFamily="18" charset="0"/>
                          <a:cs typeface="Times New Roman" panose="02020603050405020304" pitchFamily="18" charset="0"/>
                        </a:defRPr>
                      </a:pPr>
                      <a:t>[VALOR]</a:t>
                    </a:fld>
                    <a:r>
                      <a:rPr lang="en-US" sz="900" baseline="0">
                        <a:solidFill>
                          <a:schemeClr val="bg1"/>
                        </a:solidFill>
                        <a:latin typeface="Times New Roman" panose="02020603050405020304" pitchFamily="18" charset="0"/>
                        <a:cs typeface="Times New Roman" panose="02020603050405020304" pitchFamily="18" charset="0"/>
                      </a:rPr>
                      <a:t>; </a:t>
                    </a:r>
                  </a:p>
                  <a:p>
                    <a:pPr>
                      <a:defRPr b="1">
                        <a:solidFill>
                          <a:schemeClr val="bg1"/>
                        </a:solidFill>
                        <a:latin typeface="Times New Roman" panose="02020603050405020304" pitchFamily="18" charset="0"/>
                        <a:cs typeface="Times New Roman" panose="02020603050405020304" pitchFamily="18" charset="0"/>
                      </a:defRPr>
                    </a:pPr>
                    <a:fld id="{02571D6F-CC88-483A-8998-5228F8499A85}" type="PERCENTAGE">
                      <a:rPr lang="en-US" sz="900" baseline="0">
                        <a:solidFill>
                          <a:schemeClr val="bg1"/>
                        </a:solidFill>
                        <a:latin typeface="Times New Roman" panose="02020603050405020304" pitchFamily="18" charset="0"/>
                        <a:cs typeface="Times New Roman" panose="02020603050405020304" pitchFamily="18" charset="0"/>
                      </a:rPr>
                      <a:pPr>
                        <a:defRPr b="1">
                          <a:solidFill>
                            <a:schemeClr val="bg1"/>
                          </a:solidFill>
                          <a:latin typeface="Times New Roman" panose="02020603050405020304" pitchFamily="18" charset="0"/>
                          <a:cs typeface="Times New Roman" panose="02020603050405020304" pitchFamily="18" charset="0"/>
                        </a:defRPr>
                      </a:pPr>
                      <a:t>[PORCENTAJE]</a:t>
                    </a:fld>
                    <a:endParaRPr lang="es-GT"/>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7862266857962692"/>
                      <c:h val="0.44146685472496466"/>
                    </c:manualLayout>
                  </c15:layout>
                  <c15:dlblFieldTable/>
                  <c15:showDataLabelsRange val="0"/>
                </c:ext>
                <c:ext xmlns:c16="http://schemas.microsoft.com/office/drawing/2014/chart" uri="{C3380CC4-5D6E-409C-BE32-E72D297353CC}">
                  <c16:uniqueId val="{00000001-8264-4D56-A6D5-CFB4D95EBD79}"/>
                </c:ext>
              </c:extLst>
            </c:dLbl>
            <c:dLbl>
              <c:idx val="2"/>
              <c:layout>
                <c:manualLayout>
                  <c:x val="-4.9435226350884265E-2"/>
                  <c:y val="1.0466334937299504E-2"/>
                </c:manualLayout>
              </c:layout>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3E464A87-2203-40B8-BAE9-BF48B5BA28B8}" type="CATEGORYNAME">
                      <a:rPr lang="en-US" sz="800">
                        <a:solidFill>
                          <a:sysClr val="windowText" lastClr="000000"/>
                        </a:solidFill>
                        <a:latin typeface="Times New Roman" panose="02020603050405020304" pitchFamily="18" charset="0"/>
                        <a:cs typeface="Times New Roman" panose="02020603050405020304" pitchFamily="18" charset="0"/>
                      </a:rPr>
                      <a:pPr>
                        <a:defRPr sz="800" b="1">
                          <a:solidFill>
                            <a:sysClr val="windowText" lastClr="000000"/>
                          </a:solidFill>
                          <a:latin typeface="Times New Roman" panose="02020603050405020304" pitchFamily="18" charset="0"/>
                          <a:cs typeface="Times New Roman" panose="02020603050405020304" pitchFamily="18" charset="0"/>
                        </a:defRPr>
                      </a:pPr>
                      <a:t>[NOMBRE DE CATEGORÍA]</a:t>
                    </a:fld>
                    <a:r>
                      <a:rPr lang="en-US" sz="800" baseline="0">
                        <a:solidFill>
                          <a:sysClr val="windowText" lastClr="000000"/>
                        </a:solidFill>
                        <a:latin typeface="Times New Roman" panose="02020603050405020304" pitchFamily="18" charset="0"/>
                        <a:cs typeface="Times New Roman" panose="02020603050405020304" pitchFamily="18" charset="0"/>
                      </a:rPr>
                      <a:t>; </a:t>
                    </a:r>
                  </a:p>
                  <a:p>
                    <a:pPr>
                      <a:defRPr sz="800" b="1">
                        <a:solidFill>
                          <a:sysClr val="windowText" lastClr="000000"/>
                        </a:solidFill>
                        <a:latin typeface="Times New Roman" panose="02020603050405020304" pitchFamily="18" charset="0"/>
                        <a:cs typeface="Times New Roman" panose="02020603050405020304" pitchFamily="18" charset="0"/>
                      </a:defRPr>
                    </a:pPr>
                    <a:fld id="{07979994-A173-4E9F-BB7C-04A202E50AC3}" type="VALUE">
                      <a:rPr lang="en-US" sz="800" baseline="0">
                        <a:solidFill>
                          <a:sysClr val="windowText" lastClr="000000"/>
                        </a:solidFill>
                        <a:latin typeface="Times New Roman" panose="02020603050405020304" pitchFamily="18" charset="0"/>
                        <a:cs typeface="Times New Roman" panose="02020603050405020304" pitchFamily="18" charset="0"/>
                      </a:rPr>
                      <a:pPr>
                        <a:defRPr sz="800" b="1">
                          <a:solidFill>
                            <a:sysClr val="windowText" lastClr="000000"/>
                          </a:solidFill>
                          <a:latin typeface="Times New Roman" panose="02020603050405020304" pitchFamily="18" charset="0"/>
                          <a:cs typeface="Times New Roman" panose="02020603050405020304" pitchFamily="18" charset="0"/>
                        </a:defRPr>
                      </a:pPr>
                      <a:t>[VALOR]</a:t>
                    </a:fld>
                    <a:r>
                      <a:rPr lang="en-US" sz="800" baseline="0">
                        <a:solidFill>
                          <a:sysClr val="windowText" lastClr="000000"/>
                        </a:solidFill>
                        <a:latin typeface="Times New Roman" panose="02020603050405020304" pitchFamily="18" charset="0"/>
                        <a:cs typeface="Times New Roman" panose="02020603050405020304" pitchFamily="18" charset="0"/>
                      </a:rPr>
                      <a:t>; </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3834597362446258"/>
                      <c:h val="0.25041344358495599"/>
                    </c:manualLayout>
                  </c15:layout>
                  <c15:dlblFieldTable/>
                  <c15:showDataLabelsRange val="0"/>
                </c:ext>
                <c:ext xmlns:c16="http://schemas.microsoft.com/office/drawing/2014/chart" uri="{C3380CC4-5D6E-409C-BE32-E72D297353CC}">
                  <c16:uniqueId val="{00000005-8264-4D56-A6D5-CFB4D95EBD79}"/>
                </c:ext>
              </c:extLst>
            </c:dLbl>
            <c:dLbl>
              <c:idx val="3"/>
              <c:layout>
                <c:manualLayout>
                  <c:x val="-1.2901925444214755E-2"/>
                  <c:y val="-1.0306393992417614E-2"/>
                </c:manualLayout>
              </c:layout>
              <c:tx>
                <c:rich>
                  <a:bodyPr/>
                  <a:lstStyle/>
                  <a:p>
                    <a:fld id="{5A0539E1-39E3-495F-9C04-90C91D46ADE0}" type="CATEGORYNAME">
                      <a:rPr lang="en-US" sz="800">
                        <a:solidFill>
                          <a:sysClr val="windowText" lastClr="000000"/>
                        </a:solidFill>
                        <a:latin typeface="Times New Roman" panose="02020603050405020304" pitchFamily="18" charset="0"/>
                        <a:cs typeface="Times New Roman" panose="02020603050405020304" pitchFamily="18" charset="0"/>
                      </a:rPr>
                      <a:pPr/>
                      <a:t>[NOMBRE DE CATEGORÍA]</a:t>
                    </a:fld>
                    <a:r>
                      <a:rPr lang="en-US" sz="800" baseline="0">
                        <a:solidFill>
                          <a:sysClr val="windowText" lastClr="000000"/>
                        </a:solidFill>
                        <a:latin typeface="Times New Roman" panose="02020603050405020304" pitchFamily="18" charset="0"/>
                        <a:cs typeface="Times New Roman" panose="02020603050405020304" pitchFamily="18" charset="0"/>
                      </a:rPr>
                      <a:t>; </a:t>
                    </a:r>
                    <a:fld id="{B4F15D38-FB5C-4520-8E45-B19E6843CE2D}" type="VALUE">
                      <a:rPr lang="en-US" sz="800" baseline="0">
                        <a:solidFill>
                          <a:sysClr val="windowText" lastClr="000000"/>
                        </a:solidFill>
                        <a:latin typeface="Times New Roman" panose="02020603050405020304" pitchFamily="18" charset="0"/>
                        <a:cs typeface="Times New Roman" panose="02020603050405020304" pitchFamily="18" charset="0"/>
                      </a:rPr>
                      <a:pPr/>
                      <a:t>[VALOR]</a:t>
                    </a:fld>
                    <a:r>
                      <a:rPr lang="en-US" sz="800" baseline="0">
                        <a:solidFill>
                          <a:sysClr val="windowText" lastClr="000000"/>
                        </a:solidFill>
                        <a:latin typeface="Times New Roman" panose="02020603050405020304" pitchFamily="18" charset="0"/>
                        <a:cs typeface="Times New Roman" panose="02020603050405020304" pitchFamily="18" charset="0"/>
                      </a:rPr>
                      <a:t>; </a:t>
                    </a:r>
                  </a:p>
                </c:rich>
              </c:tx>
              <c:showLegendKey val="0"/>
              <c:showVal val="1"/>
              <c:showCatName val="1"/>
              <c:showSerName val="0"/>
              <c:showPercent val="1"/>
              <c:showBubbleSize val="0"/>
              <c:extLst>
                <c:ext xmlns:c15="http://schemas.microsoft.com/office/drawing/2012/chart" uri="{CE6537A1-D6FC-4f65-9D91-7224C49458BB}">
                  <c15:layout>
                    <c:manualLayout>
                      <c:w val="0.29759415253969074"/>
                      <c:h val="0.30901594755976924"/>
                    </c:manualLayout>
                  </c15:layout>
                  <c15:dlblFieldTable/>
                  <c15:showDataLabelsRange val="0"/>
                </c:ext>
                <c:ext xmlns:c16="http://schemas.microsoft.com/office/drawing/2014/chart" uri="{C3380CC4-5D6E-409C-BE32-E72D297353CC}">
                  <c16:uniqueId val="{00000007-8264-4D56-A6D5-CFB4D95EBD79}"/>
                </c:ext>
              </c:extLst>
            </c:dLbl>
            <c:dLbl>
              <c:idx val="4"/>
              <c:layout>
                <c:manualLayout>
                  <c:x val="-3.1076293165914798E-3"/>
                  <c:y val="-5.7868092009333225E-3"/>
                </c:manualLayout>
              </c:layout>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D59B87D0-C898-4D9B-8D89-576CB63F6D88}" type="CATEGORYNAME">
                      <a:rPr lang="en-US" sz="800">
                        <a:solidFill>
                          <a:sysClr val="windowText" lastClr="000000"/>
                        </a:solidFill>
                        <a:latin typeface="Times New Roman" panose="02020603050405020304" pitchFamily="18" charset="0"/>
                        <a:cs typeface="Times New Roman" panose="02020603050405020304" pitchFamily="18" charset="0"/>
                      </a:rPr>
                      <a:pPr>
                        <a:defRPr sz="800" b="1">
                          <a:solidFill>
                            <a:sysClr val="windowText" lastClr="000000"/>
                          </a:solidFill>
                          <a:latin typeface="Times New Roman" panose="02020603050405020304" pitchFamily="18" charset="0"/>
                          <a:cs typeface="Times New Roman" panose="02020603050405020304" pitchFamily="18" charset="0"/>
                        </a:defRPr>
                      </a:pPr>
                      <a:t>[NOMBRE DE CATEGORÍA]</a:t>
                    </a:fld>
                    <a:r>
                      <a:rPr lang="en-US" sz="800" baseline="0">
                        <a:solidFill>
                          <a:sysClr val="windowText" lastClr="000000"/>
                        </a:solidFill>
                        <a:latin typeface="Times New Roman" panose="02020603050405020304" pitchFamily="18" charset="0"/>
                        <a:cs typeface="Times New Roman" panose="02020603050405020304" pitchFamily="18" charset="0"/>
                      </a:rPr>
                      <a:t>; </a:t>
                    </a:r>
                  </a:p>
                  <a:p>
                    <a:pPr>
                      <a:defRPr sz="800" b="1">
                        <a:solidFill>
                          <a:sysClr val="windowText" lastClr="000000"/>
                        </a:solidFill>
                        <a:latin typeface="Times New Roman" panose="02020603050405020304" pitchFamily="18" charset="0"/>
                        <a:cs typeface="Times New Roman" panose="02020603050405020304" pitchFamily="18" charset="0"/>
                      </a:defRPr>
                    </a:pPr>
                    <a:fld id="{6A39C6A9-3549-49EE-BED0-8E4767D8C56C}" type="VALUE">
                      <a:rPr lang="en-US" sz="800" baseline="0">
                        <a:solidFill>
                          <a:sysClr val="windowText" lastClr="000000"/>
                        </a:solidFill>
                        <a:latin typeface="Times New Roman" panose="02020603050405020304" pitchFamily="18" charset="0"/>
                        <a:cs typeface="Times New Roman" panose="02020603050405020304" pitchFamily="18" charset="0"/>
                      </a:rPr>
                      <a:pPr>
                        <a:defRPr sz="800" b="1">
                          <a:solidFill>
                            <a:sysClr val="windowText" lastClr="000000"/>
                          </a:solidFill>
                          <a:latin typeface="Times New Roman" panose="02020603050405020304" pitchFamily="18" charset="0"/>
                          <a:cs typeface="Times New Roman" panose="02020603050405020304" pitchFamily="18" charset="0"/>
                        </a:defRPr>
                      </a:pPr>
                      <a:t>[VALOR]</a:t>
                    </a:fld>
                    <a:r>
                      <a:rPr lang="en-US" sz="800" baseline="0">
                        <a:solidFill>
                          <a:sysClr val="windowText" lastClr="000000"/>
                        </a:solidFill>
                        <a:latin typeface="Times New Roman" panose="02020603050405020304" pitchFamily="18" charset="0"/>
                        <a:cs typeface="Times New Roman" panose="02020603050405020304" pitchFamily="18" charset="0"/>
                      </a:rPr>
                      <a:t>; </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30886363977085901"/>
                      <c:h val="0.19181145626027515"/>
                    </c:manualLayout>
                  </c15:layout>
                  <c15:dlblFieldTable/>
                  <c15:showDataLabelsRange val="0"/>
                </c:ext>
                <c:ext xmlns:c16="http://schemas.microsoft.com/office/drawing/2014/chart" uri="{C3380CC4-5D6E-409C-BE32-E72D297353CC}">
                  <c16:uniqueId val="{00000009-8264-4D56-A6D5-CFB4D95EBD79}"/>
                </c:ext>
              </c:extLst>
            </c:dLbl>
            <c:dLbl>
              <c:idx val="5"/>
              <c:layout>
                <c:manualLayout>
                  <c:x val="-4.3121355123607222E-2"/>
                  <c:y val="5.4718713546223492E-2"/>
                </c:manualLayout>
              </c:layout>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20376161-5E3F-464E-9F50-6AB3A50BF40D}" type="CATEGORYNAME">
                      <a:rPr lang="en-US" sz="800">
                        <a:solidFill>
                          <a:sysClr val="windowText" lastClr="000000"/>
                        </a:solidFill>
                        <a:latin typeface="Times New Roman" panose="02020603050405020304" pitchFamily="18" charset="0"/>
                        <a:cs typeface="Times New Roman" panose="02020603050405020304" pitchFamily="18" charset="0"/>
                      </a:rPr>
                      <a:pPr>
                        <a:defRPr sz="800" b="1">
                          <a:solidFill>
                            <a:sysClr val="windowText" lastClr="000000"/>
                          </a:solidFill>
                          <a:latin typeface="Times New Roman" panose="02020603050405020304" pitchFamily="18" charset="0"/>
                          <a:cs typeface="Times New Roman" panose="02020603050405020304" pitchFamily="18" charset="0"/>
                        </a:defRPr>
                      </a:pPr>
                      <a:t>[NOMBRE DE CATEGORÍA]</a:t>
                    </a:fld>
                    <a:r>
                      <a:rPr lang="en-US" sz="800" baseline="0">
                        <a:solidFill>
                          <a:sysClr val="windowText" lastClr="000000"/>
                        </a:solidFill>
                        <a:latin typeface="Times New Roman" panose="02020603050405020304" pitchFamily="18" charset="0"/>
                        <a:cs typeface="Times New Roman" panose="02020603050405020304" pitchFamily="18" charset="0"/>
                      </a:rPr>
                      <a:t>; </a:t>
                    </a:r>
                    <a:fld id="{19734FF8-526B-4F1C-BDDA-D652191670ED}" type="VALUE">
                      <a:rPr lang="en-US" sz="800" baseline="0">
                        <a:solidFill>
                          <a:sysClr val="windowText" lastClr="000000"/>
                        </a:solidFill>
                        <a:latin typeface="Times New Roman" panose="02020603050405020304" pitchFamily="18" charset="0"/>
                        <a:cs typeface="Times New Roman" panose="02020603050405020304" pitchFamily="18" charset="0"/>
                      </a:rPr>
                      <a:pPr>
                        <a:defRPr sz="800" b="1">
                          <a:solidFill>
                            <a:sysClr val="windowText" lastClr="000000"/>
                          </a:solidFill>
                          <a:latin typeface="Times New Roman" panose="02020603050405020304" pitchFamily="18" charset="0"/>
                          <a:cs typeface="Times New Roman" panose="02020603050405020304" pitchFamily="18" charset="0"/>
                        </a:defRPr>
                      </a:pPr>
                      <a:t>[VALOR]</a:t>
                    </a:fld>
                    <a:endParaRPr lang="en-US" sz="800" baseline="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4333990195376201"/>
                      <c:h val="0.1918113596696652"/>
                    </c:manualLayout>
                  </c15:layout>
                  <c15:dlblFieldTable/>
                  <c15:showDataLabelsRange val="0"/>
                </c:ext>
                <c:ext xmlns:c16="http://schemas.microsoft.com/office/drawing/2014/chart" uri="{C3380CC4-5D6E-409C-BE32-E72D297353CC}">
                  <c16:uniqueId val="{0000000B-8264-4D56-A6D5-CFB4D95EBD79}"/>
                </c:ext>
              </c:extLst>
            </c:dLbl>
            <c:dLbl>
              <c:idx val="6"/>
              <c:layout>
                <c:manualLayout>
                  <c:x val="-0.35291531810057486"/>
                  <c:y val="-4.0556746891034952E-3"/>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sz="900" baseline="0">
                        <a:solidFill>
                          <a:schemeClr val="bg1"/>
                        </a:solidFill>
                        <a:latin typeface="Times New Roman" panose="02020603050405020304" pitchFamily="18" charset="0"/>
                        <a:cs typeface="Times New Roman" panose="02020603050405020304" pitchFamily="18" charset="0"/>
                      </a:rPr>
                      <a:t>1ra dosis; </a:t>
                    </a:r>
                    <a:fld id="{471A49C0-EBEC-4D6B-9798-0B71A84C5862}" type="VALUE">
                      <a:rPr lang="en-US" sz="900" baseline="0">
                        <a:solidFill>
                          <a:schemeClr val="bg1"/>
                        </a:solidFill>
                        <a:latin typeface="Times New Roman" panose="02020603050405020304" pitchFamily="18" charset="0"/>
                        <a:cs typeface="Times New Roman" panose="02020603050405020304" pitchFamily="18" charset="0"/>
                      </a:rPr>
                      <a:pPr>
                        <a:defRPr b="1">
                          <a:solidFill>
                            <a:schemeClr val="bg1"/>
                          </a:solidFill>
                          <a:latin typeface="Times New Roman" panose="02020603050405020304" pitchFamily="18" charset="0"/>
                          <a:cs typeface="Times New Roman" panose="02020603050405020304" pitchFamily="18" charset="0"/>
                        </a:defRPr>
                      </a:pPr>
                      <a:t>[VALOR]</a:t>
                    </a:fld>
                    <a:r>
                      <a:rPr lang="en-US" sz="900" baseline="0">
                        <a:solidFill>
                          <a:schemeClr val="bg1"/>
                        </a:solidFill>
                        <a:latin typeface="Times New Roman" panose="02020603050405020304" pitchFamily="18" charset="0"/>
                        <a:cs typeface="Times New Roman" panose="02020603050405020304" pitchFamily="18" charset="0"/>
                      </a:rPr>
                      <a:t>;</a:t>
                    </a:r>
                  </a:p>
                  <a:p>
                    <a:pPr>
                      <a:defRPr b="1">
                        <a:solidFill>
                          <a:schemeClr val="bg1"/>
                        </a:solidFill>
                        <a:latin typeface="Times New Roman" panose="02020603050405020304" pitchFamily="18" charset="0"/>
                        <a:cs typeface="Times New Roman" panose="02020603050405020304" pitchFamily="18" charset="0"/>
                      </a:defRPr>
                    </a:pPr>
                    <a:r>
                      <a:rPr lang="en-US" sz="900" baseline="0">
                        <a:solidFill>
                          <a:schemeClr val="bg1"/>
                        </a:solidFill>
                        <a:latin typeface="Times New Roman" panose="02020603050405020304" pitchFamily="18" charset="0"/>
                        <a:cs typeface="Times New Roman" panose="02020603050405020304" pitchFamily="18" charset="0"/>
                      </a:rPr>
                      <a:t> </a:t>
                    </a:r>
                    <a:fld id="{F8CE4A89-340F-437B-81A8-DD4EEBCA6CF6}" type="PERCENTAGE">
                      <a:rPr lang="en-US" sz="900" baseline="0">
                        <a:solidFill>
                          <a:schemeClr val="bg1"/>
                        </a:solidFill>
                        <a:latin typeface="Times New Roman" panose="02020603050405020304" pitchFamily="18" charset="0"/>
                        <a:cs typeface="Times New Roman" panose="02020603050405020304" pitchFamily="18" charset="0"/>
                      </a:rPr>
                      <a:pPr>
                        <a:defRPr b="1">
                          <a:solidFill>
                            <a:schemeClr val="bg1"/>
                          </a:solidFill>
                          <a:latin typeface="Times New Roman" panose="02020603050405020304" pitchFamily="18" charset="0"/>
                          <a:cs typeface="Times New Roman" panose="02020603050405020304" pitchFamily="18" charset="0"/>
                        </a:defRPr>
                      </a:pPr>
                      <a:t>[PORCENTAJE]</a:t>
                    </a:fld>
                    <a:endParaRPr lang="en-US" sz="900" baseline="0">
                      <a:solidFill>
                        <a:schemeClr val="bg1"/>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30621942301637928"/>
                      <c:h val="0.48492931448386234"/>
                    </c:manualLayout>
                  </c15:layout>
                  <c15:dlblFieldTable/>
                  <c15:showDataLabelsRange val="0"/>
                </c:ext>
                <c:ext xmlns:c16="http://schemas.microsoft.com/office/drawing/2014/chart" uri="{C3380CC4-5D6E-409C-BE32-E72D297353CC}">
                  <c16:uniqueId val="{0000000D-8264-4D56-A6D5-CFB4D95EBD79}"/>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showLeaderLines val="0"/>
            <c:extLst>
              <c:ext xmlns:c15="http://schemas.microsoft.com/office/drawing/2012/chart" uri="{CE6537A1-D6FC-4f65-9D91-7224C49458BB}"/>
            </c:extLst>
          </c:dLbls>
          <c:cat>
            <c:strRef>
              <c:f>Sheet1!$A$2:$A$7</c:f>
              <c:strCache>
                <c:ptCount val="6"/>
                <c:pt idx="0">
                  <c:v>2da Dosis (Esquema Completo)</c:v>
                </c:pt>
                <c:pt idx="2">
                  <c:v>Moderna</c:v>
                </c:pt>
                <c:pt idx="3">
                  <c:v>Astrazeneca</c:v>
                </c:pt>
                <c:pt idx="4">
                  <c:v>Sputnik</c:v>
                </c:pt>
                <c:pt idx="5">
                  <c:v>Pfizer</c:v>
                </c:pt>
              </c:strCache>
            </c:strRef>
          </c:cat>
          <c:val>
            <c:numRef>
              <c:f>Sheet1!$B$2:$B$7</c:f>
              <c:numCache>
                <c:formatCode>General</c:formatCode>
                <c:ptCount val="6"/>
                <c:pt idx="0" formatCode="#,##0">
                  <c:v>3269731</c:v>
                </c:pt>
                <c:pt idx="2" formatCode="#,##0">
                  <c:v>2363430</c:v>
                </c:pt>
                <c:pt idx="3" formatCode="#,##0">
                  <c:v>1478145</c:v>
                </c:pt>
                <c:pt idx="4" formatCode="#,##0">
                  <c:v>1187929</c:v>
                </c:pt>
                <c:pt idx="5" formatCode="#,##0">
                  <c:v>310771</c:v>
                </c:pt>
              </c:numCache>
            </c:numRef>
          </c:val>
          <c:extLst>
            <c:ext xmlns:c16="http://schemas.microsoft.com/office/drawing/2014/chart" uri="{C3380CC4-5D6E-409C-BE32-E72D297353CC}">
              <c16:uniqueId val="{0000000E-8264-4D56-A6D5-CFB4D95EBD79}"/>
            </c:ext>
          </c:extLst>
        </c:ser>
        <c:dLbls>
          <c:showLegendKey val="0"/>
          <c:showVal val="0"/>
          <c:showCatName val="0"/>
          <c:showSerName val="0"/>
          <c:showPercent val="0"/>
          <c:showBubbleSize val="0"/>
          <c:showLeaderLines val="0"/>
        </c:dLbls>
        <c:gapWidth val="38"/>
        <c:splitType val="pos"/>
        <c:splitPos val="4"/>
        <c:secondPieSize val="73"/>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385969541275779E-2"/>
          <c:y val="0"/>
          <c:w val="0.92080803991766347"/>
          <c:h val="0.83047060977842901"/>
        </c:manualLayout>
      </c:layout>
      <c:barChart>
        <c:barDir val="col"/>
        <c:grouping val="stacked"/>
        <c:varyColors val="0"/>
        <c:ser>
          <c:idx val="0"/>
          <c:order val="0"/>
          <c:tx>
            <c:strRef>
              <c:f>Sheet1!$B$1</c:f>
              <c:strCache>
                <c:ptCount val="1"/>
                <c:pt idx="0">
                  <c:v>Primera Dosis</c:v>
                </c:pt>
              </c:strCache>
            </c:strRef>
          </c:tx>
          <c:spPr>
            <a:solidFill>
              <a:schemeClr val="accent5">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12 a 17 años</c:v>
                </c:pt>
                <c:pt idx="1">
                  <c:v>18 a 29 años</c:v>
                </c:pt>
                <c:pt idx="2">
                  <c:v>30 a 39 años</c:v>
                </c:pt>
                <c:pt idx="3">
                  <c:v>40 a 49 años</c:v>
                </c:pt>
                <c:pt idx="4">
                  <c:v>50 a 59 años</c:v>
                </c:pt>
                <c:pt idx="5">
                  <c:v>60 a 69 años</c:v>
                </c:pt>
                <c:pt idx="6">
                  <c:v>70 años y más</c:v>
                </c:pt>
              </c:strCache>
            </c:strRef>
          </c:cat>
          <c:val>
            <c:numRef>
              <c:f>Sheet1!$B$2:$B$8</c:f>
              <c:numCache>
                <c:formatCode>General</c:formatCode>
                <c:ptCount val="7"/>
                <c:pt idx="0">
                  <c:v>10.050000000000001</c:v>
                </c:pt>
                <c:pt idx="1">
                  <c:v>40.020000000000003</c:v>
                </c:pt>
                <c:pt idx="2">
                  <c:v>47.89</c:v>
                </c:pt>
                <c:pt idx="3">
                  <c:v>55.16</c:v>
                </c:pt>
                <c:pt idx="4">
                  <c:v>59.56</c:v>
                </c:pt>
                <c:pt idx="5">
                  <c:v>63.97</c:v>
                </c:pt>
                <c:pt idx="6">
                  <c:v>53.95</c:v>
                </c:pt>
              </c:numCache>
            </c:numRef>
          </c:val>
          <c:extLst>
            <c:ext xmlns:c16="http://schemas.microsoft.com/office/drawing/2014/chart" uri="{C3380CC4-5D6E-409C-BE32-E72D297353CC}">
              <c16:uniqueId val="{00000000-68FC-4F04-AAB0-8765D9CD8124}"/>
            </c:ext>
          </c:extLst>
        </c:ser>
        <c:ser>
          <c:idx val="1"/>
          <c:order val="1"/>
          <c:tx>
            <c:strRef>
              <c:f>Sheet1!$C$1</c:f>
              <c:strCache>
                <c:ptCount val="1"/>
                <c:pt idx="0">
                  <c:v>Esquema completo</c:v>
                </c:pt>
              </c:strCache>
            </c:strRef>
          </c:tx>
          <c:spPr>
            <a:solidFill>
              <a:srgbClr val="FFC000"/>
            </a:solidFill>
            <a:ln>
              <a:solidFill>
                <a:schemeClr val="tx1"/>
              </a:solidFill>
            </a:ln>
            <a:effectLst/>
          </c:spPr>
          <c:invertIfNegative val="0"/>
          <c:dLbls>
            <c:dLbl>
              <c:idx val="0"/>
              <c:layout>
                <c:manualLayout>
                  <c:x val="-1.0519349063316956E-17"/>
                  <c:y val="-3.32225913621262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FC-4F04-AAB0-8765D9CD8124}"/>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12 a 17 años</c:v>
                </c:pt>
                <c:pt idx="1">
                  <c:v>18 a 29 años</c:v>
                </c:pt>
                <c:pt idx="2">
                  <c:v>30 a 39 años</c:v>
                </c:pt>
                <c:pt idx="3">
                  <c:v>40 a 49 años</c:v>
                </c:pt>
                <c:pt idx="4">
                  <c:v>50 a 59 años</c:v>
                </c:pt>
                <c:pt idx="5">
                  <c:v>60 a 69 años</c:v>
                </c:pt>
                <c:pt idx="6">
                  <c:v>70 años y más</c:v>
                </c:pt>
              </c:strCache>
            </c:strRef>
          </c:cat>
          <c:val>
            <c:numRef>
              <c:f>Sheet1!$C$2:$C$8</c:f>
              <c:numCache>
                <c:formatCode>General</c:formatCode>
                <c:ptCount val="7"/>
                <c:pt idx="0">
                  <c:v>0.61</c:v>
                </c:pt>
                <c:pt idx="1">
                  <c:v>18.29</c:v>
                </c:pt>
                <c:pt idx="2">
                  <c:v>29.93</c:v>
                </c:pt>
                <c:pt idx="3">
                  <c:v>39.03</c:v>
                </c:pt>
                <c:pt idx="4">
                  <c:v>45.88</c:v>
                </c:pt>
                <c:pt idx="5">
                  <c:v>51.82</c:v>
                </c:pt>
                <c:pt idx="6">
                  <c:v>44.61</c:v>
                </c:pt>
              </c:numCache>
            </c:numRef>
          </c:val>
          <c:extLst>
            <c:ext xmlns:c16="http://schemas.microsoft.com/office/drawing/2014/chart" uri="{C3380CC4-5D6E-409C-BE32-E72D297353CC}">
              <c16:uniqueId val="{00000002-68FC-4F04-AAB0-8765D9CD8124}"/>
            </c:ext>
          </c:extLst>
        </c:ser>
        <c:dLbls>
          <c:showLegendKey val="0"/>
          <c:showVal val="0"/>
          <c:showCatName val="0"/>
          <c:showSerName val="0"/>
          <c:showPercent val="0"/>
          <c:showBubbleSize val="0"/>
        </c:dLbls>
        <c:gapWidth val="55"/>
        <c:overlap val="100"/>
        <c:axId val="455930288"/>
        <c:axId val="455927008"/>
      </c:barChart>
      <c:catAx>
        <c:axId val="45593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crossAx val="455927008"/>
        <c:crosses val="autoZero"/>
        <c:auto val="1"/>
        <c:lblAlgn val="ctr"/>
        <c:lblOffset val="100"/>
        <c:noMultiLvlLbl val="0"/>
      </c:catAx>
      <c:valAx>
        <c:axId val="455927008"/>
        <c:scaling>
          <c:orientation val="minMax"/>
          <c:max val="120"/>
        </c:scaling>
        <c:delete val="1"/>
        <c:axPos val="l"/>
        <c:numFmt formatCode="General" sourceLinked="1"/>
        <c:majorTickMark val="none"/>
        <c:minorTickMark val="none"/>
        <c:tickLblPos val="nextTo"/>
        <c:crossAx val="455930288"/>
        <c:crosses val="autoZero"/>
        <c:crossBetween val="between"/>
      </c:valAx>
      <c:spPr>
        <a:noFill/>
        <a:ln>
          <a:noFill/>
        </a:ln>
        <a:effectLst/>
      </c:spPr>
    </c:plotArea>
    <c:legend>
      <c:legendPos val="r"/>
      <c:layout>
        <c:manualLayout>
          <c:xMode val="edge"/>
          <c:yMode val="edge"/>
          <c:x val="0"/>
          <c:y val="1.6609726109817667E-2"/>
          <c:w val="0.41901185349306663"/>
          <c:h val="0.215949982996311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8779942952617"/>
          <c:y val="7.1544715447154475E-2"/>
          <c:w val="0.83772955109802361"/>
          <c:h val="0.83015786441328976"/>
        </c:manualLayout>
      </c:layout>
      <c:barChart>
        <c:barDir val="col"/>
        <c:grouping val="clustered"/>
        <c:varyColors val="0"/>
        <c:ser>
          <c:idx val="0"/>
          <c:order val="0"/>
          <c:tx>
            <c:strRef>
              <c:f>Hoja1!$B$1</c:f>
              <c:strCache>
                <c:ptCount val="1"/>
                <c:pt idx="0">
                  <c:v>Brecha</c:v>
                </c:pt>
              </c:strCache>
            </c:strRef>
          </c:tx>
          <c:spPr>
            <a:solidFill>
              <a:schemeClr val="accent1"/>
            </a:solidFill>
            <a:ln>
              <a:noFill/>
            </a:ln>
            <a:effectLst>
              <a:outerShdw blurRad="50800" dist="38100" dir="5400000" algn="t" rotWithShape="0">
                <a:prstClr val="black">
                  <a:alpha val="40000"/>
                </a:prstClr>
              </a:outerShdw>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Hoja1!$A$2:$A$11</c:f>
              <c:strCache>
                <c:ptCount val="10"/>
                <c:pt idx="0">
                  <c:v>ene</c:v>
                </c:pt>
                <c:pt idx="1">
                  <c:v>feb</c:v>
                </c:pt>
                <c:pt idx="2">
                  <c:v>mar</c:v>
                </c:pt>
                <c:pt idx="3">
                  <c:v>abr</c:v>
                </c:pt>
                <c:pt idx="4">
                  <c:v>may</c:v>
                </c:pt>
                <c:pt idx="5">
                  <c:v>jun</c:v>
                </c:pt>
                <c:pt idx="6">
                  <c:v>jul</c:v>
                </c:pt>
                <c:pt idx="7">
                  <c:v>ago</c:v>
                </c:pt>
                <c:pt idx="8">
                  <c:v>sep</c:v>
                </c:pt>
                <c:pt idx="9">
                  <c:v>oct</c:v>
                </c:pt>
              </c:strCache>
            </c:strRef>
          </c:cat>
          <c:val>
            <c:numRef>
              <c:f>Hoja1!$B$2:$B$11</c:f>
              <c:numCache>
                <c:formatCode>General</c:formatCode>
                <c:ptCount val="10"/>
                <c:pt idx="0">
                  <c:v>27.269265356569122</c:v>
                </c:pt>
                <c:pt idx="1">
                  <c:v>190.42159745468052</c:v>
                </c:pt>
                <c:pt idx="2">
                  <c:v>852.73738267364752</c:v>
                </c:pt>
                <c:pt idx="3">
                  <c:v>1640.523204899735</c:v>
                </c:pt>
                <c:pt idx="4">
                  <c:v>1415.7639126420554</c:v>
                </c:pt>
                <c:pt idx="5">
                  <c:v>1222.0675771417059</c:v>
                </c:pt>
                <c:pt idx="6">
                  <c:v>2063.679349617496</c:v>
                </c:pt>
                <c:pt idx="7">
                  <c:v>1028.7891315166471</c:v>
                </c:pt>
                <c:pt idx="8">
                  <c:v>769.96328392664418</c:v>
                </c:pt>
                <c:pt idx="9" formatCode="#,##0.00">
                  <c:v>1495.1</c:v>
                </c:pt>
              </c:numCache>
            </c:numRef>
          </c:val>
          <c:extLst>
            <c:ext xmlns:c16="http://schemas.microsoft.com/office/drawing/2014/chart" uri="{C3380CC4-5D6E-409C-BE32-E72D297353CC}">
              <c16:uniqueId val="{00000000-56DF-46F1-8295-B6A988B27656}"/>
            </c:ext>
          </c:extLst>
        </c:ser>
        <c:dLbls>
          <c:showLegendKey val="0"/>
          <c:showVal val="0"/>
          <c:showCatName val="0"/>
          <c:showSerName val="0"/>
          <c:showPercent val="0"/>
          <c:showBubbleSize val="0"/>
        </c:dLbls>
        <c:gapWidth val="30"/>
        <c:overlap val="-27"/>
        <c:axId val="643078032"/>
        <c:axId val="643078360"/>
      </c:barChart>
      <c:catAx>
        <c:axId val="64307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360"/>
        <c:crosses val="autoZero"/>
        <c:auto val="1"/>
        <c:lblAlgn val="ctr"/>
        <c:lblOffset val="100"/>
        <c:noMultiLvlLbl val="0"/>
      </c:catAx>
      <c:valAx>
        <c:axId val="643078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06649556832003"/>
          <c:y val="2.3583513747838829E-2"/>
          <c:w val="0.80441713078548105"/>
          <c:h val="0.94924023099816968"/>
        </c:manualLayout>
      </c:layout>
      <c:radarChart>
        <c:radarStyle val="marker"/>
        <c:varyColors val="0"/>
        <c:ser>
          <c:idx val="0"/>
          <c:order val="0"/>
          <c:tx>
            <c:strRef>
              <c:f>Hoja1!$B$1</c:f>
              <c:strCache>
                <c:ptCount val="1"/>
                <c:pt idx="0">
                  <c:v>2021-2020</c:v>
                </c:pt>
              </c:strCache>
            </c:strRef>
          </c:tx>
          <c:spPr>
            <a:ln w="22225" cap="rnd">
              <a:solidFill>
                <a:schemeClr val="accent1"/>
              </a:solidFill>
              <a:round/>
            </a:ln>
            <a:effectLst/>
          </c:spPr>
          <c:marker>
            <c:symbol val="none"/>
          </c:marker>
          <c:dLbls>
            <c:dLbl>
              <c:idx val="0"/>
              <c:layout>
                <c:manualLayout>
                  <c:x val="-0.22021249561099768"/>
                  <c:y val="0"/>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74-4B6D-BC3B-598BDF87B9CA}"/>
                </c:ext>
              </c:extLst>
            </c:dLbl>
            <c:dLbl>
              <c:idx val="1"/>
              <c:layout>
                <c:manualLayout>
                  <c:x val="9.0625090932369506E-2"/>
                  <c:y val="-2.178663597507491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74-4B6D-BC3B-598BDF87B9CA}"/>
                </c:ext>
              </c:extLst>
            </c:dLbl>
            <c:dLbl>
              <c:idx val="2"/>
              <c:layout>
                <c:manualLayout>
                  <c:x val="0.16231878997386959"/>
                  <c:y val="-3.739067387986681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74-4B6D-BC3B-598BDF87B9CA}"/>
                </c:ext>
              </c:extLst>
            </c:dLbl>
            <c:dLbl>
              <c:idx val="3"/>
              <c:layout>
                <c:manualLayout>
                  <c:x val="9.2102233479161872E-3"/>
                  <c:y val="7.821901323706377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74-4B6D-BC3B-598BDF87B9CA}"/>
                </c:ext>
              </c:extLst>
            </c:dLbl>
            <c:dLbl>
              <c:idx val="4"/>
              <c:layout>
                <c:manualLayout>
                  <c:x val="-9.4585959460167263E-2"/>
                  <c:y val="-0.1149783756103250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74-4B6D-BC3B-598BDF87B9CA}"/>
                </c:ext>
              </c:extLst>
            </c:dLbl>
            <c:dLbl>
              <c:idx val="5"/>
              <c:layout>
                <c:manualLayout>
                  <c:x val="-0.14505337608852109"/>
                  <c:y val="-0.1255127236590596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74-4B6D-BC3B-598BDF87B9C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#,##0.0</c:formatCode>
                <c:ptCount val="6"/>
                <c:pt idx="0">
                  <c:v>5024.3329933699933</c:v>
                </c:pt>
                <c:pt idx="1">
                  <c:v>1850.9742658400005</c:v>
                </c:pt>
                <c:pt idx="2">
                  <c:v>586.00810837000108</c:v>
                </c:pt>
                <c:pt idx="3">
                  <c:v>312.40279889000067</c:v>
                </c:pt>
                <c:pt idx="4">
                  <c:v>4504.6597386200046</c:v>
                </c:pt>
                <c:pt idx="5">
                  <c:v>1985.2018082100021</c:v>
                </c:pt>
              </c:numCache>
            </c:numRef>
          </c:val>
          <c:extLst>
            <c:ext xmlns:c16="http://schemas.microsoft.com/office/drawing/2014/chart" uri="{C3380CC4-5D6E-409C-BE32-E72D297353CC}">
              <c16:uniqueId val="{00000006-A674-4B6D-BC3B-598BDF87B9CA}"/>
            </c:ext>
          </c:extLst>
        </c:ser>
        <c:ser>
          <c:idx val="1"/>
          <c:order val="1"/>
          <c:tx>
            <c:strRef>
              <c:f>Hoja1!$C$1</c:f>
              <c:strCache>
                <c:ptCount val="1"/>
                <c:pt idx="0">
                  <c:v>2021-Presupuesto</c:v>
                </c:pt>
              </c:strCache>
            </c:strRef>
          </c:tx>
          <c:spPr>
            <a:ln w="22225" cap="rnd">
              <a:solidFill>
                <a:srgbClr val="FF0000"/>
              </a:solidFill>
              <a:round/>
            </a:ln>
            <a:effectLst/>
          </c:spPr>
          <c:marker>
            <c:symbol val="none"/>
          </c:marker>
          <c:dLbls>
            <c:dLbl>
              <c:idx val="0"/>
              <c:layout>
                <c:manualLayout>
                  <c:x val="0.11152896353587721"/>
                  <c:y val="-7.238973589344474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74-4B6D-BC3B-598BDF87B9CA}"/>
                </c:ext>
              </c:extLst>
            </c:dLbl>
            <c:dLbl>
              <c:idx val="1"/>
              <c:layout>
                <c:manualLayout>
                  <c:x val="0.17520781077531605"/>
                  <c:y val="-0.1702399724181290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674-4B6D-BC3B-598BDF87B9CA}"/>
                </c:ext>
              </c:extLst>
            </c:dLbl>
            <c:dLbl>
              <c:idx val="2"/>
              <c:layout>
                <c:manualLayout>
                  <c:x val="0.16720692618522454"/>
                  <c:y val="8.656042914146355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674-4B6D-BC3B-598BDF87B9CA}"/>
                </c:ext>
              </c:extLst>
            </c:dLbl>
            <c:dLbl>
              <c:idx val="3"/>
              <c:layout>
                <c:manualLayout>
                  <c:x val="9.5325811650933383E-3"/>
                  <c:y val="0.1255990789959918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674-4B6D-BC3B-598BDF87B9CA}"/>
                </c:ext>
              </c:extLst>
            </c:dLbl>
            <c:dLbl>
              <c:idx val="4"/>
              <c:layout>
                <c:manualLayout>
                  <c:x val="-0.13303769401330379"/>
                  <c:y val="-2.227743103264699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674-4B6D-BC3B-598BDF87B9CA}"/>
                </c:ext>
              </c:extLst>
            </c:dLbl>
            <c:dLbl>
              <c:idx val="5"/>
              <c:layout>
                <c:manualLayout>
                  <c:x val="-0.17664526967388502"/>
                  <c:y val="-3.217394831441310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674-4B6D-BC3B-598BDF87B9C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FF0000"/>
                      </a:solidFill>
                      <a:prstDash val="sysDot"/>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#,##0.0</c:formatCode>
                <c:ptCount val="6"/>
                <c:pt idx="0">
                  <c:v>3382.5348763900256</c:v>
                </c:pt>
                <c:pt idx="1">
                  <c:v>973.81740666229166</c:v>
                </c:pt>
                <c:pt idx="2">
                  <c:v>462.73629036999955</c:v>
                </c:pt>
                <c:pt idx="3">
                  <c:v>227.80588715000067</c:v>
                </c:pt>
                <c:pt idx="4">
                  <c:v>4681.8782399100055</c:v>
                </c:pt>
                <c:pt idx="5">
                  <c:v>977.56801073999668</c:v>
                </c:pt>
              </c:numCache>
            </c:numRef>
          </c:val>
          <c:extLst>
            <c:ext xmlns:c16="http://schemas.microsoft.com/office/drawing/2014/chart" uri="{C3380CC4-5D6E-409C-BE32-E72D297353CC}">
              <c16:uniqueId val="{0000000D-A674-4B6D-BC3B-598BDF87B9CA}"/>
            </c:ext>
          </c:extLst>
        </c:ser>
        <c:dLbls>
          <c:showLegendKey val="0"/>
          <c:showVal val="0"/>
          <c:showCatName val="0"/>
          <c:showSerName val="0"/>
          <c:showPercent val="0"/>
          <c:showBubbleSize val="0"/>
        </c:dLbls>
        <c:axId val="717364616"/>
        <c:axId val="717367568"/>
      </c:radarChart>
      <c:catAx>
        <c:axId val="7173646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717367568"/>
        <c:crosses val="autoZero"/>
        <c:auto val="1"/>
        <c:lblAlgn val="ctr"/>
        <c:lblOffset val="100"/>
        <c:noMultiLvlLbl val="1"/>
      </c:cat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9205002233139795"/>
          <c:y val="0.92671148507158629"/>
          <c:w val="0.80795044743575573"/>
          <c:h val="7.3288681799514269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9439337486389"/>
          <c:y val="0.14879480278591042"/>
          <c:w val="0.82931570877252758"/>
          <c:h val="0.74488279900347332"/>
        </c:manualLayout>
      </c:layout>
      <c:barChart>
        <c:barDir val="col"/>
        <c:grouping val="clustered"/>
        <c:varyColors val="0"/>
        <c:ser>
          <c:idx val="0"/>
          <c:order val="0"/>
          <c:tx>
            <c:strRef>
              <c:f>Hoja1!$B$1</c:f>
              <c:strCache>
                <c:ptCount val="1"/>
                <c:pt idx="0">
                  <c:v>Obs21-Pres</c:v>
                </c:pt>
              </c:strCache>
            </c:strRef>
          </c:tx>
          <c:spPr>
            <a:solidFill>
              <a:schemeClr val="accent1"/>
            </a:solidFill>
            <a:ln>
              <a:noFill/>
            </a:ln>
            <a:effectLst/>
          </c:spPr>
          <c:invertIfNegative val="0"/>
          <c:dLbls>
            <c:dLbl>
              <c:idx val="2"/>
              <c:layout>
                <c:manualLayout>
                  <c:x val="-4.516659656947226E-17"/>
                  <c:y val="1.6380016380016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A8-4179-A069-A95DCEE5C5A9}"/>
                </c:ext>
              </c:extLst>
            </c:dLbl>
            <c:dLbl>
              <c:idx val="3"/>
              <c:layout>
                <c:manualLayout>
                  <c:x val="0"/>
                  <c:y val="-2.3094688221708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A8-4179-A069-A95DCEE5C5A9}"/>
                </c:ext>
              </c:extLst>
            </c:dLbl>
            <c:dLbl>
              <c:idx val="4"/>
              <c:layout>
                <c:manualLayout>
                  <c:x val="-9.4073377234243569E-3"/>
                  <c:y val="1.6379953083231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A8-4179-A069-A95DCEE5C5A9}"/>
                </c:ext>
              </c:extLst>
            </c:dLbl>
            <c:dLbl>
              <c:idx val="5"/>
              <c:layout>
                <c:manualLayout>
                  <c:x val="2.3518344308560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A8-4179-A069-A95DCEE5C5A9}"/>
                </c:ext>
              </c:extLst>
            </c:dLbl>
            <c:dLbl>
              <c:idx val="7"/>
              <c:layout>
                <c:manualLayout>
                  <c:x val="0"/>
                  <c:y val="-6.9284064665127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A8-4179-A069-A95DCEE5C5A9}"/>
                </c:ext>
              </c:extLst>
            </c:dLbl>
            <c:dLbl>
              <c:idx val="9"/>
              <c:layout>
                <c:manualLayout>
                  <c:x val="0"/>
                  <c:y val="8.19000819000819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A8-4179-A069-A95DCEE5C5A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Hoja1!$A$2:$A$11</c:f>
              <c:strCache>
                <c:ptCount val="10"/>
                <c:pt idx="0">
                  <c:v>Ene</c:v>
                </c:pt>
                <c:pt idx="1">
                  <c:v>Feb</c:v>
                </c:pt>
                <c:pt idx="2">
                  <c:v>Mar</c:v>
                </c:pt>
                <c:pt idx="3">
                  <c:v>Abr</c:v>
                </c:pt>
                <c:pt idx="4">
                  <c:v>May</c:v>
                </c:pt>
                <c:pt idx="5">
                  <c:v>Jun</c:v>
                </c:pt>
                <c:pt idx="6">
                  <c:v>Jul</c:v>
                </c:pt>
                <c:pt idx="7">
                  <c:v>Ago</c:v>
                </c:pt>
                <c:pt idx="8">
                  <c:v>Sep</c:v>
                </c:pt>
                <c:pt idx="9">
                  <c:v>Oct</c:v>
                </c:pt>
              </c:strCache>
            </c:strRef>
          </c:cat>
          <c:val>
            <c:numRef>
              <c:f>Hoja1!$B$2:$B$11</c:f>
              <c:numCache>
                <c:formatCode>General</c:formatCode>
                <c:ptCount val="10"/>
                <c:pt idx="0">
                  <c:v>69.45493179999994</c:v>
                </c:pt>
                <c:pt idx="1">
                  <c:v>49.331967139999961</c:v>
                </c:pt>
                <c:pt idx="2">
                  <c:v>-28.778871321311954</c:v>
                </c:pt>
                <c:pt idx="3">
                  <c:v>175.57319428647793</c:v>
                </c:pt>
                <c:pt idx="4">
                  <c:v>256.31831503483431</c:v>
                </c:pt>
                <c:pt idx="5">
                  <c:v>245.9969491899999</c:v>
                </c:pt>
                <c:pt idx="6">
                  <c:v>160.38195810000002</c:v>
                </c:pt>
                <c:pt idx="7">
                  <c:v>65.036105840000118</c:v>
                </c:pt>
                <c:pt idx="8">
                  <c:v>23.762332949999973</c:v>
                </c:pt>
                <c:pt idx="9">
                  <c:v>-39.507184290001533</c:v>
                </c:pt>
              </c:numCache>
            </c:numRef>
          </c:val>
          <c:extLst>
            <c:ext xmlns:c16="http://schemas.microsoft.com/office/drawing/2014/chart" uri="{C3380CC4-5D6E-409C-BE32-E72D297353CC}">
              <c16:uniqueId val="{00000006-DBA8-4179-A069-A95DCEE5C5A9}"/>
            </c:ext>
          </c:extLst>
        </c:ser>
        <c:dLbls>
          <c:showLegendKey val="0"/>
          <c:showVal val="0"/>
          <c:showCatName val="0"/>
          <c:showSerName val="0"/>
          <c:showPercent val="0"/>
          <c:showBubbleSize val="0"/>
        </c:dLbls>
        <c:gapWidth val="20"/>
        <c:overlap val="-27"/>
        <c:axId val="564470416"/>
        <c:axId val="564468448"/>
      </c:barChart>
      <c:lineChart>
        <c:grouping val="standard"/>
        <c:varyColors val="0"/>
        <c:ser>
          <c:idx val="1"/>
          <c:order val="1"/>
          <c:tx>
            <c:strRef>
              <c:f>Hoja1!$C$1</c:f>
              <c:strCache>
                <c:ptCount val="1"/>
                <c:pt idx="0">
                  <c:v>Obs21-Obs19</c:v>
                </c:pt>
              </c:strCache>
            </c:strRef>
          </c:tx>
          <c:spPr>
            <a:ln w="12700" cap="rnd">
              <a:solidFill>
                <a:srgbClr val="FF0000"/>
              </a:solidFill>
              <a:prstDash val="sysDot"/>
              <a:round/>
            </a:ln>
            <a:effectLst/>
          </c:spPr>
          <c:marker>
            <c:symbol val="circle"/>
            <c:size val="3"/>
            <c:spPr>
              <a:solidFill>
                <a:schemeClr val="bg1"/>
              </a:solidFill>
              <a:ln w="9525">
                <a:solidFill>
                  <a:srgbClr val="FF0000"/>
                </a:solidFill>
              </a:ln>
              <a:effectLst/>
            </c:spPr>
          </c:marker>
          <c:dLbls>
            <c:dLbl>
              <c:idx val="1"/>
              <c:layout>
                <c:manualLayout>
                  <c:x val="-0.14948778157198836"/>
                  <c:y val="1.161099088941826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A8-4179-A069-A95DCEE5C5A9}"/>
                </c:ext>
              </c:extLst>
            </c:dLbl>
            <c:dLbl>
              <c:idx val="2"/>
              <c:layout>
                <c:manualLayout>
                  <c:x val="-0.1499351856652914"/>
                  <c:y val="1.36495062828462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BA8-4179-A069-A95DCEE5C5A9}"/>
                </c:ext>
              </c:extLst>
            </c:dLbl>
            <c:dLbl>
              <c:idx val="3"/>
              <c:layout>
                <c:manualLayout>
                  <c:x val="-6.5939983666121513E-2"/>
                  <c:y val="0.248464212243739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BA8-4179-A069-A95DCEE5C5A9}"/>
                </c:ext>
              </c:extLst>
            </c:dLbl>
            <c:dLbl>
              <c:idx val="4"/>
              <c:layout>
                <c:manualLayout>
                  <c:x val="-6.5939983666121652E-2"/>
                  <c:y val="0.207514171293699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BA8-4179-A069-A95DCEE5C5A9}"/>
                </c:ext>
              </c:extLst>
            </c:dLbl>
            <c:dLbl>
              <c:idx val="5"/>
              <c:layout>
                <c:manualLayout>
                  <c:x val="-6.1012661665628916E-2"/>
                  <c:y val="0.2812242450037725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BA8-4179-A069-A95DCEE5C5A9}"/>
                </c:ext>
              </c:extLst>
            </c:dLbl>
            <c:dLbl>
              <c:idx val="6"/>
              <c:layout>
                <c:manualLayout>
                  <c:x val="-5.8450454225372601E-2"/>
                  <c:y val="0.1501841139636415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BA8-4179-A069-A95DCEE5C5A9}"/>
                </c:ext>
              </c:extLst>
            </c:dLbl>
            <c:dLbl>
              <c:idx val="7"/>
              <c:layout>
                <c:manualLayout>
                  <c:x val="-6.5939881926800628E-2"/>
                  <c:y val="0.1675051372042697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BA8-4179-A069-A95DCEE5C5A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3175" cap="flat" cmpd="sng" algn="ctr">
                      <a:solidFill>
                        <a:srgbClr val="FF0000"/>
                      </a:solidFill>
                      <a:prstDash val="sysDash"/>
                      <a:round/>
                    </a:ln>
                    <a:effectLst/>
                  </c:spPr>
                </c15:leaderLines>
              </c:ext>
            </c:extLst>
          </c:dLbls>
          <c:cat>
            <c:strRef>
              <c:f>Hoja1!$A$2:$A$11</c:f>
              <c:strCache>
                <c:ptCount val="10"/>
                <c:pt idx="0">
                  <c:v>Ene</c:v>
                </c:pt>
                <c:pt idx="1">
                  <c:v>Feb</c:v>
                </c:pt>
                <c:pt idx="2">
                  <c:v>Mar</c:v>
                </c:pt>
                <c:pt idx="3">
                  <c:v>Abr</c:v>
                </c:pt>
                <c:pt idx="4">
                  <c:v>May</c:v>
                </c:pt>
                <c:pt idx="5">
                  <c:v>Jun</c:v>
                </c:pt>
                <c:pt idx="6">
                  <c:v>Jul</c:v>
                </c:pt>
                <c:pt idx="7">
                  <c:v>Ago</c:v>
                </c:pt>
                <c:pt idx="8">
                  <c:v>Sep</c:v>
                </c:pt>
                <c:pt idx="9">
                  <c:v>Oct</c:v>
                </c:pt>
              </c:strCache>
            </c:strRef>
          </c:cat>
          <c:val>
            <c:numRef>
              <c:f>Hoja1!$C$2:$C$11</c:f>
              <c:numCache>
                <c:formatCode>General</c:formatCode>
                <c:ptCount val="10"/>
                <c:pt idx="0">
                  <c:v>411.57787566000002</c:v>
                </c:pt>
                <c:pt idx="1">
                  <c:v>227.48059463999994</c:v>
                </c:pt>
                <c:pt idx="2">
                  <c:v>174.07122125000001</c:v>
                </c:pt>
                <c:pt idx="3">
                  <c:v>206.11858329000006</c:v>
                </c:pt>
                <c:pt idx="4">
                  <c:v>124.18946142000004</c:v>
                </c:pt>
                <c:pt idx="5">
                  <c:v>185.84631783000009</c:v>
                </c:pt>
                <c:pt idx="6">
                  <c:v>89.584891319999997</c:v>
                </c:pt>
                <c:pt idx="7">
                  <c:v>105.89436840000008</c:v>
                </c:pt>
                <c:pt idx="8">
                  <c:v>175.28470663999997</c:v>
                </c:pt>
                <c:pt idx="9">
                  <c:v>147.17651182999862</c:v>
                </c:pt>
              </c:numCache>
            </c:numRef>
          </c:val>
          <c:smooth val="0"/>
          <c:extLst>
            <c:ext xmlns:c16="http://schemas.microsoft.com/office/drawing/2014/chart" uri="{C3380CC4-5D6E-409C-BE32-E72D297353CC}">
              <c16:uniqueId val="{0000000E-DBA8-4179-A069-A95DCEE5C5A9}"/>
            </c:ext>
          </c:extLst>
        </c:ser>
        <c:dLbls>
          <c:showLegendKey val="0"/>
          <c:showVal val="0"/>
          <c:showCatName val="0"/>
          <c:showSerName val="0"/>
          <c:showPercent val="0"/>
          <c:showBubbleSize val="0"/>
        </c:dLbls>
        <c:marker val="1"/>
        <c:smooth val="0"/>
        <c:axId val="564470416"/>
        <c:axId val="564468448"/>
      </c:lineChart>
      <c:catAx>
        <c:axId val="5644704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64468448"/>
        <c:crosses val="autoZero"/>
        <c:auto val="1"/>
        <c:lblAlgn val="ctr"/>
        <c:lblOffset val="100"/>
        <c:noMultiLvlLbl val="0"/>
      </c:catAx>
      <c:valAx>
        <c:axId val="564468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644704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52367019503562E-2"/>
          <c:y val="2.0471470641031241E-2"/>
          <c:w val="0.90205628106458469"/>
          <c:h val="0.75908117018744026"/>
        </c:manualLayout>
      </c:layout>
      <c:barChart>
        <c:barDir val="col"/>
        <c:grouping val="clustered"/>
        <c:varyColors val="0"/>
        <c:ser>
          <c:idx val="1"/>
          <c:order val="1"/>
          <c:tx>
            <c:strRef>
              <c:f>Sheet1!$C$1</c:f>
              <c:strCache>
                <c:ptCount val="1"/>
                <c:pt idx="0">
                  <c:v>2021</c:v>
                </c:pt>
              </c:strCache>
            </c:strRef>
          </c:tx>
          <c:spPr>
            <a:solidFill>
              <a:srgbClr val="FF7C80"/>
            </a:solidFill>
            <a:ln w="12700">
              <a:solidFill>
                <a:schemeClr val="tx1"/>
              </a:solidFill>
            </a:ln>
            <a:effectLst/>
          </c:spPr>
          <c:invertIfNegative val="0"/>
          <c:dLbls>
            <c:dLbl>
              <c:idx val="0"/>
              <c:layout>
                <c:manualLayout>
                  <c:x val="0"/>
                  <c:y val="9.20643153526971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FE-4CE5-ACE1-50E238BC6AEB}"/>
                </c:ext>
              </c:extLst>
            </c:dLbl>
            <c:dLbl>
              <c:idx val="1"/>
              <c:layout>
                <c:manualLayout>
                  <c:x val="0"/>
                  <c:y val="9.72510373443982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FE-4CE5-ACE1-50E238BC6AEB}"/>
                </c:ext>
              </c:extLst>
            </c:dLbl>
            <c:dLbl>
              <c:idx val="2"/>
              <c:layout>
                <c:manualLayout>
                  <c:x val="0"/>
                  <c:y val="8.0687832848694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FE-4CE5-ACE1-50E238BC6AEB}"/>
                </c:ext>
              </c:extLst>
            </c:dLbl>
            <c:dLbl>
              <c:idx val="3"/>
              <c:layout>
                <c:manualLayout>
                  <c:x val="3.9468507099136252E-17"/>
                  <c:y val="1.94988074623451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FE-4CE5-ACE1-50E238BC6AEB}"/>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FE-4CE5-ACE1-50E238BC6AEB}"/>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FE-4CE5-ACE1-50E238BC6AEB}"/>
                </c:ext>
              </c:extLst>
            </c:dLbl>
            <c:dLbl>
              <c:idx val="7"/>
              <c:layout>
                <c:manualLayout>
                  <c:x val="4.7036688617121351E-3"/>
                  <c:y val="5.93146743902853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FE-4CE5-ACE1-50E238BC6AEB}"/>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FE-4CE5-ACE1-50E238BC6AEB}"/>
                </c:ext>
              </c:extLst>
            </c:dLbl>
            <c:dLbl>
              <c:idx val="9"/>
              <c:layout>
                <c:manualLayout>
                  <c:x val="4.5903144365389031E-2"/>
                  <c:y val="3.97175900072866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2FE-4CE5-ACE1-50E238BC6AEB}"/>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2FE-4CE5-ACE1-50E238BC6AEB}"/>
                </c:ext>
              </c:extLst>
            </c:dLbl>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3.7189413058487304</c:v>
                </c:pt>
                <c:pt idx="1">
                  <c:v>6.1267370575853732</c:v>
                </c:pt>
                <c:pt idx="2">
                  <c:v>1.9518107242856928</c:v>
                </c:pt>
                <c:pt idx="3">
                  <c:v>11.31040113518587</c:v>
                </c:pt>
                <c:pt idx="4">
                  <c:v>6.3930371872600773</c:v>
                </c:pt>
                <c:pt idx="5">
                  <c:v>0.38854905082506264</c:v>
                </c:pt>
                <c:pt idx="6">
                  <c:v>1.4992457432228861</c:v>
                </c:pt>
                <c:pt idx="7">
                  <c:v>-1.4193223500163015</c:v>
                </c:pt>
                <c:pt idx="8">
                  <c:v>-4.3420352501965001</c:v>
                </c:pt>
                <c:pt idx="9">
                  <c:v>-5.6943807513343216</c:v>
                </c:pt>
              </c:numCache>
            </c:numRef>
          </c:val>
          <c:extLst>
            <c:ext xmlns:c16="http://schemas.microsoft.com/office/drawing/2014/chart" uri="{C3380CC4-5D6E-409C-BE32-E72D297353CC}">
              <c16:uniqueId val="{0000000A-72FE-4CE5-ACE1-50E238BC6AEB}"/>
            </c:ext>
          </c:extLst>
        </c:ser>
        <c:dLbls>
          <c:showLegendKey val="0"/>
          <c:showVal val="0"/>
          <c:showCatName val="0"/>
          <c:showSerName val="0"/>
          <c:showPercent val="0"/>
          <c:showBubbleSize val="0"/>
        </c:dLbls>
        <c:gapWidth val="62"/>
        <c:overlap val="-27"/>
        <c:axId val="287593168"/>
        <c:axId val="287595464"/>
      </c:barChart>
      <c:lineChart>
        <c:grouping val="stacked"/>
        <c:varyColors val="0"/>
        <c:ser>
          <c:idx val="0"/>
          <c:order val="0"/>
          <c:tx>
            <c:strRef>
              <c:f>Sheet1!$B$1</c:f>
              <c:strCache>
                <c:ptCount val="1"/>
                <c:pt idx="0">
                  <c:v>2020</c:v>
                </c:pt>
              </c:strCache>
            </c:strRef>
          </c:tx>
          <c:spPr>
            <a:ln w="15875" cap="rnd">
              <a:solidFill>
                <a:schemeClr val="accent1"/>
              </a:solidFill>
              <a:prstDash val="sysDash"/>
              <a:round/>
            </a:ln>
            <a:effectLst/>
          </c:spPr>
          <c:marker>
            <c:symbol val="circle"/>
            <c:size val="4"/>
            <c:spPr>
              <a:solidFill>
                <a:schemeClr val="accent1"/>
              </a:solidFill>
              <a:ln w="3175">
                <a:solidFill>
                  <a:schemeClr val="accent1"/>
                </a:solidFill>
              </a:ln>
              <a:effectLst/>
            </c:spPr>
          </c:marker>
          <c:dLbls>
            <c:dLbl>
              <c:idx val="0"/>
              <c:layout>
                <c:manualLayout>
                  <c:x val="-5.6657223796033995E-2"/>
                  <c:y val="-4.7267355982274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2FE-4CE5-ACE1-50E238BC6AEB}"/>
                </c:ext>
              </c:extLst>
            </c:dLbl>
            <c:dLbl>
              <c:idx val="1"/>
              <c:layout>
                <c:manualLayout>
                  <c:x val="-6.3041624640838081E-2"/>
                  <c:y val="5.0289149540954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2FE-4CE5-ACE1-50E238BC6AEB}"/>
                </c:ext>
              </c:extLst>
            </c:dLbl>
            <c:dLbl>
              <c:idx val="2"/>
              <c:layout>
                <c:manualLayout>
                  <c:x val="-5.235160997770865E-2"/>
                  <c:y val="-3.5720178390564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2FE-4CE5-ACE1-50E238BC6AEB}"/>
                </c:ext>
              </c:extLst>
            </c:dLbl>
            <c:dLbl>
              <c:idx val="3"/>
              <c:layout>
                <c:manualLayout>
                  <c:x val="-6.1378673198681163E-2"/>
                  <c:y val="3.1255105041330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2FE-4CE5-ACE1-50E238BC6AEB}"/>
                </c:ext>
              </c:extLst>
            </c:dLbl>
            <c:dLbl>
              <c:idx val="4"/>
              <c:layout>
                <c:manualLayout>
                  <c:x val="-1.0988023698329421E-3"/>
                  <c:y val="-1.4703744241513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2FE-4CE5-ACE1-50E238BC6AEB}"/>
                </c:ext>
              </c:extLst>
            </c:dLbl>
            <c:dLbl>
              <c:idx val="5"/>
              <c:layout>
                <c:manualLayout>
                  <c:x val="-6.915877711195681E-2"/>
                  <c:y val="-4.0637354200019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2FE-4CE5-ACE1-50E238BC6AEB}"/>
                </c:ext>
              </c:extLst>
            </c:dLbl>
            <c:dLbl>
              <c:idx val="6"/>
              <c:layout>
                <c:manualLayout>
                  <c:x val="-7.5489811186583891E-2"/>
                  <c:y val="-4.7267381780604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2FE-4CE5-ACE1-50E238BC6AEB}"/>
                </c:ext>
              </c:extLst>
            </c:dLbl>
            <c:dLbl>
              <c:idx val="7"/>
              <c:layout>
                <c:manualLayout>
                  <c:x val="-6.9990083317087975E-2"/>
                  <c:y val="-4.6545724834188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2FE-4CE5-ACE1-50E238BC6AEB}"/>
                </c:ext>
              </c:extLst>
            </c:dLbl>
            <c:dLbl>
              <c:idx val="8"/>
              <c:layout>
                <c:manualLayout>
                  <c:x val="-4.9708856360662211E-2"/>
                  <c:y val="5.24540954683568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2FE-4CE5-ACE1-50E238BC6AEB}"/>
                </c:ext>
              </c:extLst>
            </c:dLbl>
            <c:dLbl>
              <c:idx val="9"/>
              <c:layout>
                <c:manualLayout>
                  <c:x val="-3.2486036123848351E-2"/>
                  <c:y val="4.0637354200019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2FE-4CE5-ACE1-50E238BC6AEB}"/>
                </c:ext>
              </c:extLst>
            </c:dLbl>
            <c:dLbl>
              <c:idx val="10"/>
              <c:layout>
                <c:manualLayout>
                  <c:x val="-7.0405736419653836E-2"/>
                  <c:y val="-3.6441827033031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2FE-4CE5-ACE1-50E238BC6AEB}"/>
                </c:ext>
              </c:extLst>
            </c:dLbl>
            <c:dLbl>
              <c:idx val="11"/>
              <c:layout>
                <c:manualLayout>
                  <c:x val="-8.3130620513124768E-4"/>
                  <c:y val="-4.2350197667200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2FE-4CE5-ACE1-50E238BC6AE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4.8191861258905817</c:v>
                </c:pt>
                <c:pt idx="1">
                  <c:v>9.5655130970186519E-2</c:v>
                </c:pt>
                <c:pt idx="2">
                  <c:v>2.3974325379896584</c:v>
                </c:pt>
                <c:pt idx="3">
                  <c:v>-1.9848700717106169</c:v>
                </c:pt>
                <c:pt idx="4">
                  <c:v>4.2224631181484256</c:v>
                </c:pt>
                <c:pt idx="5">
                  <c:v>9.0680434021580965</c:v>
                </c:pt>
                <c:pt idx="6">
                  <c:v>10.232293442045986</c:v>
                </c:pt>
                <c:pt idx="7">
                  <c:v>12.533229099769343</c:v>
                </c:pt>
                <c:pt idx="8">
                  <c:v>14.872198669992656</c:v>
                </c:pt>
                <c:pt idx="9">
                  <c:v>14.678379762438269</c:v>
                </c:pt>
                <c:pt idx="10">
                  <c:v>15.472802612662733</c:v>
                </c:pt>
                <c:pt idx="11">
                  <c:v>17.151091678742532</c:v>
                </c:pt>
              </c:numCache>
            </c:numRef>
          </c:val>
          <c:smooth val="0"/>
          <c:extLst>
            <c:ext xmlns:c16="http://schemas.microsoft.com/office/drawing/2014/chart" uri="{C3380CC4-5D6E-409C-BE32-E72D297353CC}">
              <c16:uniqueId val="{00000017-72FE-4CE5-ACE1-50E238BC6AEB}"/>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in val="-6.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65501181472729819"/>
          <c:y val="0.34502509568234158"/>
          <c:w val="0.25118035882908402"/>
          <c:h val="0.139289161871592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900103929961777E-2"/>
          <c:y val="6.2875338257136468E-2"/>
          <c:w val="0.88328498411382783"/>
          <c:h val="0.66900364198661211"/>
        </c:manualLayout>
      </c:layout>
      <c:barChart>
        <c:barDir val="col"/>
        <c:grouping val="clustered"/>
        <c:varyColors val="0"/>
        <c:ser>
          <c:idx val="1"/>
          <c:order val="1"/>
          <c:tx>
            <c:strRef>
              <c:f>Sheet1!$C$1</c:f>
              <c:strCache>
                <c:ptCount val="1"/>
                <c:pt idx="0">
                  <c:v>2021</c:v>
                </c:pt>
              </c:strCache>
            </c:strRef>
          </c:tx>
          <c:spPr>
            <a:solidFill>
              <a:schemeClr val="accent5">
                <a:lumMod val="75000"/>
              </a:schemeClr>
            </a:solidFill>
            <a:ln>
              <a:solidFill>
                <a:schemeClr val="tx1"/>
              </a:solidFill>
            </a:ln>
            <a:effectLst/>
          </c:spPr>
          <c:invertIfNegative val="0"/>
          <c:dLbls>
            <c:dLbl>
              <c:idx val="0"/>
              <c:layout>
                <c:manualLayout>
                  <c:x val="0"/>
                  <c:y val="0.11407985589912939"/>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01-473E-90A5-02AF3DA3309C}"/>
                </c:ext>
              </c:extLst>
            </c:dLbl>
            <c:dLbl>
              <c:idx val="2"/>
              <c:layout>
                <c:manualLayout>
                  <c:x val="0"/>
                  <c:y val="6.6046232362653862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01-473E-90A5-02AF3DA3309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3.6453163052856183</c:v>
                </c:pt>
                <c:pt idx="1">
                  <c:v>5.9151064266832094</c:v>
                </c:pt>
                <c:pt idx="2">
                  <c:v>1.1274104866919572</c:v>
                </c:pt>
                <c:pt idx="3">
                  <c:v>6.9774866153619257</c:v>
                </c:pt>
                <c:pt idx="4">
                  <c:v>10.407434084911557</c:v>
                </c:pt>
                <c:pt idx="5">
                  <c:v>8.2331525982774849</c:v>
                </c:pt>
                <c:pt idx="6">
                  <c:v>10.117607309447223</c:v>
                </c:pt>
                <c:pt idx="7">
                  <c:v>9.7411370682155791</c:v>
                </c:pt>
                <c:pt idx="8">
                  <c:v>9.8421816318711564</c:v>
                </c:pt>
                <c:pt idx="9">
                  <c:v>8.319396414947164</c:v>
                </c:pt>
              </c:numCache>
            </c:numRef>
          </c:val>
          <c:extLst>
            <c:ext xmlns:c16="http://schemas.microsoft.com/office/drawing/2014/chart" uri="{C3380CC4-5D6E-409C-BE32-E72D297353CC}">
              <c16:uniqueId val="{00000002-8301-473E-90A5-02AF3DA3309C}"/>
            </c:ext>
          </c:extLst>
        </c:ser>
        <c:dLbls>
          <c:showLegendKey val="0"/>
          <c:showVal val="0"/>
          <c:showCatName val="0"/>
          <c:showSerName val="0"/>
          <c:showPercent val="0"/>
          <c:showBubbleSize val="0"/>
        </c:dLbls>
        <c:gapWidth val="41"/>
        <c:overlap val="-27"/>
        <c:axId val="443900384"/>
        <c:axId val="443900056"/>
      </c:barChart>
      <c:lineChart>
        <c:grouping val="stacked"/>
        <c:varyColors val="0"/>
        <c:ser>
          <c:idx val="0"/>
          <c:order val="0"/>
          <c:tx>
            <c:strRef>
              <c:f>Sheet1!$B$1</c:f>
              <c:strCache>
                <c:ptCount val="1"/>
                <c:pt idx="0">
                  <c:v>2020</c:v>
                </c:pt>
              </c:strCache>
            </c:strRef>
          </c:tx>
          <c:spPr>
            <a:ln w="15875" cap="rnd" cmpd="dbl">
              <a:solidFill>
                <a:srgbClr val="FFC000"/>
              </a:solidFill>
              <a:round/>
            </a:ln>
            <a:effectLst/>
          </c:spPr>
          <c:marker>
            <c:symbol val="circle"/>
            <c:size val="3"/>
            <c:spPr>
              <a:solidFill>
                <a:srgbClr val="FFC000"/>
              </a:solidFill>
              <a:ln w="9525">
                <a:solidFill>
                  <a:schemeClr val="tx1"/>
                </a:solidFill>
              </a:ln>
              <a:effectLst/>
            </c:spPr>
          </c:marker>
          <c:dLbls>
            <c:dLbl>
              <c:idx val="0"/>
              <c:layout>
                <c:manualLayout>
                  <c:x val="-5.8165548098434022E-2"/>
                  <c:y val="-3.0021014710297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01-473E-90A5-02AF3DA3309C}"/>
                </c:ext>
              </c:extLst>
            </c:dLbl>
            <c:dLbl>
              <c:idx val="1"/>
              <c:layout>
                <c:manualLayout>
                  <c:x val="-5.3691275167785234E-2"/>
                  <c:y val="6.0042029420594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01-473E-90A5-02AF3DA3309C}"/>
                </c:ext>
              </c:extLst>
            </c:dLbl>
            <c:dLbl>
              <c:idx val="2"/>
              <c:layout>
                <c:manualLayout>
                  <c:x val="-6.2639821029082818E-2"/>
                  <c:y val="-4.8033623536475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01-473E-90A5-02AF3DA3309C}"/>
                </c:ext>
              </c:extLst>
            </c:dLbl>
            <c:dLbl>
              <c:idx val="3"/>
              <c:layout>
                <c:manualLayout>
                  <c:x val="-6.2639821029082818E-2"/>
                  <c:y val="4.2029420594416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301-473E-90A5-02AF3DA3309C}"/>
                </c:ext>
              </c:extLst>
            </c:dLbl>
            <c:dLbl>
              <c:idx val="4"/>
              <c:layout>
                <c:manualLayout>
                  <c:x val="-5.8165548098434001E-2"/>
                  <c:y val="3.6025217652356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01-473E-90A5-02AF3DA3309C}"/>
                </c:ext>
              </c:extLst>
            </c:dLbl>
            <c:dLbl>
              <c:idx val="5"/>
              <c:layout>
                <c:manualLayout>
                  <c:x val="-4.4742729306487698E-2"/>
                  <c:y val="4.202942059441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301-473E-90A5-02AF3DA3309C}"/>
                </c:ext>
              </c:extLst>
            </c:dLbl>
            <c:dLbl>
              <c:idx val="6"/>
              <c:layout>
                <c:manualLayout>
                  <c:x val="-4.9217002237136549E-2"/>
                  <c:y val="4.8033623536475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301-473E-90A5-02AF3DA3309C}"/>
                </c:ext>
              </c:extLst>
            </c:dLbl>
            <c:dLbl>
              <c:idx val="7"/>
              <c:layout>
                <c:manualLayout>
                  <c:x val="-4.9217002237136549E-2"/>
                  <c:y val="4.202942059441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301-473E-90A5-02AF3DA3309C}"/>
                </c:ext>
              </c:extLst>
            </c:dLbl>
            <c:dLbl>
              <c:idx val="8"/>
              <c:layout>
                <c:manualLayout>
                  <c:x val="-4.9217002237136383E-2"/>
                  <c:y val="4.8033623536475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301-473E-90A5-02AF3DA3309C}"/>
                </c:ext>
              </c:extLst>
            </c:dLbl>
            <c:dLbl>
              <c:idx val="9"/>
              <c:layout>
                <c:manualLayout>
                  <c:x val="-4.4742729306487698E-2"/>
                  <c:y val="4.202942059441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301-473E-90A5-02AF3DA3309C}"/>
                </c:ext>
              </c:extLst>
            </c:dLbl>
            <c:dLbl>
              <c:idx val="10"/>
              <c:layout>
                <c:manualLayout>
                  <c:x val="-3.1319910514541388E-2"/>
                  <c:y val="3.0021014710297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301-473E-90A5-02AF3DA3309C}"/>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CC99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4.8191861258905817</c:v>
                </c:pt>
                <c:pt idx="1">
                  <c:v>9.5655130970186519E-2</c:v>
                </c:pt>
                <c:pt idx="2">
                  <c:v>2.3974325379896584</c:v>
                </c:pt>
                <c:pt idx="3">
                  <c:v>-1.9848700717106169</c:v>
                </c:pt>
                <c:pt idx="4">
                  <c:v>-2.9237447840155539</c:v>
                </c:pt>
                <c:pt idx="5">
                  <c:v>-1.9263830360911527</c:v>
                </c:pt>
                <c:pt idx="6">
                  <c:v>-1.130497710774506</c:v>
                </c:pt>
                <c:pt idx="7">
                  <c:v>-1.5119324923504678</c:v>
                </c:pt>
                <c:pt idx="8">
                  <c:v>-2.4625963133342026</c:v>
                </c:pt>
                <c:pt idx="9">
                  <c:v>-2.881013702901285</c:v>
                </c:pt>
                <c:pt idx="10">
                  <c:v>-1.6004903273873339</c:v>
                </c:pt>
                <c:pt idx="11">
                  <c:v>0.21618185408536306</c:v>
                </c:pt>
              </c:numCache>
            </c:numRef>
          </c:val>
          <c:smooth val="0"/>
          <c:extLst>
            <c:ext xmlns:c16="http://schemas.microsoft.com/office/drawing/2014/chart" uri="{C3380CC4-5D6E-409C-BE32-E72D297353CC}">
              <c16:uniqueId val="{0000000E-8301-473E-90A5-02AF3DA3309C}"/>
            </c:ext>
          </c:extLst>
        </c:ser>
        <c:dLbls>
          <c:showLegendKey val="0"/>
          <c:showVal val="0"/>
          <c:showCatName val="0"/>
          <c:showSerName val="0"/>
          <c:showPercent val="0"/>
          <c:showBubbleSize val="0"/>
        </c:dLbls>
        <c:marker val="1"/>
        <c:smooth val="0"/>
        <c:axId val="443900384"/>
        <c:axId val="443900056"/>
      </c:lineChart>
      <c:catAx>
        <c:axId val="4439003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276000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43900056"/>
        <c:crosses val="autoZero"/>
        <c:auto val="1"/>
        <c:lblAlgn val="ctr"/>
        <c:lblOffset val="100"/>
        <c:noMultiLvlLbl val="0"/>
      </c:catAx>
      <c:valAx>
        <c:axId val="44390005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43900384"/>
        <c:crosses val="autoZero"/>
        <c:crossBetween val="between"/>
      </c:valAx>
      <c:spPr>
        <a:noFill/>
        <a:ln>
          <a:noFill/>
        </a:ln>
        <a:effectLst/>
      </c:spPr>
    </c:plotArea>
    <c:legend>
      <c:legendPos val="b"/>
      <c:layout>
        <c:manualLayout>
          <c:xMode val="edge"/>
          <c:yMode val="edge"/>
          <c:x val="0.2789709172259508"/>
          <c:y val="0.9202449693788276"/>
          <c:w val="0.45100671140939597"/>
          <c:h val="7.97550306211723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2.1096590674856745E-2"/>
          <c:w val="0.57115149606299209"/>
          <c:h val="0.87974962553764546"/>
        </c:manualLayout>
      </c:layout>
      <c:barChart>
        <c:barDir val="bar"/>
        <c:grouping val="clustered"/>
        <c:varyColors val="0"/>
        <c:ser>
          <c:idx val="0"/>
          <c:order val="0"/>
          <c:tx>
            <c:strRef>
              <c:f>Sheet1!$B$1</c:f>
              <c:strCache>
                <c:ptCount val="1"/>
                <c:pt idx="0">
                  <c:v>2020</c:v>
                </c:pt>
              </c:strCache>
            </c:strRef>
          </c:tx>
          <c:spPr>
            <a:solidFill>
              <a:schemeClr val="accent1">
                <a:lumMod val="75000"/>
              </a:schemeClr>
            </a:solidFill>
            <a:ln w="15875">
              <a:solidFill>
                <a:srgbClr val="002060"/>
              </a:solidFill>
            </a:ln>
            <a:effectLst>
              <a:outerShdw blurRad="50800" dist="38100" dir="2700000" algn="tl" rotWithShape="0">
                <a:prstClr val="black">
                  <a:alpha val="40000"/>
                </a:prstClr>
              </a:outerShdw>
            </a:effectLst>
          </c:spPr>
          <c:invertIfNegative val="0"/>
          <c:dLbls>
            <c:dLbl>
              <c:idx val="0"/>
              <c:layout>
                <c:manualLayout>
                  <c:x val="-3.7146354029998258E-3"/>
                  <c:y val="-3.5975712568510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C2-417C-90BE-E8FA7014DFA4}"/>
                </c:ext>
              </c:extLst>
            </c:dLbl>
            <c:dLbl>
              <c:idx val="1"/>
              <c:layout>
                <c:manualLayout>
                  <c:x val="-8.0042597448366868E-3"/>
                  <c:y val="-4.08005642168327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C2-417C-90BE-E8FA7014DFA4}"/>
                </c:ext>
              </c:extLst>
            </c:dLbl>
            <c:dLbl>
              <c:idx val="3"/>
              <c:layout>
                <c:manualLayout>
                  <c:x val="-3.9996850393700786E-3"/>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C2-417C-90BE-E8FA7014DFA4}"/>
                </c:ext>
              </c:extLst>
            </c:dLbl>
            <c:dLbl>
              <c:idx val="5"/>
              <c:layout>
                <c:manualLayout>
                  <c:x val="-1.4067995310668316E-2"/>
                  <c:y val="-4.047046699238143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C2-417C-90BE-E8FA7014DFA4}"/>
                </c:ext>
              </c:extLst>
            </c:dLbl>
            <c:dLbl>
              <c:idx val="6"/>
              <c:layout>
                <c:manualLayout>
                  <c:x val="-4.6893317702227429E-3"/>
                  <c:y val="1.324503311258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C2-417C-90BE-E8FA7014DFA4}"/>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C2-417C-90BE-E8FA7014DFA4}"/>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Sheet1!$A$2:$A$9</c:f>
              <c:strCache>
                <c:ptCount val="8"/>
                <c:pt idx="0">
                  <c:v>Trans. Corrientes</c:v>
                </c:pt>
                <c:pt idx="1">
                  <c:v>Inversión Financiera</c:v>
                </c:pt>
                <c:pt idx="2">
                  <c:v>Prestaciones a la S.S</c:v>
                </c:pt>
                <c:pt idx="3">
                  <c:v>Intereses </c:v>
                </c:pt>
                <c:pt idx="4">
                  <c:v>Inversión Real Directa</c:v>
                </c:pt>
                <c:pt idx="5">
                  <c:v>Remuneraciones </c:v>
                </c:pt>
                <c:pt idx="6">
                  <c:v>Trans. De Capital</c:v>
                </c:pt>
                <c:pt idx="7">
                  <c:v>Bienes y servicios </c:v>
                </c:pt>
              </c:strCache>
            </c:strRef>
          </c:cat>
          <c:val>
            <c:numRef>
              <c:f>Sheet1!$B$2:$B$9</c:f>
              <c:numCache>
                <c:formatCode>#,##0.0</c:formatCode>
                <c:ptCount val="8"/>
                <c:pt idx="0">
                  <c:v>6685.5499999999993</c:v>
                </c:pt>
                <c:pt idx="1">
                  <c:v>2545.4499999999998</c:v>
                </c:pt>
                <c:pt idx="2">
                  <c:v>28.050000000000182</c:v>
                </c:pt>
                <c:pt idx="3">
                  <c:v>210.53999999999996</c:v>
                </c:pt>
                <c:pt idx="4">
                  <c:v>-1360.6799999999998</c:v>
                </c:pt>
                <c:pt idx="5">
                  <c:v>1494.9900000000016</c:v>
                </c:pt>
                <c:pt idx="6">
                  <c:v>-416.97999999999956</c:v>
                </c:pt>
                <c:pt idx="7">
                  <c:v>159.75</c:v>
                </c:pt>
              </c:numCache>
            </c:numRef>
          </c:val>
          <c:extLst>
            <c:ext xmlns:c16="http://schemas.microsoft.com/office/drawing/2014/chart" uri="{C3380CC4-5D6E-409C-BE32-E72D297353CC}">
              <c16:uniqueId val="{00000006-B1C2-417C-90BE-E8FA7014DFA4}"/>
            </c:ext>
          </c:extLst>
        </c:ser>
        <c:ser>
          <c:idx val="1"/>
          <c:order val="1"/>
          <c:tx>
            <c:strRef>
              <c:f>Sheet1!$C$1</c:f>
              <c:strCache>
                <c:ptCount val="1"/>
                <c:pt idx="0">
                  <c:v>2021</c:v>
                </c:pt>
              </c:strCache>
            </c:strRef>
          </c:tx>
          <c:spPr>
            <a:solidFill>
              <a:srgbClr val="92D050"/>
            </a:solidFill>
            <a:ln w="15875">
              <a:solidFill>
                <a:schemeClr val="accent3">
                  <a:lumMod val="50000"/>
                </a:schemeClr>
              </a:solidFill>
            </a:ln>
            <a:effectLst>
              <a:outerShdw blurRad="50800" dist="38100" dir="2700000" algn="tl" rotWithShape="0">
                <a:prstClr val="black">
                  <a:alpha val="40000"/>
                </a:prstClr>
              </a:outerShdw>
            </a:effectLst>
          </c:spPr>
          <c:invertIfNegative val="0"/>
          <c:dLbls>
            <c:dLbl>
              <c:idx val="0"/>
              <c:layout>
                <c:manualLayout>
                  <c:x val="-8.8297901800961864E-2"/>
                  <c:y val="3.8605968955867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C2-417C-90BE-E8FA7014DFA4}"/>
                </c:ext>
              </c:extLst>
            </c:dLbl>
            <c:dLbl>
              <c:idx val="1"/>
              <c:layout>
                <c:manualLayout>
                  <c:x val="-1.4067995310668272E-2"/>
                  <c:y val="-8.09409339847628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1C2-417C-90BE-E8FA7014DFA4}"/>
                </c:ext>
              </c:extLst>
            </c:dLbl>
            <c:dLbl>
              <c:idx val="2"/>
              <c:layout>
                <c:manualLayout>
                  <c:x val="-8.5801574803149611E-3"/>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1C2-417C-90BE-E8FA7014DFA4}"/>
                </c:ext>
              </c:extLst>
            </c:dLbl>
            <c:dLbl>
              <c:idx val="4"/>
              <c:layout>
                <c:manualLayout>
                  <c:x val="0"/>
                  <c:y val="-9.56022944550669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1C2-417C-90BE-E8FA7014DFA4}"/>
                </c:ext>
              </c:extLst>
            </c:dLbl>
            <c:dLbl>
              <c:idx val="6"/>
              <c:layout>
                <c:manualLayout>
                  <c:x val="0"/>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1C2-417C-90BE-E8FA7014DFA4}"/>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1C2-417C-90BE-E8FA7014DFA4}"/>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Sheet1!$A$2:$A$9</c:f>
              <c:strCache>
                <c:ptCount val="8"/>
                <c:pt idx="0">
                  <c:v>Trans. Corrientes</c:v>
                </c:pt>
                <c:pt idx="1">
                  <c:v>Inversión Financiera</c:v>
                </c:pt>
                <c:pt idx="2">
                  <c:v>Prestaciones a la S.S</c:v>
                </c:pt>
                <c:pt idx="3">
                  <c:v>Intereses </c:v>
                </c:pt>
                <c:pt idx="4">
                  <c:v>Inversión Real Directa</c:v>
                </c:pt>
                <c:pt idx="5">
                  <c:v>Remuneraciones </c:v>
                </c:pt>
                <c:pt idx="6">
                  <c:v>Trans. De Capital</c:v>
                </c:pt>
                <c:pt idx="7">
                  <c:v>Bienes y servicios </c:v>
                </c:pt>
              </c:strCache>
            </c:strRef>
          </c:cat>
          <c:val>
            <c:numRef>
              <c:f>Sheet1!$C$2:$C$9</c:f>
              <c:numCache>
                <c:formatCode>#,##0.0</c:formatCode>
                <c:ptCount val="8"/>
                <c:pt idx="0">
                  <c:v>-6790.0146469899992</c:v>
                </c:pt>
                <c:pt idx="1">
                  <c:v>-2541.05602907</c:v>
                </c:pt>
                <c:pt idx="2">
                  <c:v>137.3495334499994</c:v>
                </c:pt>
                <c:pt idx="3">
                  <c:v>251.85866857000019</c:v>
                </c:pt>
                <c:pt idx="4">
                  <c:v>320.94936009999992</c:v>
                </c:pt>
                <c:pt idx="5">
                  <c:v>694.78524951999862</c:v>
                </c:pt>
                <c:pt idx="6">
                  <c:v>731.7420109199993</c:v>
                </c:pt>
                <c:pt idx="7">
                  <c:v>3016.4670430899987</c:v>
                </c:pt>
              </c:numCache>
            </c:numRef>
          </c:val>
          <c:extLst>
            <c:ext xmlns:c16="http://schemas.microsoft.com/office/drawing/2014/chart" uri="{C3380CC4-5D6E-409C-BE32-E72D297353CC}">
              <c16:uniqueId val="{0000000D-B1C2-417C-90BE-E8FA7014DFA4}"/>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40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5845657669175118"/>
          <c:y val="0.9497976785599348"/>
          <c:w val="0.28308684661649763"/>
          <c:h val="5.020232144006522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2.363100771720747E-2"/>
          <c:w val="0.90489558370421086"/>
          <c:h val="0.88490914133436227"/>
        </c:manualLayout>
      </c:layout>
      <c:barChart>
        <c:barDir val="col"/>
        <c:grouping val="clustered"/>
        <c:varyColors val="0"/>
        <c:ser>
          <c:idx val="0"/>
          <c:order val="0"/>
          <c:tx>
            <c:strRef>
              <c:f>Hoja1!$B$1</c:f>
              <c:strCache>
                <c:ptCount val="1"/>
                <c:pt idx="0">
                  <c:v>% de ejecución</c:v>
                </c:pt>
              </c:strCache>
            </c:strRef>
          </c:tx>
          <c:spPr>
            <a:solidFill>
              <a:schemeClr val="tx2">
                <a:lumMod val="60000"/>
                <a:lumOff val="40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6A6E-4E4A-AFFC-674CB5E4020D}"/>
              </c:ext>
            </c:extLst>
          </c:dPt>
          <c:dPt>
            <c:idx val="6"/>
            <c:invertIfNegative val="0"/>
            <c:bubble3D val="0"/>
            <c:spPr>
              <a:solidFill>
                <a:srgbClr val="FFC000"/>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6A6E-4E4A-AFFC-674CB5E4020D}"/>
              </c:ext>
            </c:extLst>
          </c:dPt>
          <c:dLbls>
            <c:dLbl>
              <c:idx val="2"/>
              <c:layout>
                <c:manualLayout>
                  <c:x val="-4.2174192655966848E-17"/>
                  <c:y val="0.1716312056737588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6E-4E4A-AFFC-674CB5E4020D}"/>
                </c:ext>
              </c:extLst>
            </c:dLbl>
            <c:dLbl>
              <c:idx val="3"/>
              <c:layout>
                <c:manualLayout>
                  <c:x val="4.6008741660914726E-3"/>
                  <c:y val="0.1602585581057686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6E-4E4A-AFFC-674CB5E4020D}"/>
                </c:ext>
              </c:extLst>
            </c:dLbl>
            <c:dLbl>
              <c:idx val="4"/>
              <c:layout>
                <c:manualLayout>
                  <c:x val="0"/>
                  <c:y val="0.1174777873631113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6E-4E4A-AFFC-674CB5E4020D}"/>
                </c:ext>
              </c:extLst>
            </c:dLbl>
            <c:dLbl>
              <c:idx val="5"/>
              <c:layout>
                <c:manualLayout>
                  <c:x val="0"/>
                  <c:y val="0.12454901616013979"/>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6E-4E4A-AFFC-674CB5E4020D}"/>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6A6E-4E4A-AFFC-674CB5E4020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2016</c:v>
                </c:pt>
                <c:pt idx="1">
                  <c:v>2017</c:v>
                </c:pt>
                <c:pt idx="2">
                  <c:v>2018</c:v>
                </c:pt>
                <c:pt idx="3">
                  <c:v>2019</c:v>
                </c:pt>
                <c:pt idx="4">
                  <c:v>2020</c:v>
                </c:pt>
                <c:pt idx="5">
                  <c:v>2021</c:v>
                </c:pt>
                <c:pt idx="6">
                  <c:v>Ajustado*</c:v>
                </c:pt>
              </c:strCache>
            </c:strRef>
          </c:cat>
          <c:val>
            <c:numRef>
              <c:f>Hoja1!$B$2:$B$8</c:f>
              <c:numCache>
                <c:formatCode>0.0</c:formatCode>
                <c:ptCount val="7"/>
                <c:pt idx="0">
                  <c:v>72.525914531637568</c:v>
                </c:pt>
                <c:pt idx="1">
                  <c:v>69.850135083133679</c:v>
                </c:pt>
                <c:pt idx="2">
                  <c:v>74.401210991951245</c:v>
                </c:pt>
                <c:pt idx="3">
                  <c:v>74.973704702535599</c:v>
                </c:pt>
                <c:pt idx="4">
                  <c:v>70.210082115264257</c:v>
                </c:pt>
                <c:pt idx="5">
                  <c:v>66.40175595244871</c:v>
                </c:pt>
                <c:pt idx="6">
                  <c:v>75.668376668482523</c:v>
                </c:pt>
              </c:numCache>
            </c:numRef>
          </c:val>
          <c:extLst>
            <c:ext xmlns:c16="http://schemas.microsoft.com/office/drawing/2014/chart" uri="{C3380CC4-5D6E-409C-BE32-E72D297353CC}">
              <c16:uniqueId val="{00000007-6A6E-4E4A-AFFC-674CB5E4020D}"/>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32772588209082559"/>
                  <c:y val="-7.961132518009717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28619165667433361"/>
                      <c:h val="0.15151902782219379"/>
                    </c:manualLayout>
                  </c15:layout>
                </c:ext>
                <c:ext xmlns:c16="http://schemas.microsoft.com/office/drawing/2014/chart" uri="{C3380CC4-5D6E-409C-BE32-E72D297353CC}">
                  <c16:uniqueId val="{00000008-6A6E-4E4A-AFFC-674CB5E402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2016</c:v>
                </c:pt>
                <c:pt idx="1">
                  <c:v>2017</c:v>
                </c:pt>
                <c:pt idx="2">
                  <c:v>2018</c:v>
                </c:pt>
                <c:pt idx="3">
                  <c:v>2019</c:v>
                </c:pt>
                <c:pt idx="4">
                  <c:v>2020</c:v>
                </c:pt>
                <c:pt idx="5">
                  <c:v>2021</c:v>
                </c:pt>
                <c:pt idx="6">
                  <c:v>Ajustado*</c:v>
                </c:pt>
              </c:strCache>
            </c:strRef>
          </c:cat>
          <c:val>
            <c:numRef>
              <c:f>Hoja1!$C$2:$C$8</c:f>
              <c:numCache>
                <c:formatCode>0.0</c:formatCode>
                <c:ptCount val="7"/>
                <c:pt idx="0">
                  <c:v>72.39220948490447</c:v>
                </c:pt>
                <c:pt idx="1">
                  <c:v>72.39220948490447</c:v>
                </c:pt>
                <c:pt idx="2">
                  <c:v>72.39220948490447</c:v>
                </c:pt>
                <c:pt idx="3">
                  <c:v>72.39220948490447</c:v>
                </c:pt>
                <c:pt idx="4">
                  <c:v>72.39220948490447</c:v>
                </c:pt>
              </c:numCache>
            </c:numRef>
          </c:val>
          <c:smooth val="0"/>
          <c:extLst>
            <c:ext xmlns:c16="http://schemas.microsoft.com/office/drawing/2014/chart" uri="{C3380CC4-5D6E-409C-BE32-E72D297353CC}">
              <c16:uniqueId val="{00000009-6A6E-4E4A-AFFC-674CB5E4020D}"/>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82.5"/>
          <c:min val="40.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1.8216503424876768E-2"/>
          <c:w val="0.67595450840542404"/>
          <c:h val="0.93331000291630217"/>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7"/>
            <c:invertIfNegative val="0"/>
            <c:bubble3D val="0"/>
            <c:spPr>
              <a:solidFill>
                <a:srgbClr val="C00000">
                  <a:alpha val="75000"/>
                </a:srgbClr>
              </a:solidFill>
              <a:ln>
                <a:solidFill>
                  <a:schemeClr val="tx1">
                    <a:lumMod val="95000"/>
                    <a:lumOff val="5000"/>
                  </a:schemeClr>
                </a:solidFill>
              </a:ln>
              <a:effectLst/>
            </c:spPr>
            <c:extLst>
              <c:ext xmlns:c16="http://schemas.microsoft.com/office/drawing/2014/chart" uri="{C3380CC4-5D6E-409C-BE32-E72D297353CC}">
                <c16:uniqueId val="{00000001-8A1E-4F3B-9462-37FC07EFACC7}"/>
              </c:ext>
            </c:extLst>
          </c:dPt>
          <c:dPt>
            <c:idx val="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8A1E-4F3B-9462-37FC07EFACC7}"/>
              </c:ext>
            </c:extLst>
          </c:dPt>
          <c:dPt>
            <c:idx val="9"/>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8A1E-4F3B-9462-37FC07EFACC7}"/>
              </c:ext>
            </c:extLst>
          </c:dPt>
          <c:dPt>
            <c:idx val="1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8A1E-4F3B-9462-37FC07EFACC7}"/>
              </c:ext>
            </c:extLst>
          </c:dPt>
          <c:dPt>
            <c:idx val="11"/>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9-8A1E-4F3B-9462-37FC07EFACC7}"/>
              </c:ext>
            </c:extLst>
          </c:dPt>
          <c:dPt>
            <c:idx val="12"/>
            <c:invertIfNegative val="0"/>
            <c:bubble3D val="0"/>
            <c:spPr>
              <a:solidFill>
                <a:srgbClr val="FF7C80">
                  <a:alpha val="75000"/>
                </a:srgbClr>
              </a:solidFill>
              <a:ln>
                <a:solidFill>
                  <a:schemeClr val="tx1">
                    <a:lumMod val="95000"/>
                    <a:lumOff val="5000"/>
                  </a:schemeClr>
                </a:solidFill>
              </a:ln>
              <a:effectLst/>
            </c:spPr>
            <c:extLst>
              <c:ext xmlns:c16="http://schemas.microsoft.com/office/drawing/2014/chart" uri="{C3380CC4-5D6E-409C-BE32-E72D297353CC}">
                <c16:uniqueId val="{0000000B-8A1E-4F3B-9462-37FC07EFACC7}"/>
              </c:ext>
            </c:extLst>
          </c:dPt>
          <c:dPt>
            <c:idx val="1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D-8A1E-4F3B-9462-37FC07EFACC7}"/>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F-8A1E-4F3B-9462-37FC07EFACC7}"/>
              </c:ext>
            </c:extLst>
          </c:dPt>
          <c:dLbls>
            <c:dLbl>
              <c:idx val="19"/>
              <c:layout>
                <c:manualLayout>
                  <c:x val="-1.3295143311980156E-3"/>
                  <c:y val="-4.1402713522016234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A1E-4F3B-9462-37FC07EFACC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Hoja1!$A$2:$A$21</c:f>
              <c:strCache>
                <c:ptCount val="20"/>
                <c:pt idx="0">
                  <c:v>Obligaciones </c:v>
                </c:pt>
                <c:pt idx="1">
                  <c:v>Economía</c:v>
                </c:pt>
                <c:pt idx="2">
                  <c:v>Secretarías</c:v>
                </c:pt>
                <c:pt idx="3">
                  <c:v>Cultura</c:v>
                </c:pt>
                <c:pt idx="4">
                  <c:v>Agricultura</c:v>
                </c:pt>
                <c:pt idx="5">
                  <c:v>Comunicaciones</c:v>
                </c:pt>
                <c:pt idx="6">
                  <c:v>Energía</c:v>
                </c:pt>
                <c:pt idx="7">
                  <c:v>Total</c:v>
                </c:pt>
                <c:pt idx="8">
                  <c:v>Salud Pública </c:v>
                </c:pt>
                <c:pt idx="9">
                  <c:v>Finanzas</c:v>
                </c:pt>
                <c:pt idx="10">
                  <c:v>Presidencia</c:v>
                </c:pt>
                <c:pt idx="11">
                  <c:v>Desarrollo</c:v>
                </c:pt>
                <c:pt idx="12">
                  <c:v>Defensa </c:v>
                </c:pt>
                <c:pt idx="13">
                  <c:v>Ambiente </c:v>
                </c:pt>
                <c:pt idx="14">
                  <c:v>MINREX</c:v>
                </c:pt>
                <c:pt idx="15">
                  <c:v>Deuda Pública</c:v>
                </c:pt>
                <c:pt idx="16">
                  <c:v>Trabajo </c:v>
                </c:pt>
                <c:pt idx="17">
                  <c:v>Gobernación</c:v>
                </c:pt>
                <c:pt idx="18">
                  <c:v>Educación </c:v>
                </c:pt>
                <c:pt idx="19">
                  <c:v>PGN</c:v>
                </c:pt>
              </c:strCache>
            </c:strRef>
          </c:cat>
          <c:val>
            <c:numRef>
              <c:f>Hoja1!$B$2:$B$21</c:f>
              <c:numCache>
                <c:formatCode>0.0</c:formatCode>
                <c:ptCount val="20"/>
                <c:pt idx="0">
                  <c:v>56.265729767177298</c:v>
                </c:pt>
                <c:pt idx="1">
                  <c:v>57.146736794609254</c:v>
                </c:pt>
                <c:pt idx="2">
                  <c:v>59.044599878979852</c:v>
                </c:pt>
                <c:pt idx="3">
                  <c:v>59.847426868240142</c:v>
                </c:pt>
                <c:pt idx="4">
                  <c:v>64.710980228978841</c:v>
                </c:pt>
                <c:pt idx="5">
                  <c:v>65.553280040847355</c:v>
                </c:pt>
                <c:pt idx="6">
                  <c:v>65.569131279653931</c:v>
                </c:pt>
                <c:pt idx="7">
                  <c:v>66.40175595244871</c:v>
                </c:pt>
                <c:pt idx="8">
                  <c:v>66.532925379945368</c:v>
                </c:pt>
                <c:pt idx="9">
                  <c:v>69.176604955804365</c:v>
                </c:pt>
                <c:pt idx="10">
                  <c:v>70.319148339569693</c:v>
                </c:pt>
                <c:pt idx="11">
                  <c:v>70.407002428808823</c:v>
                </c:pt>
                <c:pt idx="12">
                  <c:v>70.532782108663412</c:v>
                </c:pt>
                <c:pt idx="13">
                  <c:v>72.691471408683768</c:v>
                </c:pt>
                <c:pt idx="14">
                  <c:v>73.966191108128882</c:v>
                </c:pt>
                <c:pt idx="15">
                  <c:v>74.36413049380603</c:v>
                </c:pt>
                <c:pt idx="16">
                  <c:v>75.691348044283089</c:v>
                </c:pt>
                <c:pt idx="17">
                  <c:v>77.961443410526329</c:v>
                </c:pt>
                <c:pt idx="18">
                  <c:v>78.859148839010629</c:v>
                </c:pt>
                <c:pt idx="19">
                  <c:v>81.068783959130641</c:v>
                </c:pt>
              </c:numCache>
            </c:numRef>
          </c:val>
          <c:extLst>
            <c:ext xmlns:c16="http://schemas.microsoft.com/office/drawing/2014/chart" uri="{C3380CC4-5D6E-409C-BE32-E72D297353CC}">
              <c16:uniqueId val="{00000011-8A1E-4F3B-9462-37FC07EFACC7}"/>
            </c:ext>
          </c:extLst>
        </c:ser>
        <c:dLbls>
          <c:showLegendKey val="0"/>
          <c:showVal val="0"/>
          <c:showCatName val="0"/>
          <c:showSerName val="0"/>
          <c:showPercent val="0"/>
          <c:showBubbleSize val="0"/>
        </c:dLbls>
        <c:gapWidth val="10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85"/>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20"/>
        <c:min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D6861-C197-4ABE-A5E2-162C07AA1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4851</Words>
  <Characters>26683</Characters>
  <Application>Microsoft Office Word</Application>
  <DocSecurity>0</DocSecurity>
  <Lines>222</Lines>
  <Paragraphs>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Myriam Adelaida Galvez García</cp:lastModifiedBy>
  <cp:revision>2</cp:revision>
  <cp:lastPrinted>2021-07-09T18:17:00Z</cp:lastPrinted>
  <dcterms:created xsi:type="dcterms:W3CDTF">2021-11-17T16:11:00Z</dcterms:created>
  <dcterms:modified xsi:type="dcterms:W3CDTF">2021-11-17T16:11:00Z</dcterms:modified>
</cp:coreProperties>
</file>