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header2.xml" ContentType="application/vnd.openxmlformats-officedocument.wordprocessingml.header+xml"/>
  <Override PartName="/word/footer2.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header3.xml" ContentType="application/vnd.openxmlformats-officedocument.wordprocessingml.header+xml"/>
  <Override PartName="/word/footer3.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4.xml" ContentType="application/vnd.openxmlformats-officedocument.wordprocessingml.header+xml"/>
  <Override PartName="/word/footer4.xml" ContentType="application/vnd.openxmlformats-officedocument.wordprocessingml.footer+xml"/>
  <Override PartName="/word/charts/chart8.xml" ContentType="application/vnd.openxmlformats-officedocument.drawingml.chart+xml"/>
  <Override PartName="/word/theme/themeOverride1.xml" ContentType="application/vnd.openxmlformats-officedocument.themeOverride+xml"/>
  <Override PartName="/word/header5.xml" ContentType="application/vnd.openxmlformats-officedocument.wordprocessingml.header+xml"/>
  <Override PartName="/word/footer5.xml" ContentType="application/vnd.openxmlformats-officedocument.wordprocessingml.footer+xml"/>
  <Override PartName="/word/charts/chart9.xml" ContentType="application/vnd.openxmlformats-officedocument.drawingml.chart+xml"/>
  <Override PartName="/word/theme/themeOverride2.xml" ContentType="application/vnd.openxmlformats-officedocument.themeOverride+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4651" w:rsidRPr="00BF321D" w:rsidRDefault="002C4CB2" w:rsidP="00474998">
      <w:pPr>
        <w:pBdr>
          <w:top w:val="single" w:sz="4" w:space="1" w:color="auto"/>
          <w:left w:val="single" w:sz="4" w:space="1" w:color="auto"/>
          <w:bottom w:val="single" w:sz="4" w:space="1" w:color="auto"/>
          <w:right w:val="single" w:sz="4" w:space="4" w:color="auto"/>
        </w:pBdr>
        <w:shd w:val="clear" w:color="auto" w:fill="B8CCE4" w:themeFill="accent1" w:themeFillTint="66"/>
        <w:spacing w:after="0" w:line="240" w:lineRule="auto"/>
        <w:ind w:left="284" w:right="332"/>
        <w:jc w:val="center"/>
        <w:rPr>
          <w:rFonts w:ascii="Times New Roman" w:hAnsi="Times New Roman" w:cs="Times New Roman"/>
          <w:b/>
          <w:lang w:val="es-MX"/>
        </w:rPr>
        <w:sectPr w:rsidR="007D4651" w:rsidRPr="00BF321D" w:rsidSect="00754057">
          <w:headerReference w:type="default" r:id="rId9"/>
          <w:footerReference w:type="default" r:id="rId10"/>
          <w:pgSz w:w="12240" w:h="15840" w:code="1"/>
          <w:pgMar w:top="1418" w:right="1418" w:bottom="1418" w:left="1418" w:header="709" w:footer="709" w:gutter="0"/>
          <w:cols w:space="708"/>
          <w:docGrid w:linePitch="360"/>
        </w:sectPr>
      </w:pPr>
      <w:bookmarkStart w:id="0" w:name="_GoBack"/>
      <w:bookmarkEnd w:id="0"/>
      <w:r w:rsidRPr="00BF321D">
        <w:rPr>
          <w:rFonts w:ascii="Times New Roman" w:hAnsi="Times New Roman" w:cs="Times New Roman"/>
          <w:b/>
          <w:lang w:val="es-MX"/>
        </w:rPr>
        <w:t>A junio se reporta</w:t>
      </w:r>
      <w:r w:rsidR="00E4153A" w:rsidRPr="00BF321D">
        <w:rPr>
          <w:rFonts w:ascii="Times New Roman" w:hAnsi="Times New Roman" w:cs="Times New Roman"/>
          <w:b/>
          <w:lang w:val="es-MX"/>
        </w:rPr>
        <w:t xml:space="preserve"> déficit fiscal</w:t>
      </w:r>
      <w:r w:rsidRPr="00BF321D">
        <w:rPr>
          <w:rFonts w:ascii="Times New Roman" w:hAnsi="Times New Roman" w:cs="Times New Roman"/>
          <w:b/>
          <w:lang w:val="es-MX"/>
        </w:rPr>
        <w:t xml:space="preserve"> moderado</w:t>
      </w:r>
    </w:p>
    <w:p w:rsidR="007D4651" w:rsidRPr="000A5725" w:rsidRDefault="007D4651" w:rsidP="007D4651">
      <w:pPr>
        <w:pStyle w:val="Sinespaciado"/>
        <w:rPr>
          <w:rFonts w:ascii="Times New Roman" w:hAnsi="Times New Roman" w:cs="Times New Roman"/>
          <w:b/>
          <w:color w:val="FF0000"/>
          <w:sz w:val="6"/>
          <w:lang w:val="es-MX"/>
        </w:rPr>
      </w:pPr>
    </w:p>
    <w:p w:rsidR="007D4651" w:rsidRPr="000A5725" w:rsidRDefault="007D4651" w:rsidP="007D4651">
      <w:pPr>
        <w:pStyle w:val="Sinespaciado"/>
        <w:jc w:val="center"/>
        <w:rPr>
          <w:rFonts w:ascii="Times New Roman" w:hAnsi="Times New Roman" w:cs="Times New Roman"/>
          <w:b/>
          <w:color w:val="FF0000"/>
          <w:sz w:val="12"/>
          <w:lang w:val="es-MX"/>
        </w:rPr>
      </w:pPr>
    </w:p>
    <w:p w:rsidR="009C4027" w:rsidRPr="000A5725" w:rsidRDefault="009C4027" w:rsidP="007D4651">
      <w:pPr>
        <w:pStyle w:val="Sinespaciado"/>
        <w:jc w:val="center"/>
        <w:rPr>
          <w:rFonts w:ascii="Times New Roman" w:hAnsi="Times New Roman" w:cs="Times New Roman"/>
          <w:b/>
          <w:color w:val="FF0000"/>
          <w:lang w:val="es-MX"/>
        </w:rPr>
        <w:sectPr w:rsidR="009C4027" w:rsidRPr="000A5725" w:rsidSect="004E358C">
          <w:type w:val="continuous"/>
          <w:pgSz w:w="12240" w:h="15840"/>
          <w:pgMar w:top="1417" w:right="1701" w:bottom="1417" w:left="1701" w:header="708" w:footer="708" w:gutter="0"/>
          <w:cols w:space="708"/>
          <w:docGrid w:linePitch="360"/>
        </w:sectPr>
      </w:pPr>
    </w:p>
    <w:p w:rsidR="00FD2282" w:rsidRPr="00C77E67" w:rsidRDefault="00FD2282" w:rsidP="00FD2282">
      <w:pPr>
        <w:pStyle w:val="Sinespaciado"/>
        <w:ind w:left="284"/>
        <w:jc w:val="both"/>
        <w:rPr>
          <w:rFonts w:ascii="Times New Roman" w:hAnsi="Times New Roman" w:cs="Times New Roman"/>
          <w:lang w:val="es-MX"/>
        </w:rPr>
      </w:pPr>
      <w:r w:rsidRPr="00C77E67">
        <w:rPr>
          <w:rFonts w:ascii="Times New Roman" w:hAnsi="Times New Roman" w:cs="Times New Roman"/>
          <w:lang w:val="es-MX"/>
        </w:rPr>
        <w:lastRenderedPageBreak/>
        <w:t>El resultado presupuestario del gobierno central muestra un déficit fiscal que se sitúa al 30 de junio de 2021 en Q1,9</w:t>
      </w:r>
      <w:r>
        <w:rPr>
          <w:rFonts w:ascii="Times New Roman" w:hAnsi="Times New Roman" w:cs="Times New Roman"/>
          <w:lang w:val="es-MX"/>
        </w:rPr>
        <w:t>03</w:t>
      </w:r>
      <w:r w:rsidRPr="00C77E67">
        <w:rPr>
          <w:rFonts w:ascii="Times New Roman" w:hAnsi="Times New Roman" w:cs="Times New Roman"/>
          <w:lang w:val="es-MX"/>
        </w:rPr>
        <w:t>.</w:t>
      </w:r>
      <w:r>
        <w:rPr>
          <w:rFonts w:ascii="Times New Roman" w:hAnsi="Times New Roman" w:cs="Times New Roman"/>
          <w:lang w:val="es-MX"/>
        </w:rPr>
        <w:t>1</w:t>
      </w:r>
      <w:r w:rsidRPr="00C77E67">
        <w:rPr>
          <w:rFonts w:ascii="Times New Roman" w:hAnsi="Times New Roman" w:cs="Times New Roman"/>
          <w:lang w:val="es-MX"/>
        </w:rPr>
        <w:t xml:space="preserve"> millones. En los años anteriores (2018-2020) a junio también se reportaba déficit fiscal, resalta en particular el amplio déficit observado en 2020, mismo que responde a la ejecución acelerada en los programas de emergencia derivados del COVID-19 y la recaudación tributaria, en dicho año, reportaba una variación interanual negativa, mientras la brecha respecto a la meta se continuaba ampliando.</w:t>
      </w:r>
    </w:p>
    <w:p w:rsidR="00FD2282" w:rsidRPr="008B062E" w:rsidRDefault="00FD2282" w:rsidP="00FD2282">
      <w:pPr>
        <w:pStyle w:val="Sinespaciado"/>
        <w:ind w:left="284"/>
        <w:jc w:val="both"/>
        <w:rPr>
          <w:rFonts w:ascii="Times New Roman" w:hAnsi="Times New Roman" w:cs="Times New Roman"/>
          <w:sz w:val="24"/>
          <w:lang w:val="es-MX"/>
        </w:rPr>
      </w:pPr>
    </w:p>
    <w:p w:rsidR="00FD2282" w:rsidRPr="00C77E67" w:rsidRDefault="00FD2282" w:rsidP="00FD2282">
      <w:pPr>
        <w:pStyle w:val="Sinespaciado"/>
        <w:ind w:left="284"/>
        <w:jc w:val="both"/>
        <w:rPr>
          <w:rFonts w:ascii="Times New Roman" w:hAnsi="Times New Roman" w:cs="Times New Roman"/>
          <w:lang w:val="es-MX"/>
        </w:rPr>
      </w:pPr>
      <w:r w:rsidRPr="00C77E67">
        <w:rPr>
          <w:rFonts w:ascii="Times New Roman" w:hAnsi="Times New Roman" w:cs="Times New Roman"/>
          <w:lang w:val="es-MX"/>
        </w:rPr>
        <w:t xml:space="preserve">Dado el buen desempeño de la recaudación tributaria en el presente ejercicio fiscal, la brecha respecto a la meta establecida ha ido </w:t>
      </w:r>
      <w:r w:rsidRPr="00C77E67">
        <w:rPr>
          <w:rFonts w:ascii="Times New Roman" w:hAnsi="Times New Roman" w:cs="Times New Roman"/>
          <w:lang w:val="es-MX"/>
        </w:rPr>
        <w:lastRenderedPageBreak/>
        <w:t>aumentando de manera importante, de esa cuenta, por sexto mes consecutivo se supera la meta de recaudación prevista.</w:t>
      </w:r>
    </w:p>
    <w:p w:rsidR="00FD2282" w:rsidRPr="00C77E67" w:rsidRDefault="00FD2282" w:rsidP="00FD2282">
      <w:pPr>
        <w:pStyle w:val="Sinespaciado"/>
        <w:ind w:left="284"/>
        <w:jc w:val="both"/>
        <w:rPr>
          <w:rFonts w:ascii="Times New Roman" w:hAnsi="Times New Roman" w:cs="Times New Roman"/>
          <w:lang w:val="es-MX"/>
        </w:rPr>
      </w:pPr>
    </w:p>
    <w:p w:rsidR="00FD2282" w:rsidRPr="00C77E67" w:rsidRDefault="00FD2282" w:rsidP="00FD2282">
      <w:pPr>
        <w:pStyle w:val="Sinespaciado"/>
        <w:ind w:left="284"/>
        <w:jc w:val="both"/>
        <w:rPr>
          <w:rFonts w:ascii="Times New Roman" w:hAnsi="Times New Roman" w:cs="Times New Roman"/>
        </w:rPr>
      </w:pPr>
      <w:r w:rsidRPr="00C77E67">
        <w:rPr>
          <w:rFonts w:ascii="Times New Roman" w:hAnsi="Times New Roman" w:cs="Times New Roman"/>
          <w:lang w:val="es-MX"/>
        </w:rPr>
        <w:t>Es importante considerar que el déficit fiscal continuará ampliándose en los próximos meses, aunque de forma más moderada en relación al 2020, dado que la variación interanual del gasto, se ubicaría en terreno negativo. Esta moderación prevista en el aumento del déficit se podría acentuar si los niveles de recaudación siguen ampliándose con respecto a la meta, aunque también se espera un mayor dinamismo del gasto en los próximos meses, pero no al mismo nivel del obtenido en el segundo semestre de 2020.</w:t>
      </w:r>
    </w:p>
    <w:p w:rsidR="00E37543" w:rsidRPr="000A5725" w:rsidRDefault="00E37543" w:rsidP="00E829E3">
      <w:pPr>
        <w:pStyle w:val="Sinespaciado"/>
        <w:rPr>
          <w:rFonts w:ascii="Times New Roman" w:hAnsi="Times New Roman" w:cs="Times New Roman"/>
          <w:b/>
          <w:color w:val="FF0000"/>
          <w:sz w:val="18"/>
        </w:rPr>
        <w:sectPr w:rsidR="00E37543" w:rsidRPr="000A5725" w:rsidSect="00474998">
          <w:type w:val="continuous"/>
          <w:pgSz w:w="12240" w:h="15840" w:code="1"/>
          <w:pgMar w:top="1418" w:right="1750" w:bottom="1418" w:left="1418" w:header="709" w:footer="709" w:gutter="0"/>
          <w:cols w:num="2" w:space="518"/>
          <w:docGrid w:linePitch="360"/>
        </w:sectPr>
      </w:pPr>
    </w:p>
    <w:p w:rsidR="00E829E3" w:rsidRPr="000A5725" w:rsidRDefault="00E829E3" w:rsidP="000704F4">
      <w:pPr>
        <w:pStyle w:val="Sinespaciado"/>
        <w:rPr>
          <w:rFonts w:ascii="Times New Roman" w:hAnsi="Times New Roman" w:cs="Times New Roman"/>
          <w:b/>
          <w:color w:val="FF0000"/>
          <w:sz w:val="18"/>
          <w:lang w:val="es-MX"/>
        </w:rPr>
      </w:pPr>
    </w:p>
    <w:p w:rsidR="006F5EA0" w:rsidRPr="00FD2282" w:rsidRDefault="00950874" w:rsidP="006F5EA0">
      <w:pPr>
        <w:pStyle w:val="Sinespaciado"/>
        <w:jc w:val="center"/>
        <w:rPr>
          <w:rFonts w:ascii="Times New Roman" w:hAnsi="Times New Roman" w:cs="Times New Roman"/>
          <w:b/>
          <w:sz w:val="24"/>
          <w:lang w:val="es-MX"/>
        </w:rPr>
      </w:pPr>
      <w:r w:rsidRPr="00FD2282">
        <w:rPr>
          <w:rFonts w:ascii="Times New Roman" w:hAnsi="Times New Roman" w:cs="Times New Roman"/>
          <w:b/>
          <w:sz w:val="24"/>
          <w:lang w:val="es-MX"/>
        </w:rPr>
        <w:t>Resultado Presupuestario</w:t>
      </w:r>
    </w:p>
    <w:p w:rsidR="00FD2282" w:rsidRPr="00FD2282" w:rsidRDefault="00E829E3" w:rsidP="006F5EA0">
      <w:pPr>
        <w:pStyle w:val="Sinespaciado"/>
        <w:jc w:val="center"/>
        <w:rPr>
          <w:rFonts w:ascii="Times New Roman" w:hAnsi="Times New Roman" w:cs="Times New Roman"/>
          <w:sz w:val="20"/>
          <w:lang w:val="es-MX"/>
        </w:rPr>
      </w:pPr>
      <w:r w:rsidRPr="00FD2282">
        <w:rPr>
          <w:rFonts w:ascii="Times New Roman" w:hAnsi="Times New Roman" w:cs="Times New Roman"/>
          <w:sz w:val="20"/>
          <w:lang w:val="es-MX"/>
        </w:rPr>
        <w:t>Cifras en millones de quetzales</w:t>
      </w:r>
      <w:r w:rsidR="006F5EA0" w:rsidRPr="00FD2282">
        <w:rPr>
          <w:rFonts w:ascii="Times New Roman" w:hAnsi="Times New Roman" w:cs="Times New Roman"/>
          <w:sz w:val="20"/>
          <w:lang w:val="es-MX"/>
        </w:rPr>
        <w:t xml:space="preserve">  </w:t>
      </w:r>
    </w:p>
    <w:p w:rsidR="00E829E3" w:rsidRPr="00FD2282" w:rsidRDefault="00FD2282" w:rsidP="006F5EA0">
      <w:pPr>
        <w:pStyle w:val="Sinespaciado"/>
        <w:jc w:val="center"/>
        <w:rPr>
          <w:rFonts w:ascii="Times New Roman" w:hAnsi="Times New Roman" w:cs="Times New Roman"/>
          <w:sz w:val="20"/>
          <w:lang w:val="es-MX"/>
        </w:rPr>
      </w:pPr>
      <w:r w:rsidRPr="00FD2282">
        <w:rPr>
          <w:rFonts w:ascii="Times New Roman" w:hAnsi="Times New Roman" w:cs="Times New Roman"/>
          <w:sz w:val="20"/>
          <w:lang w:val="es-MX"/>
        </w:rPr>
        <w:t>Al 30 de junio de cada año</w:t>
      </w:r>
      <w:r w:rsidR="006F5EA0" w:rsidRPr="00FD2282">
        <w:rPr>
          <w:rFonts w:ascii="Times New Roman" w:hAnsi="Times New Roman" w:cs="Times New Roman"/>
          <w:sz w:val="20"/>
          <w:lang w:val="es-MX"/>
        </w:rPr>
        <w:t xml:space="preserve">    </w:t>
      </w:r>
    </w:p>
    <w:p w:rsidR="00E4153A" w:rsidRPr="00FD2282" w:rsidRDefault="00FD2282" w:rsidP="00FD2282">
      <w:pPr>
        <w:pStyle w:val="Sinespaciado"/>
        <w:rPr>
          <w:rFonts w:ascii="Times New Roman" w:hAnsi="Times New Roman" w:cs="Times New Roman"/>
          <w:b/>
          <w:lang w:val="es-MX"/>
        </w:rPr>
      </w:pPr>
      <w:r w:rsidRPr="00FD2282">
        <w:rPr>
          <w:noProof/>
          <w:lang w:val="es-ES" w:eastAsia="es-ES"/>
        </w:rPr>
        <w:drawing>
          <wp:inline distT="0" distB="0" distL="0" distR="0" wp14:anchorId="54D5B911" wp14:editId="2629B46B">
            <wp:extent cx="5772150" cy="2019300"/>
            <wp:effectExtent l="0" t="0" r="0" b="0"/>
            <wp:docPr id="15" name="Chart 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00000000-0008-0000-0E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7F443F" w:rsidRPr="00FD2282">
        <w:rPr>
          <w:rFonts w:ascii="Times New Roman" w:hAnsi="Times New Roman" w:cs="Times New Roman"/>
          <w:sz w:val="16"/>
        </w:rPr>
        <w:t xml:space="preserve"> </w:t>
      </w:r>
      <w:r w:rsidR="004C2A11" w:rsidRPr="00FD2282">
        <w:rPr>
          <w:rFonts w:ascii="Times New Roman" w:hAnsi="Times New Roman" w:cs="Times New Roman"/>
          <w:sz w:val="16"/>
        </w:rPr>
        <w:t xml:space="preserve">              </w:t>
      </w:r>
      <w:r w:rsidR="00157C3A" w:rsidRPr="00FD2282">
        <w:rPr>
          <w:rFonts w:ascii="Times New Roman" w:hAnsi="Times New Roman" w:cs="Times New Roman"/>
          <w:sz w:val="16"/>
        </w:rPr>
        <w:t>F</w:t>
      </w:r>
      <w:r w:rsidR="007D4651" w:rsidRPr="00FD2282">
        <w:rPr>
          <w:rFonts w:ascii="Times New Roman" w:hAnsi="Times New Roman" w:cs="Times New Roman"/>
          <w:sz w:val="16"/>
        </w:rPr>
        <w:t>uente: Dirección de Análisis y Política fiscal</w:t>
      </w:r>
    </w:p>
    <w:p w:rsidR="00E4153A" w:rsidRPr="000A5725" w:rsidRDefault="00E4153A" w:rsidP="00E4153A">
      <w:pPr>
        <w:pStyle w:val="Sinespaciado"/>
        <w:rPr>
          <w:rFonts w:ascii="Times New Roman" w:hAnsi="Times New Roman" w:cs="Times New Roman"/>
          <w:color w:val="FF0000"/>
          <w:sz w:val="6"/>
        </w:rPr>
      </w:pPr>
    </w:p>
    <w:p w:rsidR="00506BDB" w:rsidRPr="000A5725" w:rsidRDefault="00506BDB" w:rsidP="007D4651">
      <w:pPr>
        <w:spacing w:after="0" w:line="240" w:lineRule="auto"/>
        <w:rPr>
          <w:rFonts w:ascii="Times New Roman" w:hAnsi="Times New Roman" w:cs="Times New Roman"/>
          <w:color w:val="FF0000"/>
          <w:sz w:val="14"/>
          <w:lang w:val="es-MX"/>
        </w:rPr>
      </w:pPr>
    </w:p>
    <w:p w:rsidR="00341585" w:rsidRPr="000A5725" w:rsidRDefault="00341585" w:rsidP="007D4651">
      <w:pPr>
        <w:spacing w:after="0" w:line="240" w:lineRule="auto"/>
        <w:rPr>
          <w:rFonts w:ascii="Times New Roman" w:hAnsi="Times New Roman" w:cs="Times New Roman"/>
          <w:color w:val="FF0000"/>
          <w:sz w:val="24"/>
          <w:szCs w:val="24"/>
          <w:lang w:val="es-MX"/>
        </w:rPr>
        <w:sectPr w:rsidR="00341585" w:rsidRPr="000A5725" w:rsidSect="007D4651">
          <w:type w:val="continuous"/>
          <w:pgSz w:w="12240" w:h="15840" w:code="1"/>
          <w:pgMar w:top="1418" w:right="1418" w:bottom="1418" w:left="1418" w:header="709" w:footer="709" w:gutter="0"/>
          <w:cols w:space="708"/>
          <w:docGrid w:linePitch="360"/>
        </w:sectPr>
      </w:pPr>
    </w:p>
    <w:p w:rsidR="00E16925" w:rsidRPr="00341585" w:rsidRDefault="00E52D3C" w:rsidP="00474998">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pPr>
      <w:r w:rsidRPr="00341585">
        <w:rPr>
          <w:rFonts w:ascii="Times New Roman" w:hAnsi="Times New Roman" w:cs="Times New Roman"/>
          <w:b/>
          <w:lang w:val="es-MX"/>
        </w:rPr>
        <w:lastRenderedPageBreak/>
        <w:t>La recaudación tributaria de junio mantiene el impulso positivo respecto a la meta de presupuesto</w:t>
      </w:r>
    </w:p>
    <w:p w:rsidR="00E16925" w:rsidRPr="000A5725" w:rsidRDefault="00E16925" w:rsidP="00E16925">
      <w:pPr>
        <w:pStyle w:val="Sinespaciado"/>
        <w:jc w:val="center"/>
        <w:rPr>
          <w:rFonts w:ascii="Times New Roman" w:hAnsi="Times New Roman" w:cs="Times New Roman"/>
          <w:b/>
          <w:color w:val="FF0000"/>
          <w:sz w:val="18"/>
          <w:lang w:val="es-MX"/>
        </w:rPr>
      </w:pPr>
    </w:p>
    <w:p w:rsidR="00343A5D" w:rsidRPr="000A5725" w:rsidRDefault="00343A5D" w:rsidP="00F25E21">
      <w:pPr>
        <w:pStyle w:val="Sinespaciado"/>
        <w:rPr>
          <w:rFonts w:ascii="Times New Roman" w:hAnsi="Times New Roman" w:cs="Times New Roman"/>
          <w:b/>
          <w:color w:val="FF0000"/>
          <w:sz w:val="20"/>
          <w:lang w:val="es-MX"/>
        </w:rPr>
        <w:sectPr w:rsidR="00343A5D" w:rsidRPr="000A5725" w:rsidSect="004E358C">
          <w:headerReference w:type="default" r:id="rId12"/>
          <w:footerReference w:type="default" r:id="rId13"/>
          <w:type w:val="continuous"/>
          <w:pgSz w:w="12240" w:h="15840"/>
          <w:pgMar w:top="1417" w:right="1701" w:bottom="1417" w:left="1701" w:header="708" w:footer="708" w:gutter="0"/>
          <w:cols w:space="708"/>
          <w:docGrid w:linePitch="360"/>
        </w:sectPr>
      </w:pPr>
    </w:p>
    <w:p w:rsidR="00341585" w:rsidRPr="00C35B1D" w:rsidRDefault="00341585" w:rsidP="00F54627">
      <w:pPr>
        <w:spacing w:after="0" w:line="240" w:lineRule="auto"/>
        <w:jc w:val="both"/>
        <w:rPr>
          <w:rFonts w:ascii="Times New Roman" w:hAnsi="Times New Roman" w:cs="Times New Roman"/>
        </w:rPr>
      </w:pPr>
      <w:r w:rsidRPr="00C77E67">
        <w:rPr>
          <w:rFonts w:ascii="Times New Roman" w:hAnsi="Times New Roman" w:cs="Times New Roman"/>
        </w:rPr>
        <w:lastRenderedPageBreak/>
        <w:t>En junio se recaudó Q5,</w:t>
      </w:r>
      <w:r>
        <w:rPr>
          <w:rFonts w:ascii="Times New Roman" w:hAnsi="Times New Roman" w:cs="Times New Roman"/>
        </w:rPr>
        <w:t>106.0</w:t>
      </w:r>
      <w:r w:rsidRPr="00C77E67">
        <w:rPr>
          <w:rFonts w:ascii="Times New Roman" w:hAnsi="Times New Roman" w:cs="Times New Roman"/>
        </w:rPr>
        <w:t xml:space="preserve"> millones, monto superior a lo establecido en la meta de presupuesto (Q3,884.0 millones).  Impuestos que contribuyeron en mayor cuantía para generar la brecha mensual positiva son el </w:t>
      </w:r>
      <w:r w:rsidRPr="00C77E67">
        <w:rPr>
          <w:rFonts w:ascii="Times New Roman" w:hAnsi="Times New Roman" w:cs="Times New Roman"/>
        </w:rPr>
        <w:lastRenderedPageBreak/>
        <w:t xml:space="preserve">ISR, el IVA y el de derivados del petróleo. Impuestos que no alcanzaron la meta mensual son el de circulación de vehículos y los no administrados por la SAT (regalías e </w:t>
      </w:r>
      <w:r w:rsidRPr="00C77E67">
        <w:rPr>
          <w:rFonts w:ascii="Times New Roman" w:hAnsi="Times New Roman" w:cs="Times New Roman"/>
        </w:rPr>
        <w:lastRenderedPageBreak/>
        <w:t>hidrocarburos compartibles y salidas del país).</w:t>
      </w:r>
    </w:p>
    <w:p w:rsidR="00341585" w:rsidRPr="00C77E67" w:rsidRDefault="00341585" w:rsidP="00341585">
      <w:pPr>
        <w:spacing w:after="0" w:line="240" w:lineRule="auto"/>
        <w:jc w:val="center"/>
        <w:rPr>
          <w:rFonts w:ascii="Times New Roman" w:hAnsi="Times New Roman" w:cs="Times New Roman"/>
          <w:b/>
        </w:rPr>
      </w:pPr>
      <w:r w:rsidRPr="00C77E67">
        <w:rPr>
          <w:rFonts w:ascii="Times New Roman" w:hAnsi="Times New Roman" w:cs="Times New Roman"/>
          <w:b/>
        </w:rPr>
        <w:t>Variación de la recaudación tributaria neta de junio</w:t>
      </w:r>
    </w:p>
    <w:p w:rsidR="00341585" w:rsidRPr="00C77E67" w:rsidRDefault="00341585" w:rsidP="00341585">
      <w:pPr>
        <w:spacing w:after="0" w:line="240" w:lineRule="auto"/>
        <w:jc w:val="center"/>
        <w:rPr>
          <w:rFonts w:ascii="Times New Roman" w:hAnsi="Times New Roman" w:cs="Times New Roman"/>
          <w:sz w:val="20"/>
        </w:rPr>
      </w:pPr>
      <w:r w:rsidRPr="00C77E67">
        <w:rPr>
          <w:rFonts w:ascii="Times New Roman" w:hAnsi="Times New Roman" w:cs="Times New Roman"/>
          <w:sz w:val="20"/>
        </w:rPr>
        <w:t>Millones de quetzales</w:t>
      </w:r>
    </w:p>
    <w:p w:rsidR="00341585" w:rsidRPr="00C77E67" w:rsidRDefault="00341585" w:rsidP="00341585">
      <w:pPr>
        <w:spacing w:after="0" w:line="240" w:lineRule="auto"/>
        <w:jc w:val="center"/>
        <w:rPr>
          <w:rFonts w:ascii="Times New Roman" w:hAnsi="Times New Roman" w:cs="Times New Roman"/>
          <w:sz w:val="20"/>
        </w:rPr>
      </w:pPr>
      <w:r w:rsidRPr="00C77E67">
        <w:rPr>
          <w:rFonts w:ascii="Times New Roman" w:hAnsi="Times New Roman" w:cs="Times New Roman"/>
          <w:noProof/>
          <w:lang w:val="es-ES" w:eastAsia="es-ES"/>
        </w:rPr>
        <w:drawing>
          <wp:inline distT="0" distB="0" distL="0" distR="0" wp14:anchorId="2A4C0849" wp14:editId="41E68FAB">
            <wp:extent cx="2847975" cy="2266950"/>
            <wp:effectExtent l="0" t="0" r="0"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41585" w:rsidRPr="00C77E67" w:rsidRDefault="00341585" w:rsidP="00341585">
      <w:pPr>
        <w:spacing w:after="0" w:line="240" w:lineRule="auto"/>
        <w:jc w:val="both"/>
        <w:rPr>
          <w:rFonts w:ascii="Times New Roman" w:hAnsi="Times New Roman" w:cs="Times New Roman"/>
        </w:rPr>
      </w:pPr>
      <w:r w:rsidRPr="00C77E67">
        <w:rPr>
          <w:rFonts w:ascii="Times New Roman" w:hAnsi="Times New Roman" w:cs="Times New Roman"/>
          <w:sz w:val="16"/>
        </w:rPr>
        <w:t>Fuente: Ministerio de Finanzas Públicas.</w:t>
      </w:r>
    </w:p>
    <w:p w:rsidR="00341585" w:rsidRPr="000D0CF5" w:rsidRDefault="00341585" w:rsidP="00341585">
      <w:pPr>
        <w:spacing w:after="0" w:line="240" w:lineRule="auto"/>
        <w:jc w:val="both"/>
        <w:rPr>
          <w:rFonts w:ascii="Times New Roman" w:hAnsi="Times New Roman" w:cs="Times New Roman"/>
          <w:i/>
        </w:rPr>
      </w:pPr>
    </w:p>
    <w:p w:rsidR="00341585" w:rsidRPr="00C77E67" w:rsidRDefault="00341585" w:rsidP="00341585">
      <w:pPr>
        <w:spacing w:after="0" w:line="240" w:lineRule="auto"/>
        <w:jc w:val="both"/>
        <w:rPr>
          <w:rFonts w:ascii="Times New Roman" w:hAnsi="Times New Roman" w:cs="Times New Roman"/>
        </w:rPr>
      </w:pPr>
      <w:r w:rsidRPr="00C77E67">
        <w:rPr>
          <w:rFonts w:ascii="Times New Roman" w:hAnsi="Times New Roman" w:cs="Times New Roman"/>
        </w:rPr>
        <w:t>Datos preliminares del primer semestre de 2021 dan cuenta de una brecha positiva respecto a la meta de presupuesto de Q5,3</w:t>
      </w:r>
      <w:r>
        <w:rPr>
          <w:rFonts w:ascii="Times New Roman" w:hAnsi="Times New Roman" w:cs="Times New Roman"/>
        </w:rPr>
        <w:t xml:space="preserve">48.8 </w:t>
      </w:r>
      <w:r w:rsidRPr="00C77E67">
        <w:rPr>
          <w:rFonts w:ascii="Times New Roman" w:hAnsi="Times New Roman" w:cs="Times New Roman"/>
        </w:rPr>
        <w:t xml:space="preserve">millones. </w:t>
      </w:r>
    </w:p>
    <w:p w:rsidR="00341585" w:rsidRPr="000D0CF5" w:rsidRDefault="00341585" w:rsidP="00341585">
      <w:pPr>
        <w:spacing w:after="0" w:line="240" w:lineRule="auto"/>
        <w:jc w:val="both"/>
        <w:rPr>
          <w:rFonts w:ascii="Times New Roman" w:hAnsi="Times New Roman" w:cs="Times New Roman"/>
          <w:sz w:val="18"/>
        </w:rPr>
      </w:pPr>
    </w:p>
    <w:p w:rsidR="00341585" w:rsidRPr="00C77E67" w:rsidRDefault="00341585" w:rsidP="00341585">
      <w:pPr>
        <w:spacing w:after="0" w:line="240" w:lineRule="auto"/>
        <w:jc w:val="both"/>
        <w:rPr>
          <w:rFonts w:ascii="Times New Roman" w:hAnsi="Times New Roman" w:cs="Times New Roman"/>
        </w:rPr>
      </w:pPr>
      <w:r w:rsidRPr="00C77E67">
        <w:rPr>
          <w:rFonts w:ascii="Times New Roman" w:hAnsi="Times New Roman" w:cs="Times New Roman"/>
        </w:rPr>
        <w:t>Con relación a la recaudación de 2020 se observa un crecimiento de 26.</w:t>
      </w:r>
      <w:r>
        <w:rPr>
          <w:rFonts w:ascii="Times New Roman" w:hAnsi="Times New Roman" w:cs="Times New Roman"/>
        </w:rPr>
        <w:t>5</w:t>
      </w:r>
      <w:r w:rsidRPr="00C77E67">
        <w:rPr>
          <w:rFonts w:ascii="Times New Roman" w:hAnsi="Times New Roman" w:cs="Times New Roman"/>
        </w:rPr>
        <w:t>% (Q7,5</w:t>
      </w:r>
      <w:r>
        <w:rPr>
          <w:rFonts w:ascii="Times New Roman" w:hAnsi="Times New Roman" w:cs="Times New Roman"/>
        </w:rPr>
        <w:t>54.2</w:t>
      </w:r>
      <w:r w:rsidRPr="00C77E67">
        <w:rPr>
          <w:rFonts w:ascii="Times New Roman" w:hAnsi="Times New Roman" w:cs="Times New Roman"/>
        </w:rPr>
        <w:t xml:space="preserve"> millones) de los cuales el ISR y el IVA son los que mayor contribución tienen a esta brecha pues en conjunto aportan Q5,866.</w:t>
      </w:r>
      <w:r>
        <w:rPr>
          <w:rFonts w:ascii="Times New Roman" w:hAnsi="Times New Roman" w:cs="Times New Roman"/>
        </w:rPr>
        <w:t>7</w:t>
      </w:r>
      <w:r w:rsidRPr="00C77E67">
        <w:rPr>
          <w:rFonts w:ascii="Times New Roman" w:hAnsi="Times New Roman" w:cs="Times New Roman"/>
        </w:rPr>
        <w:t xml:space="preserve"> millones.</w:t>
      </w:r>
    </w:p>
    <w:p w:rsidR="004456FD" w:rsidRDefault="004456FD" w:rsidP="00DC711C">
      <w:pPr>
        <w:spacing w:after="0" w:line="240" w:lineRule="auto"/>
        <w:jc w:val="both"/>
        <w:rPr>
          <w:rFonts w:ascii="Times New Roman" w:hAnsi="Times New Roman" w:cs="Times New Roman"/>
          <w:color w:val="FF0000"/>
          <w:sz w:val="18"/>
        </w:rPr>
      </w:pPr>
    </w:p>
    <w:p w:rsidR="00341585" w:rsidRPr="000A5725" w:rsidRDefault="00341585" w:rsidP="00DC711C">
      <w:pPr>
        <w:spacing w:after="0" w:line="240" w:lineRule="auto"/>
        <w:jc w:val="both"/>
        <w:rPr>
          <w:rFonts w:ascii="Times New Roman" w:hAnsi="Times New Roman" w:cs="Times New Roman"/>
          <w:color w:val="FF0000"/>
          <w:sz w:val="18"/>
        </w:rPr>
      </w:pPr>
    </w:p>
    <w:p w:rsidR="00341585" w:rsidRPr="00341585" w:rsidRDefault="00341585" w:rsidP="00341585">
      <w:pPr>
        <w:spacing w:after="0" w:line="240" w:lineRule="auto"/>
        <w:jc w:val="center"/>
        <w:rPr>
          <w:rFonts w:ascii="Times New Roman" w:hAnsi="Times New Roman" w:cs="Times New Roman"/>
          <w:b/>
        </w:rPr>
      </w:pPr>
      <w:r w:rsidRPr="00C77E67">
        <w:rPr>
          <w:rFonts w:ascii="Times New Roman" w:hAnsi="Times New Roman" w:cs="Times New Roman"/>
          <w:b/>
        </w:rPr>
        <w:t xml:space="preserve">Variación interanual </w:t>
      </w:r>
      <w:r w:rsidRPr="00341585">
        <w:rPr>
          <w:rFonts w:ascii="Times New Roman" w:hAnsi="Times New Roman" w:cs="Times New Roman"/>
          <w:b/>
        </w:rPr>
        <w:t>acumulada de la recaudación tributaria neta 2012-2021</w:t>
      </w:r>
    </w:p>
    <w:p w:rsidR="00341585" w:rsidRPr="00341585" w:rsidRDefault="00341585" w:rsidP="00341585">
      <w:pPr>
        <w:spacing w:after="0" w:line="240" w:lineRule="auto"/>
        <w:jc w:val="center"/>
        <w:rPr>
          <w:rFonts w:ascii="Times New Roman" w:hAnsi="Times New Roman" w:cs="Times New Roman"/>
          <w:sz w:val="20"/>
        </w:rPr>
      </w:pPr>
      <w:r w:rsidRPr="00341585">
        <w:rPr>
          <w:rFonts w:ascii="Times New Roman" w:hAnsi="Times New Roman" w:cs="Times New Roman"/>
          <w:sz w:val="20"/>
        </w:rPr>
        <w:t>Porcentajes</w:t>
      </w:r>
    </w:p>
    <w:p w:rsidR="00341585" w:rsidRPr="00341585" w:rsidRDefault="00341585" w:rsidP="00341585">
      <w:pPr>
        <w:spacing w:after="0" w:line="240" w:lineRule="auto"/>
        <w:jc w:val="both"/>
        <w:rPr>
          <w:rFonts w:ascii="Times New Roman" w:hAnsi="Times New Roman" w:cs="Times New Roman"/>
        </w:rPr>
      </w:pPr>
      <w:r w:rsidRPr="00341585">
        <w:rPr>
          <w:rFonts w:ascii="Times New Roman" w:hAnsi="Times New Roman" w:cs="Times New Roman"/>
          <w:noProof/>
          <w:lang w:val="es-ES" w:eastAsia="es-ES"/>
        </w:rPr>
        <w:lastRenderedPageBreak/>
        <w:drawing>
          <wp:inline distT="0" distB="0" distL="0" distR="0" wp14:anchorId="0FABC0F8" wp14:editId="4B16AE0E">
            <wp:extent cx="2638425" cy="1762125"/>
            <wp:effectExtent l="0" t="0" r="0" b="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41585" w:rsidRPr="00341585" w:rsidRDefault="00341585" w:rsidP="00341585">
      <w:pPr>
        <w:spacing w:after="0" w:line="240" w:lineRule="auto"/>
        <w:jc w:val="both"/>
        <w:rPr>
          <w:rFonts w:ascii="Times New Roman" w:hAnsi="Times New Roman" w:cs="Times New Roman"/>
          <w:sz w:val="16"/>
        </w:rPr>
      </w:pPr>
      <w:r w:rsidRPr="00341585">
        <w:rPr>
          <w:rFonts w:ascii="Times New Roman" w:hAnsi="Times New Roman" w:cs="Times New Roman"/>
          <w:sz w:val="16"/>
        </w:rPr>
        <w:t>Fuente: Ministerio de Finanzas Públicas.</w:t>
      </w:r>
    </w:p>
    <w:p w:rsidR="00341585" w:rsidRPr="00341585" w:rsidRDefault="00341585" w:rsidP="00341585">
      <w:pPr>
        <w:spacing w:after="0" w:line="240" w:lineRule="auto"/>
        <w:jc w:val="both"/>
        <w:rPr>
          <w:rFonts w:ascii="Times New Roman" w:hAnsi="Times New Roman" w:cs="Times New Roman"/>
          <w:sz w:val="18"/>
        </w:rPr>
      </w:pPr>
    </w:p>
    <w:p w:rsidR="000D0CF5" w:rsidRDefault="00341585" w:rsidP="00341585">
      <w:pPr>
        <w:spacing w:after="0" w:line="240" w:lineRule="auto"/>
        <w:jc w:val="both"/>
        <w:rPr>
          <w:rFonts w:ascii="Times New Roman" w:hAnsi="Times New Roman" w:cs="Times New Roman"/>
        </w:rPr>
      </w:pPr>
      <w:r w:rsidRPr="00341585">
        <w:rPr>
          <w:rFonts w:ascii="Times New Roman" w:hAnsi="Times New Roman" w:cs="Times New Roman"/>
        </w:rPr>
        <w:t xml:space="preserve">En la comparación interanual acumulada destaca la recuperación de la recaudación asociada al comercio exterior, la cual al 30 de junio crece en 41.2% (Q3,085.4 millones) respecto a lo observado en 2020.  </w:t>
      </w:r>
    </w:p>
    <w:p w:rsidR="000D0CF5" w:rsidRDefault="000D0CF5" w:rsidP="00341585">
      <w:pPr>
        <w:spacing w:after="0" w:line="240" w:lineRule="auto"/>
        <w:jc w:val="both"/>
        <w:rPr>
          <w:rFonts w:ascii="Times New Roman" w:hAnsi="Times New Roman" w:cs="Times New Roman"/>
        </w:rPr>
      </w:pPr>
    </w:p>
    <w:p w:rsidR="00341585" w:rsidRPr="00341585" w:rsidRDefault="00341585" w:rsidP="00341585">
      <w:pPr>
        <w:spacing w:after="0" w:line="240" w:lineRule="auto"/>
        <w:jc w:val="both"/>
        <w:rPr>
          <w:rFonts w:ascii="Times New Roman" w:hAnsi="Times New Roman" w:cs="Times New Roman"/>
        </w:rPr>
      </w:pPr>
      <w:r w:rsidRPr="00341585">
        <w:rPr>
          <w:rFonts w:ascii="Times New Roman" w:hAnsi="Times New Roman" w:cs="Times New Roman"/>
        </w:rPr>
        <w:t>El IVA de importaciones supera lo observado en Q2,628.8 millones y los derechos arancelarios en Q456.7 millones.  Este crecimiento en las cifras de comercio para el ejercicio 2021 se ve influenciado primero por el efecto de la pandemia del virus SARS-COV2 en 2020, año en el cual se contrajeron las negociaciones comerciales producto de las medidas adoptadas por los gobiernos que incluso llegaron al cierre de operaciones; segundo, por el esfuerzo y trabajo realizado por la superintendencia de administración tributaria en el ramo de aduanas durante el presente año,  implementando acciones para combatir la defraudación tales como la realización de ajustes a través de rectificaciones, ajustes por conceptos de medidas administrativas, medidas de control en materia de riesgo, mejoras en tiempos de despacho y gestión, mayor simplificación y automatización en la transmisión de declaraciones y controles aduaneros mediante los puestos de control interinstitucional.</w:t>
      </w:r>
    </w:p>
    <w:p w:rsidR="00341585" w:rsidRPr="000D0CF5" w:rsidRDefault="00341585" w:rsidP="00341585">
      <w:pPr>
        <w:spacing w:after="0" w:line="240" w:lineRule="auto"/>
        <w:jc w:val="both"/>
        <w:rPr>
          <w:rFonts w:ascii="Times New Roman" w:hAnsi="Times New Roman" w:cs="Times New Roman"/>
        </w:rPr>
      </w:pPr>
    </w:p>
    <w:p w:rsidR="00D35260" w:rsidRPr="00341585" w:rsidRDefault="00341585" w:rsidP="00341585">
      <w:pPr>
        <w:spacing w:after="0" w:line="240" w:lineRule="auto"/>
        <w:jc w:val="both"/>
        <w:rPr>
          <w:rFonts w:ascii="Times New Roman" w:hAnsi="Times New Roman" w:cs="Times New Roman"/>
        </w:rPr>
      </w:pPr>
      <w:r w:rsidRPr="00341585">
        <w:rPr>
          <w:rFonts w:ascii="Times New Roman" w:hAnsi="Times New Roman" w:cs="Times New Roman"/>
        </w:rPr>
        <w:t xml:space="preserve">En 2020, las importaciones gravadas a junio cayeron en 9.5%, para 2021 al mes de mayo crecen en 34%, según cifras del BANGUAT </w:t>
      </w:r>
      <w:r w:rsidRPr="00341585">
        <w:rPr>
          <w:rFonts w:ascii="Times New Roman" w:hAnsi="Times New Roman" w:cs="Times New Roman"/>
        </w:rPr>
        <w:lastRenderedPageBreak/>
        <w:t>el valor de las importaciones gravadas de combustibles y lubricantes acumuladas a mayo 2021 tienen un crecimiento de 61.2%, en volumen un incremento de 13.3% y en precio un incremento de 42.3%.</w:t>
      </w:r>
    </w:p>
    <w:p w:rsidR="00AB39D4" w:rsidRPr="000D0CF5" w:rsidRDefault="00AB39D4" w:rsidP="00EF5550">
      <w:pPr>
        <w:spacing w:after="0" w:line="240" w:lineRule="auto"/>
        <w:jc w:val="both"/>
        <w:rPr>
          <w:rFonts w:ascii="Times New Roman" w:hAnsi="Times New Roman" w:cs="Times New Roman"/>
        </w:rPr>
      </w:pPr>
    </w:p>
    <w:p w:rsidR="004E01C1" w:rsidRPr="00341585" w:rsidRDefault="004E01C1" w:rsidP="004E01C1">
      <w:pPr>
        <w:spacing w:after="0" w:line="240" w:lineRule="auto"/>
        <w:jc w:val="both"/>
        <w:rPr>
          <w:rFonts w:ascii="Times New Roman" w:hAnsi="Times New Roman" w:cs="Times New Roman"/>
          <w:b/>
        </w:rPr>
      </w:pPr>
      <w:r w:rsidRPr="00341585">
        <w:rPr>
          <w:rFonts w:ascii="Times New Roman" w:hAnsi="Times New Roman" w:cs="Times New Roman"/>
          <w:b/>
        </w:rPr>
        <w:t>El Impuesto sobre la renta y el ISO</w:t>
      </w:r>
    </w:p>
    <w:p w:rsidR="004E01C1" w:rsidRPr="000D0CF5" w:rsidRDefault="004E01C1" w:rsidP="004E01C1">
      <w:pPr>
        <w:spacing w:after="0" w:line="240" w:lineRule="auto"/>
        <w:jc w:val="both"/>
        <w:rPr>
          <w:rFonts w:ascii="Times New Roman" w:hAnsi="Times New Roman" w:cs="Times New Roman"/>
          <w:b/>
        </w:rPr>
      </w:pPr>
    </w:p>
    <w:p w:rsidR="00341585" w:rsidRPr="00341585" w:rsidRDefault="00341585" w:rsidP="00341585">
      <w:pPr>
        <w:spacing w:after="0" w:line="240" w:lineRule="auto"/>
        <w:jc w:val="both"/>
        <w:rPr>
          <w:rFonts w:ascii="Times New Roman" w:hAnsi="Times New Roman" w:cs="Times New Roman"/>
        </w:rPr>
      </w:pPr>
      <w:r w:rsidRPr="00341585">
        <w:rPr>
          <w:rFonts w:ascii="Times New Roman" w:hAnsi="Times New Roman" w:cs="Times New Roman"/>
        </w:rPr>
        <w:t>En junio estos impuestos superaron la meta establecida en presupuesto en Q287.5 millones. De manera acumula estos dos impuestos generan una brecha positiva al 30 de junio de Q2,095.7 millones respecto a la meta de presupuesto y con relación al año 2020 Q2,072.5 millones.</w:t>
      </w:r>
    </w:p>
    <w:p w:rsidR="00341585" w:rsidRPr="00341585" w:rsidRDefault="00341585" w:rsidP="004E01C1">
      <w:pPr>
        <w:spacing w:after="0" w:line="240" w:lineRule="auto"/>
        <w:jc w:val="both"/>
        <w:rPr>
          <w:rFonts w:ascii="Times New Roman" w:hAnsi="Times New Roman" w:cs="Times New Roman"/>
        </w:rPr>
      </w:pPr>
    </w:p>
    <w:p w:rsidR="004E01C1" w:rsidRPr="00341585" w:rsidRDefault="00C77E67" w:rsidP="004E01C1">
      <w:pPr>
        <w:spacing w:after="0" w:line="240" w:lineRule="auto"/>
        <w:jc w:val="both"/>
        <w:rPr>
          <w:rFonts w:ascii="Times New Roman" w:hAnsi="Times New Roman" w:cs="Times New Roman"/>
          <w:b/>
        </w:rPr>
      </w:pPr>
      <w:r w:rsidRPr="00341585">
        <w:rPr>
          <w:rFonts w:ascii="Times New Roman" w:hAnsi="Times New Roman" w:cs="Times New Roman"/>
          <w:b/>
        </w:rPr>
        <w:t>El Impuesto al Valor A</w:t>
      </w:r>
      <w:r w:rsidR="004E01C1" w:rsidRPr="00341585">
        <w:rPr>
          <w:rFonts w:ascii="Times New Roman" w:hAnsi="Times New Roman" w:cs="Times New Roman"/>
          <w:b/>
        </w:rPr>
        <w:t>gregado</w:t>
      </w:r>
    </w:p>
    <w:p w:rsidR="004E01C1" w:rsidRPr="00341585" w:rsidRDefault="004E01C1" w:rsidP="004E01C1">
      <w:pPr>
        <w:spacing w:after="0" w:line="240" w:lineRule="auto"/>
        <w:jc w:val="both"/>
        <w:rPr>
          <w:rFonts w:ascii="Times New Roman" w:hAnsi="Times New Roman" w:cs="Times New Roman"/>
          <w:sz w:val="18"/>
        </w:rPr>
      </w:pPr>
    </w:p>
    <w:p w:rsidR="00341585" w:rsidRPr="00341585" w:rsidRDefault="00341585" w:rsidP="00341585">
      <w:pPr>
        <w:spacing w:after="0" w:line="240" w:lineRule="auto"/>
        <w:jc w:val="both"/>
        <w:rPr>
          <w:rFonts w:ascii="Times New Roman" w:hAnsi="Times New Roman" w:cs="Times New Roman"/>
        </w:rPr>
      </w:pPr>
      <w:r w:rsidRPr="00341585">
        <w:rPr>
          <w:rFonts w:ascii="Times New Roman" w:hAnsi="Times New Roman" w:cs="Times New Roman"/>
        </w:rPr>
        <w:t>Este impuesto recobró su dinámica en el primer semestre del año, esto influenciado principalmente por un aumento en el consumo el cual puede haberse dinamizado por mayor disponibilidad de recursos ante una recuperación en las remesas familiares las cuales tienen crecimiento interanual de 42.7% ligeramente inferior al observado en mayo (43.1%).</w:t>
      </w:r>
    </w:p>
    <w:p w:rsidR="00341585" w:rsidRPr="00341585" w:rsidRDefault="00341585" w:rsidP="00341585">
      <w:pPr>
        <w:spacing w:after="0" w:line="240" w:lineRule="auto"/>
        <w:jc w:val="both"/>
        <w:rPr>
          <w:rFonts w:ascii="Times New Roman" w:hAnsi="Times New Roman" w:cs="Times New Roman"/>
          <w:sz w:val="18"/>
        </w:rPr>
      </w:pPr>
    </w:p>
    <w:p w:rsidR="00341585" w:rsidRDefault="00341585" w:rsidP="004E01C1">
      <w:pPr>
        <w:spacing w:after="0" w:line="240" w:lineRule="auto"/>
        <w:jc w:val="both"/>
        <w:rPr>
          <w:rFonts w:ascii="Times New Roman" w:hAnsi="Times New Roman" w:cs="Times New Roman"/>
        </w:rPr>
      </w:pPr>
      <w:r w:rsidRPr="00341585">
        <w:rPr>
          <w:rFonts w:ascii="Times New Roman" w:hAnsi="Times New Roman" w:cs="Times New Roman"/>
        </w:rPr>
        <w:t>El IVA total genera una brecha mensual de Q684.9 millones respecto a la meta de presupuesto, el impuesto al valor agregado asociado al consumo interno superó la meta de presupuesto en Q246.0 millones. De manera acumulada el IVA genera brecha positiva de Q2,359.1 millones respecto a la meta de presupuesto y de Q3,994.4 millones respecto a 2020.</w:t>
      </w:r>
    </w:p>
    <w:p w:rsidR="00341585" w:rsidRDefault="00341585" w:rsidP="004E01C1">
      <w:pPr>
        <w:spacing w:after="0" w:line="240" w:lineRule="auto"/>
        <w:jc w:val="both"/>
        <w:rPr>
          <w:rFonts w:ascii="Times New Roman" w:hAnsi="Times New Roman" w:cs="Times New Roman"/>
        </w:rPr>
      </w:pPr>
    </w:p>
    <w:p w:rsidR="000D0CF5" w:rsidRDefault="000D0CF5" w:rsidP="004E01C1">
      <w:pPr>
        <w:spacing w:after="0" w:line="240" w:lineRule="auto"/>
        <w:jc w:val="both"/>
        <w:rPr>
          <w:rFonts w:ascii="Times New Roman" w:hAnsi="Times New Roman" w:cs="Times New Roman"/>
        </w:rPr>
      </w:pPr>
    </w:p>
    <w:p w:rsidR="000D0CF5" w:rsidRDefault="000D0CF5" w:rsidP="004E01C1">
      <w:pPr>
        <w:spacing w:after="0" w:line="240" w:lineRule="auto"/>
        <w:jc w:val="both"/>
        <w:rPr>
          <w:rFonts w:ascii="Times New Roman" w:hAnsi="Times New Roman" w:cs="Times New Roman"/>
        </w:rPr>
      </w:pPr>
    </w:p>
    <w:p w:rsidR="000D0CF5" w:rsidRDefault="000D0CF5" w:rsidP="004E01C1">
      <w:pPr>
        <w:spacing w:after="0" w:line="240" w:lineRule="auto"/>
        <w:jc w:val="both"/>
        <w:rPr>
          <w:rFonts w:ascii="Times New Roman" w:hAnsi="Times New Roman" w:cs="Times New Roman"/>
        </w:rPr>
      </w:pPr>
    </w:p>
    <w:p w:rsidR="00C35B1D" w:rsidRPr="00341585" w:rsidRDefault="00C35B1D" w:rsidP="004E01C1">
      <w:pPr>
        <w:spacing w:after="0" w:line="240" w:lineRule="auto"/>
        <w:jc w:val="both"/>
        <w:rPr>
          <w:rFonts w:ascii="Times New Roman" w:hAnsi="Times New Roman" w:cs="Times New Roman"/>
        </w:rPr>
      </w:pPr>
    </w:p>
    <w:p w:rsidR="00F25E21" w:rsidRPr="00341585" w:rsidRDefault="00F25E21" w:rsidP="00EF5550">
      <w:pPr>
        <w:spacing w:after="0" w:line="240" w:lineRule="auto"/>
        <w:jc w:val="both"/>
        <w:rPr>
          <w:rFonts w:ascii="Times New Roman" w:hAnsi="Times New Roman" w:cs="Times New Roman"/>
          <w:b/>
          <w:bCs/>
        </w:rPr>
      </w:pPr>
      <w:r w:rsidRPr="00341585">
        <w:rPr>
          <w:rFonts w:ascii="Times New Roman" w:hAnsi="Times New Roman" w:cs="Times New Roman"/>
          <w:b/>
          <w:bCs/>
        </w:rPr>
        <w:t>Los demás impuestos</w:t>
      </w:r>
    </w:p>
    <w:p w:rsidR="00DC711C" w:rsidRPr="000A5725" w:rsidRDefault="00DC711C" w:rsidP="00EF5550">
      <w:pPr>
        <w:spacing w:after="0" w:line="240" w:lineRule="auto"/>
        <w:jc w:val="both"/>
        <w:rPr>
          <w:rFonts w:ascii="Times New Roman" w:hAnsi="Times New Roman" w:cs="Times New Roman"/>
          <w:b/>
          <w:bCs/>
          <w:color w:val="FF0000"/>
        </w:rPr>
      </w:pPr>
    </w:p>
    <w:p w:rsidR="00341585" w:rsidRDefault="00341585" w:rsidP="00341585">
      <w:pPr>
        <w:spacing w:after="0" w:line="240" w:lineRule="auto"/>
        <w:jc w:val="both"/>
        <w:rPr>
          <w:rFonts w:ascii="Times New Roman" w:hAnsi="Times New Roman" w:cs="Times New Roman"/>
        </w:rPr>
      </w:pPr>
      <w:r w:rsidRPr="00C77E67">
        <w:rPr>
          <w:rFonts w:ascii="Times New Roman" w:hAnsi="Times New Roman" w:cs="Times New Roman"/>
        </w:rPr>
        <w:t>De los demás impuestos, en junio destaca que los impuestos no administrados por SAT y el de circulación de vehículos no alcanzaron la meta de presupuesto, generando una brecha en conjunto de Q4</w:t>
      </w:r>
      <w:r>
        <w:rPr>
          <w:rFonts w:ascii="Times New Roman" w:hAnsi="Times New Roman" w:cs="Times New Roman"/>
        </w:rPr>
        <w:t xml:space="preserve">1.2 </w:t>
      </w:r>
      <w:r w:rsidRPr="00C77E67">
        <w:rPr>
          <w:rFonts w:ascii="Times New Roman" w:hAnsi="Times New Roman" w:cs="Times New Roman"/>
        </w:rPr>
        <w:t xml:space="preserve">millones. Los demás impuestos superaron la meta.  </w:t>
      </w:r>
    </w:p>
    <w:p w:rsidR="00341585" w:rsidRDefault="00341585" w:rsidP="00341585">
      <w:pPr>
        <w:spacing w:after="0" w:line="240" w:lineRule="auto"/>
        <w:jc w:val="both"/>
        <w:rPr>
          <w:rFonts w:ascii="Times New Roman" w:hAnsi="Times New Roman" w:cs="Times New Roman"/>
        </w:rPr>
      </w:pPr>
    </w:p>
    <w:p w:rsidR="000D0CF5" w:rsidRDefault="00341585" w:rsidP="00341585">
      <w:pPr>
        <w:spacing w:after="0" w:line="240" w:lineRule="auto"/>
        <w:jc w:val="both"/>
        <w:rPr>
          <w:rFonts w:ascii="Times New Roman" w:hAnsi="Times New Roman" w:cs="Times New Roman"/>
          <w:noProof/>
        </w:rPr>
      </w:pPr>
      <w:r w:rsidRPr="00C77E67">
        <w:rPr>
          <w:rFonts w:ascii="Times New Roman" w:hAnsi="Times New Roman" w:cs="Times New Roman"/>
        </w:rPr>
        <w:t xml:space="preserve">De manera acumulada </w:t>
      </w:r>
      <w:r>
        <w:rPr>
          <w:rFonts w:ascii="Times New Roman" w:hAnsi="Times New Roman" w:cs="Times New Roman"/>
        </w:rPr>
        <w:t xml:space="preserve">el impuesto al patrimonio genera brecha negativa de Q4.6 millones, </w:t>
      </w:r>
      <w:r w:rsidRPr="00C77E67">
        <w:rPr>
          <w:rFonts w:ascii="Times New Roman" w:hAnsi="Times New Roman" w:cs="Times New Roman"/>
        </w:rPr>
        <w:t>el impuesto a los tabacos genera brecha negativa menor a la observada a mayo (Q20.1 millones) de Q12.4 millones y los impuestos no administrados por SAT incrementan la brecha de mayo (Q98.3 millones) ubicándola en Q1</w:t>
      </w:r>
      <w:r>
        <w:rPr>
          <w:rFonts w:ascii="Times New Roman" w:hAnsi="Times New Roman" w:cs="Times New Roman"/>
        </w:rPr>
        <w:t xml:space="preserve">24.1 </w:t>
      </w:r>
      <w:r w:rsidRPr="00C77E67">
        <w:rPr>
          <w:rFonts w:ascii="Times New Roman" w:hAnsi="Times New Roman" w:cs="Times New Roman"/>
        </w:rPr>
        <w:t>millones, estas medidas respecto a la meta de presupuesto.</w:t>
      </w:r>
      <w:r w:rsidRPr="00C77E67">
        <w:rPr>
          <w:rFonts w:ascii="Times New Roman" w:hAnsi="Times New Roman" w:cs="Times New Roman"/>
          <w:noProof/>
        </w:rPr>
        <w:t xml:space="preserve"> </w:t>
      </w:r>
    </w:p>
    <w:p w:rsidR="000D0CF5" w:rsidRDefault="000D0CF5" w:rsidP="00341585">
      <w:pPr>
        <w:spacing w:after="0" w:line="240" w:lineRule="auto"/>
        <w:jc w:val="both"/>
        <w:rPr>
          <w:rFonts w:ascii="Times New Roman" w:hAnsi="Times New Roman" w:cs="Times New Roman"/>
          <w:noProof/>
        </w:rPr>
      </w:pPr>
    </w:p>
    <w:p w:rsidR="00341585" w:rsidRPr="00341585" w:rsidRDefault="00341585" w:rsidP="00341585">
      <w:pPr>
        <w:spacing w:after="0" w:line="240" w:lineRule="auto"/>
        <w:jc w:val="both"/>
        <w:rPr>
          <w:rFonts w:ascii="Times New Roman" w:hAnsi="Times New Roman" w:cs="Times New Roman"/>
        </w:rPr>
      </w:pPr>
      <w:r w:rsidRPr="00C77E67">
        <w:rPr>
          <w:rFonts w:ascii="Times New Roman" w:hAnsi="Times New Roman" w:cs="Times New Roman"/>
          <w:noProof/>
        </w:rPr>
        <w:t>Aspectos importantes a destacar de la intendencia de recaudación que permiten obtener estos resultados son aumento en numero de contribuyentes al RTU (afiliaciones al IVA e ISR),  aumento de emisores de documentos tributarios electronicos, recuperaciones por cumplimiento de control tributario, mejoras al sistema de facilidades de pago entre otras.</w:t>
      </w:r>
    </w:p>
    <w:p w:rsidR="00341585" w:rsidRPr="000D0CF5" w:rsidRDefault="00341585" w:rsidP="00EF5550">
      <w:pPr>
        <w:spacing w:after="0" w:line="240" w:lineRule="auto"/>
        <w:jc w:val="both"/>
        <w:rPr>
          <w:rFonts w:ascii="Times New Roman" w:hAnsi="Times New Roman" w:cs="Times New Roman"/>
          <w:noProof/>
          <w:color w:val="FF0000"/>
          <w:sz w:val="16"/>
        </w:rPr>
      </w:pPr>
    </w:p>
    <w:p w:rsidR="00341585" w:rsidRPr="00341585" w:rsidRDefault="00341585" w:rsidP="00EF5550">
      <w:pPr>
        <w:spacing w:after="0" w:line="240" w:lineRule="auto"/>
        <w:jc w:val="both"/>
        <w:rPr>
          <w:rFonts w:ascii="Times New Roman" w:hAnsi="Times New Roman" w:cs="Times New Roman"/>
          <w:noProof/>
          <w:color w:val="FF0000"/>
          <w:sz w:val="14"/>
        </w:rPr>
        <w:sectPr w:rsidR="00341585" w:rsidRPr="00341585" w:rsidSect="00A36C8F">
          <w:type w:val="continuous"/>
          <w:pgSz w:w="12240" w:h="15840"/>
          <w:pgMar w:top="1417" w:right="1701" w:bottom="1417" w:left="1701" w:header="720" w:footer="720" w:gutter="0"/>
          <w:cols w:num="2" w:space="720"/>
          <w:docGrid w:linePitch="360"/>
        </w:sectPr>
      </w:pPr>
    </w:p>
    <w:p w:rsidR="00FA3B81" w:rsidRPr="00D6784D" w:rsidRDefault="00A21CA3" w:rsidP="004F72F9">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FA3B81" w:rsidRPr="00D6784D" w:rsidSect="00FA3B81">
          <w:headerReference w:type="default" r:id="rId16"/>
          <w:footerReference w:type="default" r:id="rId17"/>
          <w:type w:val="continuous"/>
          <w:pgSz w:w="12240" w:h="15840" w:code="1"/>
          <w:pgMar w:top="1418" w:right="1418" w:bottom="1418" w:left="1418" w:header="709" w:footer="709" w:gutter="0"/>
          <w:cols w:space="708"/>
          <w:docGrid w:linePitch="360"/>
        </w:sectPr>
      </w:pPr>
      <w:r w:rsidRPr="00D6784D">
        <w:rPr>
          <w:rFonts w:ascii="Times New Roman" w:hAnsi="Times New Roman" w:cs="Times New Roman"/>
          <w:b/>
          <w:lang w:val="es-MX"/>
        </w:rPr>
        <w:lastRenderedPageBreak/>
        <w:t xml:space="preserve">Se observa una desaceleración en </w:t>
      </w:r>
      <w:r w:rsidR="002C4CB2" w:rsidRPr="00D6784D">
        <w:rPr>
          <w:rFonts w:ascii="Times New Roman" w:hAnsi="Times New Roman" w:cs="Times New Roman"/>
          <w:b/>
          <w:lang w:val="es-MX"/>
        </w:rPr>
        <w:t>la ejecución</w:t>
      </w:r>
      <w:r w:rsidRPr="00D6784D">
        <w:rPr>
          <w:rFonts w:ascii="Times New Roman" w:hAnsi="Times New Roman" w:cs="Times New Roman"/>
          <w:b/>
          <w:lang w:val="es-MX"/>
        </w:rPr>
        <w:t xml:space="preserve"> </w:t>
      </w:r>
      <w:r w:rsidR="00E06DEC" w:rsidRPr="00D6784D">
        <w:rPr>
          <w:rFonts w:ascii="Times New Roman" w:hAnsi="Times New Roman" w:cs="Times New Roman"/>
          <w:b/>
          <w:lang w:val="es-MX"/>
        </w:rPr>
        <w:t>de</w:t>
      </w:r>
      <w:r w:rsidRPr="00D6784D">
        <w:rPr>
          <w:rFonts w:ascii="Times New Roman" w:hAnsi="Times New Roman" w:cs="Times New Roman"/>
          <w:b/>
          <w:lang w:val="es-MX"/>
        </w:rPr>
        <w:t>l</w:t>
      </w:r>
      <w:r w:rsidR="00924740" w:rsidRPr="00D6784D">
        <w:rPr>
          <w:rFonts w:ascii="Times New Roman" w:hAnsi="Times New Roman" w:cs="Times New Roman"/>
          <w:b/>
          <w:lang w:val="es-MX"/>
        </w:rPr>
        <w:t xml:space="preserve"> </w:t>
      </w:r>
      <w:r w:rsidR="00E37543" w:rsidRPr="00D6784D">
        <w:rPr>
          <w:rFonts w:ascii="Times New Roman" w:hAnsi="Times New Roman" w:cs="Times New Roman"/>
          <w:b/>
          <w:lang w:val="es-MX"/>
        </w:rPr>
        <w:t xml:space="preserve">gasto </w:t>
      </w:r>
      <w:r w:rsidR="0041262B" w:rsidRPr="00D6784D">
        <w:rPr>
          <w:rFonts w:ascii="Times New Roman" w:hAnsi="Times New Roman" w:cs="Times New Roman"/>
          <w:b/>
          <w:lang w:val="es-MX"/>
        </w:rPr>
        <w:t>público</w:t>
      </w:r>
    </w:p>
    <w:p w:rsidR="00FA3B81" w:rsidRPr="000A5725" w:rsidRDefault="00FA3B81" w:rsidP="00FA3B81">
      <w:pPr>
        <w:pStyle w:val="Sinespaciado"/>
        <w:rPr>
          <w:rFonts w:ascii="Times New Roman" w:hAnsi="Times New Roman" w:cs="Times New Roman"/>
          <w:b/>
          <w:color w:val="FF0000"/>
          <w:sz w:val="18"/>
          <w:lang w:val="es-MX"/>
        </w:rPr>
      </w:pPr>
    </w:p>
    <w:p w:rsidR="00FA3B81" w:rsidRPr="000A5725" w:rsidRDefault="00FA3B81" w:rsidP="0041262B">
      <w:pPr>
        <w:pStyle w:val="Sinespaciado"/>
        <w:rPr>
          <w:rFonts w:ascii="Times New Roman" w:hAnsi="Times New Roman" w:cs="Times New Roman"/>
          <w:b/>
          <w:color w:val="FF0000"/>
          <w:lang w:val="es-MX"/>
        </w:rPr>
        <w:sectPr w:rsidR="00FA3B81" w:rsidRPr="000A5725" w:rsidSect="004E358C">
          <w:type w:val="continuous"/>
          <w:pgSz w:w="12240" w:h="15840"/>
          <w:pgMar w:top="1417" w:right="1701" w:bottom="1417" w:left="1701" w:header="708" w:footer="708" w:gutter="0"/>
          <w:cols w:space="708"/>
          <w:docGrid w:linePitch="360"/>
        </w:sectPr>
      </w:pPr>
    </w:p>
    <w:p w:rsidR="000D0CF5" w:rsidRDefault="00FD2282" w:rsidP="00FD2282">
      <w:pPr>
        <w:pStyle w:val="Sinespaciado"/>
        <w:jc w:val="both"/>
        <w:rPr>
          <w:rFonts w:ascii="Times New Roman" w:hAnsi="Times New Roman" w:cs="Times New Roman"/>
          <w:lang w:val="es-MX"/>
        </w:rPr>
      </w:pPr>
      <w:r w:rsidRPr="001E2D24">
        <w:rPr>
          <w:rFonts w:ascii="Times New Roman" w:hAnsi="Times New Roman" w:cs="Times New Roman"/>
          <w:lang w:val="es-MX"/>
        </w:rPr>
        <w:lastRenderedPageBreak/>
        <w:t xml:space="preserve">La ejecución del gasto público </w:t>
      </w:r>
      <w:r>
        <w:rPr>
          <w:rFonts w:ascii="Times New Roman" w:hAnsi="Times New Roman" w:cs="Times New Roman"/>
          <w:lang w:val="es-MX"/>
        </w:rPr>
        <w:t xml:space="preserve">a junio </w:t>
      </w:r>
      <w:r w:rsidRPr="001E2D24">
        <w:rPr>
          <w:rFonts w:ascii="Times New Roman" w:hAnsi="Times New Roman" w:cs="Times New Roman"/>
          <w:lang w:val="es-MX"/>
        </w:rPr>
        <w:t>sin incluir las amortizaciones de</w:t>
      </w:r>
      <w:r>
        <w:rPr>
          <w:rFonts w:ascii="Times New Roman" w:hAnsi="Times New Roman" w:cs="Times New Roman"/>
          <w:lang w:val="es-MX"/>
        </w:rPr>
        <w:t xml:space="preserve"> la deuda pública se ubicó en Q39</w:t>
      </w:r>
      <w:r w:rsidRPr="001E2D24">
        <w:rPr>
          <w:rFonts w:ascii="Times New Roman" w:hAnsi="Times New Roman" w:cs="Times New Roman"/>
          <w:lang w:val="es-MX"/>
        </w:rPr>
        <w:t>,</w:t>
      </w:r>
      <w:r>
        <w:rPr>
          <w:rFonts w:ascii="Times New Roman" w:hAnsi="Times New Roman" w:cs="Times New Roman"/>
          <w:lang w:val="es-MX"/>
        </w:rPr>
        <w:t>900.2 millones</w:t>
      </w:r>
      <w:r w:rsidRPr="001E2D24">
        <w:rPr>
          <w:rFonts w:ascii="Times New Roman" w:hAnsi="Times New Roman" w:cs="Times New Roman"/>
          <w:lang w:val="es-MX"/>
        </w:rPr>
        <w:t xml:space="preserve"> con un crecimiento interanual</w:t>
      </w:r>
      <w:r>
        <w:rPr>
          <w:rFonts w:ascii="Times New Roman" w:hAnsi="Times New Roman" w:cs="Times New Roman"/>
          <w:lang w:val="es-MX"/>
        </w:rPr>
        <w:t xml:space="preserve"> de 0.4% (equivalente a Q154.4 millones), mostrando una importante desaceleración respecto al dinamismo observado en el mes previo. </w:t>
      </w:r>
    </w:p>
    <w:p w:rsidR="000D0CF5" w:rsidRDefault="000D0CF5" w:rsidP="00FD2282">
      <w:pPr>
        <w:pStyle w:val="Sinespaciado"/>
        <w:jc w:val="both"/>
        <w:rPr>
          <w:rFonts w:ascii="Times New Roman" w:hAnsi="Times New Roman" w:cs="Times New Roman"/>
          <w:lang w:val="es-MX"/>
        </w:rPr>
      </w:pPr>
    </w:p>
    <w:p w:rsidR="00FD2282" w:rsidRDefault="00FD2282" w:rsidP="00FD2282">
      <w:pPr>
        <w:pStyle w:val="Sinespaciado"/>
        <w:jc w:val="both"/>
        <w:rPr>
          <w:rFonts w:ascii="Times New Roman" w:hAnsi="Times New Roman" w:cs="Times New Roman"/>
          <w:lang w:val="es-MX"/>
        </w:rPr>
      </w:pPr>
      <w:r>
        <w:rPr>
          <w:rFonts w:ascii="Times New Roman" w:hAnsi="Times New Roman" w:cs="Times New Roman"/>
          <w:lang w:val="es-MX"/>
        </w:rPr>
        <w:t xml:space="preserve">Asimismo, el crecimiento observado es menor al reportado en 2020, cuando el gasto estaba creciendo en 9.1%, dado que a junio de ese año se encontraban en ejecución varias actividades relacionadas a la atención de la pandemia COVID-19, mientras que para este </w:t>
      </w:r>
      <w:r>
        <w:rPr>
          <w:rFonts w:ascii="Times New Roman" w:hAnsi="Times New Roman" w:cs="Times New Roman"/>
          <w:lang w:val="es-MX"/>
        </w:rPr>
        <w:lastRenderedPageBreak/>
        <w:t xml:space="preserve">año dichas actividades ya no se encuentran vigentes. </w:t>
      </w:r>
    </w:p>
    <w:p w:rsidR="000D0CF5" w:rsidRDefault="000D0CF5" w:rsidP="00FD2282">
      <w:pPr>
        <w:pStyle w:val="Sinespaciado"/>
        <w:jc w:val="both"/>
        <w:rPr>
          <w:rFonts w:ascii="Times New Roman" w:hAnsi="Times New Roman" w:cs="Times New Roman"/>
          <w:lang w:val="es-MX"/>
        </w:rPr>
      </w:pPr>
    </w:p>
    <w:p w:rsidR="002C4CB2" w:rsidRDefault="00FD2282" w:rsidP="00FD2282">
      <w:pPr>
        <w:pStyle w:val="Sinespaciado"/>
        <w:jc w:val="both"/>
        <w:rPr>
          <w:rFonts w:ascii="Times New Roman" w:hAnsi="Times New Roman" w:cs="Times New Roman"/>
          <w:lang w:val="es-MX"/>
        </w:rPr>
      </w:pPr>
      <w:r>
        <w:rPr>
          <w:rFonts w:ascii="Times New Roman" w:hAnsi="Times New Roman" w:cs="Times New Roman"/>
          <w:lang w:val="es-MX"/>
        </w:rPr>
        <w:t xml:space="preserve">Para el resto del año, se esperaría que la variación interanual del gasto público sea negativa, dado que el Ejecutivo a principios de 2021 anunció un presupuesto operativo de </w:t>
      </w:r>
      <w:r w:rsidRPr="00474998">
        <w:rPr>
          <w:rFonts w:ascii="Times New Roman" w:hAnsi="Times New Roman" w:cs="Times New Roman"/>
          <w:lang w:val="es-MX"/>
        </w:rPr>
        <w:t>Q94,354.0 millones, con lo cual la ejecución quedaría por debajo de lo observado en 2020.</w:t>
      </w:r>
    </w:p>
    <w:p w:rsidR="00FD2282" w:rsidRDefault="00FD2282" w:rsidP="00FD2282">
      <w:pPr>
        <w:pStyle w:val="Sinespaciado"/>
        <w:jc w:val="both"/>
        <w:rPr>
          <w:rFonts w:ascii="Times New Roman" w:hAnsi="Times New Roman" w:cs="Times New Roman"/>
          <w:lang w:val="es-MX"/>
        </w:rPr>
      </w:pPr>
    </w:p>
    <w:p w:rsidR="000D0CF5" w:rsidRDefault="000D0CF5" w:rsidP="00FD2282">
      <w:pPr>
        <w:pStyle w:val="Sinespaciado"/>
        <w:jc w:val="both"/>
        <w:rPr>
          <w:rFonts w:ascii="Times New Roman" w:hAnsi="Times New Roman" w:cs="Times New Roman"/>
          <w:lang w:val="es-MX"/>
        </w:rPr>
      </w:pPr>
    </w:p>
    <w:p w:rsidR="000D0CF5" w:rsidRDefault="000D0CF5" w:rsidP="00FD2282">
      <w:pPr>
        <w:pStyle w:val="Sinespaciado"/>
        <w:jc w:val="both"/>
        <w:rPr>
          <w:rFonts w:ascii="Times New Roman" w:hAnsi="Times New Roman" w:cs="Times New Roman"/>
          <w:lang w:val="es-MX"/>
        </w:rPr>
      </w:pPr>
    </w:p>
    <w:p w:rsidR="000D0CF5" w:rsidRDefault="000D0CF5" w:rsidP="00FD2282">
      <w:pPr>
        <w:pStyle w:val="Sinespaciado"/>
        <w:jc w:val="both"/>
        <w:rPr>
          <w:rFonts w:ascii="Times New Roman" w:hAnsi="Times New Roman" w:cs="Times New Roman"/>
          <w:lang w:val="es-MX"/>
        </w:rPr>
      </w:pPr>
    </w:p>
    <w:p w:rsidR="000D0CF5" w:rsidRPr="00FD2282" w:rsidRDefault="000D0CF5" w:rsidP="00FD2282">
      <w:pPr>
        <w:pStyle w:val="Sinespaciado"/>
        <w:jc w:val="both"/>
        <w:rPr>
          <w:rFonts w:ascii="Times New Roman" w:hAnsi="Times New Roman" w:cs="Times New Roman"/>
          <w:lang w:val="es-MX"/>
        </w:rPr>
      </w:pPr>
    </w:p>
    <w:p w:rsidR="004C2A11" w:rsidRPr="00FD2282" w:rsidRDefault="004C2A11" w:rsidP="004C2A11">
      <w:pPr>
        <w:pStyle w:val="Sinespaciado"/>
        <w:jc w:val="center"/>
        <w:rPr>
          <w:rFonts w:ascii="Times New Roman" w:hAnsi="Times New Roman" w:cs="Times New Roman"/>
          <w:b/>
          <w:lang w:val="es-MX"/>
        </w:rPr>
      </w:pPr>
      <w:r w:rsidRPr="00FD2282">
        <w:rPr>
          <w:rFonts w:ascii="Times New Roman" w:hAnsi="Times New Roman" w:cs="Times New Roman"/>
          <w:b/>
          <w:lang w:val="es-MX"/>
        </w:rPr>
        <w:t>Ritmo de Ejecución del Gasto</w:t>
      </w:r>
    </w:p>
    <w:p w:rsidR="004C2A11" w:rsidRPr="00FD2282" w:rsidRDefault="008E3A30" w:rsidP="004C2A11">
      <w:pPr>
        <w:pStyle w:val="Sinespaciado"/>
        <w:jc w:val="center"/>
        <w:rPr>
          <w:rFonts w:ascii="Times New Roman" w:hAnsi="Times New Roman" w:cs="Times New Roman"/>
          <w:sz w:val="18"/>
          <w:lang w:val="es-MX"/>
        </w:rPr>
      </w:pPr>
      <w:r w:rsidRPr="00FD2282">
        <w:rPr>
          <w:rFonts w:ascii="Times New Roman" w:hAnsi="Times New Roman" w:cs="Times New Roman"/>
          <w:noProof/>
          <w:sz w:val="18"/>
          <w:lang w:val="es-ES" w:eastAsia="es-ES"/>
        </w:rPr>
        <w:drawing>
          <wp:anchor distT="0" distB="0" distL="114300" distR="114300" simplePos="0" relativeHeight="251817984" behindDoc="0" locked="0" layoutInCell="1" allowOverlap="1" wp14:anchorId="7164E7E6" wp14:editId="47215EB6">
            <wp:simplePos x="0" y="0"/>
            <wp:positionH relativeFrom="column">
              <wp:posOffset>-3810</wp:posOffset>
            </wp:positionH>
            <wp:positionV relativeFrom="paragraph">
              <wp:posOffset>133985</wp:posOffset>
            </wp:positionV>
            <wp:extent cx="2790825" cy="2133600"/>
            <wp:effectExtent l="0" t="0" r="0" b="0"/>
            <wp:wrapSquare wrapText="bothSides"/>
            <wp:docPr id="238"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004C2A11" w:rsidRPr="00FD2282">
        <w:rPr>
          <w:rFonts w:ascii="Times New Roman" w:hAnsi="Times New Roman" w:cs="Times New Roman"/>
          <w:sz w:val="18"/>
          <w:lang w:val="es-MX"/>
        </w:rPr>
        <w:t>Variación Interanual*</w:t>
      </w:r>
    </w:p>
    <w:p w:rsidR="004C2A11" w:rsidRPr="00FD2282" w:rsidRDefault="004C2A11" w:rsidP="004C2A11">
      <w:pPr>
        <w:pStyle w:val="Sinespaciado"/>
        <w:rPr>
          <w:rFonts w:ascii="Times New Roman" w:hAnsi="Times New Roman" w:cs="Times New Roman"/>
          <w:sz w:val="16"/>
          <w:lang w:val="es-MX"/>
        </w:rPr>
      </w:pPr>
      <w:r w:rsidRPr="00FD2282">
        <w:rPr>
          <w:rFonts w:ascii="Times New Roman" w:hAnsi="Times New Roman" w:cs="Times New Roman"/>
          <w:sz w:val="16"/>
          <w:lang w:val="es-MX"/>
        </w:rPr>
        <w:t>*No incluye amortizaciones de la deuda pública</w:t>
      </w:r>
    </w:p>
    <w:p w:rsidR="004C2A11" w:rsidRPr="000A5725" w:rsidRDefault="004C2A11" w:rsidP="004C2A11">
      <w:pPr>
        <w:spacing w:after="0" w:line="240" w:lineRule="auto"/>
        <w:jc w:val="both"/>
        <w:rPr>
          <w:rFonts w:ascii="Times New Roman" w:hAnsi="Times New Roman" w:cs="Times New Roman"/>
          <w:color w:val="FF0000"/>
          <w:sz w:val="16"/>
        </w:rPr>
      </w:pPr>
      <w:r w:rsidRPr="00FD2282">
        <w:rPr>
          <w:rFonts w:ascii="Times New Roman" w:hAnsi="Times New Roman" w:cs="Times New Roman"/>
          <w:sz w:val="16"/>
        </w:rPr>
        <w:t>Fuente: Dirección de Análisis y Política Fiscal</w:t>
      </w:r>
    </w:p>
    <w:p w:rsidR="00651D53" w:rsidRPr="000A5725" w:rsidRDefault="00651D53" w:rsidP="008E3A30">
      <w:pPr>
        <w:pStyle w:val="Sinespaciado"/>
        <w:jc w:val="both"/>
        <w:rPr>
          <w:rFonts w:ascii="Times New Roman" w:hAnsi="Times New Roman" w:cs="Times New Roman"/>
          <w:color w:val="FF0000"/>
          <w:lang w:val="es-MX"/>
        </w:rPr>
      </w:pPr>
    </w:p>
    <w:p w:rsidR="00341585" w:rsidRDefault="00FD2282" w:rsidP="00FD2282">
      <w:pPr>
        <w:pStyle w:val="Sinespaciado"/>
        <w:jc w:val="both"/>
        <w:rPr>
          <w:rFonts w:ascii="Times New Roman" w:hAnsi="Times New Roman" w:cs="Times New Roman"/>
          <w:lang w:val="es-MX"/>
        </w:rPr>
      </w:pPr>
      <w:r>
        <w:rPr>
          <w:rFonts w:ascii="Times New Roman" w:hAnsi="Times New Roman" w:cs="Times New Roman"/>
          <w:lang w:val="es-MX"/>
        </w:rPr>
        <w:t xml:space="preserve">A nivel de rubro de cuenta económica, el mayor crecimiento absoluto se reporta en los bienes y servicios con una ejecución mayor en Q2,118.6 millones (equivalente a un crecimiento interanual de 65.7%), explicado principalmente por un aumento de Q1,176.2 millones en el Ministerio de Salud Pública y Asistencia Social por un mayor gasto en los productos medicinales y farmacéuticos por Q653.1 millones, siendo en este renglón donde se registra la compra de la vacuna contra el COVID-19. </w:t>
      </w:r>
    </w:p>
    <w:p w:rsidR="00341585" w:rsidRDefault="00341585" w:rsidP="00FD2282">
      <w:pPr>
        <w:pStyle w:val="Sinespaciado"/>
        <w:jc w:val="both"/>
        <w:rPr>
          <w:rFonts w:ascii="Times New Roman" w:hAnsi="Times New Roman" w:cs="Times New Roman"/>
          <w:lang w:val="es-MX"/>
        </w:rPr>
      </w:pPr>
    </w:p>
    <w:p w:rsidR="00FD2282" w:rsidRDefault="00FD2282" w:rsidP="00FD2282">
      <w:pPr>
        <w:pStyle w:val="Sinespaciado"/>
        <w:jc w:val="both"/>
        <w:rPr>
          <w:rFonts w:ascii="Times New Roman" w:hAnsi="Times New Roman" w:cs="Times New Roman"/>
          <w:lang w:val="es-MX"/>
        </w:rPr>
      </w:pPr>
      <w:r>
        <w:rPr>
          <w:rFonts w:ascii="Times New Roman" w:hAnsi="Times New Roman" w:cs="Times New Roman"/>
          <w:lang w:val="es-MX"/>
        </w:rPr>
        <w:lastRenderedPageBreak/>
        <w:t xml:space="preserve">Asimismo, los servicios médico-sanitarios reportan un aumento de Q224.9 millones, además de las retribuciones por servicios profesionales y técnicos incluye pruebas de laboratorio, que contiene las asociadas al COVID-19. Otros renglones que reportan un crecimiento interanual importante son los otros estudios o servicios y los útiles menores, suministros e instrumental médico quirúrgicos de laboratorio y cuidados de la salud, con Q86.0 y Q84.1 millones, respectivamente.  </w:t>
      </w:r>
    </w:p>
    <w:p w:rsidR="00FD2282" w:rsidRDefault="00FD2282" w:rsidP="00FD2282">
      <w:pPr>
        <w:pStyle w:val="Sinespaciado"/>
        <w:jc w:val="both"/>
        <w:rPr>
          <w:rFonts w:ascii="Times New Roman" w:hAnsi="Times New Roman" w:cs="Times New Roman"/>
          <w:lang w:val="es-MX"/>
        </w:rPr>
      </w:pPr>
    </w:p>
    <w:p w:rsidR="00FD2282" w:rsidRDefault="00FD2282" w:rsidP="00FD2282">
      <w:pPr>
        <w:pStyle w:val="Sinespaciado"/>
        <w:jc w:val="both"/>
        <w:rPr>
          <w:rFonts w:ascii="Times New Roman" w:hAnsi="Times New Roman" w:cs="Times New Roman"/>
          <w:lang w:val="es-MX"/>
        </w:rPr>
      </w:pPr>
      <w:r>
        <w:rPr>
          <w:rFonts w:ascii="Times New Roman" w:hAnsi="Times New Roman" w:cs="Times New Roman"/>
          <w:lang w:val="es-MX"/>
        </w:rPr>
        <w:t xml:space="preserve">Por su parte, en el Ministerio de Comunicaciones, Infraestructura y Vivienda se reporta un crecimiento absoluto en el rubro de bienes y servicios por Q498.5 millones </w:t>
      </w:r>
      <w:r w:rsidRPr="00BC1A2D">
        <w:rPr>
          <w:rFonts w:ascii="Times New Roman" w:hAnsi="Times New Roman" w:cs="Times New Roman"/>
          <w:lang w:val="es-MX"/>
        </w:rPr>
        <w:t xml:space="preserve">(equivalente a </w:t>
      </w:r>
      <w:r>
        <w:rPr>
          <w:rFonts w:ascii="Times New Roman" w:hAnsi="Times New Roman" w:cs="Times New Roman"/>
          <w:lang w:val="es-MX"/>
        </w:rPr>
        <w:t>99.5</w:t>
      </w:r>
      <w:r w:rsidRPr="00BC1A2D">
        <w:rPr>
          <w:rFonts w:ascii="Times New Roman" w:hAnsi="Times New Roman" w:cs="Times New Roman"/>
          <w:lang w:val="es-MX"/>
        </w:rPr>
        <w:t>%</w:t>
      </w:r>
      <w:r>
        <w:rPr>
          <w:rFonts w:ascii="Times New Roman" w:hAnsi="Times New Roman" w:cs="Times New Roman"/>
          <w:lang w:val="es-MX"/>
        </w:rPr>
        <w:t xml:space="preserve">) como resultado de una mayor ejecución en el mantenimiento y reparación de edificios (Q97.9 millones) y mantenimiento y reparación de bienes nacionales de uso común (Q362.1 millones). </w:t>
      </w:r>
    </w:p>
    <w:p w:rsidR="00FD2282" w:rsidRDefault="00FD2282" w:rsidP="00FD2282">
      <w:pPr>
        <w:pStyle w:val="Sinespaciado"/>
        <w:jc w:val="both"/>
        <w:rPr>
          <w:rFonts w:ascii="Times New Roman" w:hAnsi="Times New Roman" w:cs="Times New Roman"/>
          <w:lang w:val="es-MX"/>
        </w:rPr>
      </w:pPr>
    </w:p>
    <w:p w:rsidR="00FD2282" w:rsidRDefault="00FD2282" w:rsidP="00FD2282">
      <w:pPr>
        <w:pStyle w:val="Sinespaciado"/>
        <w:jc w:val="both"/>
        <w:rPr>
          <w:rFonts w:ascii="Times New Roman" w:hAnsi="Times New Roman" w:cs="Times New Roman"/>
          <w:lang w:val="es-MX"/>
        </w:rPr>
      </w:pPr>
      <w:r>
        <w:rPr>
          <w:rFonts w:ascii="Times New Roman" w:hAnsi="Times New Roman" w:cs="Times New Roman"/>
          <w:lang w:val="es-MX"/>
        </w:rPr>
        <w:t xml:space="preserve">Asimismo, en el Ministerio de Desarrollo Social, se reporta un aumento importante en el rubro de bienes y servicios, el cual responde a alimentos para personas por Q115.1 millones y en el Ministerio de Agricultura, Ganadería y Alimentación el aumento en el mismo renglón es por Q74.8 millones, la ejecución reportada en este renglón es importante, ya que corresponde a las bolsas de alimentos entregadas a familias en atención a la emergencia del COVID-19, ya que durante 2020 se entregó un anticipo al Programa Mundial de Alimentos (PMA) el cual está siendo regularizado, en el caso de Desarrollo Social, la regularización ya fue completada y en el caso de Agricultura, Ganadería y Alimentación, aún queda un saldo pendiente de regularizar. </w:t>
      </w:r>
    </w:p>
    <w:p w:rsidR="00FD2282" w:rsidRPr="008B062E" w:rsidRDefault="00FD2282" w:rsidP="00FD2282">
      <w:pPr>
        <w:pStyle w:val="Sinespaciado"/>
        <w:jc w:val="both"/>
        <w:rPr>
          <w:rFonts w:ascii="Times New Roman" w:hAnsi="Times New Roman" w:cs="Times New Roman"/>
          <w:sz w:val="18"/>
          <w:lang w:val="es-MX"/>
        </w:rPr>
      </w:pPr>
    </w:p>
    <w:p w:rsidR="00FD2282" w:rsidRDefault="00FD2282" w:rsidP="00FD2282">
      <w:pPr>
        <w:pStyle w:val="Sinespaciado"/>
        <w:jc w:val="both"/>
        <w:rPr>
          <w:rFonts w:ascii="Times New Roman" w:hAnsi="Times New Roman" w:cs="Times New Roman"/>
          <w:lang w:val="es-MX"/>
        </w:rPr>
      </w:pPr>
      <w:r>
        <w:rPr>
          <w:rFonts w:ascii="Times New Roman" w:hAnsi="Times New Roman" w:cs="Times New Roman"/>
          <w:lang w:val="es-MX"/>
        </w:rPr>
        <w:t xml:space="preserve">Por su parte, el Ministerio de Gobernación reporta un aumento de Q90.4 millones en los bienes y servicios que corresponde a primas y gastos de seguros de fianzas y alimento para personas. En las obligaciones también se </w:t>
      </w:r>
      <w:r>
        <w:rPr>
          <w:rFonts w:ascii="Times New Roman" w:hAnsi="Times New Roman" w:cs="Times New Roman"/>
          <w:lang w:val="es-MX"/>
        </w:rPr>
        <w:lastRenderedPageBreak/>
        <w:t>reporta un incremento de Q73.9 millones, el cual se explica en gran medida por las comisiones a receptores fiscales y recaudadores, dado el buen desempeño de la recaudación tributaria, la Superintendencia de Administración Tributaria (SAT) está percibiendo una mayor cantidad de recursos.</w:t>
      </w:r>
    </w:p>
    <w:p w:rsidR="00FD2282" w:rsidRPr="008B062E" w:rsidRDefault="00FD2282" w:rsidP="00FD2282">
      <w:pPr>
        <w:pStyle w:val="Sinespaciado"/>
        <w:jc w:val="both"/>
        <w:rPr>
          <w:rFonts w:ascii="Times New Roman" w:hAnsi="Times New Roman" w:cs="Times New Roman"/>
          <w:sz w:val="18"/>
          <w:lang w:val="es-MX"/>
        </w:rPr>
      </w:pPr>
    </w:p>
    <w:p w:rsidR="00FD2282" w:rsidRDefault="00FD2282" w:rsidP="00FD2282">
      <w:pPr>
        <w:pStyle w:val="Sinespaciado"/>
        <w:jc w:val="both"/>
        <w:rPr>
          <w:rFonts w:ascii="Times New Roman" w:hAnsi="Times New Roman" w:cs="Times New Roman"/>
          <w:lang w:val="es-MX"/>
        </w:rPr>
      </w:pPr>
      <w:r>
        <w:rPr>
          <w:rFonts w:ascii="Times New Roman" w:hAnsi="Times New Roman" w:cs="Times New Roman"/>
          <w:lang w:val="es-MX"/>
        </w:rPr>
        <w:t xml:space="preserve">En lo que respecto a los intereses de la deuda interna y externa se dio un aumento de Q755.0 millones (equivalente a un crecimiento de 15.7%). En la deuda interna se encuentra concentrado la mayor parte de dicho incremento con Q580.4 millones, mientras que, en la deuda externa, los intereses de préstamos con organismos internacionales reportan una menor ejecución por Q99.5 millones. Por su parte, los intereses de bonos externos correspondiente a la colocación de Eurobonos, reportan una ejecución </w:t>
      </w:r>
      <w:r w:rsidRPr="007E138A">
        <w:rPr>
          <w:rFonts w:ascii="Times New Roman" w:hAnsi="Times New Roman" w:cs="Times New Roman"/>
          <w:lang w:val="es-MX"/>
        </w:rPr>
        <w:t xml:space="preserve">mayor </w:t>
      </w:r>
      <w:r>
        <w:rPr>
          <w:rFonts w:ascii="Times New Roman" w:hAnsi="Times New Roman" w:cs="Times New Roman"/>
          <w:lang w:val="es-MX"/>
        </w:rPr>
        <w:t>en Q274.1 millones, producto de la colocación de dichos títulos en 2020.</w:t>
      </w:r>
    </w:p>
    <w:p w:rsidR="00FD2282" w:rsidRPr="008B062E" w:rsidRDefault="00FD2282" w:rsidP="00FD2282">
      <w:pPr>
        <w:pStyle w:val="Sinespaciado"/>
        <w:jc w:val="both"/>
        <w:rPr>
          <w:rFonts w:ascii="Times New Roman" w:hAnsi="Times New Roman" w:cs="Times New Roman"/>
          <w:sz w:val="18"/>
          <w:lang w:val="es-MX"/>
        </w:rPr>
      </w:pPr>
    </w:p>
    <w:p w:rsidR="00FD2282" w:rsidRDefault="00FD2282" w:rsidP="00FD2282">
      <w:pPr>
        <w:pStyle w:val="Sinespaciado"/>
        <w:jc w:val="both"/>
        <w:rPr>
          <w:rFonts w:ascii="Times New Roman" w:hAnsi="Times New Roman" w:cs="Times New Roman"/>
          <w:lang w:val="es-MX"/>
        </w:rPr>
      </w:pPr>
      <w:r w:rsidRPr="00DE41EC">
        <w:rPr>
          <w:rFonts w:ascii="Times New Roman" w:hAnsi="Times New Roman" w:cs="Times New Roman"/>
          <w:lang w:val="es-MX"/>
        </w:rPr>
        <w:t xml:space="preserve">En el rubro de las remuneraciones se </w:t>
      </w:r>
      <w:r>
        <w:rPr>
          <w:rFonts w:ascii="Times New Roman" w:hAnsi="Times New Roman" w:cs="Times New Roman"/>
          <w:lang w:val="es-MX"/>
        </w:rPr>
        <w:t>reporta un crecimiento de 4.3%, siendo equivalente a</w:t>
      </w:r>
      <w:r w:rsidRPr="00DE41EC">
        <w:rPr>
          <w:rFonts w:ascii="Times New Roman" w:hAnsi="Times New Roman" w:cs="Times New Roman"/>
          <w:lang w:val="es-MX"/>
        </w:rPr>
        <w:t xml:space="preserve"> </w:t>
      </w:r>
      <w:r>
        <w:rPr>
          <w:rFonts w:ascii="Times New Roman" w:hAnsi="Times New Roman" w:cs="Times New Roman"/>
          <w:lang w:val="es-MX"/>
        </w:rPr>
        <w:t xml:space="preserve">una mayor </w:t>
      </w:r>
      <w:r w:rsidRPr="00DE41EC">
        <w:rPr>
          <w:rFonts w:ascii="Times New Roman" w:hAnsi="Times New Roman" w:cs="Times New Roman"/>
          <w:lang w:val="es-MX"/>
        </w:rPr>
        <w:t xml:space="preserve">ejecución </w:t>
      </w:r>
      <w:r>
        <w:rPr>
          <w:rFonts w:ascii="Times New Roman" w:hAnsi="Times New Roman" w:cs="Times New Roman"/>
          <w:lang w:val="es-MX"/>
        </w:rPr>
        <w:t>en Q532</w:t>
      </w:r>
      <w:r w:rsidRPr="00DE41EC">
        <w:rPr>
          <w:rFonts w:ascii="Times New Roman" w:hAnsi="Times New Roman" w:cs="Times New Roman"/>
          <w:lang w:val="es-MX"/>
        </w:rPr>
        <w:t>.</w:t>
      </w:r>
      <w:r>
        <w:rPr>
          <w:rFonts w:ascii="Times New Roman" w:hAnsi="Times New Roman" w:cs="Times New Roman"/>
          <w:lang w:val="es-MX"/>
        </w:rPr>
        <w:t>5</w:t>
      </w:r>
      <w:r w:rsidRPr="00DE41EC">
        <w:rPr>
          <w:rFonts w:ascii="Times New Roman" w:hAnsi="Times New Roman" w:cs="Times New Roman"/>
          <w:lang w:val="es-MX"/>
        </w:rPr>
        <w:t xml:space="preserve"> millones a la reportada en 2020. El Ministerio de Educación reporta el mayor </w:t>
      </w:r>
      <w:r>
        <w:rPr>
          <w:rFonts w:ascii="Times New Roman" w:hAnsi="Times New Roman" w:cs="Times New Roman"/>
          <w:lang w:val="es-MX"/>
        </w:rPr>
        <w:t>aumento absoluto, siendo de Q286.2</w:t>
      </w:r>
      <w:r w:rsidRPr="00DE41EC">
        <w:rPr>
          <w:rFonts w:ascii="Times New Roman" w:hAnsi="Times New Roman" w:cs="Times New Roman"/>
          <w:lang w:val="es-MX"/>
        </w:rPr>
        <w:t xml:space="preserve"> millones (equivalente a </w:t>
      </w:r>
      <w:r>
        <w:rPr>
          <w:rFonts w:ascii="Times New Roman" w:hAnsi="Times New Roman" w:cs="Times New Roman"/>
          <w:lang w:val="es-MX"/>
        </w:rPr>
        <w:t>4</w:t>
      </w:r>
      <w:r w:rsidRPr="00DE41EC">
        <w:rPr>
          <w:rFonts w:ascii="Times New Roman" w:hAnsi="Times New Roman" w:cs="Times New Roman"/>
          <w:lang w:val="es-MX"/>
        </w:rPr>
        <w:t>.</w:t>
      </w:r>
      <w:r>
        <w:rPr>
          <w:rFonts w:ascii="Times New Roman" w:hAnsi="Times New Roman" w:cs="Times New Roman"/>
          <w:lang w:val="es-MX"/>
        </w:rPr>
        <w:t>9</w:t>
      </w:r>
      <w:r w:rsidRPr="00DE41EC">
        <w:rPr>
          <w:rFonts w:ascii="Times New Roman" w:hAnsi="Times New Roman" w:cs="Times New Roman"/>
          <w:lang w:val="es-MX"/>
        </w:rPr>
        <w:t>%), esto se debe principalmente al crecimiento del renglón 017 “derechos escalafonarios” en Q1</w:t>
      </w:r>
      <w:r>
        <w:rPr>
          <w:rFonts w:ascii="Times New Roman" w:hAnsi="Times New Roman" w:cs="Times New Roman"/>
          <w:lang w:val="es-MX"/>
        </w:rPr>
        <w:t>71</w:t>
      </w:r>
      <w:r w:rsidRPr="00DE41EC">
        <w:rPr>
          <w:rFonts w:ascii="Times New Roman" w:hAnsi="Times New Roman" w:cs="Times New Roman"/>
          <w:lang w:val="es-MX"/>
        </w:rPr>
        <w:t>.</w:t>
      </w:r>
      <w:r>
        <w:rPr>
          <w:rFonts w:ascii="Times New Roman" w:hAnsi="Times New Roman" w:cs="Times New Roman"/>
          <w:lang w:val="es-MX"/>
        </w:rPr>
        <w:t>3</w:t>
      </w:r>
      <w:r w:rsidRPr="00DE41EC">
        <w:rPr>
          <w:rFonts w:ascii="Times New Roman" w:hAnsi="Times New Roman" w:cs="Times New Roman"/>
          <w:lang w:val="es-MX"/>
        </w:rPr>
        <w:t xml:space="preserve"> millones y el renglón 011 “personal permanente” en Q1</w:t>
      </w:r>
      <w:r>
        <w:rPr>
          <w:rFonts w:ascii="Times New Roman" w:hAnsi="Times New Roman" w:cs="Times New Roman"/>
          <w:lang w:val="es-MX"/>
        </w:rPr>
        <w:t>13</w:t>
      </w:r>
      <w:r w:rsidRPr="00DE41EC">
        <w:rPr>
          <w:rFonts w:ascii="Times New Roman" w:hAnsi="Times New Roman" w:cs="Times New Roman"/>
          <w:lang w:val="es-MX"/>
        </w:rPr>
        <w:t>.</w:t>
      </w:r>
      <w:r>
        <w:rPr>
          <w:rFonts w:ascii="Times New Roman" w:hAnsi="Times New Roman" w:cs="Times New Roman"/>
          <w:lang w:val="es-MX"/>
        </w:rPr>
        <w:t xml:space="preserve">8 millones. </w:t>
      </w:r>
      <w:r w:rsidR="000D0CF5">
        <w:rPr>
          <w:rFonts w:ascii="Times New Roman" w:hAnsi="Times New Roman" w:cs="Times New Roman"/>
          <w:lang w:val="es-MX"/>
        </w:rPr>
        <w:t xml:space="preserve">  </w:t>
      </w:r>
      <w:r w:rsidRPr="00DE41EC">
        <w:rPr>
          <w:rFonts w:ascii="Times New Roman" w:hAnsi="Times New Roman" w:cs="Times New Roman"/>
          <w:lang w:val="es-MX"/>
        </w:rPr>
        <w:t>Otra entidad con aumento importante es el Ministerio de Salud Pú</w:t>
      </w:r>
      <w:r>
        <w:rPr>
          <w:rFonts w:ascii="Times New Roman" w:hAnsi="Times New Roman" w:cs="Times New Roman"/>
          <w:lang w:val="es-MX"/>
        </w:rPr>
        <w:t>blica y Asistencia Social con Q2</w:t>
      </w:r>
      <w:r w:rsidRPr="00DE41EC">
        <w:rPr>
          <w:rFonts w:ascii="Times New Roman" w:hAnsi="Times New Roman" w:cs="Times New Roman"/>
          <w:lang w:val="es-MX"/>
        </w:rPr>
        <w:t>8</w:t>
      </w:r>
      <w:r>
        <w:rPr>
          <w:rFonts w:ascii="Times New Roman" w:hAnsi="Times New Roman" w:cs="Times New Roman"/>
          <w:lang w:val="es-MX"/>
        </w:rPr>
        <w:t>1</w:t>
      </w:r>
      <w:r w:rsidRPr="00DE41EC">
        <w:rPr>
          <w:rFonts w:ascii="Times New Roman" w:hAnsi="Times New Roman" w:cs="Times New Roman"/>
          <w:lang w:val="es-MX"/>
        </w:rPr>
        <w:t>.</w:t>
      </w:r>
      <w:r>
        <w:rPr>
          <w:rFonts w:ascii="Times New Roman" w:hAnsi="Times New Roman" w:cs="Times New Roman"/>
          <w:lang w:val="es-MX"/>
        </w:rPr>
        <w:t>2</w:t>
      </w:r>
      <w:r w:rsidRPr="00DE41EC">
        <w:rPr>
          <w:rFonts w:ascii="Times New Roman" w:hAnsi="Times New Roman" w:cs="Times New Roman"/>
          <w:lang w:val="es-MX"/>
        </w:rPr>
        <w:t xml:space="preserve"> millones, estando concentrado el aumento en el complemento por antigüedad al perso</w:t>
      </w:r>
      <w:r>
        <w:rPr>
          <w:rFonts w:ascii="Times New Roman" w:hAnsi="Times New Roman" w:cs="Times New Roman"/>
          <w:lang w:val="es-MX"/>
        </w:rPr>
        <w:t>nal permanente</w:t>
      </w:r>
      <w:r w:rsidRPr="00DE41EC">
        <w:rPr>
          <w:rFonts w:ascii="Times New Roman" w:hAnsi="Times New Roman" w:cs="Times New Roman"/>
          <w:lang w:val="es-MX"/>
        </w:rPr>
        <w:t xml:space="preserve">. </w:t>
      </w:r>
    </w:p>
    <w:p w:rsidR="00FD2282" w:rsidRPr="008B062E" w:rsidRDefault="00FD2282" w:rsidP="00FD2282">
      <w:pPr>
        <w:pStyle w:val="Sinespaciado"/>
        <w:jc w:val="both"/>
        <w:rPr>
          <w:rFonts w:ascii="Times New Roman" w:hAnsi="Times New Roman" w:cs="Times New Roman"/>
          <w:sz w:val="18"/>
          <w:lang w:val="es-MX"/>
        </w:rPr>
      </w:pPr>
    </w:p>
    <w:p w:rsidR="00FD2282" w:rsidRDefault="00FD2282" w:rsidP="00FD2282">
      <w:pPr>
        <w:pStyle w:val="Sinespaciado"/>
        <w:jc w:val="both"/>
        <w:rPr>
          <w:rFonts w:ascii="Times New Roman" w:hAnsi="Times New Roman" w:cs="Times New Roman"/>
          <w:lang w:val="es-MX"/>
        </w:rPr>
      </w:pPr>
      <w:r w:rsidRPr="00DE41EC">
        <w:rPr>
          <w:rFonts w:ascii="Times New Roman" w:hAnsi="Times New Roman" w:cs="Times New Roman"/>
          <w:lang w:val="es-MX"/>
        </w:rPr>
        <w:t>Por su parte,</w:t>
      </w:r>
      <w:r>
        <w:rPr>
          <w:rFonts w:ascii="Times New Roman" w:hAnsi="Times New Roman" w:cs="Times New Roman"/>
          <w:lang w:val="es-MX"/>
        </w:rPr>
        <w:t xml:space="preserve"> el Ministerio de Gobernación reporta una caída de Q55.6 millones, explicado por una menor ejecución en los complementos específicos al personal permanente, remuneraciones de personal </w:t>
      </w:r>
      <w:r>
        <w:rPr>
          <w:rFonts w:ascii="Times New Roman" w:hAnsi="Times New Roman" w:cs="Times New Roman"/>
          <w:lang w:val="es-MX"/>
        </w:rPr>
        <w:lastRenderedPageBreak/>
        <w:t xml:space="preserve">temporal y personal permanente, mientras </w:t>
      </w:r>
      <w:r w:rsidRPr="00DE41EC">
        <w:rPr>
          <w:rFonts w:ascii="Times New Roman" w:hAnsi="Times New Roman" w:cs="Times New Roman"/>
          <w:lang w:val="es-MX"/>
        </w:rPr>
        <w:t>las secretarias y otras dependenci</w:t>
      </w:r>
      <w:r>
        <w:rPr>
          <w:rFonts w:ascii="Times New Roman" w:hAnsi="Times New Roman" w:cs="Times New Roman"/>
          <w:lang w:val="es-MX"/>
        </w:rPr>
        <w:t>as del ejecutivo reportan una disminución</w:t>
      </w:r>
      <w:r w:rsidRPr="00DE41EC">
        <w:rPr>
          <w:rFonts w:ascii="Times New Roman" w:hAnsi="Times New Roman" w:cs="Times New Roman"/>
          <w:lang w:val="es-MX"/>
        </w:rPr>
        <w:t xml:space="preserve"> de </w:t>
      </w:r>
      <w:r>
        <w:rPr>
          <w:rFonts w:ascii="Times New Roman" w:hAnsi="Times New Roman" w:cs="Times New Roman"/>
          <w:lang w:val="es-MX"/>
        </w:rPr>
        <w:t>Q41</w:t>
      </w:r>
      <w:r w:rsidRPr="00DE41EC">
        <w:rPr>
          <w:rFonts w:ascii="Times New Roman" w:hAnsi="Times New Roman" w:cs="Times New Roman"/>
          <w:lang w:val="es-MX"/>
        </w:rPr>
        <w:t>.</w:t>
      </w:r>
      <w:r>
        <w:rPr>
          <w:rFonts w:ascii="Times New Roman" w:hAnsi="Times New Roman" w:cs="Times New Roman"/>
          <w:lang w:val="es-MX"/>
        </w:rPr>
        <w:t>1</w:t>
      </w:r>
      <w:r w:rsidRPr="00DE41EC">
        <w:rPr>
          <w:rFonts w:ascii="Times New Roman" w:hAnsi="Times New Roman" w:cs="Times New Roman"/>
          <w:lang w:val="es-MX"/>
        </w:rPr>
        <w:t xml:space="preserve"> millones, como resultado especialmente de una menor ejecución del renglón 029 “otras remuneraciones del personal temporal”, con una variación interanual negativa de </w:t>
      </w:r>
      <w:r>
        <w:rPr>
          <w:rFonts w:ascii="Times New Roman" w:hAnsi="Times New Roman" w:cs="Times New Roman"/>
          <w:lang w:val="es-MX"/>
        </w:rPr>
        <w:t>25.8</w:t>
      </w:r>
      <w:r w:rsidRPr="00DE41EC">
        <w:rPr>
          <w:rFonts w:ascii="Times New Roman" w:hAnsi="Times New Roman" w:cs="Times New Roman"/>
          <w:lang w:val="es-MX"/>
        </w:rPr>
        <w:t>%.</w:t>
      </w:r>
      <w:r>
        <w:rPr>
          <w:rFonts w:ascii="Times New Roman" w:hAnsi="Times New Roman" w:cs="Times New Roman"/>
          <w:lang w:val="es-MX"/>
        </w:rPr>
        <w:t xml:space="preserve"> </w:t>
      </w:r>
    </w:p>
    <w:p w:rsidR="00FD2282" w:rsidRPr="008B062E" w:rsidRDefault="00FD2282" w:rsidP="00FD2282">
      <w:pPr>
        <w:pStyle w:val="Sinespaciado"/>
        <w:jc w:val="both"/>
        <w:rPr>
          <w:rFonts w:ascii="Times New Roman" w:hAnsi="Times New Roman" w:cs="Times New Roman"/>
          <w:sz w:val="18"/>
          <w:lang w:val="es-MX"/>
        </w:rPr>
      </w:pPr>
    </w:p>
    <w:p w:rsidR="00341585" w:rsidRDefault="00FD2282" w:rsidP="00FD2282">
      <w:pPr>
        <w:pStyle w:val="Sinespaciado"/>
        <w:jc w:val="both"/>
        <w:rPr>
          <w:rFonts w:ascii="Times New Roman" w:hAnsi="Times New Roman" w:cs="Times New Roman"/>
          <w:lang w:val="es-MX"/>
        </w:rPr>
      </w:pPr>
      <w:r w:rsidRPr="002B0411">
        <w:rPr>
          <w:rFonts w:ascii="Times New Roman" w:hAnsi="Times New Roman" w:cs="Times New Roman"/>
          <w:lang w:val="es-MX"/>
        </w:rPr>
        <w:t xml:space="preserve">En el caso de las transferencias de capital, </w:t>
      </w:r>
      <w:r>
        <w:rPr>
          <w:rFonts w:ascii="Times New Roman" w:hAnsi="Times New Roman" w:cs="Times New Roman"/>
          <w:lang w:val="es-MX"/>
        </w:rPr>
        <w:t>el crecimiento interanual fue de 5</w:t>
      </w:r>
      <w:r w:rsidRPr="008A4CFA">
        <w:rPr>
          <w:rFonts w:ascii="Times New Roman" w:hAnsi="Times New Roman" w:cs="Times New Roman"/>
          <w:lang w:val="es-MX"/>
        </w:rPr>
        <w:t>.</w:t>
      </w:r>
      <w:r>
        <w:rPr>
          <w:rFonts w:ascii="Times New Roman" w:hAnsi="Times New Roman" w:cs="Times New Roman"/>
          <w:lang w:val="es-MX"/>
        </w:rPr>
        <w:t>6</w:t>
      </w:r>
      <w:r w:rsidRPr="008A4CFA">
        <w:rPr>
          <w:rFonts w:ascii="Times New Roman" w:hAnsi="Times New Roman" w:cs="Times New Roman"/>
          <w:lang w:val="es-MX"/>
        </w:rPr>
        <w:t>% (equivalente a Q</w:t>
      </w:r>
      <w:r>
        <w:rPr>
          <w:rFonts w:ascii="Times New Roman" w:hAnsi="Times New Roman" w:cs="Times New Roman"/>
          <w:lang w:val="es-MX"/>
        </w:rPr>
        <w:t>264</w:t>
      </w:r>
      <w:r w:rsidRPr="008A4CFA">
        <w:rPr>
          <w:rFonts w:ascii="Times New Roman" w:hAnsi="Times New Roman" w:cs="Times New Roman"/>
          <w:lang w:val="es-MX"/>
        </w:rPr>
        <w:t>.</w:t>
      </w:r>
      <w:r>
        <w:rPr>
          <w:rFonts w:ascii="Times New Roman" w:hAnsi="Times New Roman" w:cs="Times New Roman"/>
          <w:lang w:val="es-MX"/>
        </w:rPr>
        <w:t>4</w:t>
      </w:r>
      <w:r w:rsidRPr="008A4CFA">
        <w:rPr>
          <w:rFonts w:ascii="Times New Roman" w:hAnsi="Times New Roman" w:cs="Times New Roman"/>
          <w:lang w:val="es-MX"/>
        </w:rPr>
        <w:t xml:space="preserve"> millones), </w:t>
      </w:r>
      <w:r>
        <w:rPr>
          <w:rFonts w:ascii="Times New Roman" w:hAnsi="Times New Roman" w:cs="Times New Roman"/>
          <w:lang w:val="es-MX"/>
        </w:rPr>
        <w:t xml:space="preserve">siendo el crecimiento </w:t>
      </w:r>
      <w:r w:rsidRPr="008A4CFA">
        <w:rPr>
          <w:rFonts w:ascii="Times New Roman" w:hAnsi="Times New Roman" w:cs="Times New Roman"/>
          <w:lang w:val="es-MX"/>
        </w:rPr>
        <w:t>explicad</w:t>
      </w:r>
      <w:r>
        <w:rPr>
          <w:rFonts w:ascii="Times New Roman" w:hAnsi="Times New Roman" w:cs="Times New Roman"/>
          <w:lang w:val="es-MX"/>
        </w:rPr>
        <w:t xml:space="preserve">o por las transferencias al sector público que están aumentando en Q282.1 millones, como resultado de un mayor traslado de recursos para los Consejos de Desarrollo Urbano y Rural </w:t>
      </w:r>
      <w:r w:rsidRPr="00A93F27">
        <w:rPr>
          <w:rFonts w:ascii="Times New Roman" w:hAnsi="Times New Roman" w:cs="Times New Roman"/>
          <w:lang w:val="es-MX"/>
        </w:rPr>
        <w:t>(Q</w:t>
      </w:r>
      <w:r>
        <w:rPr>
          <w:rFonts w:ascii="Times New Roman" w:hAnsi="Times New Roman" w:cs="Times New Roman"/>
          <w:lang w:val="es-MX"/>
        </w:rPr>
        <w:t>376</w:t>
      </w:r>
      <w:r w:rsidRPr="00A93F27">
        <w:rPr>
          <w:rFonts w:ascii="Times New Roman" w:hAnsi="Times New Roman" w:cs="Times New Roman"/>
          <w:lang w:val="es-MX"/>
        </w:rPr>
        <w:t>.</w:t>
      </w:r>
      <w:r>
        <w:rPr>
          <w:rFonts w:ascii="Times New Roman" w:hAnsi="Times New Roman" w:cs="Times New Roman"/>
          <w:lang w:val="es-MX"/>
        </w:rPr>
        <w:t xml:space="preserve">9 millones). </w:t>
      </w:r>
    </w:p>
    <w:p w:rsidR="00341585" w:rsidRDefault="00341585" w:rsidP="00FD2282">
      <w:pPr>
        <w:pStyle w:val="Sinespaciado"/>
        <w:jc w:val="both"/>
        <w:rPr>
          <w:rFonts w:ascii="Times New Roman" w:hAnsi="Times New Roman" w:cs="Times New Roman"/>
          <w:lang w:val="es-MX"/>
        </w:rPr>
      </w:pPr>
    </w:p>
    <w:p w:rsidR="00FD2282" w:rsidRDefault="00FD2282" w:rsidP="00FD2282">
      <w:pPr>
        <w:pStyle w:val="Sinespaciado"/>
        <w:jc w:val="both"/>
        <w:rPr>
          <w:rFonts w:ascii="Times New Roman" w:hAnsi="Times New Roman" w:cs="Times New Roman"/>
          <w:lang w:val="es-MX"/>
        </w:rPr>
      </w:pPr>
      <w:r>
        <w:rPr>
          <w:rFonts w:ascii="Times New Roman" w:hAnsi="Times New Roman" w:cs="Times New Roman"/>
          <w:lang w:val="es-MX"/>
        </w:rPr>
        <w:t>Por su parte, la transferencia a las municipalidades y a la Universidad de San Carlos es menor en Q66</w:t>
      </w:r>
      <w:r w:rsidRPr="00A93F27">
        <w:rPr>
          <w:rFonts w:ascii="Times New Roman" w:hAnsi="Times New Roman" w:cs="Times New Roman"/>
          <w:lang w:val="es-MX"/>
        </w:rPr>
        <w:t>.</w:t>
      </w:r>
      <w:r>
        <w:rPr>
          <w:rFonts w:ascii="Times New Roman" w:hAnsi="Times New Roman" w:cs="Times New Roman"/>
          <w:lang w:val="es-MX"/>
        </w:rPr>
        <w:t>1</w:t>
      </w:r>
      <w:r w:rsidRPr="00A93F27">
        <w:rPr>
          <w:rFonts w:ascii="Times New Roman" w:hAnsi="Times New Roman" w:cs="Times New Roman"/>
          <w:lang w:val="es-MX"/>
        </w:rPr>
        <w:t xml:space="preserve"> millones</w:t>
      </w:r>
      <w:r>
        <w:rPr>
          <w:rFonts w:ascii="Times New Roman" w:hAnsi="Times New Roman" w:cs="Times New Roman"/>
          <w:lang w:val="es-MX"/>
        </w:rPr>
        <w:t xml:space="preserve"> y Q45.1 millones, respectivamente. En las transferencias de capital al sector privado y externo dan cuenta de una disminución de Q17.7 millones, explicado por una menor transferencias a personas individuales y unidades familiares en el Ministerio de Comunicaciones. En cuanto a las prestaciones a la seguridad social, estás reportan un crecimiento interanual de 3.5%, equivalente a Q84.2 millones.</w:t>
      </w:r>
    </w:p>
    <w:p w:rsidR="00FD2282" w:rsidRPr="008B062E" w:rsidRDefault="00FD2282" w:rsidP="00FD2282">
      <w:pPr>
        <w:pStyle w:val="Sinespaciado"/>
        <w:jc w:val="both"/>
        <w:rPr>
          <w:rFonts w:ascii="Times New Roman" w:hAnsi="Times New Roman" w:cs="Times New Roman"/>
          <w:sz w:val="16"/>
          <w:lang w:val="es-MX"/>
        </w:rPr>
      </w:pPr>
    </w:p>
    <w:p w:rsidR="00FD2282" w:rsidRDefault="00FD2282" w:rsidP="00FD2282">
      <w:pPr>
        <w:pStyle w:val="Sinespaciado"/>
        <w:jc w:val="both"/>
        <w:rPr>
          <w:rFonts w:ascii="Times New Roman" w:hAnsi="Times New Roman" w:cs="Times New Roman"/>
          <w:lang w:val="es-MX"/>
        </w:rPr>
      </w:pPr>
      <w:r>
        <w:rPr>
          <w:rFonts w:ascii="Times New Roman" w:hAnsi="Times New Roman" w:cs="Times New Roman"/>
          <w:lang w:val="es-MX"/>
        </w:rPr>
        <w:t xml:space="preserve">Respecto al rubro de la inversión real directa, este reporta una mayor ejecución en Q83.0 millones respecto a lo reportado en 2020 (equivalente a 6.2%). Las entidades que suman a este aumento son: el Ministerio de Comunicaciones por un mayor gasto en equipo de cómputo y estudios, investigaciones y proyectos de pre-factibilidad y factibilidad, </w:t>
      </w:r>
      <w:r w:rsidRPr="00BF54A2">
        <w:rPr>
          <w:rFonts w:ascii="Times New Roman" w:hAnsi="Times New Roman" w:cs="Times New Roman"/>
          <w:lang w:val="es-MX"/>
        </w:rPr>
        <w:t xml:space="preserve">el Ministerio de Salud Pública y Asistencia Social por mobiliario y equipo </w:t>
      </w:r>
      <w:r w:rsidR="000D0CF5">
        <w:rPr>
          <w:rFonts w:ascii="Times New Roman" w:hAnsi="Times New Roman" w:cs="Times New Roman"/>
          <w:lang w:val="es-MX"/>
        </w:rPr>
        <w:t>de oficina y</w:t>
      </w:r>
      <w:r>
        <w:rPr>
          <w:rFonts w:ascii="Times New Roman" w:hAnsi="Times New Roman" w:cs="Times New Roman"/>
          <w:lang w:val="es-MX"/>
        </w:rPr>
        <w:t xml:space="preserve"> </w:t>
      </w:r>
      <w:r w:rsidR="000D0CF5">
        <w:rPr>
          <w:rFonts w:ascii="Times New Roman" w:hAnsi="Times New Roman" w:cs="Times New Roman"/>
          <w:lang w:val="es-MX"/>
        </w:rPr>
        <w:t xml:space="preserve">el </w:t>
      </w:r>
      <w:r>
        <w:rPr>
          <w:rFonts w:ascii="Times New Roman" w:hAnsi="Times New Roman" w:cs="Times New Roman"/>
          <w:lang w:val="es-MX"/>
        </w:rPr>
        <w:t xml:space="preserve">Ministerio de Educación por un mayor gasto en equipo de cómputo.  </w:t>
      </w:r>
    </w:p>
    <w:p w:rsidR="00FD2282" w:rsidRPr="008B062E" w:rsidRDefault="00FD2282" w:rsidP="00FD2282">
      <w:pPr>
        <w:pStyle w:val="Sinespaciado"/>
        <w:jc w:val="both"/>
        <w:rPr>
          <w:rFonts w:ascii="Times New Roman" w:hAnsi="Times New Roman" w:cs="Times New Roman"/>
          <w:sz w:val="18"/>
          <w:lang w:val="es-MX"/>
        </w:rPr>
      </w:pPr>
    </w:p>
    <w:p w:rsidR="00FD2282" w:rsidRPr="008D3F91" w:rsidRDefault="00FD2282" w:rsidP="00FD2282">
      <w:pPr>
        <w:pStyle w:val="Sinespaciado"/>
        <w:jc w:val="both"/>
        <w:rPr>
          <w:rFonts w:ascii="Times New Roman" w:hAnsi="Times New Roman" w:cs="Times New Roman"/>
          <w:color w:val="FF0000"/>
          <w:lang w:val="es-MX"/>
        </w:rPr>
      </w:pPr>
      <w:r>
        <w:rPr>
          <w:rFonts w:ascii="Times New Roman" w:hAnsi="Times New Roman" w:cs="Times New Roman"/>
          <w:lang w:val="es-MX"/>
        </w:rPr>
        <w:t xml:space="preserve">Por su parte, la inversión financiera reportará una importante contracción durante el resto </w:t>
      </w:r>
      <w:r>
        <w:rPr>
          <w:rFonts w:ascii="Times New Roman" w:hAnsi="Times New Roman" w:cs="Times New Roman"/>
          <w:lang w:val="es-MX"/>
        </w:rPr>
        <w:lastRenderedPageBreak/>
        <w:t>del año, a junio de 2020 se habían ejecutado Q1,450.0 millones por concepto del Fondo para Capital de Trabajo y Fondo de Protección de Capitales, que correspondía a préstamos en condiciones blandas, dichas actividades han finalizado y no se encuentran vigentes para 2021.</w:t>
      </w:r>
      <w:r w:rsidRPr="008D3F91">
        <w:rPr>
          <w:rFonts w:ascii="Times New Roman" w:hAnsi="Times New Roman" w:cs="Times New Roman"/>
          <w:color w:val="FF0000"/>
          <w:lang w:val="es-MX"/>
        </w:rPr>
        <w:t xml:space="preserve"> </w:t>
      </w:r>
    </w:p>
    <w:p w:rsidR="00FD2282" w:rsidRPr="008B062E" w:rsidRDefault="00FD2282" w:rsidP="00FD2282">
      <w:pPr>
        <w:pStyle w:val="Sinespaciado"/>
        <w:jc w:val="both"/>
        <w:rPr>
          <w:rFonts w:ascii="Times New Roman" w:hAnsi="Times New Roman" w:cs="Times New Roman"/>
          <w:sz w:val="18"/>
          <w:lang w:val="es-MX"/>
        </w:rPr>
      </w:pPr>
    </w:p>
    <w:p w:rsidR="00FD2282" w:rsidRDefault="00FD2282" w:rsidP="00FD2282">
      <w:pPr>
        <w:pStyle w:val="Sinespaciado"/>
        <w:jc w:val="both"/>
        <w:rPr>
          <w:rFonts w:ascii="Times New Roman" w:hAnsi="Times New Roman" w:cs="Times New Roman"/>
          <w:lang w:val="es-MX"/>
        </w:rPr>
      </w:pPr>
      <w:r>
        <w:rPr>
          <w:rFonts w:ascii="Times New Roman" w:hAnsi="Times New Roman" w:cs="Times New Roman"/>
          <w:lang w:val="es-MX"/>
        </w:rPr>
        <w:t>Por su parte, las transferencias corrientes reportan una variación interanual negativa de 24.6% (equivalente a Q2,269.8 millones). La caída se encuentra explicada por las transferencias al sector privado las cuales se contrajeron un 55.8% (equivalente a Q2,580.2 millones), explicado por el Ministerio de Desarrollo Social y en el Ministerio de Economía, derivado que a junio de 2020 se encontraba en plena ejecución la transferencia de recursos por concepto del Bono Familia y el Fondo de Protección de Empleo, de esa cuenta este comportamiento en las transferencias al sector privado s</w:t>
      </w:r>
      <w:r w:rsidR="000D0CF5">
        <w:rPr>
          <w:rFonts w:ascii="Times New Roman" w:hAnsi="Times New Roman" w:cs="Times New Roman"/>
          <w:lang w:val="es-MX"/>
        </w:rPr>
        <w:t xml:space="preserve">erá recurrente durante el 2021. </w:t>
      </w:r>
      <w:r>
        <w:rPr>
          <w:rFonts w:ascii="Times New Roman" w:hAnsi="Times New Roman" w:cs="Times New Roman"/>
          <w:lang w:val="es-MX"/>
        </w:rPr>
        <w:t xml:space="preserve">Asimismo, también se observa un menor dinamismo observado en las transferencias al sector privado por parte del Ministerio de Educación, la cual se redujo en Q314.7 millones, que </w:t>
      </w:r>
      <w:r w:rsidRPr="00F01EA7">
        <w:rPr>
          <w:rFonts w:ascii="Times New Roman" w:hAnsi="Times New Roman" w:cs="Times New Roman"/>
          <w:lang w:val="es-MX"/>
        </w:rPr>
        <w:t>responde a las transferencias a instituciones sin fines de lucro.</w:t>
      </w:r>
      <w:r>
        <w:rPr>
          <w:rFonts w:ascii="Times New Roman" w:hAnsi="Times New Roman" w:cs="Times New Roman"/>
          <w:lang w:val="es-MX"/>
        </w:rPr>
        <w:t xml:space="preserve"> </w:t>
      </w:r>
    </w:p>
    <w:p w:rsidR="00341585" w:rsidRDefault="00341585" w:rsidP="00FD2282">
      <w:pPr>
        <w:pStyle w:val="Sinespaciado"/>
        <w:jc w:val="both"/>
        <w:rPr>
          <w:rFonts w:ascii="Times New Roman" w:hAnsi="Times New Roman" w:cs="Times New Roman"/>
          <w:lang w:val="es-MX"/>
        </w:rPr>
      </w:pPr>
    </w:p>
    <w:p w:rsidR="004C2A11" w:rsidRPr="000A5725" w:rsidRDefault="00FD2282" w:rsidP="00FD2282">
      <w:pPr>
        <w:pStyle w:val="Sinespaciado"/>
        <w:jc w:val="both"/>
        <w:rPr>
          <w:rFonts w:ascii="Times New Roman" w:hAnsi="Times New Roman" w:cs="Times New Roman"/>
          <w:color w:val="FF0000"/>
          <w:lang w:val="es-MX"/>
        </w:rPr>
      </w:pPr>
      <w:r>
        <w:rPr>
          <w:rFonts w:ascii="Times New Roman" w:hAnsi="Times New Roman" w:cs="Times New Roman"/>
          <w:lang w:val="es-MX"/>
        </w:rPr>
        <w:t xml:space="preserve">En cuanto a las transferencias corrientes </w:t>
      </w:r>
      <w:r w:rsidRPr="00584C93">
        <w:rPr>
          <w:rFonts w:ascii="Times New Roman" w:hAnsi="Times New Roman" w:cs="Times New Roman"/>
          <w:lang w:val="es-MX"/>
        </w:rPr>
        <w:t>al sector público</w:t>
      </w:r>
      <w:r>
        <w:rPr>
          <w:rFonts w:ascii="Times New Roman" w:hAnsi="Times New Roman" w:cs="Times New Roman"/>
          <w:lang w:val="es-MX"/>
        </w:rPr>
        <w:t>, estas</w:t>
      </w:r>
      <w:r w:rsidRPr="00584C93">
        <w:rPr>
          <w:rFonts w:ascii="Times New Roman" w:hAnsi="Times New Roman" w:cs="Times New Roman"/>
          <w:lang w:val="es-MX"/>
        </w:rPr>
        <w:t xml:space="preserve"> reportan un</w:t>
      </w:r>
      <w:r>
        <w:rPr>
          <w:rFonts w:ascii="Times New Roman" w:hAnsi="Times New Roman" w:cs="Times New Roman"/>
          <w:lang w:val="es-MX"/>
        </w:rPr>
        <w:t xml:space="preserve"> aumento de </w:t>
      </w:r>
      <w:r w:rsidRPr="00584C93">
        <w:rPr>
          <w:rFonts w:ascii="Times New Roman" w:hAnsi="Times New Roman" w:cs="Times New Roman"/>
          <w:lang w:val="es-MX"/>
        </w:rPr>
        <w:t>Q</w:t>
      </w:r>
      <w:r>
        <w:rPr>
          <w:rFonts w:ascii="Times New Roman" w:hAnsi="Times New Roman" w:cs="Times New Roman"/>
          <w:lang w:val="es-MX"/>
        </w:rPr>
        <w:t>280</w:t>
      </w:r>
      <w:r w:rsidRPr="00584C93">
        <w:rPr>
          <w:rFonts w:ascii="Times New Roman" w:hAnsi="Times New Roman" w:cs="Times New Roman"/>
          <w:lang w:val="es-MX"/>
        </w:rPr>
        <w:t>.</w:t>
      </w:r>
      <w:r>
        <w:rPr>
          <w:rFonts w:ascii="Times New Roman" w:hAnsi="Times New Roman" w:cs="Times New Roman"/>
          <w:lang w:val="es-MX"/>
        </w:rPr>
        <w:t>9</w:t>
      </w:r>
      <w:r w:rsidRPr="00584C93">
        <w:rPr>
          <w:rFonts w:ascii="Times New Roman" w:hAnsi="Times New Roman" w:cs="Times New Roman"/>
          <w:lang w:val="es-MX"/>
        </w:rPr>
        <w:t xml:space="preserve"> millones,</w:t>
      </w:r>
      <w:r>
        <w:rPr>
          <w:rFonts w:ascii="Times New Roman" w:hAnsi="Times New Roman" w:cs="Times New Roman"/>
          <w:lang w:val="es-MX"/>
        </w:rPr>
        <w:t xml:space="preserve"> </w:t>
      </w:r>
      <w:r w:rsidRPr="00584C93">
        <w:rPr>
          <w:rFonts w:ascii="Times New Roman" w:hAnsi="Times New Roman" w:cs="Times New Roman"/>
          <w:lang w:val="es-MX"/>
        </w:rPr>
        <w:t xml:space="preserve">como resultado de </w:t>
      </w:r>
      <w:r>
        <w:rPr>
          <w:rFonts w:ascii="Times New Roman" w:hAnsi="Times New Roman" w:cs="Times New Roman"/>
          <w:lang w:val="es-MX"/>
        </w:rPr>
        <w:t xml:space="preserve">la transferencia realizada por </w:t>
      </w:r>
      <w:r w:rsidRPr="00584C93">
        <w:rPr>
          <w:rFonts w:ascii="Times New Roman" w:hAnsi="Times New Roman" w:cs="Times New Roman"/>
          <w:lang w:val="es-MX"/>
        </w:rPr>
        <w:t xml:space="preserve">el Ministerio de Gobernación hacia el Instituto Guatemalteco </w:t>
      </w:r>
      <w:r w:rsidRPr="00584C93">
        <w:rPr>
          <w:rFonts w:ascii="Times New Roman" w:hAnsi="Times New Roman" w:cs="Times New Roman"/>
          <w:lang w:val="es-MX"/>
        </w:rPr>
        <w:lastRenderedPageBreak/>
        <w:t>de Migración por Q191.9 millones</w:t>
      </w:r>
      <w:r>
        <w:rPr>
          <w:rFonts w:ascii="Times New Roman" w:hAnsi="Times New Roman" w:cs="Times New Roman"/>
          <w:lang w:val="es-MX"/>
        </w:rPr>
        <w:t xml:space="preserve"> y la transferencia que se realiza a favor del Ministerio Público por Q131.7,</w:t>
      </w:r>
      <w:r w:rsidRPr="00584C93">
        <w:rPr>
          <w:rFonts w:ascii="Times New Roman" w:hAnsi="Times New Roman" w:cs="Times New Roman"/>
          <w:lang w:val="es-MX"/>
        </w:rPr>
        <w:t xml:space="preserve"> </w:t>
      </w:r>
      <w:r>
        <w:rPr>
          <w:rFonts w:ascii="Times New Roman" w:hAnsi="Times New Roman" w:cs="Times New Roman"/>
          <w:lang w:val="es-MX"/>
        </w:rPr>
        <w:t xml:space="preserve">lo que </w:t>
      </w:r>
      <w:r w:rsidRPr="00584C93">
        <w:rPr>
          <w:rFonts w:ascii="Times New Roman" w:hAnsi="Times New Roman" w:cs="Times New Roman"/>
          <w:lang w:val="es-MX"/>
        </w:rPr>
        <w:t>compensa en alguna medida la caída</w:t>
      </w:r>
      <w:r>
        <w:rPr>
          <w:rFonts w:ascii="Times New Roman" w:hAnsi="Times New Roman" w:cs="Times New Roman"/>
          <w:lang w:val="es-MX"/>
        </w:rPr>
        <w:t xml:space="preserve"> neta reporta</w:t>
      </w:r>
      <w:r w:rsidRPr="00584C93">
        <w:rPr>
          <w:rFonts w:ascii="Times New Roman" w:hAnsi="Times New Roman" w:cs="Times New Roman"/>
          <w:lang w:val="es-MX"/>
        </w:rPr>
        <w:t xml:space="preserve">da en las transferencias </w:t>
      </w:r>
      <w:r>
        <w:rPr>
          <w:rFonts w:ascii="Times New Roman" w:hAnsi="Times New Roman" w:cs="Times New Roman"/>
          <w:lang w:val="es-MX"/>
        </w:rPr>
        <w:t>corrientes</w:t>
      </w:r>
      <w:r w:rsidRPr="00584C93">
        <w:rPr>
          <w:rFonts w:ascii="Times New Roman" w:hAnsi="Times New Roman" w:cs="Times New Roman"/>
          <w:lang w:val="es-MX"/>
        </w:rPr>
        <w:t>.</w:t>
      </w:r>
      <w:r w:rsidR="004C2A11" w:rsidRPr="000A5725">
        <w:rPr>
          <w:rFonts w:ascii="Times New Roman" w:hAnsi="Times New Roman" w:cs="Times New Roman"/>
          <w:color w:val="FF0000"/>
          <w:lang w:val="es-MX"/>
        </w:rPr>
        <w:t xml:space="preserve"> </w:t>
      </w:r>
    </w:p>
    <w:p w:rsidR="000D0CF5" w:rsidRPr="00FD2282" w:rsidRDefault="000D0CF5" w:rsidP="004C2A11">
      <w:pPr>
        <w:pStyle w:val="Sinespaciado"/>
        <w:jc w:val="both"/>
        <w:rPr>
          <w:rFonts w:ascii="Times New Roman" w:hAnsi="Times New Roman" w:cs="Times New Roman"/>
          <w:sz w:val="18"/>
          <w:lang w:val="es-MX"/>
        </w:rPr>
      </w:pPr>
    </w:p>
    <w:p w:rsidR="00010575" w:rsidRPr="00FD2282" w:rsidRDefault="004C2A11" w:rsidP="004C2A11">
      <w:pPr>
        <w:pStyle w:val="Sinespaciado"/>
        <w:jc w:val="center"/>
      </w:pPr>
      <w:r w:rsidRPr="00FD2282">
        <w:rPr>
          <w:rFonts w:ascii="Times New Roman" w:hAnsi="Times New Roman" w:cs="Times New Roman"/>
          <w:b/>
          <w:lang w:val="es-MX"/>
        </w:rPr>
        <w:t>Ejecución por rubro de Cuenta Económica</w:t>
      </w:r>
    </w:p>
    <w:p w:rsidR="004C2A11" w:rsidRPr="00FD2282" w:rsidRDefault="004C2A11" w:rsidP="004C2A11">
      <w:pPr>
        <w:pStyle w:val="Sinespaciado"/>
        <w:jc w:val="center"/>
        <w:rPr>
          <w:rFonts w:ascii="Times New Roman" w:hAnsi="Times New Roman" w:cs="Times New Roman"/>
          <w:sz w:val="18"/>
          <w:lang w:val="es-MX"/>
        </w:rPr>
      </w:pPr>
      <w:r w:rsidRPr="00FD2282">
        <w:rPr>
          <w:rFonts w:ascii="Times New Roman" w:hAnsi="Times New Roman" w:cs="Times New Roman"/>
          <w:sz w:val="18"/>
          <w:szCs w:val="18"/>
          <w:lang w:val="es-MX"/>
        </w:rPr>
        <w:t>2021 – 2020</w:t>
      </w:r>
    </w:p>
    <w:p w:rsidR="004C2A11" w:rsidRPr="00FD2282" w:rsidRDefault="008E3A30" w:rsidP="004C2A11">
      <w:pPr>
        <w:pStyle w:val="Sinespaciado"/>
        <w:jc w:val="center"/>
        <w:rPr>
          <w:rFonts w:ascii="Times New Roman" w:hAnsi="Times New Roman" w:cs="Times New Roman"/>
          <w:sz w:val="18"/>
          <w:lang w:val="es-MX"/>
        </w:rPr>
      </w:pPr>
      <w:r w:rsidRPr="00FD2282">
        <w:rPr>
          <w:rFonts w:ascii="Times New Roman" w:hAnsi="Times New Roman" w:cs="Times New Roman"/>
          <w:noProof/>
          <w:sz w:val="18"/>
          <w:lang w:val="es-ES" w:eastAsia="es-ES"/>
        </w:rPr>
        <w:drawing>
          <wp:anchor distT="0" distB="0" distL="114300" distR="114300" simplePos="0" relativeHeight="251820032" behindDoc="0" locked="0" layoutInCell="1" allowOverlap="1" wp14:anchorId="6508AB19" wp14:editId="1898CEA1">
            <wp:simplePos x="0" y="0"/>
            <wp:positionH relativeFrom="column">
              <wp:posOffset>-3810</wp:posOffset>
            </wp:positionH>
            <wp:positionV relativeFrom="paragraph">
              <wp:posOffset>165735</wp:posOffset>
            </wp:positionV>
            <wp:extent cx="2762250" cy="3095625"/>
            <wp:effectExtent l="0" t="0" r="0" b="0"/>
            <wp:wrapSquare wrapText="bothSides"/>
            <wp:docPr id="240"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004C2A11" w:rsidRPr="00FD2282">
        <w:rPr>
          <w:rFonts w:ascii="Times New Roman" w:hAnsi="Times New Roman" w:cs="Times New Roman"/>
          <w:sz w:val="18"/>
          <w:lang w:val="es-MX"/>
        </w:rPr>
        <w:t>Variación absoluta interanual</w:t>
      </w:r>
    </w:p>
    <w:p w:rsidR="004C2A11" w:rsidRDefault="004C2A11" w:rsidP="004C2A11">
      <w:pPr>
        <w:spacing w:after="0" w:line="240" w:lineRule="auto"/>
        <w:jc w:val="both"/>
        <w:rPr>
          <w:rFonts w:ascii="Times New Roman" w:hAnsi="Times New Roman" w:cs="Times New Roman"/>
          <w:sz w:val="16"/>
        </w:rPr>
      </w:pPr>
      <w:r w:rsidRPr="00FD2282">
        <w:rPr>
          <w:rFonts w:ascii="Times New Roman" w:hAnsi="Times New Roman" w:cs="Times New Roman"/>
          <w:sz w:val="16"/>
        </w:rPr>
        <w:t>Fuente: Dirección de Análisis y Política Fiscal</w:t>
      </w:r>
    </w:p>
    <w:p w:rsidR="00FD2282" w:rsidRPr="008E3A30" w:rsidRDefault="00FD2282" w:rsidP="00FD2282">
      <w:pPr>
        <w:pStyle w:val="Sinespaciado"/>
        <w:jc w:val="both"/>
        <w:rPr>
          <w:rFonts w:ascii="Times New Roman" w:hAnsi="Times New Roman" w:cs="Times New Roman"/>
          <w:lang w:val="es-MX"/>
        </w:rPr>
      </w:pPr>
      <w:r w:rsidRPr="008E3A30">
        <w:rPr>
          <w:rFonts w:ascii="Times New Roman" w:hAnsi="Times New Roman" w:cs="Times New Roman"/>
          <w:lang w:val="es-MX"/>
        </w:rPr>
        <w:t xml:space="preserve">En cuanto al gasto total, el cual incluye amortizaciones de la deuda pública, se situó en Q41,408.5 millones, con un grado de ejecución de 38.5% y una variación interanual de 0.3%. Este grado de ejecución se encuentra por abajo de la ejecución promedio de los últimos 5 años (40.7%) y es inferior a la reportada en cada uno de los años previos, a excepción del 2020, cuando el grado de ejecución fue de 38.3%, derivado que se tenía un presupuesto alto por las ampliaciones presupuestarias por la coyuntura de la pandemia. </w:t>
      </w:r>
    </w:p>
    <w:p w:rsidR="00FD2282" w:rsidRPr="008E3A30" w:rsidRDefault="00FD2282" w:rsidP="00FD2282">
      <w:pPr>
        <w:pStyle w:val="Sinespaciado"/>
        <w:jc w:val="both"/>
        <w:rPr>
          <w:rFonts w:ascii="Times New Roman" w:hAnsi="Times New Roman" w:cs="Times New Roman"/>
          <w:lang w:val="es-MX"/>
        </w:rPr>
      </w:pPr>
    </w:p>
    <w:p w:rsidR="00A56612" w:rsidRDefault="00FD2282" w:rsidP="004C2A11">
      <w:pPr>
        <w:pStyle w:val="Sinespaciado"/>
        <w:jc w:val="both"/>
        <w:rPr>
          <w:rFonts w:ascii="Times New Roman" w:hAnsi="Times New Roman" w:cs="Times New Roman"/>
          <w:color w:val="FF0000"/>
          <w:lang w:val="es-MX"/>
        </w:rPr>
      </w:pPr>
      <w:r w:rsidRPr="008E3A30">
        <w:rPr>
          <w:rFonts w:ascii="Times New Roman" w:hAnsi="Times New Roman" w:cs="Times New Roman"/>
          <w:lang w:val="es-MX"/>
        </w:rPr>
        <w:t>En 2021 por esta misma razón, el grado de ejecución se percibe bajo, por el efecto de contar con un presupuesto vigente de Q107,521.5 millones, el cual responde a la coyuntura del año pasado. Tomando en consideración el presupuesto operativo anunciado por el Ejecutivo (Q94,354.0 millones) una ejecución más realista podría ubicarse en 43.9%, siendo superior al promedio de los últimos 5 años y a cada uno de los años anteriores, lo que da muestras de una ejecución dinámica.</w:t>
      </w:r>
      <w:r w:rsidR="004C2A11" w:rsidRPr="000A5725">
        <w:rPr>
          <w:rFonts w:ascii="Times New Roman" w:hAnsi="Times New Roman" w:cs="Times New Roman"/>
          <w:color w:val="FF0000"/>
          <w:lang w:val="es-MX"/>
        </w:rPr>
        <w:t xml:space="preserve"> </w:t>
      </w:r>
    </w:p>
    <w:p w:rsidR="000D0CF5" w:rsidRPr="003F61A8" w:rsidRDefault="000D0CF5" w:rsidP="004C2A11">
      <w:pPr>
        <w:pStyle w:val="Sinespaciado"/>
        <w:jc w:val="both"/>
        <w:rPr>
          <w:rFonts w:ascii="Times New Roman" w:hAnsi="Times New Roman" w:cs="Times New Roman"/>
          <w:color w:val="FF0000"/>
          <w:lang w:val="es-MX"/>
        </w:rPr>
      </w:pPr>
    </w:p>
    <w:p w:rsidR="004C2A11" w:rsidRPr="00FD2282" w:rsidRDefault="004C2A11" w:rsidP="004C2A11">
      <w:pPr>
        <w:spacing w:after="0" w:line="240" w:lineRule="auto"/>
        <w:jc w:val="center"/>
        <w:rPr>
          <w:rFonts w:ascii="Times New Roman" w:hAnsi="Times New Roman" w:cs="Times New Roman"/>
          <w:b/>
          <w:lang w:val="es-MX"/>
        </w:rPr>
      </w:pPr>
      <w:r w:rsidRPr="00FD2282">
        <w:rPr>
          <w:rFonts w:ascii="Times New Roman" w:hAnsi="Times New Roman" w:cs="Times New Roman"/>
          <w:b/>
          <w:lang w:val="es-MX"/>
        </w:rPr>
        <w:t>Grado de Ejecución de los últimos 5 años</w:t>
      </w:r>
    </w:p>
    <w:p w:rsidR="004C2A11" w:rsidRPr="00FD2282" w:rsidRDefault="008E3A30" w:rsidP="004C2A11">
      <w:pPr>
        <w:pStyle w:val="Sinespaciado"/>
        <w:jc w:val="center"/>
        <w:rPr>
          <w:rFonts w:ascii="Times New Roman" w:hAnsi="Times New Roman" w:cs="Times New Roman"/>
          <w:sz w:val="18"/>
          <w:szCs w:val="18"/>
          <w:lang w:val="es-MX"/>
        </w:rPr>
      </w:pPr>
      <w:r w:rsidRPr="00FD2282">
        <w:rPr>
          <w:rFonts w:ascii="Times New Roman" w:hAnsi="Times New Roman" w:cs="Times New Roman"/>
          <w:sz w:val="18"/>
          <w:szCs w:val="18"/>
          <w:lang w:val="es-MX"/>
        </w:rPr>
        <w:t>Al 30</w:t>
      </w:r>
      <w:r w:rsidR="004C2A11" w:rsidRPr="00FD2282">
        <w:rPr>
          <w:rFonts w:ascii="Times New Roman" w:hAnsi="Times New Roman" w:cs="Times New Roman"/>
          <w:sz w:val="18"/>
          <w:szCs w:val="18"/>
          <w:lang w:val="es-MX"/>
        </w:rPr>
        <w:t xml:space="preserve"> de </w:t>
      </w:r>
      <w:r w:rsidRPr="00FD2282">
        <w:rPr>
          <w:rFonts w:ascii="Times New Roman" w:hAnsi="Times New Roman" w:cs="Times New Roman"/>
          <w:sz w:val="18"/>
          <w:szCs w:val="18"/>
          <w:lang w:val="es-MX"/>
        </w:rPr>
        <w:t>junio</w:t>
      </w:r>
      <w:r w:rsidR="004C2A11" w:rsidRPr="00FD2282">
        <w:rPr>
          <w:rFonts w:ascii="Times New Roman" w:hAnsi="Times New Roman" w:cs="Times New Roman"/>
          <w:sz w:val="18"/>
          <w:szCs w:val="18"/>
          <w:lang w:val="es-MX"/>
        </w:rPr>
        <w:t xml:space="preserve"> de cada año</w:t>
      </w:r>
    </w:p>
    <w:p w:rsidR="004C2A11" w:rsidRPr="00FD2282" w:rsidRDefault="00C35B1D" w:rsidP="004C2A11">
      <w:pPr>
        <w:pStyle w:val="Sinespaciado"/>
        <w:jc w:val="center"/>
        <w:rPr>
          <w:rFonts w:ascii="Times New Roman" w:hAnsi="Times New Roman" w:cs="Times New Roman"/>
          <w:sz w:val="18"/>
          <w:szCs w:val="18"/>
          <w:lang w:val="es-MX"/>
        </w:rPr>
      </w:pPr>
      <w:r w:rsidRPr="00FD2282">
        <w:rPr>
          <w:rFonts w:ascii="Times New Roman" w:hAnsi="Times New Roman" w:cs="Times New Roman"/>
          <w:noProof/>
          <w:sz w:val="18"/>
          <w:szCs w:val="18"/>
          <w:lang w:val="es-ES" w:eastAsia="es-ES"/>
        </w:rPr>
        <w:drawing>
          <wp:anchor distT="0" distB="0" distL="114300" distR="114300" simplePos="0" relativeHeight="251822080" behindDoc="0" locked="0" layoutInCell="1" allowOverlap="1" wp14:anchorId="5208D5BB" wp14:editId="37FC40D9">
            <wp:simplePos x="0" y="0"/>
            <wp:positionH relativeFrom="column">
              <wp:posOffset>-111125</wp:posOffset>
            </wp:positionH>
            <wp:positionV relativeFrom="paragraph">
              <wp:posOffset>160020</wp:posOffset>
            </wp:positionV>
            <wp:extent cx="2865120" cy="2171700"/>
            <wp:effectExtent l="0" t="0" r="0" b="0"/>
            <wp:wrapSquare wrapText="bothSides"/>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004C2A11" w:rsidRPr="00FD2282">
        <w:rPr>
          <w:rFonts w:ascii="Times New Roman" w:hAnsi="Times New Roman" w:cs="Times New Roman"/>
          <w:sz w:val="18"/>
          <w:szCs w:val="18"/>
          <w:lang w:val="es-MX"/>
        </w:rPr>
        <w:t>Cifras en porcentajes</w:t>
      </w:r>
    </w:p>
    <w:p w:rsidR="004C2A11" w:rsidRPr="00FD2282" w:rsidRDefault="004C2A11" w:rsidP="004C2A11">
      <w:pPr>
        <w:spacing w:after="0" w:line="240" w:lineRule="auto"/>
        <w:jc w:val="both"/>
        <w:rPr>
          <w:rFonts w:ascii="Times New Roman" w:hAnsi="Times New Roman" w:cs="Times New Roman"/>
          <w:b/>
          <w:i/>
          <w:sz w:val="16"/>
        </w:rPr>
      </w:pPr>
      <w:r w:rsidRPr="00FD2282">
        <w:rPr>
          <w:rFonts w:ascii="Times New Roman" w:hAnsi="Times New Roman" w:cs="Times New Roman"/>
          <w:b/>
          <w:i/>
          <w:sz w:val="16"/>
        </w:rPr>
        <w:lastRenderedPageBreak/>
        <w:t>*Con presupuesto 2021 ajustado Q94,354.0 millones</w:t>
      </w:r>
    </w:p>
    <w:p w:rsidR="004C2A11" w:rsidRPr="000A5725" w:rsidRDefault="004C2A11" w:rsidP="004C2A11">
      <w:pPr>
        <w:spacing w:after="0" w:line="240" w:lineRule="auto"/>
        <w:jc w:val="both"/>
        <w:rPr>
          <w:rFonts w:ascii="Times New Roman" w:hAnsi="Times New Roman" w:cs="Times New Roman"/>
          <w:color w:val="FF0000"/>
          <w:sz w:val="16"/>
        </w:rPr>
      </w:pPr>
      <w:r w:rsidRPr="00FD2282">
        <w:rPr>
          <w:rFonts w:ascii="Times New Roman" w:hAnsi="Times New Roman" w:cs="Times New Roman"/>
          <w:sz w:val="16"/>
        </w:rPr>
        <w:t>Fuente: Dirección de Análisis y Política Fiscal</w:t>
      </w:r>
    </w:p>
    <w:p w:rsidR="008E3A30" w:rsidRPr="000A5725" w:rsidRDefault="008E3A30" w:rsidP="00E06DEC">
      <w:pPr>
        <w:pStyle w:val="Sinespaciado"/>
        <w:jc w:val="both"/>
        <w:rPr>
          <w:rFonts w:ascii="Times New Roman" w:hAnsi="Times New Roman" w:cs="Times New Roman"/>
          <w:color w:val="FF0000"/>
        </w:rPr>
      </w:pPr>
    </w:p>
    <w:p w:rsidR="004C2A11" w:rsidRDefault="00FD2282" w:rsidP="00FD2282">
      <w:pPr>
        <w:pStyle w:val="Sinespaciado"/>
        <w:jc w:val="both"/>
        <w:rPr>
          <w:rFonts w:ascii="Times New Roman" w:hAnsi="Times New Roman" w:cs="Times New Roman"/>
        </w:rPr>
      </w:pPr>
      <w:r>
        <w:rPr>
          <w:rFonts w:ascii="Times New Roman" w:hAnsi="Times New Roman" w:cs="Times New Roman"/>
        </w:rPr>
        <w:t>A nivel del gasto público por entidades, muestran el mayor nivel de ejecución la PGN (52.9%),</w:t>
      </w:r>
      <w:r w:rsidRPr="00904449">
        <w:t xml:space="preserve"> </w:t>
      </w:r>
      <w:r w:rsidRPr="004523BC">
        <w:rPr>
          <w:rFonts w:ascii="Times New Roman" w:hAnsi="Times New Roman" w:cs="Times New Roman"/>
        </w:rPr>
        <w:t xml:space="preserve">Deuda Pública </w:t>
      </w:r>
      <w:r>
        <w:rPr>
          <w:rFonts w:ascii="Times New Roman" w:hAnsi="Times New Roman" w:cs="Times New Roman"/>
        </w:rPr>
        <w:t>(48.5%), Salud Pública (46.5%), Gobernación (45.4</w:t>
      </w:r>
      <w:r w:rsidRPr="00904449">
        <w:rPr>
          <w:rFonts w:ascii="Times New Roman" w:hAnsi="Times New Roman" w:cs="Times New Roman"/>
        </w:rPr>
        <w:t>%)</w:t>
      </w:r>
      <w:r>
        <w:rPr>
          <w:rFonts w:ascii="Times New Roman" w:hAnsi="Times New Roman" w:cs="Times New Roman"/>
        </w:rPr>
        <w:t xml:space="preserve">, </w:t>
      </w:r>
      <w:r w:rsidRPr="00904449">
        <w:rPr>
          <w:rFonts w:ascii="Times New Roman" w:hAnsi="Times New Roman" w:cs="Times New Roman"/>
        </w:rPr>
        <w:t>Educación (</w:t>
      </w:r>
      <w:r>
        <w:rPr>
          <w:rFonts w:ascii="Times New Roman" w:hAnsi="Times New Roman" w:cs="Times New Roman"/>
        </w:rPr>
        <w:t>44</w:t>
      </w:r>
      <w:r w:rsidRPr="00904449">
        <w:rPr>
          <w:rFonts w:ascii="Times New Roman" w:hAnsi="Times New Roman" w:cs="Times New Roman"/>
        </w:rPr>
        <w:t>.</w:t>
      </w:r>
      <w:r>
        <w:rPr>
          <w:rFonts w:ascii="Times New Roman" w:hAnsi="Times New Roman" w:cs="Times New Roman"/>
        </w:rPr>
        <w:t>7%), Trabajo (43.4%), Ambiente (41.0%), MINREX (33.1%), Comunicaciones (38.9%) y Finanzas (38.6%), todas estas entidades se encuentran por arriba de la ejecución institucional total.  Por su parte, el resto de las entidades se encuentran por debajo de la ejecución total, resalta el caso de dos entidades, siendo las Obligaciones del Estado (30.0%) y Economía (30.0%).</w:t>
      </w:r>
    </w:p>
    <w:p w:rsidR="000D0CF5" w:rsidRPr="00FD2282" w:rsidRDefault="000D0CF5" w:rsidP="00FD2282">
      <w:pPr>
        <w:pStyle w:val="Sinespaciado"/>
        <w:jc w:val="both"/>
        <w:rPr>
          <w:rFonts w:ascii="Times New Roman" w:hAnsi="Times New Roman" w:cs="Times New Roman"/>
        </w:rPr>
      </w:pPr>
    </w:p>
    <w:p w:rsidR="004C2A11" w:rsidRPr="00FD2282" w:rsidRDefault="004C2A11" w:rsidP="004C2A11">
      <w:pPr>
        <w:spacing w:after="0" w:line="240" w:lineRule="auto"/>
        <w:jc w:val="center"/>
        <w:rPr>
          <w:rFonts w:ascii="Times New Roman" w:hAnsi="Times New Roman" w:cs="Times New Roman"/>
          <w:b/>
          <w:lang w:val="es-MX"/>
        </w:rPr>
      </w:pPr>
      <w:r w:rsidRPr="00FD2282">
        <w:rPr>
          <w:rFonts w:ascii="Times New Roman" w:hAnsi="Times New Roman" w:cs="Times New Roman"/>
          <w:b/>
          <w:lang w:val="es-MX"/>
        </w:rPr>
        <w:t>Grado de Ejecución por Entidad</w:t>
      </w:r>
    </w:p>
    <w:p w:rsidR="004C2A11" w:rsidRPr="00FD2282" w:rsidRDefault="009140AB" w:rsidP="004C2A11">
      <w:pPr>
        <w:spacing w:after="0" w:line="240" w:lineRule="auto"/>
        <w:jc w:val="center"/>
        <w:rPr>
          <w:rFonts w:ascii="Times New Roman" w:hAnsi="Times New Roman" w:cs="Times New Roman"/>
          <w:sz w:val="18"/>
          <w:szCs w:val="18"/>
          <w:lang w:val="es-MX"/>
        </w:rPr>
      </w:pPr>
      <w:r w:rsidRPr="00FD2282">
        <w:rPr>
          <w:rFonts w:ascii="Times New Roman" w:hAnsi="Times New Roman" w:cs="Times New Roman"/>
          <w:sz w:val="18"/>
          <w:szCs w:val="18"/>
          <w:lang w:val="es-MX"/>
        </w:rPr>
        <w:t>Al 30</w:t>
      </w:r>
      <w:r w:rsidR="004C2A11" w:rsidRPr="00FD2282">
        <w:rPr>
          <w:rFonts w:ascii="Times New Roman" w:hAnsi="Times New Roman" w:cs="Times New Roman"/>
          <w:sz w:val="18"/>
          <w:szCs w:val="18"/>
          <w:lang w:val="es-MX"/>
        </w:rPr>
        <w:t xml:space="preserve"> de </w:t>
      </w:r>
      <w:r w:rsidRPr="00FD2282">
        <w:rPr>
          <w:rFonts w:ascii="Times New Roman" w:hAnsi="Times New Roman" w:cs="Times New Roman"/>
          <w:sz w:val="18"/>
          <w:szCs w:val="18"/>
          <w:lang w:val="es-MX"/>
        </w:rPr>
        <w:t>junio</w:t>
      </w:r>
      <w:r w:rsidR="004C2A11" w:rsidRPr="00FD2282">
        <w:rPr>
          <w:rFonts w:ascii="Times New Roman" w:hAnsi="Times New Roman" w:cs="Times New Roman"/>
          <w:sz w:val="18"/>
          <w:szCs w:val="18"/>
          <w:lang w:val="es-MX"/>
        </w:rPr>
        <w:t xml:space="preserve"> del 2021</w:t>
      </w:r>
    </w:p>
    <w:p w:rsidR="004C2A11" w:rsidRPr="00FD2282" w:rsidRDefault="000D0CF5" w:rsidP="004C2A11">
      <w:pPr>
        <w:spacing w:after="0" w:line="240" w:lineRule="auto"/>
        <w:jc w:val="center"/>
        <w:rPr>
          <w:rFonts w:ascii="Times New Roman" w:hAnsi="Times New Roman" w:cs="Times New Roman"/>
          <w:sz w:val="18"/>
          <w:szCs w:val="18"/>
          <w:lang w:val="es-MX"/>
        </w:rPr>
      </w:pPr>
      <w:r w:rsidRPr="00FD2282">
        <w:rPr>
          <w:rFonts w:ascii="Times New Roman" w:hAnsi="Times New Roman" w:cs="Times New Roman"/>
          <w:noProof/>
          <w:sz w:val="18"/>
          <w:szCs w:val="18"/>
          <w:lang w:val="es-ES" w:eastAsia="es-ES"/>
        </w:rPr>
        <w:drawing>
          <wp:anchor distT="0" distB="0" distL="114300" distR="114300" simplePos="0" relativeHeight="251824128" behindDoc="0" locked="0" layoutInCell="1" allowOverlap="1" wp14:anchorId="70AE77E9" wp14:editId="703B1FA0">
            <wp:simplePos x="0" y="0"/>
            <wp:positionH relativeFrom="column">
              <wp:posOffset>-51435</wp:posOffset>
            </wp:positionH>
            <wp:positionV relativeFrom="paragraph">
              <wp:posOffset>141605</wp:posOffset>
            </wp:positionV>
            <wp:extent cx="2553335" cy="3276600"/>
            <wp:effectExtent l="0" t="0" r="0" b="0"/>
            <wp:wrapSquare wrapText="bothSides"/>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667937" w:rsidRPr="00667937">
        <w:rPr>
          <w:rFonts w:ascii="Times New Roman" w:hAnsi="Times New Roman" w:cs="Times New Roman"/>
          <w:sz w:val="18"/>
          <w:szCs w:val="18"/>
          <w:lang w:val="es-MX"/>
        </w:rPr>
        <w:t xml:space="preserve"> </w:t>
      </w:r>
      <w:r w:rsidR="00667937" w:rsidRPr="00FD2282">
        <w:rPr>
          <w:rFonts w:ascii="Times New Roman" w:hAnsi="Times New Roman" w:cs="Times New Roman"/>
          <w:sz w:val="18"/>
          <w:szCs w:val="18"/>
          <w:lang w:val="es-MX"/>
        </w:rPr>
        <w:t>Cifras en porcentajes</w:t>
      </w:r>
    </w:p>
    <w:p w:rsidR="004C2A11" w:rsidRPr="00FD2282" w:rsidRDefault="004C2A11" w:rsidP="004C2A11">
      <w:pPr>
        <w:spacing w:after="0" w:line="240" w:lineRule="auto"/>
        <w:jc w:val="both"/>
        <w:rPr>
          <w:rFonts w:ascii="Times New Roman" w:hAnsi="Times New Roman" w:cs="Times New Roman"/>
          <w:sz w:val="16"/>
        </w:rPr>
      </w:pPr>
      <w:r w:rsidRPr="00FD2282">
        <w:rPr>
          <w:rFonts w:ascii="Times New Roman" w:hAnsi="Times New Roman" w:cs="Times New Roman"/>
          <w:sz w:val="16"/>
        </w:rPr>
        <w:t>Fuente: Dirección de Análisis y Política Fiscal</w:t>
      </w:r>
    </w:p>
    <w:p w:rsidR="009140AB" w:rsidRPr="000A5725" w:rsidRDefault="009140AB" w:rsidP="00E06DEC">
      <w:pPr>
        <w:pStyle w:val="Sinespaciado"/>
        <w:jc w:val="both"/>
        <w:rPr>
          <w:rFonts w:ascii="Times New Roman" w:hAnsi="Times New Roman" w:cs="Times New Roman"/>
          <w:color w:val="FF0000"/>
          <w:sz w:val="18"/>
          <w:lang w:val="es-MX"/>
        </w:rPr>
      </w:pPr>
    </w:p>
    <w:p w:rsidR="005F5366" w:rsidRPr="002C4CB2" w:rsidRDefault="005F5366" w:rsidP="005F5366">
      <w:pPr>
        <w:pStyle w:val="Sinespaciado"/>
        <w:jc w:val="both"/>
        <w:rPr>
          <w:rFonts w:ascii="Times New Roman" w:hAnsi="Times New Roman" w:cs="Times New Roman"/>
          <w:color w:val="FF0000"/>
        </w:rPr>
      </w:pPr>
      <w:r>
        <w:rPr>
          <w:rFonts w:ascii="Times New Roman" w:hAnsi="Times New Roman" w:cs="Times New Roman"/>
        </w:rPr>
        <w:t xml:space="preserve">A principios de junio, se publicó el Acuerdo Gubernativo de Presupuesto 03-2021, en el cual </w:t>
      </w:r>
      <w:r w:rsidRPr="00F47B9F">
        <w:rPr>
          <w:rFonts w:ascii="Times New Roman" w:hAnsi="Times New Roman" w:cs="Times New Roman"/>
        </w:rPr>
        <w:t>se realiza un reordenamiento del Presupuesto de Egresos del Estado</w:t>
      </w:r>
      <w:r>
        <w:rPr>
          <w:rFonts w:ascii="Times New Roman" w:hAnsi="Times New Roman" w:cs="Times New Roman"/>
        </w:rPr>
        <w:t>, s</w:t>
      </w:r>
      <w:r w:rsidRPr="00F47B9F">
        <w:rPr>
          <w:rFonts w:ascii="Times New Roman" w:hAnsi="Times New Roman" w:cs="Times New Roman"/>
        </w:rPr>
        <w:t xml:space="preserve">e </w:t>
      </w:r>
      <w:r w:rsidRPr="00F47B9F">
        <w:rPr>
          <w:rFonts w:ascii="Times New Roman" w:hAnsi="Times New Roman" w:cs="Times New Roman"/>
        </w:rPr>
        <w:lastRenderedPageBreak/>
        <w:t xml:space="preserve">identificaron Q11,249.5 millones en </w:t>
      </w:r>
      <w:r w:rsidRPr="00F47B9F">
        <w:rPr>
          <w:rFonts w:ascii="Times New Roman" w:hAnsi="Times New Roman" w:cs="Times New Roman"/>
          <w:i/>
        </w:rPr>
        <w:t>asignaciones inmovilizadas</w:t>
      </w:r>
      <w:r>
        <w:rPr>
          <w:rFonts w:ascii="Times New Roman" w:hAnsi="Times New Roman" w:cs="Times New Roman"/>
          <w:i/>
        </w:rPr>
        <w:t xml:space="preserve">, </w:t>
      </w:r>
      <w:r>
        <w:rPr>
          <w:rFonts w:ascii="Times New Roman" w:hAnsi="Times New Roman" w:cs="Times New Roman"/>
        </w:rPr>
        <w:t>es decir, que</w:t>
      </w:r>
      <w:r w:rsidRPr="00F47B9F">
        <w:rPr>
          <w:rFonts w:ascii="Times New Roman" w:hAnsi="Times New Roman" w:cs="Times New Roman"/>
        </w:rPr>
        <w:t xml:space="preserve"> no cuentan con respaldo financiero, en virtud que cumplieron los fines establecidos en la normativa legal correspondiente</w:t>
      </w:r>
      <w:r>
        <w:rPr>
          <w:rFonts w:ascii="Times New Roman" w:hAnsi="Times New Roman" w:cs="Times New Roman"/>
        </w:rPr>
        <w:t xml:space="preserve"> (ejercicio fiscal 2020).</w:t>
      </w:r>
      <w:r w:rsidRPr="002C4CB2">
        <w:rPr>
          <w:rFonts w:ascii="Times New Roman" w:hAnsi="Times New Roman" w:cs="Times New Roman"/>
          <w:color w:val="FF0000"/>
        </w:rPr>
        <w:t xml:space="preserve"> </w:t>
      </w:r>
      <w:r>
        <w:rPr>
          <w:rFonts w:ascii="Times New Roman" w:hAnsi="Times New Roman" w:cs="Times New Roman"/>
          <w:color w:val="FF0000"/>
        </w:rPr>
        <w:t xml:space="preserve">  </w:t>
      </w:r>
      <w:r>
        <w:rPr>
          <w:rFonts w:ascii="Times New Roman" w:hAnsi="Times New Roman" w:cs="Times New Roman"/>
        </w:rPr>
        <w:t>En el caso de las Obligaciones del Estado, la baja ejecución se debe a que p</w:t>
      </w:r>
      <w:r w:rsidRPr="00F47B9F">
        <w:rPr>
          <w:rFonts w:ascii="Times New Roman" w:hAnsi="Times New Roman" w:cs="Times New Roman"/>
        </w:rPr>
        <w:t xml:space="preserve">or medio del Acuerdo Gubernativo 03-2021 </w:t>
      </w:r>
      <w:r>
        <w:rPr>
          <w:rFonts w:ascii="Times New Roman" w:hAnsi="Times New Roman" w:cs="Times New Roman"/>
        </w:rPr>
        <w:t xml:space="preserve">se le fijaron las asignaciones consideradas inmovilizadas, modificando el presupuesto de las entidades que tenían programas asociados a la atención de la crisis ocasionada por el COVID-19 hacia uno </w:t>
      </w:r>
      <w:r w:rsidRPr="009140AB">
        <w:rPr>
          <w:rFonts w:ascii="Times New Roman" w:hAnsi="Times New Roman" w:cs="Times New Roman"/>
        </w:rPr>
        <w:t>más acorde con su comportamiento histórico.</w:t>
      </w:r>
      <w:r w:rsidRPr="002C4CB2">
        <w:rPr>
          <w:rFonts w:ascii="Times New Roman" w:hAnsi="Times New Roman" w:cs="Times New Roman"/>
          <w:color w:val="FF0000"/>
        </w:rPr>
        <w:t xml:space="preserve"> </w:t>
      </w:r>
    </w:p>
    <w:p w:rsidR="005F5366" w:rsidRPr="00E37898" w:rsidRDefault="005F5366" w:rsidP="005F5366">
      <w:pPr>
        <w:pStyle w:val="Sinespaciado"/>
        <w:jc w:val="both"/>
        <w:rPr>
          <w:rFonts w:ascii="Times New Roman" w:hAnsi="Times New Roman" w:cs="Times New Roman"/>
        </w:rPr>
      </w:pPr>
    </w:p>
    <w:p w:rsidR="005F5366" w:rsidRDefault="005F5366" w:rsidP="005F5366">
      <w:pPr>
        <w:pStyle w:val="Sinespaciado"/>
        <w:jc w:val="both"/>
        <w:rPr>
          <w:rFonts w:ascii="Times New Roman" w:hAnsi="Times New Roman" w:cs="Times New Roman"/>
          <w:lang w:val="es-MX"/>
        </w:rPr>
      </w:pPr>
      <w:r w:rsidRPr="007C3874">
        <w:rPr>
          <w:rFonts w:ascii="Times New Roman" w:hAnsi="Times New Roman" w:cs="Times New Roman"/>
          <w:lang w:val="es-MX"/>
        </w:rPr>
        <w:t>Adicionalmente, en el Acuerdo Gubernativo 03-2021 se identificaron Q2,236.6 millones en asignaciones en previsión, es decir, gasto adicional que podría darse solo si durante el ejercicio fiscal el comportamiento de la recaudación de los ingresos tributarios muestra una mejora significativa o se cuenta con recursos adicionales provenientes de otras fuentes de financiamiento.</w:t>
      </w:r>
      <w:r w:rsidRPr="00F90B8F">
        <w:rPr>
          <w:rFonts w:ascii="Times New Roman" w:hAnsi="Times New Roman" w:cs="Times New Roman"/>
          <w:lang w:val="es-MX"/>
        </w:rPr>
        <w:t xml:space="preserve">  </w:t>
      </w:r>
    </w:p>
    <w:p w:rsidR="005F5366" w:rsidRDefault="005F5366" w:rsidP="005F5366">
      <w:pPr>
        <w:pStyle w:val="Sinespaciado"/>
        <w:jc w:val="both"/>
        <w:rPr>
          <w:rFonts w:ascii="Times New Roman" w:hAnsi="Times New Roman" w:cs="Times New Roman"/>
          <w:lang w:val="es-MX"/>
        </w:rPr>
      </w:pPr>
    </w:p>
    <w:p w:rsidR="005F5366" w:rsidRDefault="005F5366" w:rsidP="005F5366">
      <w:pPr>
        <w:pStyle w:val="Sinespaciado"/>
        <w:jc w:val="both"/>
        <w:rPr>
          <w:rFonts w:ascii="Times New Roman" w:hAnsi="Times New Roman" w:cs="Times New Roman"/>
          <w:lang w:val="es-MX"/>
        </w:rPr>
      </w:pPr>
      <w:r>
        <w:rPr>
          <w:rFonts w:ascii="Times New Roman" w:hAnsi="Times New Roman" w:cs="Times New Roman"/>
          <w:lang w:val="es-MX"/>
        </w:rPr>
        <w:t xml:space="preserve">De </w:t>
      </w:r>
      <w:r w:rsidRPr="00C74885">
        <w:rPr>
          <w:rFonts w:ascii="Times New Roman" w:hAnsi="Times New Roman" w:cs="Times New Roman"/>
          <w:lang w:val="es-MX"/>
        </w:rPr>
        <w:t>l</w:t>
      </w:r>
      <w:r>
        <w:rPr>
          <w:rFonts w:ascii="Times New Roman" w:hAnsi="Times New Roman" w:cs="Times New Roman"/>
          <w:lang w:val="es-MX"/>
        </w:rPr>
        <w:t>a ejecución del</w:t>
      </w:r>
      <w:r w:rsidRPr="00C74885">
        <w:rPr>
          <w:rFonts w:ascii="Times New Roman" w:hAnsi="Times New Roman" w:cs="Times New Roman"/>
          <w:lang w:val="es-MX"/>
        </w:rPr>
        <w:t xml:space="preserve"> gasto social, </w:t>
      </w:r>
      <w:r>
        <w:rPr>
          <w:rFonts w:ascii="Times New Roman" w:hAnsi="Times New Roman" w:cs="Times New Roman"/>
          <w:lang w:val="es-MX"/>
        </w:rPr>
        <w:t xml:space="preserve">este reporta un mayor dinamismo respecto al año previo, con un crecimiento </w:t>
      </w:r>
      <w:r w:rsidRPr="00321A9C">
        <w:rPr>
          <w:rFonts w:ascii="Times New Roman" w:hAnsi="Times New Roman" w:cs="Times New Roman"/>
          <w:lang w:val="es-MX"/>
        </w:rPr>
        <w:t xml:space="preserve">interanual de </w:t>
      </w:r>
      <w:r>
        <w:rPr>
          <w:rFonts w:ascii="Times New Roman" w:hAnsi="Times New Roman" w:cs="Times New Roman"/>
          <w:lang w:val="es-MX"/>
        </w:rPr>
        <w:t>8.3</w:t>
      </w:r>
      <w:r w:rsidRPr="00321A9C">
        <w:rPr>
          <w:rFonts w:ascii="Times New Roman" w:hAnsi="Times New Roman" w:cs="Times New Roman"/>
          <w:lang w:val="es-MX"/>
        </w:rPr>
        <w:t>%</w:t>
      </w:r>
      <w:r>
        <w:rPr>
          <w:rFonts w:ascii="Times New Roman" w:hAnsi="Times New Roman" w:cs="Times New Roman"/>
          <w:lang w:val="es-MX"/>
        </w:rPr>
        <w:t>, equivalente a Q1,556.0 millones</w:t>
      </w:r>
      <w:r w:rsidRPr="00321A9C">
        <w:rPr>
          <w:rFonts w:ascii="Times New Roman" w:hAnsi="Times New Roman" w:cs="Times New Roman"/>
          <w:lang w:val="es-MX"/>
        </w:rPr>
        <w:t xml:space="preserve">. </w:t>
      </w:r>
    </w:p>
    <w:p w:rsidR="005F5366" w:rsidRPr="008B062E" w:rsidRDefault="005F5366" w:rsidP="005F5366">
      <w:pPr>
        <w:pStyle w:val="Sinespaciado"/>
        <w:jc w:val="both"/>
        <w:rPr>
          <w:rFonts w:ascii="Times New Roman" w:hAnsi="Times New Roman" w:cs="Times New Roman"/>
          <w:sz w:val="18"/>
          <w:lang w:val="es-MX"/>
        </w:rPr>
      </w:pPr>
    </w:p>
    <w:p w:rsidR="005F5366" w:rsidRDefault="005F5366" w:rsidP="005F5366">
      <w:pPr>
        <w:pStyle w:val="Sinespaciado"/>
        <w:jc w:val="both"/>
        <w:rPr>
          <w:rFonts w:ascii="Times New Roman" w:hAnsi="Times New Roman" w:cs="Times New Roman"/>
          <w:lang w:val="es-MX"/>
        </w:rPr>
      </w:pPr>
      <w:r>
        <w:rPr>
          <w:rFonts w:ascii="Times New Roman" w:hAnsi="Times New Roman" w:cs="Times New Roman"/>
          <w:lang w:val="es-MX"/>
        </w:rPr>
        <w:t>Del gasto social asociado a los compromisos de los Acuerdos de Paz, el aporte al Organismo Judicial y a la Corte de Constitucionalidad se encuentra cayendo en Q74.2 millones (equivalente a 6.3%), asimismo el sector vivienda reporta una caída de 42.8 millones (equivalente a 30.1%).</w:t>
      </w:r>
    </w:p>
    <w:p w:rsidR="005F5366" w:rsidRPr="00AB39D4" w:rsidRDefault="005F5366" w:rsidP="005F5366">
      <w:pPr>
        <w:pStyle w:val="Sinespaciado"/>
        <w:jc w:val="both"/>
        <w:rPr>
          <w:rFonts w:ascii="Times New Roman" w:hAnsi="Times New Roman" w:cs="Times New Roman"/>
          <w:sz w:val="18"/>
          <w:lang w:val="es-MX"/>
        </w:rPr>
      </w:pPr>
    </w:p>
    <w:p w:rsidR="005F5366" w:rsidRDefault="005F5366" w:rsidP="005F5366">
      <w:pPr>
        <w:pStyle w:val="Sinespaciado"/>
        <w:jc w:val="both"/>
        <w:rPr>
          <w:rFonts w:ascii="Times New Roman" w:hAnsi="Times New Roman" w:cs="Times New Roman"/>
          <w:lang w:val="es-MX"/>
        </w:rPr>
      </w:pPr>
      <w:r>
        <w:rPr>
          <w:rFonts w:ascii="Times New Roman" w:hAnsi="Times New Roman" w:cs="Times New Roman"/>
          <w:lang w:val="es-MX"/>
        </w:rPr>
        <w:t xml:space="preserve">Respecto a las finalidades del gasto social que se encuentran creciendo, el sector de Salud y Asistencia Social reporta un aumento importante de Q1,304.5 millones (equivalente a 28.8%), asociado a la compra de las vacunas para hacer frente a la pandemia. Mientras que en términos absolutos le sigue el sector de </w:t>
      </w:r>
      <w:r>
        <w:rPr>
          <w:rFonts w:ascii="Times New Roman" w:hAnsi="Times New Roman" w:cs="Times New Roman"/>
          <w:lang w:val="es-MX"/>
        </w:rPr>
        <w:lastRenderedPageBreak/>
        <w:t xml:space="preserve">Seguridad Interna con un aumento de Q220.9 millones (equivalente a 9.2%). </w:t>
      </w:r>
    </w:p>
    <w:p w:rsidR="005F5366" w:rsidRDefault="005F5366" w:rsidP="005F5366">
      <w:pPr>
        <w:pStyle w:val="Sinespaciado"/>
        <w:jc w:val="both"/>
        <w:rPr>
          <w:rFonts w:ascii="Times New Roman" w:hAnsi="Times New Roman" w:cs="Times New Roman"/>
          <w:lang w:val="es-MX"/>
        </w:rPr>
      </w:pPr>
    </w:p>
    <w:p w:rsidR="004C2A11" w:rsidRPr="005F5366" w:rsidRDefault="005F5366" w:rsidP="005F5366">
      <w:pPr>
        <w:pStyle w:val="Sinespaciado"/>
        <w:jc w:val="both"/>
        <w:rPr>
          <w:rFonts w:ascii="Times New Roman" w:hAnsi="Times New Roman" w:cs="Times New Roman"/>
          <w:lang w:val="es-MX"/>
        </w:rPr>
      </w:pPr>
      <w:r>
        <w:rPr>
          <w:rFonts w:ascii="Times New Roman" w:hAnsi="Times New Roman" w:cs="Times New Roman"/>
          <w:lang w:val="es-MX"/>
        </w:rPr>
        <w:t xml:space="preserve">El sector Educación, Ciencia y Cultura da cuenta de un aumento de Q101.8 millones (equivalente a 1.0%) y el Ministerio Público con un aumento de Q45.7 millones </w:t>
      </w:r>
      <w:r w:rsidRPr="005F5366">
        <w:rPr>
          <w:rFonts w:ascii="Times New Roman" w:hAnsi="Times New Roman" w:cs="Times New Roman"/>
          <w:lang w:val="es-MX"/>
        </w:rPr>
        <w:t>(equivalente a 5.9%).</w:t>
      </w:r>
      <w:r w:rsidR="004C2A11" w:rsidRPr="005F5366">
        <w:rPr>
          <w:rFonts w:ascii="Times New Roman" w:hAnsi="Times New Roman" w:cs="Times New Roman"/>
          <w:lang w:val="es-MX"/>
        </w:rPr>
        <w:t xml:space="preserve"> </w:t>
      </w:r>
    </w:p>
    <w:p w:rsidR="008B062E" w:rsidRDefault="008B062E" w:rsidP="00E06DEC">
      <w:pPr>
        <w:pStyle w:val="Sinespaciado"/>
        <w:jc w:val="both"/>
        <w:rPr>
          <w:rFonts w:ascii="Times New Roman" w:hAnsi="Times New Roman" w:cs="Times New Roman"/>
          <w:sz w:val="18"/>
          <w:lang w:val="es-MX"/>
        </w:rPr>
      </w:pPr>
    </w:p>
    <w:p w:rsidR="000D0CF5" w:rsidRDefault="000D0CF5" w:rsidP="00E06DEC">
      <w:pPr>
        <w:pStyle w:val="Sinespaciado"/>
        <w:jc w:val="both"/>
        <w:rPr>
          <w:rFonts w:ascii="Times New Roman" w:hAnsi="Times New Roman" w:cs="Times New Roman"/>
          <w:sz w:val="18"/>
          <w:lang w:val="es-MX"/>
        </w:rPr>
      </w:pPr>
    </w:p>
    <w:p w:rsidR="00C35B1D" w:rsidRDefault="00C35B1D" w:rsidP="00E06DEC">
      <w:pPr>
        <w:pStyle w:val="Sinespaciado"/>
        <w:jc w:val="both"/>
        <w:rPr>
          <w:rFonts w:ascii="Times New Roman" w:hAnsi="Times New Roman" w:cs="Times New Roman"/>
          <w:sz w:val="18"/>
          <w:lang w:val="es-MX"/>
        </w:rPr>
      </w:pPr>
    </w:p>
    <w:p w:rsidR="00C35B1D" w:rsidRDefault="00C35B1D" w:rsidP="00E06DEC">
      <w:pPr>
        <w:pStyle w:val="Sinespaciado"/>
        <w:jc w:val="both"/>
        <w:rPr>
          <w:rFonts w:ascii="Times New Roman" w:hAnsi="Times New Roman" w:cs="Times New Roman"/>
          <w:sz w:val="18"/>
          <w:lang w:val="es-MX"/>
        </w:rPr>
      </w:pPr>
    </w:p>
    <w:p w:rsidR="00C35B1D" w:rsidRDefault="00C35B1D" w:rsidP="00E06DEC">
      <w:pPr>
        <w:pStyle w:val="Sinespaciado"/>
        <w:jc w:val="both"/>
        <w:rPr>
          <w:rFonts w:ascii="Times New Roman" w:hAnsi="Times New Roman" w:cs="Times New Roman"/>
          <w:sz w:val="18"/>
          <w:lang w:val="es-MX"/>
        </w:rPr>
      </w:pPr>
    </w:p>
    <w:p w:rsidR="00C35B1D" w:rsidRDefault="00C35B1D" w:rsidP="00E06DEC">
      <w:pPr>
        <w:pStyle w:val="Sinespaciado"/>
        <w:jc w:val="both"/>
        <w:rPr>
          <w:rFonts w:ascii="Times New Roman" w:hAnsi="Times New Roman" w:cs="Times New Roman"/>
          <w:sz w:val="18"/>
          <w:lang w:val="es-MX"/>
        </w:rPr>
      </w:pPr>
    </w:p>
    <w:p w:rsidR="00C35B1D" w:rsidRDefault="00C35B1D" w:rsidP="00E06DEC">
      <w:pPr>
        <w:pStyle w:val="Sinespaciado"/>
        <w:jc w:val="both"/>
        <w:rPr>
          <w:rFonts w:ascii="Times New Roman" w:hAnsi="Times New Roman" w:cs="Times New Roman"/>
          <w:sz w:val="18"/>
          <w:lang w:val="es-MX"/>
        </w:rPr>
      </w:pPr>
    </w:p>
    <w:p w:rsidR="00C35B1D" w:rsidRDefault="00C35B1D" w:rsidP="00E06DEC">
      <w:pPr>
        <w:pStyle w:val="Sinespaciado"/>
        <w:jc w:val="both"/>
        <w:rPr>
          <w:rFonts w:ascii="Times New Roman" w:hAnsi="Times New Roman" w:cs="Times New Roman"/>
          <w:sz w:val="18"/>
          <w:lang w:val="es-MX"/>
        </w:rPr>
      </w:pPr>
    </w:p>
    <w:p w:rsidR="00C35B1D" w:rsidRDefault="00C35B1D" w:rsidP="00E06DEC">
      <w:pPr>
        <w:pStyle w:val="Sinespaciado"/>
        <w:jc w:val="both"/>
        <w:rPr>
          <w:rFonts w:ascii="Times New Roman" w:hAnsi="Times New Roman" w:cs="Times New Roman"/>
          <w:sz w:val="18"/>
          <w:lang w:val="es-MX"/>
        </w:rPr>
      </w:pPr>
    </w:p>
    <w:p w:rsidR="00C35B1D" w:rsidRPr="005F5366" w:rsidRDefault="00C35B1D" w:rsidP="00E06DEC">
      <w:pPr>
        <w:pStyle w:val="Sinespaciado"/>
        <w:jc w:val="both"/>
        <w:rPr>
          <w:rFonts w:ascii="Times New Roman" w:hAnsi="Times New Roman" w:cs="Times New Roman"/>
          <w:sz w:val="18"/>
          <w:lang w:val="es-MX"/>
        </w:rPr>
      </w:pPr>
    </w:p>
    <w:p w:rsidR="004C2A11" w:rsidRPr="005F5366" w:rsidRDefault="004C2A11" w:rsidP="008B062E">
      <w:pPr>
        <w:pStyle w:val="Sinespaciado"/>
        <w:rPr>
          <w:rFonts w:ascii="Times New Roman" w:hAnsi="Times New Roman" w:cs="Times New Roman"/>
          <w:b/>
          <w:lang w:val="es-MX"/>
        </w:rPr>
      </w:pPr>
      <w:r w:rsidRPr="005F5366">
        <w:rPr>
          <w:rFonts w:ascii="Times New Roman" w:hAnsi="Times New Roman" w:cs="Times New Roman"/>
          <w:b/>
          <w:lang w:val="es-MX"/>
        </w:rPr>
        <w:t xml:space="preserve">Ejecución y crecimiento del Gasto Social </w:t>
      </w:r>
    </w:p>
    <w:p w:rsidR="004C2A11" w:rsidRPr="005F5366" w:rsidRDefault="003844F4" w:rsidP="00AB39D4">
      <w:pPr>
        <w:pStyle w:val="Sinespaciado"/>
        <w:jc w:val="center"/>
        <w:rPr>
          <w:rFonts w:ascii="Times New Roman" w:hAnsi="Times New Roman" w:cs="Times New Roman"/>
          <w:sz w:val="18"/>
          <w:szCs w:val="18"/>
          <w:lang w:val="es-MX"/>
        </w:rPr>
      </w:pPr>
      <w:r w:rsidRPr="005F5366">
        <w:rPr>
          <w:rFonts w:ascii="Times New Roman" w:hAnsi="Times New Roman" w:cs="Times New Roman"/>
          <w:sz w:val="18"/>
          <w:szCs w:val="18"/>
          <w:lang w:val="es-MX"/>
        </w:rPr>
        <w:t>Al 30</w:t>
      </w:r>
      <w:r w:rsidR="004C2A11" w:rsidRPr="005F5366">
        <w:rPr>
          <w:rFonts w:ascii="Times New Roman" w:hAnsi="Times New Roman" w:cs="Times New Roman"/>
          <w:sz w:val="18"/>
          <w:szCs w:val="18"/>
          <w:lang w:val="es-MX"/>
        </w:rPr>
        <w:t xml:space="preserve"> de </w:t>
      </w:r>
      <w:r w:rsidRPr="005F5366">
        <w:rPr>
          <w:rFonts w:ascii="Times New Roman" w:hAnsi="Times New Roman" w:cs="Times New Roman"/>
          <w:sz w:val="18"/>
          <w:szCs w:val="18"/>
          <w:lang w:val="es-MX"/>
        </w:rPr>
        <w:t>junio</w:t>
      </w:r>
      <w:r w:rsidR="004C2A11" w:rsidRPr="005F5366">
        <w:rPr>
          <w:rFonts w:ascii="Times New Roman" w:hAnsi="Times New Roman" w:cs="Times New Roman"/>
          <w:sz w:val="18"/>
          <w:szCs w:val="18"/>
          <w:lang w:val="es-MX"/>
        </w:rPr>
        <w:t xml:space="preserve"> 2021</w:t>
      </w:r>
    </w:p>
    <w:p w:rsidR="004C2A11" w:rsidRPr="005F5366" w:rsidRDefault="008B062E" w:rsidP="00AB39D4">
      <w:pPr>
        <w:pStyle w:val="Sinespaciado"/>
        <w:jc w:val="center"/>
        <w:rPr>
          <w:rFonts w:ascii="Times New Roman" w:hAnsi="Times New Roman" w:cs="Times New Roman"/>
          <w:sz w:val="18"/>
          <w:szCs w:val="18"/>
          <w:lang w:val="es-MX"/>
        </w:rPr>
      </w:pPr>
      <w:r w:rsidRPr="005F5366">
        <w:rPr>
          <w:noProof/>
          <w:lang w:val="es-ES" w:eastAsia="es-ES"/>
        </w:rPr>
        <w:drawing>
          <wp:anchor distT="0" distB="0" distL="114300" distR="114300" simplePos="0" relativeHeight="251828224" behindDoc="0" locked="0" layoutInCell="1" allowOverlap="1" wp14:anchorId="7BD09DE7" wp14:editId="0D469A29">
            <wp:simplePos x="0" y="0"/>
            <wp:positionH relativeFrom="column">
              <wp:posOffset>-114300</wp:posOffset>
            </wp:positionH>
            <wp:positionV relativeFrom="paragraph">
              <wp:posOffset>202669</wp:posOffset>
            </wp:positionV>
            <wp:extent cx="2749550" cy="1422400"/>
            <wp:effectExtent l="0" t="0" r="0" b="6350"/>
            <wp:wrapTopAndBottom/>
            <wp:docPr id="1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9550" cy="142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C2A11" w:rsidRPr="005F5366">
        <w:rPr>
          <w:rFonts w:ascii="Times New Roman" w:hAnsi="Times New Roman" w:cs="Times New Roman"/>
          <w:sz w:val="18"/>
          <w:szCs w:val="18"/>
          <w:lang w:val="es-MX"/>
        </w:rPr>
        <w:t>Cifras en porcentajes y en millones de quetzales</w:t>
      </w:r>
    </w:p>
    <w:p w:rsidR="008B062E" w:rsidRPr="005F5366" w:rsidRDefault="004C2A11" w:rsidP="008B062E">
      <w:pPr>
        <w:pStyle w:val="Sinespaciado"/>
        <w:spacing w:after="240"/>
        <w:rPr>
          <w:rFonts w:ascii="Times New Roman" w:hAnsi="Times New Roman" w:cs="Times New Roman"/>
          <w:sz w:val="10"/>
        </w:rPr>
      </w:pPr>
      <w:r w:rsidRPr="005F5366">
        <w:rPr>
          <w:rFonts w:ascii="Times New Roman" w:hAnsi="Times New Roman" w:cs="Times New Roman"/>
          <w:sz w:val="16"/>
        </w:rPr>
        <w:t>Fuente: Direcció</w:t>
      </w:r>
      <w:r w:rsidR="00AB39D4" w:rsidRPr="005F5366">
        <w:rPr>
          <w:rFonts w:ascii="Times New Roman" w:hAnsi="Times New Roman" w:cs="Times New Roman"/>
          <w:sz w:val="16"/>
        </w:rPr>
        <w:t>n de Análisis y Política Fiscal</w:t>
      </w:r>
    </w:p>
    <w:p w:rsidR="008B062E" w:rsidRPr="000A5725" w:rsidRDefault="008B062E" w:rsidP="00BA782D">
      <w:pPr>
        <w:pStyle w:val="Sinespaciado"/>
        <w:jc w:val="both"/>
        <w:rPr>
          <w:rFonts w:ascii="Times New Roman" w:hAnsi="Times New Roman" w:cs="Times New Roman"/>
          <w:color w:val="FF0000"/>
          <w:sz w:val="16"/>
        </w:rPr>
        <w:sectPr w:rsidR="008B062E" w:rsidRPr="000A5725" w:rsidSect="00474998">
          <w:headerReference w:type="default" r:id="rId23"/>
          <w:footerReference w:type="default" r:id="rId24"/>
          <w:type w:val="continuous"/>
          <w:pgSz w:w="12240" w:h="15840" w:code="1"/>
          <w:pgMar w:top="1418" w:right="1608" w:bottom="1418" w:left="1701" w:header="709" w:footer="709" w:gutter="0"/>
          <w:cols w:num="2" w:space="708"/>
          <w:docGrid w:linePitch="360"/>
        </w:sectPr>
      </w:pPr>
    </w:p>
    <w:p w:rsidR="00BA782D" w:rsidRPr="000A5725" w:rsidRDefault="00BA782D" w:rsidP="00216605">
      <w:pPr>
        <w:pStyle w:val="Sinespaciado"/>
        <w:jc w:val="both"/>
        <w:rPr>
          <w:rFonts w:ascii="Times New Roman" w:hAnsi="Times New Roman" w:cs="Times New Roman"/>
          <w:color w:val="FF0000"/>
          <w:sz w:val="2"/>
          <w:lang w:val="es-MX"/>
        </w:rPr>
      </w:pPr>
    </w:p>
    <w:p w:rsidR="00216605" w:rsidRPr="005F5366" w:rsidRDefault="002C4CB2" w:rsidP="00216605">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216605" w:rsidRPr="005F5366" w:rsidSect="00FA3B81">
          <w:type w:val="continuous"/>
          <w:pgSz w:w="12240" w:h="15840" w:code="1"/>
          <w:pgMar w:top="1418" w:right="1418" w:bottom="1418" w:left="1418" w:header="709" w:footer="709" w:gutter="0"/>
          <w:cols w:space="708"/>
          <w:docGrid w:linePitch="360"/>
        </w:sectPr>
      </w:pPr>
      <w:r w:rsidRPr="005F5366">
        <w:rPr>
          <w:rFonts w:ascii="Times New Roman" w:hAnsi="Times New Roman" w:cs="Times New Roman"/>
          <w:b/>
          <w:lang w:val="es-MX"/>
        </w:rPr>
        <w:t>Se supera el 50% del cupo autorizado para colocar</w:t>
      </w:r>
      <w:r w:rsidR="00AD7F64" w:rsidRPr="005F5366">
        <w:rPr>
          <w:rFonts w:ascii="Times New Roman" w:hAnsi="Times New Roman" w:cs="Times New Roman"/>
          <w:b/>
          <w:lang w:val="es-MX"/>
        </w:rPr>
        <w:t xml:space="preserve"> Bonos </w:t>
      </w:r>
      <w:r w:rsidRPr="005F5366">
        <w:rPr>
          <w:rFonts w:ascii="Times New Roman" w:hAnsi="Times New Roman" w:cs="Times New Roman"/>
          <w:b/>
          <w:lang w:val="es-MX"/>
        </w:rPr>
        <w:t>d</w:t>
      </w:r>
      <w:r w:rsidR="00AD7F64" w:rsidRPr="005F5366">
        <w:rPr>
          <w:rFonts w:ascii="Times New Roman" w:hAnsi="Times New Roman" w:cs="Times New Roman"/>
          <w:b/>
          <w:lang w:val="es-MX"/>
        </w:rPr>
        <w:t xml:space="preserve">el </w:t>
      </w:r>
      <w:r w:rsidRPr="005F5366">
        <w:rPr>
          <w:rFonts w:ascii="Times New Roman" w:hAnsi="Times New Roman" w:cs="Times New Roman"/>
          <w:b/>
          <w:lang w:val="es-MX"/>
        </w:rPr>
        <w:t>Tesoro</w:t>
      </w:r>
    </w:p>
    <w:p w:rsidR="00216605" w:rsidRPr="000A5725" w:rsidRDefault="00216605" w:rsidP="00216605">
      <w:pPr>
        <w:pStyle w:val="Sinespaciado"/>
        <w:rPr>
          <w:rFonts w:ascii="Times New Roman" w:hAnsi="Times New Roman" w:cs="Times New Roman"/>
          <w:b/>
          <w:color w:val="FF0000"/>
          <w:sz w:val="18"/>
          <w:lang w:val="es-MX"/>
        </w:rPr>
      </w:pPr>
    </w:p>
    <w:p w:rsidR="00216605" w:rsidRPr="000A5725" w:rsidRDefault="00216605" w:rsidP="00216605">
      <w:pPr>
        <w:pStyle w:val="Sinespaciado"/>
        <w:rPr>
          <w:rFonts w:ascii="Times New Roman" w:hAnsi="Times New Roman" w:cs="Times New Roman"/>
          <w:b/>
          <w:color w:val="FF0000"/>
          <w:lang w:val="es-MX"/>
        </w:rPr>
        <w:sectPr w:rsidR="00216605" w:rsidRPr="000A5725" w:rsidSect="004E358C">
          <w:type w:val="continuous"/>
          <w:pgSz w:w="12240" w:h="15840"/>
          <w:pgMar w:top="1417" w:right="1701" w:bottom="1417" w:left="1701" w:header="708" w:footer="708" w:gutter="0"/>
          <w:cols w:space="708"/>
          <w:docGrid w:linePitch="360"/>
        </w:sectPr>
      </w:pPr>
    </w:p>
    <w:p w:rsidR="005F5366" w:rsidRPr="00A36C8F" w:rsidRDefault="005F5366" w:rsidP="005F5366">
      <w:pPr>
        <w:pStyle w:val="Sinespaciado"/>
        <w:ind w:right="237"/>
        <w:jc w:val="both"/>
        <w:rPr>
          <w:rFonts w:ascii="Times New Roman" w:hAnsi="Times New Roman" w:cs="Times New Roman"/>
        </w:rPr>
      </w:pPr>
      <w:r w:rsidRPr="00A36C8F">
        <w:rPr>
          <w:rFonts w:ascii="Times New Roman" w:hAnsi="Times New Roman" w:cs="Times New Roman"/>
        </w:rPr>
        <w:lastRenderedPageBreak/>
        <w:t>Respecto al financiamiento del gasto público, los desembolsos de préstamos aumentaron alcanzando un nivel de Q2</w:t>
      </w:r>
      <w:r>
        <w:rPr>
          <w:rFonts w:ascii="Times New Roman" w:hAnsi="Times New Roman" w:cs="Times New Roman"/>
        </w:rPr>
        <w:t>82</w:t>
      </w:r>
      <w:r w:rsidRPr="00A36C8F">
        <w:rPr>
          <w:rFonts w:ascii="Times New Roman" w:hAnsi="Times New Roman" w:cs="Times New Roman"/>
        </w:rPr>
        <w:t>.</w:t>
      </w:r>
      <w:r>
        <w:rPr>
          <w:rFonts w:ascii="Times New Roman" w:hAnsi="Times New Roman" w:cs="Times New Roman"/>
        </w:rPr>
        <w:t>4</w:t>
      </w:r>
      <w:r w:rsidRPr="00A36C8F">
        <w:rPr>
          <w:rFonts w:ascii="Times New Roman" w:hAnsi="Times New Roman" w:cs="Times New Roman"/>
        </w:rPr>
        <w:t xml:space="preserve"> millones, mientras las amortizaciones alcanzaron los Q1,5</w:t>
      </w:r>
      <w:r>
        <w:rPr>
          <w:rFonts w:ascii="Times New Roman" w:hAnsi="Times New Roman" w:cs="Times New Roman"/>
        </w:rPr>
        <w:t>0</w:t>
      </w:r>
      <w:r w:rsidRPr="00A36C8F">
        <w:rPr>
          <w:rFonts w:ascii="Times New Roman" w:hAnsi="Times New Roman" w:cs="Times New Roman"/>
        </w:rPr>
        <w:t>8</w:t>
      </w:r>
      <w:r>
        <w:rPr>
          <w:rFonts w:ascii="Times New Roman" w:hAnsi="Times New Roman" w:cs="Times New Roman"/>
        </w:rPr>
        <w:t>.4</w:t>
      </w:r>
      <w:r w:rsidRPr="00A36C8F">
        <w:rPr>
          <w:rFonts w:ascii="Times New Roman" w:hAnsi="Times New Roman" w:cs="Times New Roman"/>
        </w:rPr>
        <w:t xml:space="preserve"> millones y de esa cuenta, el financiamiento externo neto es negativo en Q1,</w:t>
      </w:r>
      <w:r>
        <w:rPr>
          <w:rFonts w:ascii="Times New Roman" w:hAnsi="Times New Roman" w:cs="Times New Roman"/>
        </w:rPr>
        <w:t>22</w:t>
      </w:r>
      <w:r w:rsidRPr="00A36C8F">
        <w:rPr>
          <w:rFonts w:ascii="Times New Roman" w:hAnsi="Times New Roman" w:cs="Times New Roman"/>
        </w:rPr>
        <w:t>6.</w:t>
      </w:r>
      <w:r>
        <w:rPr>
          <w:rFonts w:ascii="Times New Roman" w:hAnsi="Times New Roman" w:cs="Times New Roman"/>
        </w:rPr>
        <w:t>0</w:t>
      </w:r>
      <w:r w:rsidRPr="00A36C8F">
        <w:rPr>
          <w:rFonts w:ascii="Times New Roman" w:hAnsi="Times New Roman" w:cs="Times New Roman"/>
        </w:rPr>
        <w:t xml:space="preserve"> millones.</w:t>
      </w:r>
    </w:p>
    <w:p w:rsidR="005F5366" w:rsidRPr="008D3F91" w:rsidRDefault="005F5366" w:rsidP="005F5366">
      <w:pPr>
        <w:pStyle w:val="Sinespaciado"/>
        <w:ind w:right="237"/>
        <w:jc w:val="both"/>
        <w:rPr>
          <w:rFonts w:ascii="Times New Roman" w:hAnsi="Times New Roman" w:cs="Times New Roman"/>
          <w:color w:val="FF0000"/>
        </w:rPr>
      </w:pPr>
    </w:p>
    <w:p w:rsidR="005F5366" w:rsidRPr="002C4CB2" w:rsidRDefault="005F5366" w:rsidP="005F5366">
      <w:pPr>
        <w:pStyle w:val="Sinespaciado"/>
        <w:ind w:right="237"/>
        <w:jc w:val="both"/>
        <w:rPr>
          <w:rFonts w:ascii="Times New Roman" w:hAnsi="Times New Roman" w:cs="Times New Roman"/>
          <w:color w:val="FF0000"/>
        </w:rPr>
      </w:pPr>
      <w:r w:rsidRPr="00A36C8F">
        <w:rPr>
          <w:rFonts w:ascii="Times New Roman" w:hAnsi="Times New Roman" w:cs="Times New Roman"/>
        </w:rPr>
        <w:t>En cuanto al financiamiento interno, s</w:t>
      </w:r>
      <w:r>
        <w:rPr>
          <w:rFonts w:ascii="Times New Roman" w:hAnsi="Times New Roman" w:cs="Times New Roman"/>
        </w:rPr>
        <w:t>e han colocado hasta la fecha Q12,925</w:t>
      </w:r>
      <w:r w:rsidRPr="00A36C8F">
        <w:rPr>
          <w:rFonts w:ascii="Times New Roman" w:hAnsi="Times New Roman" w:cs="Times New Roman"/>
        </w:rPr>
        <w:t>.</w:t>
      </w:r>
      <w:r>
        <w:rPr>
          <w:rFonts w:ascii="Times New Roman" w:hAnsi="Times New Roman" w:cs="Times New Roman"/>
        </w:rPr>
        <w:t>1</w:t>
      </w:r>
      <w:r w:rsidRPr="00A36C8F">
        <w:rPr>
          <w:rFonts w:ascii="Times New Roman" w:hAnsi="Times New Roman" w:cs="Times New Roman"/>
        </w:rPr>
        <w:t xml:space="preserve"> </w:t>
      </w:r>
      <w:r>
        <w:rPr>
          <w:rFonts w:ascii="Times New Roman" w:hAnsi="Times New Roman" w:cs="Times New Roman"/>
        </w:rPr>
        <w:t>millones, correspondiente al 52.8</w:t>
      </w:r>
      <w:r w:rsidRPr="00A36C8F">
        <w:rPr>
          <w:rFonts w:ascii="Times New Roman" w:hAnsi="Times New Roman" w:cs="Times New Roman"/>
        </w:rPr>
        <w:t>% del total autorizado, quedando pendientes de colocar el 4</w:t>
      </w:r>
      <w:r>
        <w:rPr>
          <w:rFonts w:ascii="Times New Roman" w:hAnsi="Times New Roman" w:cs="Times New Roman"/>
        </w:rPr>
        <w:t>7.2</w:t>
      </w:r>
      <w:r w:rsidRPr="00A36C8F">
        <w:rPr>
          <w:rFonts w:ascii="Times New Roman" w:hAnsi="Times New Roman" w:cs="Times New Roman"/>
        </w:rPr>
        <w:t>% del total autorizado en el Decreto 25-2018</w:t>
      </w:r>
      <w:r>
        <w:rPr>
          <w:rFonts w:ascii="Times New Roman" w:hAnsi="Times New Roman" w:cs="Times New Roman"/>
        </w:rPr>
        <w:t>.</w:t>
      </w:r>
    </w:p>
    <w:p w:rsidR="00C35B1D" w:rsidRDefault="00C35B1D" w:rsidP="00474998">
      <w:pPr>
        <w:pStyle w:val="Sinespaciado"/>
        <w:ind w:right="237"/>
        <w:jc w:val="both"/>
        <w:rPr>
          <w:rFonts w:ascii="Times New Roman" w:hAnsi="Times New Roman" w:cs="Times New Roman"/>
          <w:color w:val="FF0000"/>
          <w:sz w:val="16"/>
        </w:rPr>
      </w:pPr>
    </w:p>
    <w:p w:rsidR="00C35B1D" w:rsidRDefault="00C35B1D" w:rsidP="00474998">
      <w:pPr>
        <w:pStyle w:val="Sinespaciado"/>
        <w:ind w:right="237"/>
        <w:jc w:val="both"/>
        <w:rPr>
          <w:rFonts w:ascii="Times New Roman" w:hAnsi="Times New Roman" w:cs="Times New Roman"/>
          <w:color w:val="FF0000"/>
          <w:sz w:val="16"/>
        </w:rPr>
      </w:pPr>
    </w:p>
    <w:p w:rsidR="00C35B1D" w:rsidRPr="00C35B1D" w:rsidRDefault="00C35B1D" w:rsidP="00474998">
      <w:pPr>
        <w:pStyle w:val="Sinespaciado"/>
        <w:ind w:right="237"/>
        <w:jc w:val="both"/>
        <w:rPr>
          <w:rFonts w:ascii="Times New Roman" w:hAnsi="Times New Roman" w:cs="Times New Roman"/>
          <w:color w:val="FF0000"/>
          <w:sz w:val="14"/>
        </w:rPr>
      </w:pPr>
    </w:p>
    <w:p w:rsidR="00AD7F64" w:rsidRPr="005F5366" w:rsidRDefault="00AD7F64" w:rsidP="00474998">
      <w:pPr>
        <w:spacing w:after="0" w:line="240" w:lineRule="auto"/>
        <w:ind w:right="237"/>
        <w:jc w:val="center"/>
        <w:rPr>
          <w:rFonts w:ascii="Times New Roman" w:hAnsi="Times New Roman" w:cs="Times New Roman"/>
          <w:b/>
        </w:rPr>
      </w:pPr>
      <w:r w:rsidRPr="005F5366">
        <w:rPr>
          <w:rFonts w:ascii="Times New Roman" w:hAnsi="Times New Roman" w:cs="Times New Roman"/>
          <w:b/>
        </w:rPr>
        <w:t>Colocación de Bonos del Tesoro</w:t>
      </w:r>
    </w:p>
    <w:p w:rsidR="00AD7F64" w:rsidRPr="005F5366" w:rsidRDefault="003844F4" w:rsidP="00474998">
      <w:pPr>
        <w:pStyle w:val="Sinespaciado"/>
        <w:ind w:right="237"/>
        <w:jc w:val="center"/>
        <w:rPr>
          <w:rFonts w:ascii="Times New Roman" w:hAnsi="Times New Roman" w:cs="Times New Roman"/>
          <w:sz w:val="18"/>
        </w:rPr>
      </w:pPr>
      <w:r w:rsidRPr="005F5366">
        <w:rPr>
          <w:rFonts w:ascii="Times New Roman" w:hAnsi="Times New Roman" w:cs="Times New Roman"/>
          <w:sz w:val="18"/>
        </w:rPr>
        <w:lastRenderedPageBreak/>
        <w:t>A junio</w:t>
      </w:r>
      <w:r w:rsidR="00AD7F64" w:rsidRPr="005F5366">
        <w:rPr>
          <w:rFonts w:ascii="Times New Roman" w:hAnsi="Times New Roman" w:cs="Times New Roman"/>
          <w:sz w:val="18"/>
        </w:rPr>
        <w:t xml:space="preserve"> 2021</w:t>
      </w:r>
    </w:p>
    <w:p w:rsidR="00AD7F64" w:rsidRPr="005F5366" w:rsidRDefault="00C35B1D" w:rsidP="00474998">
      <w:pPr>
        <w:pStyle w:val="Sinespaciado"/>
        <w:ind w:right="237"/>
        <w:jc w:val="center"/>
        <w:rPr>
          <w:rFonts w:ascii="Times New Roman" w:hAnsi="Times New Roman" w:cs="Times New Roman"/>
          <w:sz w:val="18"/>
        </w:rPr>
      </w:pPr>
      <w:r w:rsidRPr="005F5366">
        <w:rPr>
          <w:noProof/>
          <w:lang w:val="es-ES" w:eastAsia="es-ES"/>
        </w:rPr>
        <w:drawing>
          <wp:anchor distT="0" distB="0" distL="114300" distR="114300" simplePos="0" relativeHeight="251830272" behindDoc="0" locked="0" layoutInCell="1" allowOverlap="1" wp14:anchorId="7692E09E" wp14:editId="7BBFFBB1">
            <wp:simplePos x="0" y="0"/>
            <wp:positionH relativeFrom="column">
              <wp:posOffset>-152400</wp:posOffset>
            </wp:positionH>
            <wp:positionV relativeFrom="paragraph">
              <wp:posOffset>140335</wp:posOffset>
            </wp:positionV>
            <wp:extent cx="2800350" cy="2076450"/>
            <wp:effectExtent l="0" t="0" r="0" b="0"/>
            <wp:wrapSquare wrapText="bothSides"/>
            <wp:docPr id="1" name="Chart 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00000000-0008-0000-13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00AD7F64" w:rsidRPr="005F5366">
        <w:rPr>
          <w:rFonts w:ascii="Times New Roman" w:hAnsi="Times New Roman" w:cs="Times New Roman"/>
          <w:sz w:val="18"/>
        </w:rPr>
        <w:t>Millones de quetzales y porcentajes</w:t>
      </w:r>
    </w:p>
    <w:p w:rsidR="002C4CB2" w:rsidRPr="00C35B1D" w:rsidRDefault="00996BA4" w:rsidP="00C35B1D">
      <w:pPr>
        <w:pStyle w:val="Sinespaciado"/>
        <w:spacing w:after="240"/>
        <w:ind w:right="237"/>
        <w:rPr>
          <w:rFonts w:ascii="Times New Roman" w:hAnsi="Times New Roman" w:cs="Times New Roman"/>
          <w:sz w:val="16"/>
        </w:rPr>
        <w:sectPr w:rsidR="002C4CB2" w:rsidRPr="00C35B1D" w:rsidSect="00040C99">
          <w:headerReference w:type="default" r:id="rId26"/>
          <w:footerReference w:type="default" r:id="rId27"/>
          <w:type w:val="continuous"/>
          <w:pgSz w:w="12240" w:h="15840" w:code="1"/>
          <w:pgMar w:top="1418" w:right="1418" w:bottom="1418" w:left="1701" w:header="709" w:footer="709" w:gutter="0"/>
          <w:cols w:num="2" w:space="708"/>
          <w:docGrid w:linePitch="360"/>
        </w:sectPr>
      </w:pPr>
      <w:r w:rsidRPr="005F5366">
        <w:rPr>
          <w:rFonts w:ascii="Times New Roman" w:hAnsi="Times New Roman" w:cs="Times New Roman"/>
          <w:sz w:val="16"/>
        </w:rPr>
        <w:t>Fuente: Direcció</w:t>
      </w:r>
      <w:r w:rsidR="00C35B1D">
        <w:rPr>
          <w:rFonts w:ascii="Times New Roman" w:hAnsi="Times New Roman" w:cs="Times New Roman"/>
          <w:sz w:val="16"/>
        </w:rPr>
        <w:t>n de Análisis y Política Fiscal</w:t>
      </w:r>
    </w:p>
    <w:p w:rsidR="008B062E" w:rsidRPr="000A5725" w:rsidRDefault="008B062E" w:rsidP="00A21CA3">
      <w:pPr>
        <w:pStyle w:val="Sinespaciado"/>
        <w:rPr>
          <w:rFonts w:ascii="Times New Roman" w:hAnsi="Times New Roman" w:cs="Times New Roman"/>
          <w:color w:val="FF0000"/>
          <w:sz w:val="6"/>
        </w:rPr>
        <w:sectPr w:rsidR="008B062E" w:rsidRPr="000A5725" w:rsidSect="008E66C1">
          <w:type w:val="continuous"/>
          <w:pgSz w:w="12240" w:h="15840"/>
          <w:pgMar w:top="1417" w:right="1467" w:bottom="1417" w:left="1701" w:header="708" w:footer="708" w:gutter="0"/>
          <w:cols w:num="2" w:space="708"/>
          <w:docGrid w:linePitch="360"/>
        </w:sectPr>
      </w:pPr>
    </w:p>
    <w:p w:rsidR="000B20DC" w:rsidRPr="000A5725" w:rsidRDefault="000B20DC" w:rsidP="000B20DC">
      <w:pPr>
        <w:pStyle w:val="Sinespaciado"/>
        <w:jc w:val="both"/>
        <w:rPr>
          <w:rFonts w:ascii="Times New Roman" w:hAnsi="Times New Roman" w:cs="Times New Roman"/>
          <w:color w:val="FF0000"/>
          <w:sz w:val="10"/>
        </w:rPr>
      </w:pPr>
    </w:p>
    <w:p w:rsidR="000B20DC" w:rsidRPr="005F5366" w:rsidRDefault="00AB39D4" w:rsidP="000B20DC">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0B20DC" w:rsidRPr="005F5366" w:rsidSect="00FA3B81">
          <w:type w:val="continuous"/>
          <w:pgSz w:w="12240" w:h="15840" w:code="1"/>
          <w:pgMar w:top="1418" w:right="1418" w:bottom="1418" w:left="1418" w:header="709" w:footer="709" w:gutter="0"/>
          <w:cols w:space="708"/>
          <w:docGrid w:linePitch="360"/>
        </w:sectPr>
      </w:pPr>
      <w:r w:rsidRPr="005F5366">
        <w:rPr>
          <w:rFonts w:ascii="Times New Roman" w:hAnsi="Times New Roman" w:cs="Times New Roman"/>
          <w:b/>
        </w:rPr>
        <w:t>Ejecución de gastos relacionados a la atención por desastres naturales y calamidades públicas</w:t>
      </w:r>
      <w:r w:rsidR="000B20DC" w:rsidRPr="005F5366">
        <w:rPr>
          <w:rFonts w:ascii="Times New Roman" w:hAnsi="Times New Roman" w:cs="Times New Roman"/>
          <w:b/>
        </w:rPr>
        <w:t xml:space="preserve"> </w:t>
      </w:r>
    </w:p>
    <w:p w:rsidR="000B20DC" w:rsidRPr="000A5725" w:rsidRDefault="000B20DC" w:rsidP="000B20DC">
      <w:pPr>
        <w:pStyle w:val="Sinespaciado"/>
        <w:rPr>
          <w:rFonts w:ascii="Times New Roman" w:hAnsi="Times New Roman" w:cs="Times New Roman"/>
          <w:b/>
          <w:color w:val="FF0000"/>
          <w:sz w:val="20"/>
          <w:lang w:val="es-MX"/>
        </w:rPr>
      </w:pPr>
    </w:p>
    <w:p w:rsidR="000B20DC" w:rsidRPr="000A5725" w:rsidRDefault="000B20DC" w:rsidP="000B20DC">
      <w:pPr>
        <w:pStyle w:val="Sinespaciado"/>
        <w:rPr>
          <w:rFonts w:ascii="Times New Roman" w:hAnsi="Times New Roman" w:cs="Times New Roman"/>
          <w:b/>
          <w:color w:val="FF0000"/>
          <w:sz w:val="18"/>
          <w:lang w:val="es-MX"/>
        </w:rPr>
        <w:sectPr w:rsidR="000B20DC" w:rsidRPr="000A5725" w:rsidSect="004E358C">
          <w:type w:val="continuous"/>
          <w:pgSz w:w="12240" w:h="15840"/>
          <w:pgMar w:top="1417" w:right="1701" w:bottom="1417" w:left="1701" w:header="708" w:footer="708" w:gutter="0"/>
          <w:cols w:space="708"/>
          <w:docGrid w:linePitch="360"/>
        </w:sectPr>
      </w:pPr>
    </w:p>
    <w:p w:rsidR="00D6784D" w:rsidRDefault="00D6784D" w:rsidP="00D6784D">
      <w:pPr>
        <w:spacing w:after="0" w:line="240" w:lineRule="auto"/>
        <w:ind w:right="213"/>
        <w:jc w:val="both"/>
        <w:rPr>
          <w:rFonts w:ascii="Times New Roman" w:hAnsi="Times New Roman" w:cs="Times New Roman"/>
        </w:rPr>
      </w:pPr>
      <w:r w:rsidRPr="008F16DC">
        <w:rPr>
          <w:rFonts w:ascii="Times New Roman" w:hAnsi="Times New Roman" w:cs="Times New Roman"/>
          <w:b/>
        </w:rPr>
        <w:lastRenderedPageBreak/>
        <w:t>En el seguimiento de la ejecución del gasto relacionado a la pandemia COVID-19</w:t>
      </w:r>
      <w:r>
        <w:rPr>
          <w:rFonts w:ascii="Times New Roman" w:hAnsi="Times New Roman" w:cs="Times New Roman"/>
        </w:rPr>
        <w:t xml:space="preserve">, durante el año se han dado gastos importantes a nivel de tres ministerios, siendo el caso de Ministerio de Salud Pública y Asistencia Social por Q1,039.3 millones, Ministerio de Desarrollo Social por Q102.9 millones y Ministerio de </w:t>
      </w:r>
      <w:r>
        <w:rPr>
          <w:rFonts w:ascii="Times New Roman" w:hAnsi="Times New Roman" w:cs="Times New Roman"/>
        </w:rPr>
        <w:lastRenderedPageBreak/>
        <w:t xml:space="preserve">Agricultura, Ganadería y Alimentación por Q76.4 millones que totalizan intervenciones por Q1,218.5 millones. </w:t>
      </w:r>
    </w:p>
    <w:p w:rsidR="00D6784D" w:rsidRDefault="00D6784D" w:rsidP="00D6784D">
      <w:pPr>
        <w:spacing w:after="0" w:line="240" w:lineRule="auto"/>
        <w:ind w:right="213"/>
        <w:jc w:val="both"/>
        <w:rPr>
          <w:rFonts w:ascii="Times New Roman" w:hAnsi="Times New Roman" w:cs="Times New Roman"/>
        </w:rPr>
      </w:pPr>
    </w:p>
    <w:p w:rsidR="00D6784D" w:rsidRDefault="00D6784D" w:rsidP="00D6784D">
      <w:pPr>
        <w:spacing w:after="0" w:line="240" w:lineRule="auto"/>
        <w:ind w:right="213"/>
        <w:jc w:val="both"/>
        <w:rPr>
          <w:rFonts w:ascii="Times New Roman" w:hAnsi="Times New Roman" w:cs="Times New Roman"/>
        </w:rPr>
      </w:pPr>
      <w:r>
        <w:rPr>
          <w:rFonts w:ascii="Times New Roman" w:hAnsi="Times New Roman" w:cs="Times New Roman"/>
        </w:rPr>
        <w:t xml:space="preserve">Dentro de los gastos, resalta la ejecución del relacionada al esquema de vacunación contra el COVID-19, con una ejecución de Q638.6 millones, así mismo existen otras </w:t>
      </w:r>
      <w:r>
        <w:rPr>
          <w:rFonts w:ascii="Times New Roman" w:hAnsi="Times New Roman" w:cs="Times New Roman"/>
        </w:rPr>
        <w:lastRenderedPageBreak/>
        <w:t xml:space="preserve">intervenciones importantes por parte del Ministerio de Salud Pública, tal es el caso de Q381.6 millones por intervenciones diversas para la atención de la emergencia y Q19.1 millones de laboratorios beneficiados con materiales y equipo de atención de la emergencia COVID-19.  </w:t>
      </w:r>
    </w:p>
    <w:p w:rsidR="00D6784D" w:rsidRDefault="00D6784D" w:rsidP="00D6784D">
      <w:pPr>
        <w:spacing w:after="0" w:line="240" w:lineRule="auto"/>
        <w:ind w:right="213"/>
        <w:jc w:val="both"/>
        <w:rPr>
          <w:rFonts w:ascii="Times New Roman" w:hAnsi="Times New Roman" w:cs="Times New Roman"/>
        </w:rPr>
      </w:pPr>
    </w:p>
    <w:p w:rsidR="00C35B1D" w:rsidRPr="00D6784D" w:rsidRDefault="00C35B1D" w:rsidP="00C35B1D">
      <w:pPr>
        <w:pStyle w:val="Sinespaciado"/>
        <w:ind w:right="213"/>
        <w:jc w:val="center"/>
        <w:rPr>
          <w:rFonts w:ascii="Times New Roman" w:hAnsi="Times New Roman" w:cs="Times New Roman"/>
          <w:b/>
        </w:rPr>
      </w:pPr>
      <w:r w:rsidRPr="00D6784D">
        <w:rPr>
          <w:rFonts w:ascii="Times New Roman" w:hAnsi="Times New Roman" w:cs="Times New Roman"/>
          <w:b/>
        </w:rPr>
        <w:t>Ejecución acumulada de los programas en atención al COVID-19</w:t>
      </w:r>
    </w:p>
    <w:p w:rsidR="00C35B1D" w:rsidRPr="00D6784D" w:rsidRDefault="00C35B1D" w:rsidP="00C35B1D">
      <w:pPr>
        <w:pStyle w:val="Sinespaciado"/>
        <w:ind w:right="213"/>
        <w:jc w:val="center"/>
        <w:rPr>
          <w:rFonts w:ascii="Times New Roman" w:hAnsi="Times New Roman" w:cs="Times New Roman"/>
          <w:sz w:val="18"/>
        </w:rPr>
      </w:pPr>
      <w:r w:rsidRPr="00D6784D">
        <w:rPr>
          <w:rFonts w:ascii="Times New Roman" w:hAnsi="Times New Roman" w:cs="Times New Roman"/>
          <w:noProof/>
          <w:lang w:val="es-ES" w:eastAsia="es-ES"/>
        </w:rPr>
        <w:drawing>
          <wp:anchor distT="0" distB="0" distL="114300" distR="114300" simplePos="0" relativeHeight="251838464" behindDoc="0" locked="0" layoutInCell="1" allowOverlap="1" wp14:anchorId="402A92B2" wp14:editId="3C4A9DD7">
            <wp:simplePos x="0" y="0"/>
            <wp:positionH relativeFrom="column">
              <wp:posOffset>-3810</wp:posOffset>
            </wp:positionH>
            <wp:positionV relativeFrom="paragraph">
              <wp:posOffset>153035</wp:posOffset>
            </wp:positionV>
            <wp:extent cx="2679065" cy="2095500"/>
            <wp:effectExtent l="0" t="0" r="6985" b="0"/>
            <wp:wrapSquare wrapText="bothSides"/>
            <wp:docPr id="25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sidRPr="00D6784D">
        <w:rPr>
          <w:rFonts w:ascii="Times New Roman" w:hAnsi="Times New Roman" w:cs="Times New Roman"/>
          <w:sz w:val="18"/>
        </w:rPr>
        <w:t>Millones de quetzales y porcentajes</w:t>
      </w:r>
    </w:p>
    <w:p w:rsidR="00C35B1D" w:rsidRPr="00D6784D" w:rsidRDefault="00C35B1D" w:rsidP="00C35B1D">
      <w:pPr>
        <w:pStyle w:val="Sinespaciado"/>
        <w:ind w:right="213"/>
        <w:rPr>
          <w:rFonts w:ascii="Times New Roman" w:hAnsi="Times New Roman" w:cs="Times New Roman"/>
          <w:sz w:val="16"/>
        </w:rPr>
      </w:pPr>
      <w:r w:rsidRPr="00D6784D">
        <w:rPr>
          <w:rFonts w:ascii="Times New Roman" w:hAnsi="Times New Roman" w:cs="Times New Roman"/>
          <w:sz w:val="16"/>
        </w:rPr>
        <w:t>Fuente: Dirección de Análisis y Política Fiscal</w:t>
      </w:r>
    </w:p>
    <w:p w:rsidR="00C35B1D" w:rsidRDefault="00C35B1D" w:rsidP="00D6784D">
      <w:pPr>
        <w:spacing w:after="0" w:line="240" w:lineRule="auto"/>
        <w:ind w:right="213"/>
        <w:jc w:val="both"/>
        <w:rPr>
          <w:rFonts w:ascii="Times New Roman" w:hAnsi="Times New Roman" w:cs="Times New Roman"/>
        </w:rPr>
      </w:pPr>
    </w:p>
    <w:p w:rsidR="000B20DC" w:rsidRDefault="00D6784D" w:rsidP="00474998">
      <w:pPr>
        <w:pStyle w:val="Sinespaciado"/>
        <w:ind w:right="213"/>
        <w:jc w:val="both"/>
        <w:rPr>
          <w:rFonts w:ascii="Times New Roman" w:hAnsi="Times New Roman" w:cs="Times New Roman"/>
          <w:color w:val="FF0000"/>
        </w:rPr>
      </w:pPr>
      <w:r>
        <w:rPr>
          <w:rFonts w:ascii="Times New Roman" w:hAnsi="Times New Roman" w:cs="Times New Roman"/>
        </w:rPr>
        <w:t xml:space="preserve">En el caso del Ministerio de </w:t>
      </w:r>
      <w:r w:rsidRPr="00C54AF7">
        <w:rPr>
          <w:rFonts w:ascii="Times New Roman" w:hAnsi="Times New Roman" w:cs="Times New Roman"/>
        </w:rPr>
        <w:t>De</w:t>
      </w:r>
      <w:r>
        <w:rPr>
          <w:rFonts w:ascii="Times New Roman" w:hAnsi="Times New Roman" w:cs="Times New Roman"/>
        </w:rPr>
        <w:t xml:space="preserve">sarrollo Social y Ministerio de Agricultura, Ganadería y Alimentación la ejecución </w:t>
      </w:r>
      <w:r>
        <w:rPr>
          <w:rFonts w:ascii="Times New Roman" w:hAnsi="Times New Roman" w:cs="Times New Roman"/>
        </w:rPr>
        <w:lastRenderedPageBreak/>
        <w:t>corresponde a la regularización del anticipo dado en 2020 al Programa Mundial de Alimentos, que consiste</w:t>
      </w:r>
      <w:r w:rsidRPr="00C54AF7">
        <w:rPr>
          <w:rFonts w:ascii="Times New Roman" w:hAnsi="Times New Roman" w:cs="Times New Roman"/>
        </w:rPr>
        <w:t xml:space="preserve"> en cupones ca</w:t>
      </w:r>
      <w:r>
        <w:rPr>
          <w:rFonts w:ascii="Times New Roman" w:hAnsi="Times New Roman" w:cs="Times New Roman"/>
        </w:rPr>
        <w:t>njeables y entregas en especie de la actividad dotación alimentaria. Adicionalmente, Desarrollo Social reporta una ejecución pequeña en otras intervenciones realizadas para la atención de la emergencia COVID-19.</w:t>
      </w:r>
      <w:r w:rsidR="00474998" w:rsidRPr="000A5725">
        <w:rPr>
          <w:rFonts w:ascii="Times New Roman" w:hAnsi="Times New Roman" w:cs="Times New Roman"/>
          <w:color w:val="FF0000"/>
        </w:rPr>
        <w:t xml:space="preserve"> </w:t>
      </w:r>
    </w:p>
    <w:p w:rsidR="00C35B1D" w:rsidRDefault="00C35B1D" w:rsidP="00474998">
      <w:pPr>
        <w:pStyle w:val="Sinespaciado"/>
        <w:ind w:right="213"/>
        <w:jc w:val="both"/>
        <w:rPr>
          <w:rFonts w:ascii="Times New Roman" w:hAnsi="Times New Roman" w:cs="Times New Roman"/>
          <w:color w:val="FF0000"/>
        </w:rPr>
      </w:pPr>
    </w:p>
    <w:p w:rsidR="004C71BC" w:rsidRDefault="00474998" w:rsidP="00C35B1D">
      <w:pPr>
        <w:pStyle w:val="Sinespaciado"/>
        <w:ind w:right="213"/>
        <w:jc w:val="both"/>
        <w:rPr>
          <w:rFonts w:ascii="Times New Roman" w:hAnsi="Times New Roman" w:cs="Times New Roman"/>
        </w:rPr>
      </w:pPr>
      <w:r w:rsidRPr="00D6784D">
        <w:rPr>
          <w:rFonts w:ascii="Times New Roman" w:hAnsi="Times New Roman" w:cs="Times New Roman"/>
          <w:b/>
        </w:rPr>
        <w:t>Respecto al subprograma 11, relacionado al Estado de Calamidad Pública por la Depresión Tropical ETA (DG 20-2020 y 21-2020)</w:t>
      </w:r>
      <w:r w:rsidRPr="00D6784D">
        <w:rPr>
          <w:rFonts w:ascii="Times New Roman" w:hAnsi="Times New Roman" w:cs="Times New Roman"/>
        </w:rPr>
        <w:t xml:space="preserve"> reporta una ejecución de Q118.5 millones, de los cuales Q116.8 millones corresponden al Ministerio de Comunicaciones, Infraestructura y Vivienda para el mantenimiento y reparación de bienes nacionales   de uso común, lo cual incluye gastos de mantenimiento y reparación de carreteras y puentes y arrendamiento de maquinaria y equipo de construcción. Adicionalmente, el Ministerio de Desarrollo Social reporta una ejecución de Q1.7 millones por materiales de construcción y enseres y mantenimiento y re</w:t>
      </w:r>
      <w:r w:rsidR="00C35B1D">
        <w:rPr>
          <w:rFonts w:ascii="Times New Roman" w:hAnsi="Times New Roman" w:cs="Times New Roman"/>
        </w:rPr>
        <w:t xml:space="preserve">paración de bienes nacionales. </w:t>
      </w:r>
    </w:p>
    <w:p w:rsidR="00C35B1D" w:rsidRDefault="00C35B1D" w:rsidP="00C35B1D">
      <w:pPr>
        <w:pStyle w:val="Sinespaciado"/>
        <w:ind w:right="213"/>
        <w:jc w:val="both"/>
        <w:rPr>
          <w:rFonts w:ascii="Times New Roman" w:hAnsi="Times New Roman" w:cs="Times New Roman"/>
        </w:rPr>
      </w:pPr>
    </w:p>
    <w:p w:rsidR="00C35B1D" w:rsidRPr="00C35B1D" w:rsidRDefault="00C35B1D" w:rsidP="00C35B1D">
      <w:pPr>
        <w:pStyle w:val="Sinespaciado"/>
        <w:ind w:right="213"/>
        <w:jc w:val="both"/>
        <w:rPr>
          <w:rFonts w:ascii="Times New Roman" w:hAnsi="Times New Roman" w:cs="Times New Roman"/>
          <w:sz w:val="16"/>
        </w:rPr>
        <w:sectPr w:rsidR="00C35B1D" w:rsidRPr="00C35B1D" w:rsidSect="008E66C1">
          <w:type w:val="continuous"/>
          <w:pgSz w:w="12240" w:h="15840"/>
          <w:pgMar w:top="1417" w:right="1467" w:bottom="1417" w:left="1701" w:header="708" w:footer="708" w:gutter="0"/>
          <w:cols w:num="2" w:space="708"/>
          <w:docGrid w:linePitch="360"/>
        </w:sectPr>
      </w:pPr>
    </w:p>
    <w:p w:rsidR="00D6784D" w:rsidRDefault="00D6784D" w:rsidP="00D4202F">
      <w:pPr>
        <w:spacing w:after="0"/>
        <w:rPr>
          <w:rFonts w:ascii="Times New Roman" w:hAnsi="Times New Roman" w:cs="Times New Roman"/>
          <w:color w:val="FF0000"/>
          <w:sz w:val="18"/>
          <w:lang w:val="es-MX"/>
        </w:rPr>
      </w:pPr>
    </w:p>
    <w:p w:rsidR="00D6784D" w:rsidRDefault="00D6784D" w:rsidP="00D4202F">
      <w:pPr>
        <w:spacing w:after="0"/>
        <w:rPr>
          <w:rFonts w:ascii="Times New Roman" w:hAnsi="Times New Roman" w:cs="Times New Roman"/>
          <w:color w:val="FF0000"/>
          <w:sz w:val="18"/>
          <w:lang w:val="es-MX"/>
        </w:rPr>
      </w:pPr>
    </w:p>
    <w:p w:rsidR="00C35B1D" w:rsidRDefault="00C35B1D" w:rsidP="00D4202F">
      <w:pPr>
        <w:spacing w:after="0"/>
        <w:rPr>
          <w:rFonts w:ascii="Times New Roman" w:hAnsi="Times New Roman" w:cs="Times New Roman"/>
          <w:color w:val="FF0000"/>
          <w:sz w:val="18"/>
          <w:lang w:val="es-MX"/>
        </w:rPr>
      </w:pPr>
    </w:p>
    <w:p w:rsidR="00C35B1D" w:rsidRDefault="00C35B1D" w:rsidP="00D4202F">
      <w:pPr>
        <w:spacing w:after="0"/>
        <w:rPr>
          <w:rFonts w:ascii="Times New Roman" w:hAnsi="Times New Roman" w:cs="Times New Roman"/>
          <w:color w:val="FF0000"/>
          <w:sz w:val="18"/>
          <w:lang w:val="es-MX"/>
        </w:rPr>
      </w:pPr>
    </w:p>
    <w:p w:rsidR="00C35B1D" w:rsidRPr="000A5725" w:rsidRDefault="00C35B1D" w:rsidP="00D4202F">
      <w:pPr>
        <w:spacing w:after="0"/>
        <w:rPr>
          <w:rFonts w:ascii="Times New Roman" w:hAnsi="Times New Roman" w:cs="Times New Roman"/>
          <w:color w:val="FF0000"/>
          <w:sz w:val="18"/>
          <w:lang w:val="es-MX"/>
        </w:rPr>
        <w:sectPr w:rsidR="00C35B1D" w:rsidRPr="000A5725" w:rsidSect="004E358C">
          <w:type w:val="continuous"/>
          <w:pgSz w:w="12240" w:h="15840"/>
          <w:pgMar w:top="1417" w:right="1701" w:bottom="1417" w:left="1701" w:header="708" w:footer="708" w:gutter="0"/>
          <w:cols w:num="2" w:space="708"/>
          <w:docGrid w:linePitch="360"/>
        </w:sectPr>
      </w:pPr>
    </w:p>
    <w:p w:rsidR="00494D1D" w:rsidRPr="000A5725" w:rsidRDefault="0042387A" w:rsidP="00BB4C28">
      <w:pPr>
        <w:pBdr>
          <w:top w:val="single" w:sz="4" w:space="0"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494D1D" w:rsidRPr="000A5725" w:rsidSect="00FA3B81">
          <w:headerReference w:type="default" r:id="rId29"/>
          <w:footerReference w:type="default" r:id="rId30"/>
          <w:type w:val="continuous"/>
          <w:pgSz w:w="12240" w:h="15840" w:code="1"/>
          <w:pgMar w:top="1418" w:right="1418" w:bottom="1418" w:left="1418" w:header="709" w:footer="709" w:gutter="0"/>
          <w:cols w:space="708"/>
          <w:docGrid w:linePitch="360"/>
        </w:sectPr>
      </w:pPr>
      <w:r w:rsidRPr="000A5725">
        <w:rPr>
          <w:rFonts w:ascii="Times New Roman" w:hAnsi="Times New Roman" w:cs="Times New Roman"/>
          <w:b/>
          <w:lang w:val="es-MX"/>
        </w:rPr>
        <w:lastRenderedPageBreak/>
        <w:t>Ambientes macroeconómicos (externo e interno)</w:t>
      </w:r>
    </w:p>
    <w:p w:rsidR="00494D1D" w:rsidRPr="000A5725" w:rsidRDefault="00494D1D" w:rsidP="00BD6CCD">
      <w:pPr>
        <w:pStyle w:val="Sinespaciado"/>
        <w:jc w:val="both"/>
        <w:rPr>
          <w:rFonts w:ascii="Times New Roman" w:hAnsi="Times New Roman" w:cs="Times New Roman"/>
          <w:b/>
          <w:sz w:val="28"/>
          <w:lang w:val="es-MX"/>
        </w:rPr>
        <w:sectPr w:rsidR="00494D1D" w:rsidRPr="000A5725" w:rsidSect="004E358C">
          <w:type w:val="continuous"/>
          <w:pgSz w:w="12240" w:h="15840"/>
          <w:pgMar w:top="1417" w:right="1701" w:bottom="1417" w:left="1701" w:header="708" w:footer="708" w:gutter="0"/>
          <w:cols w:space="708"/>
          <w:docGrid w:linePitch="360"/>
        </w:sectPr>
      </w:pPr>
    </w:p>
    <w:p w:rsidR="0025608A" w:rsidRDefault="008C6964" w:rsidP="00474998">
      <w:pPr>
        <w:pStyle w:val="Textodeglobo"/>
        <w:jc w:val="both"/>
        <w:rPr>
          <w:rFonts w:ascii="Times New Roman" w:hAnsi="Times New Roman" w:cs="Times New Roman"/>
          <w:sz w:val="22"/>
          <w:szCs w:val="22"/>
        </w:rPr>
      </w:pPr>
      <w:r w:rsidRPr="000A5725">
        <w:rPr>
          <w:rFonts w:ascii="Times New Roman" w:hAnsi="Times New Roman" w:cs="Times New Roman"/>
          <w:sz w:val="22"/>
          <w:szCs w:val="22"/>
        </w:rPr>
        <w:lastRenderedPageBreak/>
        <w:t>En el ámbito económico, en junio</w:t>
      </w:r>
      <w:r w:rsidR="001A790A" w:rsidRPr="000A5725">
        <w:rPr>
          <w:rFonts w:ascii="Times New Roman" w:hAnsi="Times New Roman" w:cs="Times New Roman"/>
          <w:sz w:val="22"/>
          <w:szCs w:val="22"/>
        </w:rPr>
        <w:t xml:space="preserve"> </w:t>
      </w:r>
      <w:r w:rsidRPr="000A5725">
        <w:rPr>
          <w:rFonts w:ascii="Times New Roman" w:hAnsi="Times New Roman" w:cs="Times New Roman"/>
          <w:sz w:val="22"/>
          <w:szCs w:val="22"/>
        </w:rPr>
        <w:t>el Banco Mundial actualizó las</w:t>
      </w:r>
      <w:r w:rsidR="008801C1" w:rsidRPr="000A5725">
        <w:rPr>
          <w:rFonts w:ascii="Times New Roman" w:hAnsi="Times New Roman" w:cs="Times New Roman"/>
          <w:sz w:val="22"/>
          <w:szCs w:val="22"/>
        </w:rPr>
        <w:t xml:space="preserve"> perspectivas económicas mundiales, las cuales </w:t>
      </w:r>
      <w:r w:rsidRPr="000A5725">
        <w:rPr>
          <w:rFonts w:ascii="Times New Roman" w:hAnsi="Times New Roman" w:cs="Times New Roman"/>
          <w:sz w:val="22"/>
          <w:szCs w:val="22"/>
        </w:rPr>
        <w:t>sitúan el crecimiento económico mundial en</w:t>
      </w:r>
      <w:r w:rsidR="008801C1" w:rsidRPr="000A5725">
        <w:rPr>
          <w:rFonts w:ascii="Times New Roman" w:hAnsi="Times New Roman" w:cs="Times New Roman"/>
          <w:sz w:val="22"/>
          <w:szCs w:val="22"/>
        </w:rPr>
        <w:t xml:space="preserve"> 5.6%</w:t>
      </w:r>
      <w:r w:rsidR="0063426D" w:rsidRPr="000A5725">
        <w:rPr>
          <w:rFonts w:ascii="Times New Roman" w:hAnsi="Times New Roman" w:cs="Times New Roman"/>
          <w:sz w:val="22"/>
          <w:szCs w:val="22"/>
        </w:rPr>
        <w:t xml:space="preserve"> </w:t>
      </w:r>
      <w:r w:rsidRPr="000A5725">
        <w:rPr>
          <w:rFonts w:ascii="Times New Roman" w:hAnsi="Times New Roman" w:cs="Times New Roman"/>
          <w:sz w:val="22"/>
          <w:szCs w:val="22"/>
        </w:rPr>
        <w:t>para</w:t>
      </w:r>
      <w:r w:rsidR="0063426D" w:rsidRPr="000A5725">
        <w:rPr>
          <w:rFonts w:ascii="Times New Roman" w:hAnsi="Times New Roman" w:cs="Times New Roman"/>
          <w:sz w:val="22"/>
          <w:szCs w:val="22"/>
        </w:rPr>
        <w:t xml:space="preserve"> 2021</w:t>
      </w:r>
      <w:r w:rsidR="008801C1" w:rsidRPr="000A5725">
        <w:rPr>
          <w:rFonts w:ascii="Times New Roman" w:hAnsi="Times New Roman" w:cs="Times New Roman"/>
          <w:sz w:val="22"/>
          <w:szCs w:val="22"/>
        </w:rPr>
        <w:t>, atribuido, en gran medida, al fuerte repunte de algunas de las principales economías.  Sin embargo</w:t>
      </w:r>
      <w:r w:rsidR="008E54C0" w:rsidRPr="000A5725">
        <w:rPr>
          <w:rFonts w:ascii="Times New Roman" w:hAnsi="Times New Roman" w:cs="Times New Roman"/>
          <w:sz w:val="22"/>
          <w:szCs w:val="22"/>
        </w:rPr>
        <w:t xml:space="preserve">, considera </w:t>
      </w:r>
      <w:r w:rsidR="008801C1" w:rsidRPr="000A5725">
        <w:rPr>
          <w:rFonts w:ascii="Times New Roman" w:hAnsi="Times New Roman" w:cs="Times New Roman"/>
          <w:sz w:val="22"/>
          <w:szCs w:val="22"/>
        </w:rPr>
        <w:t>que la pandemia de covid-19 y sus consecuencias</w:t>
      </w:r>
      <w:r w:rsidRPr="000A5725">
        <w:rPr>
          <w:rFonts w:ascii="Times New Roman" w:hAnsi="Times New Roman" w:cs="Times New Roman"/>
          <w:sz w:val="22"/>
          <w:szCs w:val="22"/>
        </w:rPr>
        <w:t xml:space="preserve">, tendrá una incidencia en una buena parte de países y dependerá del avance en el nivel de acceso a la vacuna para alcanzar una inmunidad de rebaño y, lograr alcanzar los </w:t>
      </w:r>
      <w:r w:rsidRPr="000A5725">
        <w:rPr>
          <w:rFonts w:ascii="Times New Roman" w:hAnsi="Times New Roman" w:cs="Times New Roman"/>
          <w:sz w:val="22"/>
          <w:szCs w:val="22"/>
        </w:rPr>
        <w:lastRenderedPageBreak/>
        <w:t>escenarios previos a la pandemia</w:t>
      </w:r>
      <w:r w:rsidR="008801C1" w:rsidRPr="000A5725">
        <w:rPr>
          <w:rFonts w:ascii="Times New Roman" w:hAnsi="Times New Roman" w:cs="Times New Roman"/>
          <w:sz w:val="22"/>
          <w:szCs w:val="22"/>
        </w:rPr>
        <w:t xml:space="preserve">; </w:t>
      </w:r>
      <w:r w:rsidRPr="000A5725">
        <w:rPr>
          <w:rFonts w:ascii="Times New Roman" w:hAnsi="Times New Roman" w:cs="Times New Roman"/>
          <w:sz w:val="22"/>
          <w:szCs w:val="22"/>
        </w:rPr>
        <w:t xml:space="preserve">es importante señalar que, </w:t>
      </w:r>
      <w:r w:rsidR="008801C1" w:rsidRPr="000A5725">
        <w:rPr>
          <w:rFonts w:ascii="Times New Roman" w:hAnsi="Times New Roman" w:cs="Times New Roman"/>
          <w:sz w:val="22"/>
          <w:szCs w:val="22"/>
        </w:rPr>
        <w:t xml:space="preserve">a pesar de la reactivación, </w:t>
      </w:r>
      <w:r w:rsidRPr="000A5725">
        <w:rPr>
          <w:rFonts w:ascii="Times New Roman" w:hAnsi="Times New Roman" w:cs="Times New Roman"/>
          <w:sz w:val="22"/>
          <w:szCs w:val="22"/>
        </w:rPr>
        <w:t xml:space="preserve">se prevé que, </w:t>
      </w:r>
      <w:r w:rsidR="008801C1" w:rsidRPr="000A5725">
        <w:rPr>
          <w:rFonts w:ascii="Times New Roman" w:hAnsi="Times New Roman" w:cs="Times New Roman"/>
          <w:sz w:val="22"/>
          <w:szCs w:val="22"/>
        </w:rPr>
        <w:t xml:space="preserve">para fin de este año, la producción mundial será alrededor de un 2% inferior a lo que se proyectaba antes de la pandemia. </w:t>
      </w:r>
    </w:p>
    <w:p w:rsidR="007A004E" w:rsidRDefault="007A004E" w:rsidP="00474998">
      <w:pPr>
        <w:pStyle w:val="Textodeglobo"/>
        <w:jc w:val="both"/>
        <w:rPr>
          <w:rFonts w:ascii="Times New Roman" w:hAnsi="Times New Roman" w:cs="Times New Roman"/>
          <w:sz w:val="22"/>
          <w:szCs w:val="22"/>
        </w:rPr>
      </w:pPr>
    </w:p>
    <w:p w:rsidR="007A004E" w:rsidRPr="000A5725" w:rsidRDefault="007A004E" w:rsidP="007A004E">
      <w:pPr>
        <w:pStyle w:val="Textodeglobo"/>
        <w:jc w:val="both"/>
        <w:rPr>
          <w:rFonts w:ascii="Times New Roman" w:hAnsi="Times New Roman" w:cs="Times New Roman"/>
          <w:sz w:val="22"/>
          <w:szCs w:val="22"/>
        </w:rPr>
      </w:pPr>
      <w:r w:rsidRPr="000A5725">
        <w:rPr>
          <w:rFonts w:ascii="Times New Roman" w:hAnsi="Times New Roman" w:cs="Times New Roman"/>
          <w:sz w:val="22"/>
          <w:szCs w:val="22"/>
        </w:rPr>
        <w:t xml:space="preserve">El informe del Banco Mundial concluye anticipando que la reactivación entre los mercados emergentes y las economías en desarrollo será moderada; para 2022 espera un crecimiento de 4.7% y en el caso de las </w:t>
      </w:r>
      <w:r w:rsidRPr="000A5725">
        <w:rPr>
          <w:rFonts w:ascii="Times New Roman" w:hAnsi="Times New Roman" w:cs="Times New Roman"/>
          <w:sz w:val="22"/>
          <w:szCs w:val="22"/>
        </w:rPr>
        <w:lastRenderedPageBreak/>
        <w:t>economías de ingreso bajo considera una expansión de 2.9% en 2021, antes de repuntar hasta un 4.7% en 2022.</w:t>
      </w:r>
    </w:p>
    <w:p w:rsidR="008C6964" w:rsidRPr="000A5725" w:rsidRDefault="008C6964" w:rsidP="00474998">
      <w:pPr>
        <w:pStyle w:val="Textodeglobo"/>
        <w:jc w:val="both"/>
        <w:rPr>
          <w:rFonts w:ascii="Times New Roman" w:hAnsi="Times New Roman" w:cs="Times New Roman"/>
          <w:sz w:val="22"/>
          <w:szCs w:val="22"/>
        </w:rPr>
      </w:pPr>
    </w:p>
    <w:p w:rsidR="00F4723C" w:rsidRPr="000A5725" w:rsidRDefault="0068170A" w:rsidP="00474998">
      <w:pPr>
        <w:pStyle w:val="Textodeglobo"/>
        <w:jc w:val="center"/>
        <w:rPr>
          <w:rFonts w:ascii="Times New Roman" w:hAnsi="Times New Roman" w:cs="Times New Roman"/>
          <w:b/>
          <w:sz w:val="22"/>
          <w:szCs w:val="22"/>
        </w:rPr>
      </w:pPr>
      <w:r w:rsidRPr="000A5725">
        <w:rPr>
          <w:noProof/>
          <w:lang w:val="es-ES" w:eastAsia="es-ES"/>
        </w:rPr>
        <w:drawing>
          <wp:anchor distT="0" distB="0" distL="114300" distR="114300" simplePos="0" relativeHeight="251814912" behindDoc="0" locked="0" layoutInCell="1" allowOverlap="1" wp14:anchorId="6EC51715" wp14:editId="1A136088">
            <wp:simplePos x="0" y="0"/>
            <wp:positionH relativeFrom="column">
              <wp:posOffset>15240</wp:posOffset>
            </wp:positionH>
            <wp:positionV relativeFrom="paragraph">
              <wp:posOffset>391160</wp:posOffset>
            </wp:positionV>
            <wp:extent cx="2570480" cy="2656840"/>
            <wp:effectExtent l="0" t="0" r="1270" b="0"/>
            <wp:wrapTopAndBottom/>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70480" cy="2656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723C" w:rsidRPr="000A5725">
        <w:rPr>
          <w:rFonts w:ascii="Times New Roman" w:hAnsi="Times New Roman" w:cs="Times New Roman"/>
          <w:b/>
          <w:sz w:val="22"/>
          <w:szCs w:val="22"/>
        </w:rPr>
        <w:t>Perspectivas económicas mundiales, actualización junio 2021</w:t>
      </w:r>
    </w:p>
    <w:p w:rsidR="0025608A" w:rsidRDefault="00F4723C" w:rsidP="00474998">
      <w:pPr>
        <w:pStyle w:val="Textodeglobo"/>
        <w:jc w:val="both"/>
        <w:rPr>
          <w:rFonts w:ascii="Times New Roman" w:hAnsi="Times New Roman" w:cs="Times New Roman"/>
          <w:szCs w:val="22"/>
        </w:rPr>
      </w:pPr>
      <w:r w:rsidRPr="000A5725">
        <w:rPr>
          <w:rFonts w:ascii="Times New Roman" w:hAnsi="Times New Roman" w:cs="Times New Roman"/>
          <w:szCs w:val="22"/>
        </w:rPr>
        <w:t>Fuente: Banco Mundial</w:t>
      </w:r>
    </w:p>
    <w:p w:rsidR="00AD255C" w:rsidRPr="000A5725" w:rsidRDefault="00AD255C" w:rsidP="00474998">
      <w:pPr>
        <w:pStyle w:val="Textodeglobo"/>
        <w:jc w:val="both"/>
        <w:rPr>
          <w:rFonts w:ascii="Times New Roman" w:hAnsi="Times New Roman" w:cs="Times New Roman"/>
          <w:sz w:val="22"/>
          <w:szCs w:val="22"/>
        </w:rPr>
      </w:pPr>
    </w:p>
    <w:p w:rsidR="00AD255C" w:rsidRPr="000A5725" w:rsidRDefault="00AD255C" w:rsidP="00AD255C">
      <w:pPr>
        <w:pStyle w:val="Textodeglobo"/>
        <w:jc w:val="both"/>
        <w:rPr>
          <w:rFonts w:ascii="Times New Roman" w:hAnsi="Times New Roman" w:cs="Times New Roman"/>
          <w:sz w:val="22"/>
          <w:szCs w:val="22"/>
        </w:rPr>
      </w:pPr>
      <w:r w:rsidRPr="000A5725">
        <w:rPr>
          <w:rFonts w:ascii="Times New Roman" w:hAnsi="Times New Roman" w:cs="Times New Roman"/>
          <w:sz w:val="22"/>
          <w:szCs w:val="22"/>
        </w:rPr>
        <w:t>En su informe, el Banco Mundial proyectó que la economía de China registrará un fuerte crecimiento en 2021 y se espera que ese crecimiento alcance el 8.5% este año.  Esta proyección se basa en la mejora continua de la economía China y el control efectivo de la pandemia de COVID-19. Asimismo, pronosticó que la estructura de la demanda agregada de la economía continúe rotando hacia la demanda interna y que el crecimiento del consumo real regrese a su tendencia anterior al impacto de la pandemia de COVID-19.</w:t>
      </w:r>
    </w:p>
    <w:p w:rsidR="00AD255C" w:rsidRPr="000A5725" w:rsidRDefault="00AD255C" w:rsidP="00AD255C">
      <w:pPr>
        <w:spacing w:after="0" w:line="240" w:lineRule="auto"/>
        <w:jc w:val="both"/>
        <w:rPr>
          <w:rFonts w:ascii="Times New Roman" w:hAnsi="Times New Roman" w:cs="Times New Roman"/>
        </w:rPr>
      </w:pPr>
    </w:p>
    <w:p w:rsidR="00AD255C" w:rsidRPr="000A5725" w:rsidRDefault="00AD255C" w:rsidP="00AD255C">
      <w:pPr>
        <w:spacing w:after="0" w:line="240" w:lineRule="auto"/>
        <w:jc w:val="both"/>
        <w:rPr>
          <w:rFonts w:ascii="Times New Roman" w:hAnsi="Times New Roman" w:cs="Times New Roman"/>
        </w:rPr>
      </w:pPr>
      <w:r w:rsidRPr="000A5725">
        <w:rPr>
          <w:rFonts w:ascii="Times New Roman" w:hAnsi="Times New Roman" w:cs="Times New Roman"/>
        </w:rPr>
        <w:t>Para América Latina y el Caribe, el Banco Mundial espera un crecimiento del PIB regional de 5.2%</w:t>
      </w:r>
      <w:r w:rsidRPr="000A5725">
        <w:t xml:space="preserve"> </w:t>
      </w:r>
      <w:r w:rsidRPr="000A5725">
        <w:rPr>
          <w:rFonts w:ascii="Times New Roman" w:hAnsi="Times New Roman" w:cs="Times New Roman"/>
        </w:rPr>
        <w:t xml:space="preserve">por debajo de la contracción del 6.5% experimentada el año pasado. Sin embargo, advierte que Latinoamérica sigue expuesta a riesgos para la recuperación, como posibles problemas con la campaña de </w:t>
      </w:r>
      <w:r w:rsidRPr="000A5725">
        <w:rPr>
          <w:rFonts w:ascii="Times New Roman" w:hAnsi="Times New Roman" w:cs="Times New Roman"/>
        </w:rPr>
        <w:lastRenderedPageBreak/>
        <w:t>inmunización, un nuevo recrudecimiento de la pandemia, estallidos sociales o algún desastre climático. Para las tres principales economías regionales, Brasil, México y Argentina, prevé un crecimiento del 4.5%, 5.0% y 6.4%, respectivamente.</w:t>
      </w:r>
    </w:p>
    <w:p w:rsidR="00AD255C" w:rsidRPr="000A5725" w:rsidRDefault="00AD255C" w:rsidP="00474998">
      <w:pPr>
        <w:pStyle w:val="Textodeglobo"/>
        <w:jc w:val="both"/>
        <w:rPr>
          <w:rFonts w:ascii="Times New Roman" w:hAnsi="Times New Roman" w:cs="Times New Roman"/>
          <w:sz w:val="22"/>
          <w:szCs w:val="22"/>
        </w:rPr>
      </w:pPr>
    </w:p>
    <w:p w:rsidR="00AD255C" w:rsidRPr="000A5725" w:rsidRDefault="00AD255C" w:rsidP="00AD255C">
      <w:pPr>
        <w:spacing w:after="0" w:line="240" w:lineRule="auto"/>
        <w:jc w:val="both"/>
        <w:rPr>
          <w:rFonts w:ascii="Times New Roman" w:hAnsi="Times New Roman" w:cs="Times New Roman"/>
          <w:lang w:val="es-MX"/>
        </w:rPr>
      </w:pPr>
      <w:r w:rsidRPr="000A5725">
        <w:rPr>
          <w:rFonts w:ascii="Times New Roman" w:hAnsi="Times New Roman" w:cs="Times New Roman"/>
        </w:rPr>
        <w:t>Finalmente, en</w:t>
      </w:r>
      <w:r w:rsidRPr="000A5725">
        <w:rPr>
          <w:rFonts w:ascii="Times New Roman" w:hAnsi="Times New Roman" w:cs="Times New Roman"/>
          <w:lang w:val="es-MX"/>
        </w:rPr>
        <w:t xml:space="preserve"> Centroamérica, el Banco Mundial espera un crecimiento económico de 4.8% para 2021, debido al apoyo fiscal adicional en Estados Unidos que permite mantener los flujos de remesas, lo que contribuye a mantener los gastos de consumo en Honduras, El Salvador, Jamaica, Guatemala y Nicaragua.</w:t>
      </w:r>
    </w:p>
    <w:p w:rsidR="00AD255C" w:rsidRPr="000A5725" w:rsidRDefault="00AD255C" w:rsidP="00474998">
      <w:pPr>
        <w:pStyle w:val="Textodeglobo"/>
        <w:jc w:val="both"/>
        <w:rPr>
          <w:rFonts w:ascii="Times New Roman" w:hAnsi="Times New Roman" w:cs="Times New Roman"/>
          <w:sz w:val="22"/>
          <w:szCs w:val="22"/>
        </w:rPr>
      </w:pPr>
    </w:p>
    <w:p w:rsidR="00C91553" w:rsidRPr="000A5725" w:rsidRDefault="00C91553" w:rsidP="00474998">
      <w:pPr>
        <w:pStyle w:val="Textodeglobo"/>
        <w:jc w:val="both"/>
        <w:rPr>
          <w:rFonts w:ascii="Times New Roman" w:hAnsi="Times New Roman" w:cs="Times New Roman"/>
          <w:sz w:val="22"/>
          <w:szCs w:val="22"/>
        </w:rPr>
      </w:pPr>
      <w:r w:rsidRPr="000A5725">
        <w:rPr>
          <w:rFonts w:ascii="Times New Roman" w:hAnsi="Times New Roman" w:cs="Times New Roman"/>
          <w:sz w:val="22"/>
          <w:szCs w:val="22"/>
        </w:rPr>
        <w:t xml:space="preserve">Por su parte, </w:t>
      </w:r>
      <w:r w:rsidR="007027B7" w:rsidRPr="000A5725">
        <w:rPr>
          <w:rFonts w:ascii="Times New Roman" w:hAnsi="Times New Roman" w:cs="Times New Roman"/>
          <w:sz w:val="22"/>
          <w:szCs w:val="22"/>
        </w:rPr>
        <w:t xml:space="preserve">el Fondo Monetario Internacional elevó las previsiones de crecimiento económico de Estados Unidos al 7% este año, </w:t>
      </w:r>
      <w:r w:rsidR="00F27173" w:rsidRPr="000A5725">
        <w:rPr>
          <w:rFonts w:ascii="Times New Roman" w:hAnsi="Times New Roman" w:cs="Times New Roman"/>
          <w:sz w:val="22"/>
          <w:szCs w:val="22"/>
        </w:rPr>
        <w:t xml:space="preserve">superior en 0.6% a lo esperado </w:t>
      </w:r>
      <w:r w:rsidR="007027B7" w:rsidRPr="000A5725">
        <w:rPr>
          <w:rFonts w:ascii="Times New Roman" w:hAnsi="Times New Roman" w:cs="Times New Roman"/>
          <w:sz w:val="22"/>
          <w:szCs w:val="22"/>
        </w:rPr>
        <w:t>tres meses atrás, debido al apoyo fiscal y monetario, combinado con el retroceso en los casos de covid-19</w:t>
      </w:r>
      <w:r w:rsidR="00AD255C" w:rsidRPr="000A5725">
        <w:rPr>
          <w:rFonts w:ascii="Times New Roman" w:hAnsi="Times New Roman" w:cs="Times New Roman"/>
          <w:sz w:val="22"/>
          <w:szCs w:val="22"/>
        </w:rPr>
        <w:t>, por las campañas de vacunación emprendidas por la administración</w:t>
      </w:r>
      <w:r w:rsidR="007027B7" w:rsidRPr="000A5725">
        <w:rPr>
          <w:rFonts w:ascii="Times New Roman" w:hAnsi="Times New Roman" w:cs="Times New Roman"/>
          <w:sz w:val="22"/>
          <w:szCs w:val="22"/>
        </w:rPr>
        <w:t xml:space="preserve">.  </w:t>
      </w:r>
      <w:r w:rsidR="00F27173" w:rsidRPr="000A5725">
        <w:rPr>
          <w:rFonts w:ascii="Times New Roman" w:hAnsi="Times New Roman" w:cs="Times New Roman"/>
          <w:sz w:val="22"/>
          <w:szCs w:val="22"/>
        </w:rPr>
        <w:t>T</w:t>
      </w:r>
      <w:r w:rsidR="007027B7" w:rsidRPr="000A5725">
        <w:rPr>
          <w:rFonts w:ascii="Times New Roman" w:hAnsi="Times New Roman" w:cs="Times New Roman"/>
          <w:sz w:val="22"/>
          <w:szCs w:val="22"/>
        </w:rPr>
        <w:t>ambién pronosticó una paulatina reducción en la tasa de desempleo, proyectando 4.4% para 2021 y bajará al 3.1% al término de 2022, en niveles ya de pleno empleo.  Con respecto a la inflación, el organismo reiteró que no lo considera un problema ya que responde a factores “transitorios” relacionados con la reapertura económica tras la paralización provocada por la pandemia; se espera 4% para 2021 y retrocederá hasta situarse alrededor del 2.5% en 2022.</w:t>
      </w:r>
    </w:p>
    <w:p w:rsidR="00232A32" w:rsidRPr="000A5725" w:rsidRDefault="00232A32" w:rsidP="00474998">
      <w:pPr>
        <w:pStyle w:val="Textodeglobo"/>
        <w:jc w:val="both"/>
        <w:rPr>
          <w:rFonts w:ascii="Times New Roman" w:hAnsi="Times New Roman" w:cs="Times New Roman"/>
          <w:sz w:val="22"/>
          <w:szCs w:val="22"/>
        </w:rPr>
      </w:pPr>
    </w:p>
    <w:p w:rsidR="00232A32" w:rsidRPr="000A5725" w:rsidRDefault="00232A32" w:rsidP="00474998">
      <w:pPr>
        <w:pStyle w:val="Textodeglobo"/>
        <w:jc w:val="both"/>
        <w:rPr>
          <w:rFonts w:ascii="Times New Roman" w:hAnsi="Times New Roman" w:cs="Times New Roman"/>
          <w:sz w:val="22"/>
          <w:szCs w:val="22"/>
        </w:rPr>
      </w:pPr>
      <w:r w:rsidRPr="000A5725">
        <w:rPr>
          <w:rFonts w:ascii="Times New Roman" w:hAnsi="Times New Roman" w:cs="Times New Roman"/>
          <w:sz w:val="22"/>
          <w:szCs w:val="22"/>
        </w:rPr>
        <w:t>El Comité Federal de Mercado Abierto (FOMC) de la Reserva Fed</w:t>
      </w:r>
      <w:r w:rsidR="00AD255C" w:rsidRPr="000A5725">
        <w:rPr>
          <w:rFonts w:ascii="Times New Roman" w:hAnsi="Times New Roman" w:cs="Times New Roman"/>
          <w:sz w:val="22"/>
          <w:szCs w:val="22"/>
        </w:rPr>
        <w:t>eral de Estados Unidos (Fed) decidió</w:t>
      </w:r>
      <w:r w:rsidRPr="000A5725">
        <w:rPr>
          <w:rFonts w:ascii="Times New Roman" w:hAnsi="Times New Roman" w:cs="Times New Roman"/>
          <w:sz w:val="22"/>
          <w:szCs w:val="22"/>
        </w:rPr>
        <w:t xml:space="preserve"> por unanimidad mantener los tipos de interés en un rango objetivo de entre el 0% y el 0,25%, lo que supone el menor nivel posible, ya que la autoridad no contempla tipos negativos.</w:t>
      </w:r>
    </w:p>
    <w:p w:rsidR="00E80EA8" w:rsidRPr="000A5725" w:rsidRDefault="00E80EA8" w:rsidP="00474998">
      <w:pPr>
        <w:pStyle w:val="Textodeglobo"/>
        <w:jc w:val="both"/>
        <w:rPr>
          <w:rFonts w:ascii="Times New Roman" w:hAnsi="Times New Roman" w:cs="Times New Roman"/>
          <w:sz w:val="22"/>
          <w:szCs w:val="22"/>
        </w:rPr>
      </w:pPr>
    </w:p>
    <w:p w:rsidR="00C91553" w:rsidRPr="000A5725" w:rsidRDefault="00F27173" w:rsidP="00474998">
      <w:pPr>
        <w:pStyle w:val="Textodeglobo"/>
        <w:jc w:val="both"/>
        <w:rPr>
          <w:rFonts w:ascii="Times New Roman" w:hAnsi="Times New Roman" w:cs="Times New Roman"/>
          <w:sz w:val="22"/>
          <w:szCs w:val="22"/>
        </w:rPr>
      </w:pPr>
      <w:r w:rsidRPr="000A5725">
        <w:rPr>
          <w:rFonts w:ascii="Times New Roman" w:hAnsi="Times New Roman" w:cs="Times New Roman"/>
          <w:sz w:val="22"/>
          <w:szCs w:val="22"/>
        </w:rPr>
        <w:lastRenderedPageBreak/>
        <w:t xml:space="preserve">El Banco Central Europeo </w:t>
      </w:r>
      <w:r w:rsidR="0025116F" w:rsidRPr="000A5725">
        <w:rPr>
          <w:rFonts w:ascii="Times New Roman" w:hAnsi="Times New Roman" w:cs="Times New Roman"/>
          <w:sz w:val="22"/>
          <w:szCs w:val="22"/>
        </w:rPr>
        <w:t xml:space="preserve">también </w:t>
      </w:r>
      <w:r w:rsidRPr="000A5725">
        <w:rPr>
          <w:rFonts w:ascii="Times New Roman" w:hAnsi="Times New Roman" w:cs="Times New Roman"/>
          <w:sz w:val="22"/>
          <w:szCs w:val="22"/>
        </w:rPr>
        <w:t xml:space="preserve">elevó este mes sus proyecciones de crecimiento para la eurozona, describiendo como escenario base, una </w:t>
      </w:r>
      <w:r w:rsidR="0025116F" w:rsidRPr="000A5725">
        <w:rPr>
          <w:rFonts w:ascii="Times New Roman" w:hAnsi="Times New Roman" w:cs="Times New Roman"/>
          <w:sz w:val="22"/>
          <w:szCs w:val="22"/>
        </w:rPr>
        <w:t>expansión de</w:t>
      </w:r>
      <w:r w:rsidRPr="000A5725">
        <w:rPr>
          <w:rFonts w:ascii="Times New Roman" w:hAnsi="Times New Roman" w:cs="Times New Roman"/>
          <w:sz w:val="22"/>
          <w:szCs w:val="22"/>
        </w:rPr>
        <w:t xml:space="preserve"> 4.6%</w:t>
      </w:r>
      <w:r w:rsidR="0025116F" w:rsidRPr="000A5725">
        <w:rPr>
          <w:rFonts w:ascii="Times New Roman" w:hAnsi="Times New Roman" w:cs="Times New Roman"/>
          <w:sz w:val="22"/>
          <w:szCs w:val="22"/>
        </w:rPr>
        <w:t xml:space="preserve"> este año, por encima del 4% de su revisión de</w:t>
      </w:r>
      <w:r w:rsidRPr="000A5725">
        <w:rPr>
          <w:rFonts w:ascii="Times New Roman" w:hAnsi="Times New Roman" w:cs="Times New Roman"/>
          <w:sz w:val="22"/>
          <w:szCs w:val="22"/>
        </w:rPr>
        <w:t xml:space="preserve"> marzo, mientras que </w:t>
      </w:r>
      <w:r w:rsidR="0025116F" w:rsidRPr="000A5725">
        <w:rPr>
          <w:rFonts w:ascii="Times New Roman" w:hAnsi="Times New Roman" w:cs="Times New Roman"/>
          <w:sz w:val="22"/>
          <w:szCs w:val="22"/>
        </w:rPr>
        <w:t>para 2022</w:t>
      </w:r>
      <w:r w:rsidRPr="000A5725">
        <w:rPr>
          <w:rFonts w:ascii="Times New Roman" w:hAnsi="Times New Roman" w:cs="Times New Roman"/>
          <w:sz w:val="22"/>
          <w:szCs w:val="22"/>
        </w:rPr>
        <w:t xml:space="preserve"> la economía crecerá 4.7%, fre</w:t>
      </w:r>
      <w:r w:rsidR="0025116F" w:rsidRPr="000A5725">
        <w:rPr>
          <w:rFonts w:ascii="Times New Roman" w:hAnsi="Times New Roman" w:cs="Times New Roman"/>
          <w:sz w:val="22"/>
          <w:szCs w:val="22"/>
        </w:rPr>
        <w:t xml:space="preserve">nte a la estimación anterior </w:t>
      </w:r>
      <w:r w:rsidRPr="000A5725">
        <w:rPr>
          <w:rFonts w:ascii="Times New Roman" w:hAnsi="Times New Roman" w:cs="Times New Roman"/>
          <w:sz w:val="22"/>
          <w:szCs w:val="22"/>
        </w:rPr>
        <w:t>de 4.1</w:t>
      </w:r>
      <w:r w:rsidR="0025116F" w:rsidRPr="000A5725">
        <w:rPr>
          <w:rFonts w:ascii="Times New Roman" w:hAnsi="Times New Roman" w:cs="Times New Roman"/>
          <w:sz w:val="22"/>
          <w:szCs w:val="22"/>
        </w:rPr>
        <w:t>%</w:t>
      </w:r>
      <w:r w:rsidRPr="000A5725">
        <w:rPr>
          <w:rFonts w:ascii="Times New Roman" w:hAnsi="Times New Roman" w:cs="Times New Roman"/>
          <w:sz w:val="22"/>
          <w:szCs w:val="22"/>
        </w:rPr>
        <w:t>.</w:t>
      </w:r>
      <w:r w:rsidR="0025116F" w:rsidRPr="000A5725">
        <w:rPr>
          <w:rFonts w:ascii="Times New Roman" w:hAnsi="Times New Roman" w:cs="Times New Roman"/>
          <w:sz w:val="22"/>
          <w:szCs w:val="22"/>
        </w:rPr>
        <w:t xml:space="preserve">  El pronóstico de inflación para este año aumentó drásticamente a 1.9% para 2021, principalmente debido </w:t>
      </w:r>
      <w:r w:rsidR="00CE05BD" w:rsidRPr="000A5725">
        <w:rPr>
          <w:rFonts w:ascii="Times New Roman" w:hAnsi="Times New Roman" w:cs="Times New Roman"/>
          <w:sz w:val="22"/>
          <w:szCs w:val="22"/>
        </w:rPr>
        <w:t>al aumento en el precio</w:t>
      </w:r>
      <w:r w:rsidR="0025116F" w:rsidRPr="000A5725">
        <w:rPr>
          <w:rFonts w:ascii="Times New Roman" w:hAnsi="Times New Roman" w:cs="Times New Roman"/>
          <w:sz w:val="22"/>
          <w:szCs w:val="22"/>
        </w:rPr>
        <w:t xml:space="preserve"> de las materias primas</w:t>
      </w:r>
      <w:r w:rsidR="00AD255C" w:rsidRPr="000A5725">
        <w:rPr>
          <w:rFonts w:ascii="Times New Roman" w:hAnsi="Times New Roman" w:cs="Times New Roman"/>
          <w:sz w:val="22"/>
          <w:szCs w:val="22"/>
        </w:rPr>
        <w:t xml:space="preserve"> y alzas en los precios del petróleo</w:t>
      </w:r>
      <w:r w:rsidR="0025116F" w:rsidRPr="000A5725">
        <w:rPr>
          <w:rFonts w:ascii="Times New Roman" w:hAnsi="Times New Roman" w:cs="Times New Roman"/>
          <w:sz w:val="22"/>
          <w:szCs w:val="22"/>
        </w:rPr>
        <w:t>, pero se considera que el crecimiento de los precios al consumidor más allá de 2021</w:t>
      </w:r>
      <w:r w:rsidR="00CE05BD" w:rsidRPr="000A5725">
        <w:rPr>
          <w:rFonts w:ascii="Times New Roman" w:hAnsi="Times New Roman" w:cs="Times New Roman"/>
          <w:sz w:val="22"/>
          <w:szCs w:val="22"/>
        </w:rPr>
        <w:t>,</w:t>
      </w:r>
      <w:r w:rsidR="0025116F" w:rsidRPr="000A5725">
        <w:rPr>
          <w:rFonts w:ascii="Times New Roman" w:hAnsi="Times New Roman" w:cs="Times New Roman"/>
          <w:sz w:val="22"/>
          <w:szCs w:val="22"/>
        </w:rPr>
        <w:t xml:space="preserve"> se mantendrá muy por debajo del objetivo de casi 2% del BCE, de acuerdo a las previsiones emitidas. Para 2022 se prevé </w:t>
      </w:r>
      <w:r w:rsidR="0025116F" w:rsidRPr="000A5725">
        <w:rPr>
          <w:rFonts w:ascii="Times New Roman" w:hAnsi="Times New Roman" w:cs="Times New Roman"/>
          <w:sz w:val="22"/>
          <w:szCs w:val="22"/>
        </w:rPr>
        <w:lastRenderedPageBreak/>
        <w:t>una inflación de 1.5%, contra una proyección anterior de 1.2%.</w:t>
      </w:r>
    </w:p>
    <w:p w:rsidR="00E50D06" w:rsidRPr="000A5725" w:rsidRDefault="00E50D06" w:rsidP="00474998">
      <w:pPr>
        <w:pStyle w:val="Sinespaciado"/>
        <w:jc w:val="both"/>
        <w:rPr>
          <w:rFonts w:ascii="Times New Roman" w:eastAsia="Times New Roman" w:hAnsi="Times New Roman" w:cs="Times New Roman"/>
          <w:sz w:val="18"/>
          <w:lang w:val="es-MX"/>
        </w:rPr>
      </w:pPr>
    </w:p>
    <w:p w:rsidR="00B807A2" w:rsidRPr="00765A09" w:rsidRDefault="001A790A" w:rsidP="00474998">
      <w:pPr>
        <w:pStyle w:val="Sinespaciado"/>
        <w:jc w:val="both"/>
        <w:rPr>
          <w:rFonts w:ascii="Times New Roman" w:eastAsia="Times New Roman" w:hAnsi="Times New Roman" w:cs="Times New Roman"/>
          <w:lang w:val="es-MX"/>
        </w:rPr>
        <w:sectPr w:rsidR="00B807A2" w:rsidRPr="00765A09" w:rsidSect="00474998">
          <w:headerReference w:type="default" r:id="rId32"/>
          <w:footerReference w:type="default" r:id="rId33"/>
          <w:type w:val="continuous"/>
          <w:pgSz w:w="12240" w:h="15840" w:code="1"/>
          <w:pgMar w:top="1418" w:right="1608" w:bottom="1418" w:left="1701" w:header="709" w:footer="709" w:gutter="0"/>
          <w:cols w:num="2" w:space="802"/>
          <w:docGrid w:linePitch="360"/>
        </w:sectPr>
      </w:pPr>
      <w:r w:rsidRPr="000A5725">
        <w:rPr>
          <w:rFonts w:ascii="Times New Roman" w:eastAsia="Times New Roman" w:hAnsi="Times New Roman" w:cs="Times New Roman"/>
          <w:lang w:val="es-MX"/>
        </w:rPr>
        <w:t xml:space="preserve">En el entorno interno, </w:t>
      </w:r>
      <w:r w:rsidR="00EF5550" w:rsidRPr="000A5725">
        <w:rPr>
          <w:rFonts w:ascii="Times New Roman" w:eastAsia="Times New Roman" w:hAnsi="Times New Roman" w:cs="Times New Roman"/>
          <w:lang w:val="es-MX"/>
        </w:rPr>
        <w:t xml:space="preserve">la percepción sobre la situación económica actual y el ambiente para los negocios, medida </w:t>
      </w:r>
      <w:r w:rsidR="00620D69" w:rsidRPr="000A5725">
        <w:rPr>
          <w:rFonts w:ascii="Times New Roman" w:eastAsia="Times New Roman" w:hAnsi="Times New Roman" w:cs="Times New Roman"/>
          <w:lang w:val="es-MX"/>
        </w:rPr>
        <w:t>a través</w:t>
      </w:r>
      <w:r w:rsidR="00EF5550" w:rsidRPr="000A5725">
        <w:rPr>
          <w:rFonts w:ascii="Times New Roman" w:eastAsia="Times New Roman" w:hAnsi="Times New Roman" w:cs="Times New Roman"/>
          <w:lang w:val="es-MX"/>
        </w:rPr>
        <w:t xml:space="preserve"> </w:t>
      </w:r>
      <w:r w:rsidR="00620D69" w:rsidRPr="000A5725">
        <w:rPr>
          <w:rFonts w:ascii="Times New Roman" w:eastAsia="Times New Roman" w:hAnsi="Times New Roman" w:cs="Times New Roman"/>
          <w:lang w:val="es-MX"/>
        </w:rPr>
        <w:t>d</w:t>
      </w:r>
      <w:r w:rsidR="00EF5550" w:rsidRPr="000A5725">
        <w:rPr>
          <w:rFonts w:ascii="Times New Roman" w:eastAsia="Times New Roman" w:hAnsi="Times New Roman" w:cs="Times New Roman"/>
          <w:lang w:val="es-MX"/>
        </w:rPr>
        <w:t>el nivel del Índice de Confianza de la Actividad Económica</w:t>
      </w:r>
      <w:r w:rsidR="00620D69" w:rsidRPr="000A5725">
        <w:rPr>
          <w:rFonts w:ascii="Times New Roman" w:eastAsia="Times New Roman" w:hAnsi="Times New Roman" w:cs="Times New Roman"/>
          <w:lang w:val="es-MX"/>
        </w:rPr>
        <w:t>,</w:t>
      </w:r>
      <w:r w:rsidR="00346F8B" w:rsidRPr="000A5725">
        <w:rPr>
          <w:rFonts w:ascii="Times New Roman" w:eastAsia="Times New Roman" w:hAnsi="Times New Roman" w:cs="Times New Roman"/>
          <w:lang w:val="es-MX"/>
        </w:rPr>
        <w:t xml:space="preserve"> se situó en 76.07 puntos, superior en 3.</w:t>
      </w:r>
      <w:r w:rsidR="00EF5550" w:rsidRPr="000A5725">
        <w:rPr>
          <w:rFonts w:ascii="Times New Roman" w:eastAsia="Times New Roman" w:hAnsi="Times New Roman" w:cs="Times New Roman"/>
          <w:lang w:val="es-MX"/>
        </w:rPr>
        <w:t>4</w:t>
      </w:r>
      <w:r w:rsidR="00346F8B" w:rsidRPr="000A5725">
        <w:rPr>
          <w:rFonts w:ascii="Times New Roman" w:eastAsia="Times New Roman" w:hAnsi="Times New Roman" w:cs="Times New Roman"/>
          <w:lang w:val="es-MX"/>
        </w:rPr>
        <w:t>7</w:t>
      </w:r>
      <w:r w:rsidR="00EF5550" w:rsidRPr="000A5725">
        <w:rPr>
          <w:rFonts w:ascii="Times New Roman" w:eastAsia="Times New Roman" w:hAnsi="Times New Roman" w:cs="Times New Roman"/>
          <w:lang w:val="es-MX"/>
        </w:rPr>
        <w:t xml:space="preserve">% con respecto al registrado en </w:t>
      </w:r>
      <w:r w:rsidR="00346F8B" w:rsidRPr="000A5725">
        <w:rPr>
          <w:rFonts w:ascii="Times New Roman" w:eastAsia="Times New Roman" w:hAnsi="Times New Roman" w:cs="Times New Roman"/>
          <w:lang w:val="es-MX"/>
        </w:rPr>
        <w:t>mayo 2021, y aumentó 108.</w:t>
      </w:r>
      <w:r w:rsidR="00EF5550" w:rsidRPr="000A5725">
        <w:rPr>
          <w:rFonts w:ascii="Times New Roman" w:eastAsia="Times New Roman" w:hAnsi="Times New Roman" w:cs="Times New Roman"/>
          <w:lang w:val="es-MX"/>
        </w:rPr>
        <w:t>9</w:t>
      </w:r>
      <w:r w:rsidR="00346F8B" w:rsidRPr="000A5725">
        <w:rPr>
          <w:rFonts w:ascii="Times New Roman" w:eastAsia="Times New Roman" w:hAnsi="Times New Roman" w:cs="Times New Roman"/>
          <w:lang w:val="es-MX"/>
        </w:rPr>
        <w:t>8</w:t>
      </w:r>
      <w:r w:rsidR="00EF5550" w:rsidRPr="000A5725">
        <w:rPr>
          <w:rFonts w:ascii="Times New Roman" w:eastAsia="Times New Roman" w:hAnsi="Times New Roman" w:cs="Times New Roman"/>
          <w:lang w:val="es-MX"/>
        </w:rPr>
        <w:t>% respeto al registrado en mayo de 2020.   Así mismo, se espera un ritmo inflacionario</w:t>
      </w:r>
      <w:r w:rsidR="0039681F" w:rsidRPr="000A5725">
        <w:rPr>
          <w:rFonts w:ascii="Times New Roman" w:eastAsia="Times New Roman" w:hAnsi="Times New Roman" w:cs="Times New Roman"/>
          <w:lang w:val="es-MX"/>
        </w:rPr>
        <w:t xml:space="preserve"> de 4.95</w:t>
      </w:r>
      <w:r w:rsidR="00EF5550" w:rsidRPr="000A5725">
        <w:rPr>
          <w:rFonts w:ascii="Times New Roman" w:eastAsia="Times New Roman" w:hAnsi="Times New Roman" w:cs="Times New Roman"/>
          <w:lang w:val="es-MX"/>
        </w:rPr>
        <w:t xml:space="preserve">% para </w:t>
      </w:r>
      <w:r w:rsidR="0039681F" w:rsidRPr="000A5725">
        <w:rPr>
          <w:rFonts w:ascii="Times New Roman" w:eastAsia="Times New Roman" w:hAnsi="Times New Roman" w:cs="Times New Roman"/>
          <w:lang w:val="es-MX"/>
        </w:rPr>
        <w:t>junio, 4.87</w:t>
      </w:r>
      <w:r w:rsidR="00EF5550" w:rsidRPr="000A5725">
        <w:rPr>
          <w:rFonts w:ascii="Times New Roman" w:eastAsia="Times New Roman" w:hAnsi="Times New Roman" w:cs="Times New Roman"/>
          <w:lang w:val="es-MX"/>
        </w:rPr>
        <w:t xml:space="preserve">% para </w:t>
      </w:r>
      <w:r w:rsidR="0039681F" w:rsidRPr="000A5725">
        <w:rPr>
          <w:rFonts w:ascii="Times New Roman" w:eastAsia="Times New Roman" w:hAnsi="Times New Roman" w:cs="Times New Roman"/>
          <w:lang w:val="es-MX"/>
        </w:rPr>
        <w:t>julio y 4.79</w:t>
      </w:r>
      <w:r w:rsidR="00EF5550" w:rsidRPr="000A5725">
        <w:rPr>
          <w:rFonts w:ascii="Times New Roman" w:eastAsia="Times New Roman" w:hAnsi="Times New Roman" w:cs="Times New Roman"/>
          <w:lang w:val="es-MX"/>
        </w:rPr>
        <w:t xml:space="preserve">% para </w:t>
      </w:r>
      <w:r w:rsidR="0039681F" w:rsidRPr="000A5725">
        <w:rPr>
          <w:rFonts w:ascii="Times New Roman" w:eastAsia="Times New Roman" w:hAnsi="Times New Roman" w:cs="Times New Roman"/>
          <w:lang w:val="es-MX"/>
        </w:rPr>
        <w:t>agosto</w:t>
      </w:r>
      <w:r w:rsidR="00EF5550" w:rsidRPr="000A5725">
        <w:rPr>
          <w:rFonts w:ascii="Times New Roman" w:eastAsia="Times New Roman" w:hAnsi="Times New Roman" w:cs="Times New Roman"/>
          <w:lang w:val="es-MX"/>
        </w:rPr>
        <w:t xml:space="preserve"> 2021; en un horizonte de 12 y 24 meses se es</w:t>
      </w:r>
      <w:r w:rsidR="0039681F" w:rsidRPr="000A5725">
        <w:rPr>
          <w:rFonts w:ascii="Times New Roman" w:eastAsia="Times New Roman" w:hAnsi="Times New Roman" w:cs="Times New Roman"/>
          <w:lang w:val="es-MX"/>
        </w:rPr>
        <w:t>peraría un ritmo de 4.28% y 4.23</w:t>
      </w:r>
      <w:r w:rsidR="00EF5550" w:rsidRPr="000A5725">
        <w:rPr>
          <w:rFonts w:ascii="Times New Roman" w:eastAsia="Times New Roman" w:hAnsi="Times New Roman" w:cs="Times New Roman"/>
          <w:lang w:val="es-MX"/>
        </w:rPr>
        <w:t>% respectivamente.</w:t>
      </w:r>
    </w:p>
    <w:p w:rsidR="00E50D06" w:rsidRPr="000A5725" w:rsidRDefault="00E50D06" w:rsidP="00F062BF">
      <w:pPr>
        <w:spacing w:after="0" w:line="240" w:lineRule="auto"/>
        <w:rPr>
          <w:rFonts w:ascii="Times New Roman" w:hAnsi="Times New Roman" w:cs="Times New Roman"/>
          <w:noProof/>
          <w:sz w:val="16"/>
          <w:lang w:val="es-MX" w:eastAsia="es-GT"/>
        </w:rPr>
        <w:sectPr w:rsidR="00E50D06" w:rsidRPr="000A5725" w:rsidSect="00474998">
          <w:headerReference w:type="default" r:id="rId34"/>
          <w:footerReference w:type="default" r:id="rId35"/>
          <w:type w:val="continuous"/>
          <w:pgSz w:w="12240" w:h="15840" w:code="1"/>
          <w:pgMar w:top="1418" w:right="1608" w:bottom="1418" w:left="1418" w:header="709" w:footer="709" w:gutter="0"/>
          <w:cols w:num="2" w:space="708"/>
          <w:docGrid w:linePitch="360"/>
        </w:sectPr>
      </w:pPr>
    </w:p>
    <w:p w:rsidR="008B062E" w:rsidRPr="000A5725" w:rsidRDefault="008B062E" w:rsidP="00AD5816">
      <w:pPr>
        <w:spacing w:after="0" w:line="240" w:lineRule="auto"/>
        <w:rPr>
          <w:rFonts w:ascii="Times New Roman" w:hAnsi="Times New Roman" w:cs="Times New Roman"/>
          <w:noProof/>
          <w:color w:val="FF0000"/>
          <w:sz w:val="16"/>
          <w:lang w:eastAsia="es-GT"/>
        </w:rPr>
        <w:sectPr w:rsidR="008B062E" w:rsidRPr="000A5725" w:rsidSect="00FA3B81">
          <w:headerReference w:type="default" r:id="rId36"/>
          <w:footerReference w:type="default" r:id="rId37"/>
          <w:type w:val="continuous"/>
          <w:pgSz w:w="12240" w:h="15840" w:code="1"/>
          <w:pgMar w:top="1418" w:right="1418" w:bottom="1418" w:left="1418" w:header="709" w:footer="709" w:gutter="0"/>
          <w:cols w:space="708"/>
          <w:docGrid w:linePitch="360"/>
        </w:sectPr>
      </w:pPr>
    </w:p>
    <w:p w:rsidR="000A5725" w:rsidRPr="000A5725" w:rsidRDefault="000A5725" w:rsidP="00AD5816">
      <w:pPr>
        <w:spacing w:after="0" w:line="240" w:lineRule="auto"/>
        <w:rPr>
          <w:rFonts w:ascii="Times New Roman" w:hAnsi="Times New Roman" w:cs="Times New Roman"/>
          <w:noProof/>
          <w:color w:val="FF0000"/>
          <w:sz w:val="16"/>
          <w:lang w:eastAsia="es-GT"/>
        </w:rPr>
      </w:pPr>
    </w:p>
    <w:p w:rsidR="00765A09" w:rsidRPr="00765A09" w:rsidRDefault="001F5581" w:rsidP="00765A09">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pPr>
      <w:r w:rsidRPr="00C35B1D">
        <w:rPr>
          <w:rFonts w:ascii="Times New Roman" w:hAnsi="Times New Roman" w:cs="Times New Roman"/>
          <w:b/>
          <w:lang w:val="es-MX"/>
        </w:rPr>
        <w:t>Anexo</w:t>
      </w:r>
    </w:p>
    <w:p w:rsidR="00765A09" w:rsidRDefault="00765A09" w:rsidP="00041CC3"/>
    <w:p w:rsidR="00765A09" w:rsidRDefault="00BF321D" w:rsidP="00765A09">
      <w:r w:rsidRPr="00BF321D">
        <w:rPr>
          <w:noProof/>
          <w:lang w:val="es-ES" w:eastAsia="es-ES"/>
        </w:rPr>
        <w:drawing>
          <wp:inline distT="0" distB="0" distL="0" distR="0" wp14:anchorId="5087B1E0" wp14:editId="00BFCC13">
            <wp:extent cx="5971540" cy="4748191"/>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71540" cy="4748191"/>
                    </a:xfrm>
                    <a:prstGeom prst="rect">
                      <a:avLst/>
                    </a:prstGeom>
                    <a:noFill/>
                    <a:ln>
                      <a:noFill/>
                    </a:ln>
                  </pic:spPr>
                </pic:pic>
              </a:graphicData>
            </a:graphic>
          </wp:inline>
        </w:drawing>
      </w:r>
    </w:p>
    <w:p w:rsidR="009162DA" w:rsidRPr="00765A09" w:rsidRDefault="009162DA" w:rsidP="00765A09">
      <w:pPr>
        <w:ind w:firstLine="708"/>
      </w:pPr>
    </w:p>
    <w:sectPr w:rsidR="009162DA" w:rsidRPr="00765A09" w:rsidSect="00041CC3">
      <w:headerReference w:type="default" r:id="rId39"/>
      <w:footerReference w:type="default" r:id="rId40"/>
      <w:pgSz w:w="12240" w:h="15840" w:code="1"/>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62DE" w:rsidRDefault="003262DE" w:rsidP="007D4651">
      <w:pPr>
        <w:spacing w:after="0" w:line="240" w:lineRule="auto"/>
      </w:pPr>
      <w:r>
        <w:separator/>
      </w:r>
    </w:p>
  </w:endnote>
  <w:endnote w:type="continuationSeparator" w:id="0">
    <w:p w:rsidR="003262DE" w:rsidRDefault="003262DE" w:rsidP="007D4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lang w:val="es-ES"/>
      </w:rPr>
      <w:id w:val="-606041391"/>
      <w:docPartObj>
        <w:docPartGallery w:val="Page Numbers (Bottom of Page)"/>
        <w:docPartUnique/>
      </w:docPartObj>
    </w:sdtPr>
    <w:sdtEndPr/>
    <w:sdtContent>
      <w:p w:rsidR="008B062E" w:rsidRDefault="008B062E">
        <w:pPr>
          <w:pStyle w:val="Piedepgina"/>
          <w:jc w:val="right"/>
          <w:rPr>
            <w:lang w:val="es-ES"/>
          </w:rPr>
        </w:pPr>
      </w:p>
      <w:p w:rsidR="008B062E" w:rsidRDefault="008B062E" w:rsidP="007D4651">
        <w:pPr>
          <w:pStyle w:val="Piedepgina"/>
          <w:tabs>
            <w:tab w:val="left" w:pos="6489"/>
          </w:tabs>
          <w:rPr>
            <w:lang w:val="es-ES"/>
          </w:rPr>
        </w:pPr>
        <w:r>
          <w:rPr>
            <w:rFonts w:ascii="Times New Roman" w:hAnsi="Times New Roman" w:cs="Times New Roman"/>
            <w:noProof/>
            <w:lang w:val="es-ES" w:eastAsia="es-ES"/>
          </w:rPr>
          <mc:AlternateContent>
            <mc:Choice Requires="wps">
              <w:drawing>
                <wp:anchor distT="0" distB="0" distL="114300" distR="114300" simplePos="0" relativeHeight="251663360" behindDoc="0" locked="0" layoutInCell="1" allowOverlap="1" wp14:anchorId="4B02A48E" wp14:editId="3F6FBCD8">
                  <wp:simplePos x="0" y="0"/>
                  <wp:positionH relativeFrom="column">
                    <wp:posOffset>1755792</wp:posOffset>
                  </wp:positionH>
                  <wp:positionV relativeFrom="paragraph">
                    <wp:posOffset>70485</wp:posOffset>
                  </wp:positionV>
                  <wp:extent cx="5155565" cy="45719"/>
                  <wp:effectExtent l="38100" t="38100" r="64135" b="88265"/>
                  <wp:wrapNone/>
                  <wp:docPr id="3" name="3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1D48AE77" id="3 Rectángulo" o:spid="_x0000_s1026" style="position:absolute;margin-left:138.25pt;margin-top:5.55pt;width:405.95pt;height:3.6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8B062E" w:rsidRDefault="008B062E">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352A53" w:rsidRPr="00352A53">
          <w:rPr>
            <w:rFonts w:ascii="Times New Roman" w:hAnsi="Times New Roman" w:cs="Times New Roman"/>
            <w:b/>
            <w:noProof/>
            <w:color w:val="1F497D" w:themeColor="text2"/>
            <w:lang w:val="es-ES"/>
          </w:rPr>
          <w:t>1</w:t>
        </w:r>
        <w:r w:rsidRPr="007D4651">
          <w:rPr>
            <w:rFonts w:ascii="Times New Roman" w:hAnsi="Times New Roman" w:cs="Times New Roman"/>
            <w:b/>
            <w:color w:val="1F497D" w:themeColor="text2"/>
          </w:rPr>
          <w:fldChar w:fldCharType="end"/>
        </w:r>
        <w:r>
          <w:rPr>
            <w:lang w:val="es-ES"/>
          </w:rPr>
          <w:t xml:space="preserve"> </w:t>
        </w:r>
      </w:p>
    </w:sdtContent>
  </w:sdt>
  <w:p w:rsidR="008B062E" w:rsidRDefault="008B062E" w:rsidP="007D4651">
    <w:pPr>
      <w:pStyle w:val="Piedepgina"/>
      <w:tabs>
        <w:tab w:val="clear" w:pos="4419"/>
        <w:tab w:val="clear" w:pos="8838"/>
        <w:tab w:val="left" w:pos="5777"/>
      </w:tabs>
    </w:pPr>
  </w:p>
  <w:p w:rsidR="008B062E" w:rsidRDefault="008B062E"/>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lang w:val="es-ES"/>
      </w:rPr>
      <w:id w:val="-1308081006"/>
      <w:docPartObj>
        <w:docPartGallery w:val="Page Numbers (Bottom of Page)"/>
        <w:docPartUnique/>
      </w:docPartObj>
    </w:sdtPr>
    <w:sdtEndPr/>
    <w:sdtContent>
      <w:p w:rsidR="008B062E" w:rsidRDefault="008B062E" w:rsidP="009162DA">
        <w:pPr>
          <w:pStyle w:val="Piedepgina"/>
          <w:rPr>
            <w:lang w:val="es-ES"/>
          </w:rPr>
        </w:pPr>
        <w:r>
          <w:rPr>
            <w:rFonts w:ascii="Times New Roman" w:hAnsi="Times New Roman" w:cs="Times New Roman"/>
            <w:noProof/>
            <w:lang w:val="es-ES" w:eastAsia="es-ES"/>
          </w:rPr>
          <mc:AlternateContent>
            <mc:Choice Requires="wps">
              <w:drawing>
                <wp:anchor distT="0" distB="0" distL="114300" distR="114300" simplePos="0" relativeHeight="251683840" behindDoc="0" locked="0" layoutInCell="1" allowOverlap="1" wp14:anchorId="1CB8821E" wp14:editId="6D648253">
                  <wp:simplePos x="0" y="0"/>
                  <wp:positionH relativeFrom="column">
                    <wp:posOffset>1776669</wp:posOffset>
                  </wp:positionH>
                  <wp:positionV relativeFrom="paragraph">
                    <wp:posOffset>70516</wp:posOffset>
                  </wp:positionV>
                  <wp:extent cx="5155565" cy="45719"/>
                  <wp:effectExtent l="38100" t="38100" r="64135" b="88265"/>
                  <wp:wrapNone/>
                  <wp:docPr id="39" name="39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473A2FEC" id="39 Rectángulo" o:spid="_x0000_s1026" style="position:absolute;margin-left:139.9pt;margin-top:5.55pt;width:405.95pt;height:3.6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8B062E" w:rsidRDefault="008B062E">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352A53" w:rsidRPr="00352A53">
          <w:rPr>
            <w:rFonts w:ascii="Times New Roman" w:hAnsi="Times New Roman" w:cs="Times New Roman"/>
            <w:b/>
            <w:noProof/>
            <w:color w:val="1F497D" w:themeColor="text2"/>
            <w:lang w:val="es-ES"/>
          </w:rPr>
          <w:t>12</w:t>
        </w:r>
        <w:r w:rsidRPr="007D4651">
          <w:rPr>
            <w:rFonts w:ascii="Times New Roman" w:hAnsi="Times New Roman" w:cs="Times New Roman"/>
            <w:b/>
            <w:color w:val="1F497D" w:themeColor="text2"/>
          </w:rPr>
          <w:fldChar w:fldCharType="end"/>
        </w:r>
        <w:r>
          <w:rPr>
            <w:lang w:val="es-ES"/>
          </w:rPr>
          <w:t xml:space="preserve"> </w:t>
        </w:r>
      </w:p>
    </w:sdtContent>
  </w:sdt>
  <w:p w:rsidR="008B062E" w:rsidRDefault="008B062E" w:rsidP="007D4651">
    <w:pPr>
      <w:pStyle w:val="Piedepgina"/>
      <w:tabs>
        <w:tab w:val="clear" w:pos="4419"/>
        <w:tab w:val="clear" w:pos="8838"/>
        <w:tab w:val="left" w:pos="5777"/>
      </w:tabs>
    </w:pPr>
  </w:p>
  <w:p w:rsidR="008B062E" w:rsidRDefault="008B062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lang w:val="es-ES"/>
      </w:rPr>
      <w:id w:val="185034144"/>
      <w:docPartObj>
        <w:docPartGallery w:val="Page Numbers (Bottom of Page)"/>
        <w:docPartUnique/>
      </w:docPartObj>
    </w:sdtPr>
    <w:sdtEndPr/>
    <w:sdtContent>
      <w:p w:rsidR="008B062E" w:rsidRDefault="008B062E">
        <w:pPr>
          <w:pStyle w:val="Piedepgina"/>
          <w:jc w:val="right"/>
          <w:rPr>
            <w:lang w:val="es-ES"/>
          </w:rPr>
        </w:pPr>
      </w:p>
      <w:p w:rsidR="008B062E" w:rsidRDefault="008B062E" w:rsidP="007D4651">
        <w:pPr>
          <w:pStyle w:val="Piedepgina"/>
          <w:tabs>
            <w:tab w:val="left" w:pos="6489"/>
          </w:tabs>
          <w:rPr>
            <w:lang w:val="es-ES"/>
          </w:rPr>
        </w:pPr>
        <w:r>
          <w:rPr>
            <w:rFonts w:ascii="Times New Roman" w:hAnsi="Times New Roman" w:cs="Times New Roman"/>
            <w:noProof/>
            <w:lang w:val="es-ES" w:eastAsia="es-ES"/>
          </w:rPr>
          <mc:AlternateContent>
            <mc:Choice Requires="wps">
              <w:drawing>
                <wp:anchor distT="0" distB="0" distL="114300" distR="114300" simplePos="0" relativeHeight="251667456" behindDoc="0" locked="0" layoutInCell="1" allowOverlap="1" wp14:anchorId="1DA4D6A8" wp14:editId="57CB9F2E">
                  <wp:simplePos x="0" y="0"/>
                  <wp:positionH relativeFrom="column">
                    <wp:posOffset>1776669</wp:posOffset>
                  </wp:positionH>
                  <wp:positionV relativeFrom="paragraph">
                    <wp:posOffset>70516</wp:posOffset>
                  </wp:positionV>
                  <wp:extent cx="5155565" cy="45719"/>
                  <wp:effectExtent l="38100" t="38100" r="64135" b="88265"/>
                  <wp:wrapNone/>
                  <wp:docPr id="8" name="8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741D3D7C" id="8 Rectángulo" o:spid="_x0000_s1026" style="position:absolute;margin-left:139.9pt;margin-top:5.55pt;width:405.95pt;height:3.6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8B062E" w:rsidRDefault="008B062E">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352A53" w:rsidRPr="00352A53">
          <w:rPr>
            <w:rFonts w:ascii="Times New Roman" w:hAnsi="Times New Roman" w:cs="Times New Roman"/>
            <w:b/>
            <w:noProof/>
            <w:color w:val="1F497D" w:themeColor="text2"/>
            <w:lang w:val="es-ES"/>
          </w:rPr>
          <w:t>2</w:t>
        </w:r>
        <w:r w:rsidRPr="007D4651">
          <w:rPr>
            <w:rFonts w:ascii="Times New Roman" w:hAnsi="Times New Roman" w:cs="Times New Roman"/>
            <w:b/>
            <w:color w:val="1F497D" w:themeColor="text2"/>
          </w:rPr>
          <w:fldChar w:fldCharType="end"/>
        </w:r>
        <w:r>
          <w:rPr>
            <w:lang w:val="es-ES"/>
          </w:rPr>
          <w:t xml:space="preserve"> </w:t>
        </w:r>
      </w:p>
    </w:sdtContent>
  </w:sdt>
  <w:p w:rsidR="008B062E" w:rsidRDefault="008B062E" w:rsidP="007D4651">
    <w:pPr>
      <w:pStyle w:val="Piedepgina"/>
      <w:tabs>
        <w:tab w:val="clear" w:pos="4419"/>
        <w:tab w:val="clear" w:pos="8838"/>
        <w:tab w:val="left" w:pos="5777"/>
      </w:tabs>
    </w:pPr>
  </w:p>
  <w:p w:rsidR="008B062E" w:rsidRDefault="008B062E"/>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lang w:val="es-ES"/>
      </w:rPr>
      <w:id w:val="-1057080796"/>
      <w:docPartObj>
        <w:docPartGallery w:val="Page Numbers (Bottom of Page)"/>
        <w:docPartUnique/>
      </w:docPartObj>
    </w:sdtPr>
    <w:sdtEndPr/>
    <w:sdtContent>
      <w:p w:rsidR="008B062E" w:rsidRDefault="008B062E">
        <w:pPr>
          <w:pStyle w:val="Piedepgina"/>
          <w:jc w:val="right"/>
          <w:rPr>
            <w:lang w:val="es-ES"/>
          </w:rPr>
        </w:pPr>
      </w:p>
      <w:p w:rsidR="008B062E" w:rsidRDefault="008B062E" w:rsidP="007D4651">
        <w:pPr>
          <w:pStyle w:val="Piedepgina"/>
          <w:tabs>
            <w:tab w:val="left" w:pos="6489"/>
          </w:tabs>
          <w:rPr>
            <w:lang w:val="es-ES"/>
          </w:rPr>
        </w:pPr>
        <w:r>
          <w:rPr>
            <w:rFonts w:ascii="Times New Roman" w:hAnsi="Times New Roman" w:cs="Times New Roman"/>
            <w:noProof/>
            <w:lang w:val="es-ES" w:eastAsia="es-ES"/>
          </w:rPr>
          <mc:AlternateContent>
            <mc:Choice Requires="wps">
              <w:drawing>
                <wp:anchor distT="0" distB="0" distL="114300" distR="114300" simplePos="0" relativeHeight="251671552" behindDoc="0" locked="0" layoutInCell="1" allowOverlap="1" wp14:anchorId="1A1B6088" wp14:editId="2752F82E">
                  <wp:simplePos x="0" y="0"/>
                  <wp:positionH relativeFrom="column">
                    <wp:posOffset>1776669</wp:posOffset>
                  </wp:positionH>
                  <wp:positionV relativeFrom="paragraph">
                    <wp:posOffset>70516</wp:posOffset>
                  </wp:positionV>
                  <wp:extent cx="5155565" cy="45719"/>
                  <wp:effectExtent l="38100" t="38100" r="64135" b="88265"/>
                  <wp:wrapNone/>
                  <wp:docPr id="16" name="16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755413E9" id="16 Rectángulo" o:spid="_x0000_s1026" style="position:absolute;margin-left:139.9pt;margin-top:5.55pt;width:405.95pt;height:3.6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8B062E" w:rsidRDefault="008B062E">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Pr="006576D5">
          <w:rPr>
            <w:rFonts w:ascii="Times New Roman" w:hAnsi="Times New Roman" w:cs="Times New Roman"/>
            <w:b/>
            <w:noProof/>
            <w:color w:val="1F497D" w:themeColor="text2"/>
            <w:lang w:val="es-ES"/>
          </w:rPr>
          <w:t>4</w:t>
        </w:r>
        <w:r w:rsidRPr="007D4651">
          <w:rPr>
            <w:rFonts w:ascii="Times New Roman" w:hAnsi="Times New Roman" w:cs="Times New Roman"/>
            <w:b/>
            <w:color w:val="1F497D" w:themeColor="text2"/>
          </w:rPr>
          <w:fldChar w:fldCharType="end"/>
        </w:r>
        <w:r>
          <w:rPr>
            <w:lang w:val="es-ES"/>
          </w:rPr>
          <w:t xml:space="preserve"> </w:t>
        </w:r>
      </w:p>
    </w:sdtContent>
  </w:sdt>
  <w:p w:rsidR="008B062E" w:rsidRDefault="008B062E" w:rsidP="007D4651">
    <w:pPr>
      <w:pStyle w:val="Piedepgina"/>
      <w:tabs>
        <w:tab w:val="clear" w:pos="4419"/>
        <w:tab w:val="clear" w:pos="8838"/>
        <w:tab w:val="left" w:pos="5777"/>
      </w:tabs>
    </w:pPr>
  </w:p>
  <w:p w:rsidR="008B062E" w:rsidRDefault="008B062E"/>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lang w:val="es-ES"/>
      </w:rPr>
      <w:id w:val="-906532020"/>
      <w:docPartObj>
        <w:docPartGallery w:val="Page Numbers (Bottom of Page)"/>
        <w:docPartUnique/>
      </w:docPartObj>
    </w:sdtPr>
    <w:sdtEndPr/>
    <w:sdtContent>
      <w:p w:rsidR="008B062E" w:rsidRDefault="008B062E">
        <w:pPr>
          <w:pStyle w:val="Piedepgina"/>
          <w:jc w:val="right"/>
          <w:rPr>
            <w:lang w:val="es-ES"/>
          </w:rPr>
        </w:pPr>
      </w:p>
      <w:p w:rsidR="008B062E" w:rsidRDefault="008B062E" w:rsidP="007D4651">
        <w:pPr>
          <w:pStyle w:val="Piedepgina"/>
          <w:tabs>
            <w:tab w:val="left" w:pos="6489"/>
          </w:tabs>
          <w:rPr>
            <w:lang w:val="es-ES"/>
          </w:rPr>
        </w:pPr>
        <w:r>
          <w:rPr>
            <w:rFonts w:ascii="Times New Roman" w:hAnsi="Times New Roman" w:cs="Times New Roman"/>
            <w:noProof/>
            <w:lang w:val="es-ES" w:eastAsia="es-ES"/>
          </w:rPr>
          <mc:AlternateContent>
            <mc:Choice Requires="wps">
              <w:drawing>
                <wp:anchor distT="0" distB="0" distL="114300" distR="114300" simplePos="0" relativeHeight="251728896" behindDoc="0" locked="0" layoutInCell="1" allowOverlap="1" wp14:anchorId="762E221D" wp14:editId="62DF9943">
                  <wp:simplePos x="0" y="0"/>
                  <wp:positionH relativeFrom="column">
                    <wp:posOffset>1751347</wp:posOffset>
                  </wp:positionH>
                  <wp:positionV relativeFrom="paragraph">
                    <wp:posOffset>72390</wp:posOffset>
                  </wp:positionV>
                  <wp:extent cx="5155565" cy="45719"/>
                  <wp:effectExtent l="38100" t="38100" r="64135" b="88265"/>
                  <wp:wrapNone/>
                  <wp:docPr id="55" name="23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39F92A91" id="23 Rectángulo" o:spid="_x0000_s1026" style="position:absolute;margin-left:137.9pt;margin-top:5.7pt;width:405.95pt;height:3.6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8B062E" w:rsidRDefault="008B062E">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352A53" w:rsidRPr="00352A53">
          <w:rPr>
            <w:rFonts w:ascii="Times New Roman" w:hAnsi="Times New Roman" w:cs="Times New Roman"/>
            <w:b/>
            <w:noProof/>
            <w:color w:val="1F497D" w:themeColor="text2"/>
            <w:lang w:val="es-ES"/>
          </w:rPr>
          <w:t>8</w:t>
        </w:r>
        <w:r w:rsidRPr="007D4651">
          <w:rPr>
            <w:rFonts w:ascii="Times New Roman" w:hAnsi="Times New Roman" w:cs="Times New Roman"/>
            <w:b/>
            <w:color w:val="1F497D" w:themeColor="text2"/>
          </w:rPr>
          <w:fldChar w:fldCharType="end"/>
        </w:r>
        <w:r>
          <w:rPr>
            <w:lang w:val="es-ES"/>
          </w:rPr>
          <w:t xml:space="preserve"> </w:t>
        </w:r>
      </w:p>
    </w:sdtContent>
  </w:sdt>
  <w:p w:rsidR="008B062E" w:rsidRDefault="008B062E" w:rsidP="007D4651">
    <w:pPr>
      <w:pStyle w:val="Piedepgina"/>
      <w:tabs>
        <w:tab w:val="clear" w:pos="4419"/>
        <w:tab w:val="clear" w:pos="8838"/>
        <w:tab w:val="left" w:pos="5777"/>
      </w:tabs>
    </w:pPr>
  </w:p>
  <w:p w:rsidR="008B062E" w:rsidRDefault="008B062E"/>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lang w:val="es-ES"/>
      </w:rPr>
      <w:id w:val="1198588034"/>
      <w:docPartObj>
        <w:docPartGallery w:val="Page Numbers (Bottom of Page)"/>
        <w:docPartUnique/>
      </w:docPartObj>
    </w:sdtPr>
    <w:sdtEndPr/>
    <w:sdtContent>
      <w:p w:rsidR="008B062E" w:rsidRDefault="008B062E">
        <w:pPr>
          <w:pStyle w:val="Piedepgina"/>
          <w:jc w:val="right"/>
          <w:rPr>
            <w:lang w:val="es-ES"/>
          </w:rPr>
        </w:pPr>
      </w:p>
      <w:p w:rsidR="008B062E" w:rsidRDefault="008B062E" w:rsidP="007D4651">
        <w:pPr>
          <w:pStyle w:val="Piedepgina"/>
          <w:tabs>
            <w:tab w:val="left" w:pos="6489"/>
          </w:tabs>
          <w:rPr>
            <w:lang w:val="es-ES"/>
          </w:rPr>
        </w:pPr>
        <w:r>
          <w:rPr>
            <w:rFonts w:ascii="Times New Roman" w:hAnsi="Times New Roman" w:cs="Times New Roman"/>
            <w:noProof/>
            <w:lang w:val="es-ES" w:eastAsia="es-ES"/>
          </w:rPr>
          <mc:AlternateContent>
            <mc:Choice Requires="wps">
              <w:drawing>
                <wp:anchor distT="0" distB="0" distL="114300" distR="114300" simplePos="0" relativeHeight="251675648" behindDoc="0" locked="0" layoutInCell="1" allowOverlap="1" wp14:anchorId="05FD3529" wp14:editId="5DED1B2B">
                  <wp:simplePos x="0" y="0"/>
                  <wp:positionH relativeFrom="column">
                    <wp:posOffset>1751347</wp:posOffset>
                  </wp:positionH>
                  <wp:positionV relativeFrom="paragraph">
                    <wp:posOffset>72390</wp:posOffset>
                  </wp:positionV>
                  <wp:extent cx="5155565" cy="45719"/>
                  <wp:effectExtent l="38100" t="38100" r="64135" b="88265"/>
                  <wp:wrapNone/>
                  <wp:docPr id="23" name="23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0D22DF1A" id="23 Rectángulo" o:spid="_x0000_s1026" style="position:absolute;margin-left:137.9pt;margin-top:5.7pt;width:405.95pt;height:3.6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8B062E" w:rsidRDefault="008B062E">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352A53" w:rsidRPr="00352A53">
          <w:rPr>
            <w:rFonts w:ascii="Times New Roman" w:hAnsi="Times New Roman" w:cs="Times New Roman"/>
            <w:b/>
            <w:noProof/>
            <w:color w:val="1F497D" w:themeColor="text2"/>
            <w:lang w:val="es-ES"/>
          </w:rPr>
          <w:t>9</w:t>
        </w:r>
        <w:r w:rsidRPr="007D4651">
          <w:rPr>
            <w:rFonts w:ascii="Times New Roman" w:hAnsi="Times New Roman" w:cs="Times New Roman"/>
            <w:b/>
            <w:color w:val="1F497D" w:themeColor="text2"/>
          </w:rPr>
          <w:fldChar w:fldCharType="end"/>
        </w:r>
        <w:r>
          <w:rPr>
            <w:lang w:val="es-ES"/>
          </w:rPr>
          <w:t xml:space="preserve"> </w:t>
        </w:r>
      </w:p>
    </w:sdtContent>
  </w:sdt>
  <w:p w:rsidR="008B062E" w:rsidRDefault="008B062E" w:rsidP="007D4651">
    <w:pPr>
      <w:pStyle w:val="Piedepgina"/>
      <w:tabs>
        <w:tab w:val="clear" w:pos="4419"/>
        <w:tab w:val="clear" w:pos="8838"/>
        <w:tab w:val="left" w:pos="5777"/>
      </w:tabs>
    </w:pPr>
  </w:p>
  <w:p w:rsidR="008B062E" w:rsidRDefault="008B062E"/>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lang w:val="es-ES"/>
      </w:rPr>
      <w:id w:val="-567338240"/>
      <w:docPartObj>
        <w:docPartGallery w:val="Page Numbers (Bottom of Page)"/>
        <w:docPartUnique/>
      </w:docPartObj>
    </w:sdtPr>
    <w:sdtEndPr/>
    <w:sdtContent>
      <w:p w:rsidR="008B062E" w:rsidRDefault="008B062E">
        <w:pPr>
          <w:pStyle w:val="Piedepgina"/>
          <w:jc w:val="right"/>
          <w:rPr>
            <w:lang w:val="es-ES"/>
          </w:rPr>
        </w:pPr>
      </w:p>
      <w:p w:rsidR="008B062E" w:rsidRDefault="008B062E" w:rsidP="007D4651">
        <w:pPr>
          <w:pStyle w:val="Piedepgina"/>
          <w:tabs>
            <w:tab w:val="left" w:pos="6489"/>
          </w:tabs>
          <w:rPr>
            <w:lang w:val="es-ES"/>
          </w:rPr>
        </w:pPr>
        <w:r>
          <w:rPr>
            <w:rFonts w:ascii="Times New Roman" w:hAnsi="Times New Roman" w:cs="Times New Roman"/>
            <w:noProof/>
            <w:lang w:val="es-ES" w:eastAsia="es-ES"/>
          </w:rPr>
          <mc:AlternateContent>
            <mc:Choice Requires="wps">
              <w:drawing>
                <wp:anchor distT="0" distB="0" distL="114300" distR="114300" simplePos="0" relativeHeight="251679744" behindDoc="0" locked="0" layoutInCell="1" allowOverlap="1" wp14:anchorId="28F9384F" wp14:editId="7BF1F1E8">
                  <wp:simplePos x="0" y="0"/>
                  <wp:positionH relativeFrom="column">
                    <wp:posOffset>1759602</wp:posOffset>
                  </wp:positionH>
                  <wp:positionV relativeFrom="paragraph">
                    <wp:posOffset>70485</wp:posOffset>
                  </wp:positionV>
                  <wp:extent cx="5155565" cy="45719"/>
                  <wp:effectExtent l="38100" t="38100" r="64135" b="88265"/>
                  <wp:wrapNone/>
                  <wp:docPr id="26" name="26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6FE24CAD" id="26 Rectángulo" o:spid="_x0000_s1026" style="position:absolute;margin-left:138.55pt;margin-top:5.55pt;width:405.95pt;height:3.6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8B062E" w:rsidRDefault="008B062E">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7A004E" w:rsidRPr="007A004E">
          <w:rPr>
            <w:rFonts w:ascii="Times New Roman" w:hAnsi="Times New Roman" w:cs="Times New Roman"/>
            <w:b/>
            <w:noProof/>
            <w:color w:val="1F497D" w:themeColor="text2"/>
            <w:lang w:val="es-ES"/>
          </w:rPr>
          <w:t>10</w:t>
        </w:r>
        <w:r w:rsidRPr="007D4651">
          <w:rPr>
            <w:rFonts w:ascii="Times New Roman" w:hAnsi="Times New Roman" w:cs="Times New Roman"/>
            <w:b/>
            <w:color w:val="1F497D" w:themeColor="text2"/>
          </w:rPr>
          <w:fldChar w:fldCharType="end"/>
        </w:r>
        <w:r>
          <w:rPr>
            <w:lang w:val="es-ES"/>
          </w:rPr>
          <w:t xml:space="preserve"> </w:t>
        </w:r>
      </w:p>
    </w:sdtContent>
  </w:sdt>
  <w:p w:rsidR="008B062E" w:rsidRDefault="008B062E" w:rsidP="007D4651">
    <w:pPr>
      <w:pStyle w:val="Piedepgina"/>
      <w:tabs>
        <w:tab w:val="clear" w:pos="4419"/>
        <w:tab w:val="clear" w:pos="8838"/>
        <w:tab w:val="left" w:pos="5777"/>
      </w:tabs>
    </w:pPr>
  </w:p>
  <w:p w:rsidR="008B062E" w:rsidRDefault="008B062E"/>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lang w:val="es-ES"/>
      </w:rPr>
      <w:id w:val="-487796316"/>
      <w:docPartObj>
        <w:docPartGallery w:val="Page Numbers (Bottom of Page)"/>
        <w:docPartUnique/>
      </w:docPartObj>
    </w:sdtPr>
    <w:sdtEndPr/>
    <w:sdtContent>
      <w:p w:rsidR="008B062E" w:rsidRDefault="008B062E">
        <w:pPr>
          <w:pStyle w:val="Piedepgina"/>
          <w:jc w:val="right"/>
          <w:rPr>
            <w:lang w:val="es-ES"/>
          </w:rPr>
        </w:pPr>
      </w:p>
      <w:p w:rsidR="008B062E" w:rsidRDefault="008B062E" w:rsidP="00AF4290">
        <w:pPr>
          <w:pStyle w:val="Piedepgina"/>
          <w:tabs>
            <w:tab w:val="left" w:pos="2694"/>
            <w:tab w:val="left" w:pos="6489"/>
          </w:tabs>
          <w:rPr>
            <w:lang w:val="es-ES"/>
          </w:rPr>
        </w:pPr>
        <w:r>
          <w:rPr>
            <w:rFonts w:ascii="Times New Roman" w:hAnsi="Times New Roman" w:cs="Times New Roman"/>
            <w:noProof/>
            <w:lang w:val="es-ES" w:eastAsia="es-ES"/>
          </w:rPr>
          <mc:AlternateContent>
            <mc:Choice Requires="wps">
              <w:drawing>
                <wp:anchor distT="0" distB="0" distL="114300" distR="114300" simplePos="0" relativeHeight="251724800" behindDoc="0" locked="0" layoutInCell="1" allowOverlap="1" wp14:anchorId="6D59B1EB" wp14:editId="250B6974">
                  <wp:simplePos x="0" y="0"/>
                  <wp:positionH relativeFrom="column">
                    <wp:posOffset>1776669</wp:posOffset>
                  </wp:positionH>
                  <wp:positionV relativeFrom="paragraph">
                    <wp:posOffset>70516</wp:posOffset>
                  </wp:positionV>
                  <wp:extent cx="5155565" cy="45719"/>
                  <wp:effectExtent l="38100" t="38100" r="64135" b="88265"/>
                  <wp:wrapNone/>
                  <wp:docPr id="7" name="24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22CC88D4" id="24 Rectángulo" o:spid="_x0000_s1026" style="position:absolute;margin-left:139.9pt;margin-top:5.55pt;width:405.95pt;height:3.6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8B062E" w:rsidRDefault="008B062E">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352A53" w:rsidRPr="00352A53">
          <w:rPr>
            <w:rFonts w:ascii="Times New Roman" w:hAnsi="Times New Roman" w:cs="Times New Roman"/>
            <w:b/>
            <w:noProof/>
            <w:color w:val="1F497D" w:themeColor="text2"/>
            <w:lang w:val="es-ES"/>
          </w:rPr>
          <w:t>11</w:t>
        </w:r>
        <w:r w:rsidRPr="007D4651">
          <w:rPr>
            <w:rFonts w:ascii="Times New Roman" w:hAnsi="Times New Roman" w:cs="Times New Roman"/>
            <w:b/>
            <w:color w:val="1F497D" w:themeColor="text2"/>
          </w:rPr>
          <w:fldChar w:fldCharType="end"/>
        </w:r>
        <w:r>
          <w:rPr>
            <w:lang w:val="es-ES"/>
          </w:rPr>
          <w:t xml:space="preserve"> </w:t>
        </w:r>
      </w:p>
    </w:sdtContent>
  </w:sdt>
  <w:p w:rsidR="008B062E" w:rsidRDefault="008B062E" w:rsidP="007D4651">
    <w:pPr>
      <w:pStyle w:val="Piedepgina"/>
      <w:tabs>
        <w:tab w:val="clear" w:pos="4419"/>
        <w:tab w:val="clear" w:pos="8838"/>
        <w:tab w:val="left" w:pos="5777"/>
      </w:tabs>
    </w:pPr>
  </w:p>
  <w:p w:rsidR="008B062E" w:rsidRDefault="008B062E"/>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lang w:val="es-ES"/>
      </w:rPr>
      <w:id w:val="-70425031"/>
      <w:docPartObj>
        <w:docPartGallery w:val="Page Numbers (Bottom of Page)"/>
        <w:docPartUnique/>
      </w:docPartObj>
    </w:sdtPr>
    <w:sdtEndPr/>
    <w:sdtContent>
      <w:p w:rsidR="008B062E" w:rsidRDefault="008B062E">
        <w:pPr>
          <w:pStyle w:val="Piedepgina"/>
          <w:jc w:val="right"/>
          <w:rPr>
            <w:lang w:val="es-ES"/>
          </w:rPr>
        </w:pPr>
      </w:p>
      <w:p w:rsidR="008B062E" w:rsidRDefault="008B062E" w:rsidP="007D4651">
        <w:pPr>
          <w:pStyle w:val="Piedepgina"/>
          <w:tabs>
            <w:tab w:val="left" w:pos="6489"/>
          </w:tabs>
          <w:rPr>
            <w:lang w:val="es-ES"/>
          </w:rPr>
        </w:pPr>
        <w:r>
          <w:rPr>
            <w:rFonts w:ascii="Times New Roman" w:hAnsi="Times New Roman" w:cs="Times New Roman"/>
            <w:noProof/>
            <w:lang w:val="es-ES" w:eastAsia="es-ES"/>
          </w:rPr>
          <mc:AlternateContent>
            <mc:Choice Requires="wps">
              <w:drawing>
                <wp:anchor distT="0" distB="0" distL="114300" distR="114300" simplePos="0" relativeHeight="251737088" behindDoc="0" locked="0" layoutInCell="1" allowOverlap="1" wp14:anchorId="3351E07C" wp14:editId="671DB555">
                  <wp:simplePos x="0" y="0"/>
                  <wp:positionH relativeFrom="column">
                    <wp:posOffset>1776669</wp:posOffset>
                  </wp:positionH>
                  <wp:positionV relativeFrom="paragraph">
                    <wp:posOffset>70516</wp:posOffset>
                  </wp:positionV>
                  <wp:extent cx="5155565" cy="45719"/>
                  <wp:effectExtent l="38100" t="38100" r="64135" b="88265"/>
                  <wp:wrapNone/>
                  <wp:docPr id="21" name="39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444A17FD" id="39 Rectángulo" o:spid="_x0000_s1026" style="position:absolute;margin-left:139.9pt;margin-top:5.55pt;width:405.95pt;height:3.6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8B062E" w:rsidRDefault="008B062E">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Pr="008B062E">
          <w:rPr>
            <w:rFonts w:ascii="Times New Roman" w:hAnsi="Times New Roman" w:cs="Times New Roman"/>
            <w:b/>
            <w:noProof/>
            <w:color w:val="1F497D" w:themeColor="text2"/>
            <w:lang w:val="es-ES"/>
          </w:rPr>
          <w:t>14</w:t>
        </w:r>
        <w:r w:rsidRPr="007D4651">
          <w:rPr>
            <w:rFonts w:ascii="Times New Roman" w:hAnsi="Times New Roman" w:cs="Times New Roman"/>
            <w:b/>
            <w:color w:val="1F497D" w:themeColor="text2"/>
          </w:rPr>
          <w:fldChar w:fldCharType="end"/>
        </w:r>
        <w:r>
          <w:rPr>
            <w:lang w:val="es-ES"/>
          </w:rPr>
          <w:t xml:space="preserve"> </w:t>
        </w:r>
      </w:p>
    </w:sdtContent>
  </w:sdt>
  <w:p w:rsidR="008B062E" w:rsidRDefault="008B062E" w:rsidP="007D4651">
    <w:pPr>
      <w:pStyle w:val="Piedepgina"/>
      <w:tabs>
        <w:tab w:val="clear" w:pos="4419"/>
        <w:tab w:val="clear" w:pos="8838"/>
        <w:tab w:val="left" w:pos="5777"/>
      </w:tabs>
    </w:pPr>
  </w:p>
  <w:p w:rsidR="008B062E" w:rsidRDefault="008B062E"/>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lang w:val="es-ES"/>
      </w:rPr>
      <w:id w:val="1650791608"/>
      <w:docPartObj>
        <w:docPartGallery w:val="Page Numbers (Bottom of Page)"/>
        <w:docPartUnique/>
      </w:docPartObj>
    </w:sdtPr>
    <w:sdtEndPr/>
    <w:sdtContent>
      <w:p w:rsidR="008B062E" w:rsidRDefault="008B062E">
        <w:pPr>
          <w:pStyle w:val="Piedepgina"/>
          <w:jc w:val="right"/>
          <w:rPr>
            <w:lang w:val="es-ES"/>
          </w:rPr>
        </w:pPr>
      </w:p>
      <w:p w:rsidR="008B062E" w:rsidRDefault="008B062E" w:rsidP="007D4651">
        <w:pPr>
          <w:pStyle w:val="Piedepgina"/>
          <w:tabs>
            <w:tab w:val="left" w:pos="6489"/>
          </w:tabs>
          <w:rPr>
            <w:lang w:val="es-ES"/>
          </w:rPr>
        </w:pPr>
        <w:r>
          <w:rPr>
            <w:rFonts w:ascii="Times New Roman" w:hAnsi="Times New Roman" w:cs="Times New Roman"/>
            <w:noProof/>
            <w:lang w:val="es-ES" w:eastAsia="es-ES"/>
          </w:rPr>
          <mc:AlternateContent>
            <mc:Choice Requires="wps">
              <w:drawing>
                <wp:anchor distT="0" distB="0" distL="114300" distR="114300" simplePos="0" relativeHeight="251730944" behindDoc="0" locked="0" layoutInCell="1" allowOverlap="1" wp14:anchorId="08F61210" wp14:editId="631FB7BE">
                  <wp:simplePos x="0" y="0"/>
                  <wp:positionH relativeFrom="column">
                    <wp:posOffset>1759602</wp:posOffset>
                  </wp:positionH>
                  <wp:positionV relativeFrom="paragraph">
                    <wp:posOffset>70485</wp:posOffset>
                  </wp:positionV>
                  <wp:extent cx="5155565" cy="45719"/>
                  <wp:effectExtent l="38100" t="38100" r="64135" b="88265"/>
                  <wp:wrapNone/>
                  <wp:docPr id="48" name="26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3008844B" id="26 Rectángulo" o:spid="_x0000_s1026" style="position:absolute;margin-left:138.55pt;margin-top:5.55pt;width:405.95pt;height:3.6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8B062E" w:rsidRDefault="008B062E">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765A09" w:rsidRPr="00765A09">
          <w:rPr>
            <w:rFonts w:ascii="Times New Roman" w:hAnsi="Times New Roman" w:cs="Times New Roman"/>
            <w:b/>
            <w:noProof/>
            <w:color w:val="1F497D" w:themeColor="text2"/>
            <w:lang w:val="es-ES"/>
          </w:rPr>
          <w:t>12</w:t>
        </w:r>
        <w:r w:rsidRPr="007D4651">
          <w:rPr>
            <w:rFonts w:ascii="Times New Roman" w:hAnsi="Times New Roman" w:cs="Times New Roman"/>
            <w:b/>
            <w:color w:val="1F497D" w:themeColor="text2"/>
          </w:rPr>
          <w:fldChar w:fldCharType="end"/>
        </w:r>
        <w:r>
          <w:rPr>
            <w:lang w:val="es-ES"/>
          </w:rPr>
          <w:t xml:space="preserve"> </w:t>
        </w:r>
      </w:p>
    </w:sdtContent>
  </w:sdt>
  <w:p w:rsidR="008B062E" w:rsidRDefault="008B062E" w:rsidP="007D4651">
    <w:pPr>
      <w:pStyle w:val="Piedepgina"/>
      <w:tabs>
        <w:tab w:val="clear" w:pos="4419"/>
        <w:tab w:val="clear" w:pos="8838"/>
        <w:tab w:val="left" w:pos="5777"/>
      </w:tabs>
    </w:pPr>
  </w:p>
  <w:p w:rsidR="008B062E" w:rsidRDefault="008B062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62DE" w:rsidRDefault="003262DE" w:rsidP="007D4651">
      <w:pPr>
        <w:spacing w:after="0" w:line="240" w:lineRule="auto"/>
      </w:pPr>
      <w:r>
        <w:separator/>
      </w:r>
    </w:p>
  </w:footnote>
  <w:footnote w:type="continuationSeparator" w:id="0">
    <w:p w:rsidR="003262DE" w:rsidRDefault="003262DE" w:rsidP="007D465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62E" w:rsidRPr="002E105E" w:rsidRDefault="008B062E" w:rsidP="00234F86">
    <w:pPr>
      <w:pStyle w:val="Encabezado"/>
      <w:jc w:val="right"/>
      <w:rPr>
        <w:rFonts w:ascii="Times New Roman" w:hAnsi="Times New Roman" w:cs="Times New Roman"/>
        <w:b/>
        <w:color w:val="1F497D" w:themeColor="text2"/>
        <w:lang w:val="es-MX"/>
      </w:rPr>
    </w:pPr>
    <w:r w:rsidRPr="002E105E">
      <w:rPr>
        <w:rFonts w:ascii="Times New Roman" w:hAnsi="Times New Roman" w:cs="Times New Roman"/>
        <w:b/>
        <w:color w:val="1F497D" w:themeColor="text2"/>
        <w:lang w:val="es-MX"/>
      </w:rPr>
      <w:t>Informe de las Finanzas Públicas</w:t>
    </w:r>
    <w:r w:rsidRPr="002E105E">
      <w:rPr>
        <w:noProof/>
        <w:sz w:val="20"/>
        <w:lang w:val="es-ES" w:eastAsia="es-ES"/>
      </w:rPr>
      <w:drawing>
        <wp:anchor distT="0" distB="0" distL="114300" distR="114300" simplePos="0" relativeHeight="251805696" behindDoc="1" locked="1" layoutInCell="1" allowOverlap="1" wp14:anchorId="13CD4F30" wp14:editId="46639E48">
          <wp:simplePos x="0" y="0"/>
          <wp:positionH relativeFrom="column">
            <wp:posOffset>-46990</wp:posOffset>
          </wp:positionH>
          <wp:positionV relativeFrom="page">
            <wp:posOffset>217805</wp:posOffset>
          </wp:positionV>
          <wp:extent cx="1282700" cy="1022985"/>
          <wp:effectExtent l="0" t="0" r="0" b="5715"/>
          <wp:wrapNone/>
          <wp:docPr id="23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
                    <a:extLst>
                      <a:ext uri="{28A0092B-C50C-407E-A947-70E740481C1C}">
                        <a14:useLocalDpi xmlns:a14="http://schemas.microsoft.com/office/drawing/2010/main" val="0"/>
                      </a:ext>
                    </a:extLst>
                  </a:blip>
                  <a:srcRect l="80019" t="2313" r="3444" b="87481"/>
                  <a:stretch/>
                </pic:blipFill>
                <pic:spPr bwMode="auto">
                  <a:xfrm>
                    <a:off x="0" y="0"/>
                    <a:ext cx="1282700" cy="1022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B062E" w:rsidRPr="002E105E" w:rsidRDefault="008B062E" w:rsidP="00234F86">
    <w:pPr>
      <w:pStyle w:val="Encabezado"/>
      <w:jc w:val="right"/>
      <w:rPr>
        <w:rFonts w:ascii="Times New Roman" w:hAnsi="Times New Roman" w:cs="Times New Roman"/>
        <w:color w:val="1F497D" w:themeColor="text2"/>
        <w:sz w:val="20"/>
        <w:lang w:val="es-MX"/>
      </w:rPr>
    </w:pPr>
    <w:r>
      <w:rPr>
        <w:rFonts w:ascii="Times New Roman" w:hAnsi="Times New Roman" w:cs="Times New Roman"/>
        <w:color w:val="1F497D" w:themeColor="text2"/>
        <w:sz w:val="20"/>
        <w:lang w:val="es-MX"/>
      </w:rPr>
      <w:t>Junio</w:t>
    </w:r>
    <w:r w:rsidRPr="002E105E">
      <w:rPr>
        <w:rFonts w:ascii="Times New Roman" w:hAnsi="Times New Roman" w:cs="Times New Roman"/>
        <w:color w:val="1F497D" w:themeColor="text2"/>
        <w:sz w:val="20"/>
        <w:lang w:val="es-MX"/>
      </w:rPr>
      <w:t xml:space="preserve"> 2021</w:t>
    </w:r>
  </w:p>
  <w:p w:rsidR="008B062E" w:rsidRDefault="008B062E" w:rsidP="00234F86">
    <w:pPr>
      <w:pStyle w:val="Encabezado"/>
      <w:jc w:val="right"/>
      <w:rPr>
        <w:rFonts w:ascii="Times New Roman" w:hAnsi="Times New Roman" w:cs="Times New Roman"/>
        <w:lang w:val="es-MX"/>
      </w:rPr>
    </w:pPr>
    <w:r>
      <w:rPr>
        <w:rFonts w:ascii="Times New Roman" w:hAnsi="Times New Roman" w:cs="Times New Roman"/>
        <w:noProof/>
        <w:lang w:val="es-ES" w:eastAsia="es-ES"/>
      </w:rPr>
      <mc:AlternateContent>
        <mc:Choice Requires="wps">
          <w:drawing>
            <wp:anchor distT="0" distB="0" distL="114300" distR="114300" simplePos="0" relativeHeight="251804672" behindDoc="0" locked="0" layoutInCell="1" allowOverlap="1" wp14:anchorId="76BC12AF" wp14:editId="2825BE4F">
              <wp:simplePos x="0" y="0"/>
              <wp:positionH relativeFrom="column">
                <wp:posOffset>1352514</wp:posOffset>
              </wp:positionH>
              <wp:positionV relativeFrom="paragraph">
                <wp:posOffset>12472</wp:posOffset>
              </wp:positionV>
              <wp:extent cx="4744528" cy="45719"/>
              <wp:effectExtent l="38100" t="38100" r="56515" b="88265"/>
              <wp:wrapNone/>
              <wp:docPr id="18" name="11 Rectángulo"/>
              <wp:cNvGraphicFramePr/>
              <a:graphic xmlns:a="http://schemas.openxmlformats.org/drawingml/2006/main">
                <a:graphicData uri="http://schemas.microsoft.com/office/word/2010/wordprocessingShape">
                  <wps:wsp>
                    <wps:cNvSpPr/>
                    <wps:spPr>
                      <a:xfrm>
                        <a:off x="0" y="0"/>
                        <a:ext cx="4744528"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62054779" id="11 Rectángulo" o:spid="_x0000_s1026" style="position:absolute;margin-left:106.5pt;margin-top:1pt;width:373.6pt;height:3.6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8B062E" w:rsidRPr="0073581B" w:rsidRDefault="008B062E" w:rsidP="00234F86">
    <w:pPr>
      <w:pStyle w:val="Encabezado"/>
      <w:jc w:val="center"/>
      <w:rPr>
        <w:rFonts w:ascii="Times New Roman" w:hAnsi="Times New Roman" w:cs="Times New Roman"/>
        <w:b/>
        <w:lang w:val="es-MX"/>
      </w:rPr>
    </w:pPr>
    <w:r w:rsidRPr="0073581B">
      <w:rPr>
        <w:rFonts w:ascii="Times New Roman" w:hAnsi="Times New Roman" w:cs="Times New Roman"/>
        <w:b/>
        <w:color w:val="4F81BD" w:themeColor="accent1"/>
        <w:lang w:val="es-MX"/>
      </w:rPr>
      <w:t>Dirección de Análisis y Política Fiscal</w:t>
    </w:r>
  </w:p>
  <w:p w:rsidR="008B062E" w:rsidRPr="00E16925" w:rsidRDefault="008B062E" w:rsidP="00E16925">
    <w:pPr>
      <w:pStyle w:val="Encabezado"/>
      <w:rPr>
        <w:rFonts w:ascii="Times New Roman" w:hAnsi="Times New Roman" w:cs="Times New Roman"/>
        <w:lang w:val="es-MX"/>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62E" w:rsidRPr="002E105E" w:rsidRDefault="008B062E" w:rsidP="00234F86">
    <w:pPr>
      <w:pStyle w:val="Encabezado"/>
      <w:jc w:val="right"/>
      <w:rPr>
        <w:rFonts w:ascii="Times New Roman" w:hAnsi="Times New Roman" w:cs="Times New Roman"/>
        <w:b/>
        <w:color w:val="1F497D" w:themeColor="text2"/>
        <w:lang w:val="es-MX"/>
      </w:rPr>
    </w:pPr>
    <w:r w:rsidRPr="002E105E">
      <w:rPr>
        <w:rFonts w:ascii="Times New Roman" w:hAnsi="Times New Roman" w:cs="Times New Roman"/>
        <w:b/>
        <w:color w:val="1F497D" w:themeColor="text2"/>
        <w:lang w:val="es-MX"/>
      </w:rPr>
      <w:t>Informe de las Finanzas Públicas</w:t>
    </w:r>
    <w:r w:rsidRPr="002E105E">
      <w:rPr>
        <w:noProof/>
        <w:sz w:val="20"/>
        <w:lang w:val="es-ES" w:eastAsia="es-ES"/>
      </w:rPr>
      <w:drawing>
        <wp:anchor distT="0" distB="0" distL="114300" distR="114300" simplePos="0" relativeHeight="251824128" behindDoc="1" locked="1" layoutInCell="1" allowOverlap="1" wp14:anchorId="15FD8703" wp14:editId="3A3132C4">
          <wp:simplePos x="0" y="0"/>
          <wp:positionH relativeFrom="column">
            <wp:posOffset>-46990</wp:posOffset>
          </wp:positionH>
          <wp:positionV relativeFrom="page">
            <wp:posOffset>217805</wp:posOffset>
          </wp:positionV>
          <wp:extent cx="1282700" cy="1022985"/>
          <wp:effectExtent l="0" t="0" r="0" b="5715"/>
          <wp:wrapNone/>
          <wp:docPr id="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
                    <a:extLst>
                      <a:ext uri="{28A0092B-C50C-407E-A947-70E740481C1C}">
                        <a14:useLocalDpi xmlns:a14="http://schemas.microsoft.com/office/drawing/2010/main" val="0"/>
                      </a:ext>
                    </a:extLst>
                  </a:blip>
                  <a:srcRect l="80019" t="2313" r="3444" b="87481"/>
                  <a:stretch/>
                </pic:blipFill>
                <pic:spPr bwMode="auto">
                  <a:xfrm>
                    <a:off x="0" y="0"/>
                    <a:ext cx="1282700" cy="1022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B062E" w:rsidRPr="002E105E" w:rsidRDefault="008B062E" w:rsidP="00234F86">
    <w:pPr>
      <w:pStyle w:val="Encabezado"/>
      <w:jc w:val="right"/>
      <w:rPr>
        <w:rFonts w:ascii="Times New Roman" w:hAnsi="Times New Roman" w:cs="Times New Roman"/>
        <w:color w:val="1F497D" w:themeColor="text2"/>
        <w:sz w:val="20"/>
        <w:lang w:val="es-MX"/>
      </w:rPr>
    </w:pPr>
    <w:r>
      <w:rPr>
        <w:rFonts w:ascii="Times New Roman" w:hAnsi="Times New Roman" w:cs="Times New Roman"/>
        <w:color w:val="1F497D" w:themeColor="text2"/>
        <w:sz w:val="20"/>
        <w:lang w:val="es-MX"/>
      </w:rPr>
      <w:t>Junio</w:t>
    </w:r>
    <w:r w:rsidRPr="002E105E">
      <w:rPr>
        <w:rFonts w:ascii="Times New Roman" w:hAnsi="Times New Roman" w:cs="Times New Roman"/>
        <w:color w:val="1F497D" w:themeColor="text2"/>
        <w:sz w:val="20"/>
        <w:lang w:val="es-MX"/>
      </w:rPr>
      <w:t xml:space="preserve"> 2021</w:t>
    </w:r>
  </w:p>
  <w:p w:rsidR="008B062E" w:rsidRDefault="008B062E" w:rsidP="00234F86">
    <w:pPr>
      <w:pStyle w:val="Encabezado"/>
      <w:jc w:val="right"/>
      <w:rPr>
        <w:rFonts w:ascii="Times New Roman" w:hAnsi="Times New Roman" w:cs="Times New Roman"/>
        <w:lang w:val="es-MX"/>
      </w:rPr>
    </w:pPr>
    <w:r>
      <w:rPr>
        <w:rFonts w:ascii="Times New Roman" w:hAnsi="Times New Roman" w:cs="Times New Roman"/>
        <w:noProof/>
        <w:lang w:val="es-ES" w:eastAsia="es-ES"/>
      </w:rPr>
      <mc:AlternateContent>
        <mc:Choice Requires="wps">
          <w:drawing>
            <wp:anchor distT="0" distB="0" distL="114300" distR="114300" simplePos="0" relativeHeight="251823104" behindDoc="0" locked="0" layoutInCell="1" allowOverlap="1" wp14:anchorId="0C755748" wp14:editId="0CA222FA">
              <wp:simplePos x="0" y="0"/>
              <wp:positionH relativeFrom="column">
                <wp:posOffset>1352514</wp:posOffset>
              </wp:positionH>
              <wp:positionV relativeFrom="paragraph">
                <wp:posOffset>12472</wp:posOffset>
              </wp:positionV>
              <wp:extent cx="4744528" cy="45719"/>
              <wp:effectExtent l="38100" t="38100" r="56515" b="88265"/>
              <wp:wrapNone/>
              <wp:docPr id="35" name="11 Rectángulo"/>
              <wp:cNvGraphicFramePr/>
              <a:graphic xmlns:a="http://schemas.openxmlformats.org/drawingml/2006/main">
                <a:graphicData uri="http://schemas.microsoft.com/office/word/2010/wordprocessingShape">
                  <wps:wsp>
                    <wps:cNvSpPr/>
                    <wps:spPr>
                      <a:xfrm>
                        <a:off x="0" y="0"/>
                        <a:ext cx="4744528"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6AEE2E6E" id="11 Rectángulo" o:spid="_x0000_s1026" style="position:absolute;margin-left:106.5pt;margin-top:1pt;width:373.6pt;height:3.6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8B062E" w:rsidRPr="0073581B" w:rsidRDefault="008B062E" w:rsidP="00234F86">
    <w:pPr>
      <w:pStyle w:val="Encabezado"/>
      <w:jc w:val="center"/>
      <w:rPr>
        <w:rFonts w:ascii="Times New Roman" w:hAnsi="Times New Roman" w:cs="Times New Roman"/>
        <w:b/>
        <w:lang w:val="es-MX"/>
      </w:rPr>
    </w:pPr>
    <w:r w:rsidRPr="0073581B">
      <w:rPr>
        <w:rFonts w:ascii="Times New Roman" w:hAnsi="Times New Roman" w:cs="Times New Roman"/>
        <w:b/>
        <w:color w:val="4F81BD" w:themeColor="accent1"/>
        <w:lang w:val="es-MX"/>
      </w:rPr>
      <w:t>Dirección de Análisis y Política Fiscal</w:t>
    </w:r>
  </w:p>
  <w:p w:rsidR="008B062E" w:rsidRPr="00E16925" w:rsidRDefault="008B062E" w:rsidP="00E16925">
    <w:pPr>
      <w:pStyle w:val="Encabezado"/>
      <w:rPr>
        <w:rFonts w:ascii="Times New Roman" w:hAnsi="Times New Roman" w:cs="Times New Roman"/>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62E" w:rsidRPr="002E105E" w:rsidRDefault="008B062E" w:rsidP="00234F86">
    <w:pPr>
      <w:pStyle w:val="Encabezado"/>
      <w:jc w:val="right"/>
      <w:rPr>
        <w:rFonts w:ascii="Times New Roman" w:hAnsi="Times New Roman" w:cs="Times New Roman"/>
        <w:b/>
        <w:color w:val="1F497D" w:themeColor="text2"/>
        <w:lang w:val="es-MX"/>
      </w:rPr>
    </w:pPr>
    <w:r w:rsidRPr="002E105E">
      <w:rPr>
        <w:rFonts w:ascii="Times New Roman" w:hAnsi="Times New Roman" w:cs="Times New Roman"/>
        <w:b/>
        <w:color w:val="1F497D" w:themeColor="text2"/>
        <w:lang w:val="es-MX"/>
      </w:rPr>
      <w:t>Informe de las Finanzas Públicas</w:t>
    </w:r>
    <w:r w:rsidRPr="002E105E">
      <w:rPr>
        <w:noProof/>
        <w:sz w:val="20"/>
        <w:lang w:val="es-ES" w:eastAsia="es-ES"/>
      </w:rPr>
      <w:drawing>
        <wp:anchor distT="0" distB="0" distL="114300" distR="114300" simplePos="0" relativeHeight="251773952" behindDoc="1" locked="1" layoutInCell="1" allowOverlap="1" wp14:anchorId="3CAC7B77" wp14:editId="40096BA2">
          <wp:simplePos x="0" y="0"/>
          <wp:positionH relativeFrom="column">
            <wp:posOffset>-46990</wp:posOffset>
          </wp:positionH>
          <wp:positionV relativeFrom="page">
            <wp:posOffset>217805</wp:posOffset>
          </wp:positionV>
          <wp:extent cx="1282700" cy="1022985"/>
          <wp:effectExtent l="0" t="0" r="0" b="5715"/>
          <wp:wrapNone/>
          <wp:docPr id="2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
                    <a:extLst>
                      <a:ext uri="{28A0092B-C50C-407E-A947-70E740481C1C}">
                        <a14:useLocalDpi xmlns:a14="http://schemas.microsoft.com/office/drawing/2010/main" val="0"/>
                      </a:ext>
                    </a:extLst>
                  </a:blip>
                  <a:srcRect l="80019" t="2313" r="3444" b="87481"/>
                  <a:stretch/>
                </pic:blipFill>
                <pic:spPr bwMode="auto">
                  <a:xfrm>
                    <a:off x="0" y="0"/>
                    <a:ext cx="1282700" cy="1022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B062E" w:rsidRPr="002E105E" w:rsidRDefault="008B062E" w:rsidP="00234F86">
    <w:pPr>
      <w:pStyle w:val="Encabezado"/>
      <w:jc w:val="right"/>
      <w:rPr>
        <w:rFonts w:ascii="Times New Roman" w:hAnsi="Times New Roman" w:cs="Times New Roman"/>
        <w:color w:val="1F497D" w:themeColor="text2"/>
        <w:sz w:val="20"/>
        <w:lang w:val="es-MX"/>
      </w:rPr>
    </w:pPr>
    <w:r>
      <w:rPr>
        <w:rFonts w:ascii="Times New Roman" w:hAnsi="Times New Roman" w:cs="Times New Roman"/>
        <w:color w:val="1F497D" w:themeColor="text2"/>
        <w:sz w:val="20"/>
        <w:lang w:val="es-MX"/>
      </w:rPr>
      <w:t>Junio</w:t>
    </w:r>
    <w:r w:rsidRPr="002E105E">
      <w:rPr>
        <w:rFonts w:ascii="Times New Roman" w:hAnsi="Times New Roman" w:cs="Times New Roman"/>
        <w:color w:val="1F497D" w:themeColor="text2"/>
        <w:sz w:val="20"/>
        <w:lang w:val="es-MX"/>
      </w:rPr>
      <w:t xml:space="preserve"> 2021</w:t>
    </w:r>
  </w:p>
  <w:p w:rsidR="008B062E" w:rsidRDefault="008B062E" w:rsidP="002E105E">
    <w:pPr>
      <w:pStyle w:val="Encabezado"/>
      <w:jc w:val="right"/>
      <w:rPr>
        <w:rFonts w:ascii="Times New Roman" w:hAnsi="Times New Roman" w:cs="Times New Roman"/>
        <w:lang w:val="es-MX"/>
      </w:rPr>
    </w:pPr>
    <w:r>
      <w:rPr>
        <w:rFonts w:ascii="Times New Roman" w:hAnsi="Times New Roman" w:cs="Times New Roman"/>
        <w:noProof/>
        <w:lang w:val="es-ES" w:eastAsia="es-ES"/>
      </w:rPr>
      <mc:AlternateContent>
        <mc:Choice Requires="wps">
          <w:drawing>
            <wp:anchor distT="0" distB="0" distL="114300" distR="114300" simplePos="0" relativeHeight="251771904" behindDoc="0" locked="0" layoutInCell="1" allowOverlap="1" wp14:anchorId="4472F2CE" wp14:editId="08D99138">
              <wp:simplePos x="0" y="0"/>
              <wp:positionH relativeFrom="column">
                <wp:posOffset>1352514</wp:posOffset>
              </wp:positionH>
              <wp:positionV relativeFrom="paragraph">
                <wp:posOffset>12472</wp:posOffset>
              </wp:positionV>
              <wp:extent cx="4744528" cy="45719"/>
              <wp:effectExtent l="38100" t="38100" r="56515" b="88265"/>
              <wp:wrapNone/>
              <wp:docPr id="17" name="11 Rectángulo"/>
              <wp:cNvGraphicFramePr/>
              <a:graphic xmlns:a="http://schemas.openxmlformats.org/drawingml/2006/main">
                <a:graphicData uri="http://schemas.microsoft.com/office/word/2010/wordprocessingShape">
                  <wps:wsp>
                    <wps:cNvSpPr/>
                    <wps:spPr>
                      <a:xfrm>
                        <a:off x="0" y="0"/>
                        <a:ext cx="4744528"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0257EF83" id="11 Rectángulo" o:spid="_x0000_s1026" style="position:absolute;margin-left:106.5pt;margin-top:1pt;width:373.6pt;height:3.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8B062E" w:rsidRPr="0073581B" w:rsidRDefault="008B062E" w:rsidP="002E105E">
    <w:pPr>
      <w:pStyle w:val="Encabezado"/>
      <w:jc w:val="center"/>
      <w:rPr>
        <w:rFonts w:ascii="Times New Roman" w:hAnsi="Times New Roman" w:cs="Times New Roman"/>
        <w:b/>
        <w:lang w:val="es-MX"/>
      </w:rPr>
    </w:pPr>
    <w:r w:rsidRPr="0073581B">
      <w:rPr>
        <w:rFonts w:ascii="Times New Roman" w:hAnsi="Times New Roman" w:cs="Times New Roman"/>
        <w:b/>
        <w:color w:val="4F81BD" w:themeColor="accent1"/>
        <w:lang w:val="es-MX"/>
      </w:rPr>
      <w:t>Dirección de Análisis y Política Fiscal</w:t>
    </w:r>
  </w:p>
  <w:p w:rsidR="008B062E" w:rsidRPr="00E16925" w:rsidRDefault="008B062E" w:rsidP="00E16925">
    <w:pPr>
      <w:pStyle w:val="Encabezado"/>
      <w:rPr>
        <w:rFonts w:ascii="Times New Roman" w:hAnsi="Times New Roman" w:cs="Times New Roman"/>
        <w:lang w:val="es-MX"/>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62E" w:rsidRPr="002E105E" w:rsidRDefault="008B062E" w:rsidP="002E105E">
    <w:pPr>
      <w:pStyle w:val="Encabezado"/>
      <w:jc w:val="center"/>
      <w:rPr>
        <w:rFonts w:ascii="Times New Roman" w:hAnsi="Times New Roman" w:cs="Times New Roman"/>
        <w:b/>
        <w:color w:val="1F497D" w:themeColor="text2"/>
        <w:lang w:val="es-MX"/>
      </w:rPr>
    </w:pPr>
    <w:r w:rsidRPr="002E105E">
      <w:rPr>
        <w:noProof/>
        <w:sz w:val="20"/>
        <w:lang w:val="es-ES" w:eastAsia="es-ES"/>
      </w:rPr>
      <w:drawing>
        <wp:anchor distT="0" distB="0" distL="114300" distR="114300" simplePos="0" relativeHeight="251777024" behindDoc="0" locked="0" layoutInCell="1" allowOverlap="1" wp14:anchorId="39A691BC" wp14:editId="4631B3F6">
          <wp:simplePos x="0" y="0"/>
          <wp:positionH relativeFrom="column">
            <wp:posOffset>-548640</wp:posOffset>
          </wp:positionH>
          <wp:positionV relativeFrom="paragraph">
            <wp:posOffset>-8587</wp:posOffset>
          </wp:positionV>
          <wp:extent cx="1598212" cy="723976"/>
          <wp:effectExtent l="0" t="0" r="2540" b="0"/>
          <wp:wrapNone/>
          <wp:docPr id="242" name="Imagen 242" descr="Resultado de imagen para gobierno de guatema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gobierno de guatemal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8212" cy="723976"/>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105E">
      <w:rPr>
        <w:rFonts w:ascii="Times New Roman" w:hAnsi="Times New Roman" w:cs="Times New Roman"/>
        <w:b/>
        <w:color w:val="1F497D" w:themeColor="text2"/>
        <w:lang w:val="es-MX"/>
      </w:rPr>
      <w:t>Informe de las Finanzas Públicas</w:t>
    </w:r>
    <w:r w:rsidRPr="002E105E">
      <w:rPr>
        <w:noProof/>
        <w:sz w:val="20"/>
        <w:lang w:val="es-ES" w:eastAsia="es-ES"/>
      </w:rPr>
      <w:drawing>
        <wp:anchor distT="0" distB="0" distL="114300" distR="114300" simplePos="0" relativeHeight="251778048" behindDoc="1" locked="1" layoutInCell="1" allowOverlap="1" wp14:anchorId="7BD1B5F6" wp14:editId="373E9727">
          <wp:simplePos x="0" y="0"/>
          <wp:positionH relativeFrom="column">
            <wp:posOffset>5207000</wp:posOffset>
          </wp:positionH>
          <wp:positionV relativeFrom="page">
            <wp:posOffset>166370</wp:posOffset>
          </wp:positionV>
          <wp:extent cx="1282700" cy="1022985"/>
          <wp:effectExtent l="0" t="0" r="0" b="5715"/>
          <wp:wrapNone/>
          <wp:docPr id="24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2">
                    <a:extLst>
                      <a:ext uri="{28A0092B-C50C-407E-A947-70E740481C1C}">
                        <a14:useLocalDpi xmlns:a14="http://schemas.microsoft.com/office/drawing/2010/main" val="0"/>
                      </a:ext>
                    </a:extLst>
                  </a:blip>
                  <a:srcRect l="80019" t="2313" r="3444" b="87481"/>
                  <a:stretch/>
                </pic:blipFill>
                <pic:spPr bwMode="auto">
                  <a:xfrm>
                    <a:off x="0" y="0"/>
                    <a:ext cx="1282700" cy="1022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B062E" w:rsidRPr="002E105E" w:rsidRDefault="008B062E" w:rsidP="002E105E">
    <w:pPr>
      <w:pStyle w:val="Encabezado"/>
      <w:jc w:val="center"/>
      <w:rPr>
        <w:rFonts w:ascii="Times New Roman" w:hAnsi="Times New Roman" w:cs="Times New Roman"/>
        <w:color w:val="1F497D" w:themeColor="text2"/>
        <w:sz w:val="20"/>
        <w:lang w:val="es-MX"/>
      </w:rPr>
    </w:pPr>
    <w:r>
      <w:rPr>
        <w:rFonts w:ascii="Times New Roman" w:hAnsi="Times New Roman" w:cs="Times New Roman"/>
        <w:color w:val="1F497D" w:themeColor="text2"/>
        <w:sz w:val="20"/>
        <w:lang w:val="es-MX"/>
      </w:rPr>
      <w:t>Mayo</w:t>
    </w:r>
    <w:r w:rsidRPr="002E105E">
      <w:rPr>
        <w:rFonts w:ascii="Times New Roman" w:hAnsi="Times New Roman" w:cs="Times New Roman"/>
        <w:color w:val="1F497D" w:themeColor="text2"/>
        <w:sz w:val="20"/>
        <w:lang w:val="es-MX"/>
      </w:rPr>
      <w:t xml:space="preserve"> 2021</w:t>
    </w:r>
  </w:p>
  <w:p w:rsidR="008B062E" w:rsidRDefault="008B062E" w:rsidP="002E105E">
    <w:pPr>
      <w:pStyle w:val="Encabezado"/>
      <w:jc w:val="right"/>
      <w:rPr>
        <w:rFonts w:ascii="Times New Roman" w:hAnsi="Times New Roman" w:cs="Times New Roman"/>
        <w:lang w:val="es-MX"/>
      </w:rPr>
    </w:pPr>
    <w:r>
      <w:rPr>
        <w:rFonts w:ascii="Times New Roman" w:hAnsi="Times New Roman" w:cs="Times New Roman"/>
        <w:noProof/>
        <w:lang w:val="es-ES" w:eastAsia="es-ES"/>
      </w:rPr>
      <mc:AlternateContent>
        <mc:Choice Requires="wps">
          <w:drawing>
            <wp:anchor distT="0" distB="0" distL="114300" distR="114300" simplePos="0" relativeHeight="251776000" behindDoc="0" locked="0" layoutInCell="1" allowOverlap="1" wp14:anchorId="77398583" wp14:editId="74C3E454">
              <wp:simplePos x="0" y="0"/>
              <wp:positionH relativeFrom="column">
                <wp:posOffset>1214617</wp:posOffset>
              </wp:positionH>
              <wp:positionV relativeFrom="paragraph">
                <wp:posOffset>14357</wp:posOffset>
              </wp:positionV>
              <wp:extent cx="3991555" cy="45719"/>
              <wp:effectExtent l="38100" t="38100" r="66675" b="88265"/>
              <wp:wrapNone/>
              <wp:docPr id="236" name="11 Rectángulo"/>
              <wp:cNvGraphicFramePr/>
              <a:graphic xmlns:a="http://schemas.openxmlformats.org/drawingml/2006/main">
                <a:graphicData uri="http://schemas.microsoft.com/office/word/2010/wordprocessingShape">
                  <wps:wsp>
                    <wps:cNvSpPr/>
                    <wps:spPr>
                      <a:xfrm>
                        <a:off x="0" y="0"/>
                        <a:ext cx="399155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0F4E741E" id="11 Rectángulo" o:spid="_x0000_s1026" style="position:absolute;margin-left:95.65pt;margin-top:1.15pt;width:314.3pt;height:3.6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8B062E" w:rsidRPr="0073581B" w:rsidRDefault="008B062E" w:rsidP="002E105E">
    <w:pPr>
      <w:pStyle w:val="Encabezado"/>
      <w:jc w:val="center"/>
      <w:rPr>
        <w:rFonts w:ascii="Times New Roman" w:hAnsi="Times New Roman" w:cs="Times New Roman"/>
        <w:b/>
        <w:lang w:val="es-MX"/>
      </w:rPr>
    </w:pPr>
    <w:r w:rsidRPr="0073581B">
      <w:rPr>
        <w:rFonts w:ascii="Times New Roman" w:hAnsi="Times New Roman" w:cs="Times New Roman"/>
        <w:b/>
        <w:color w:val="4F81BD" w:themeColor="accent1"/>
        <w:lang w:val="es-MX"/>
      </w:rPr>
      <w:t>Dirección de Análisis y Política Fiscal</w:t>
    </w:r>
  </w:p>
  <w:p w:rsidR="008B062E" w:rsidRPr="00E16925" w:rsidRDefault="008B062E" w:rsidP="00E16925">
    <w:pPr>
      <w:pStyle w:val="Encabezado"/>
      <w:rPr>
        <w:rFonts w:ascii="Times New Roman" w:hAnsi="Times New Roman" w:cs="Times New Roman"/>
        <w:lang w:val="es-MX"/>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62E" w:rsidRPr="002E105E" w:rsidRDefault="008B062E" w:rsidP="00234F86">
    <w:pPr>
      <w:pStyle w:val="Encabezado"/>
      <w:jc w:val="right"/>
      <w:rPr>
        <w:rFonts w:ascii="Times New Roman" w:hAnsi="Times New Roman" w:cs="Times New Roman"/>
        <w:b/>
        <w:color w:val="1F497D" w:themeColor="text2"/>
        <w:lang w:val="es-MX"/>
      </w:rPr>
    </w:pPr>
    <w:r w:rsidRPr="002E105E">
      <w:rPr>
        <w:rFonts w:ascii="Times New Roman" w:hAnsi="Times New Roman" w:cs="Times New Roman"/>
        <w:b/>
        <w:color w:val="1F497D" w:themeColor="text2"/>
        <w:lang w:val="es-MX"/>
      </w:rPr>
      <w:t>Informe de las Finanzas Públicas</w:t>
    </w:r>
    <w:r w:rsidRPr="002E105E">
      <w:rPr>
        <w:noProof/>
        <w:sz w:val="20"/>
        <w:lang w:val="es-ES" w:eastAsia="es-ES"/>
      </w:rPr>
      <w:drawing>
        <wp:anchor distT="0" distB="0" distL="114300" distR="114300" simplePos="0" relativeHeight="251808768" behindDoc="1" locked="1" layoutInCell="1" allowOverlap="1" wp14:anchorId="3507CE16" wp14:editId="0779DF83">
          <wp:simplePos x="0" y="0"/>
          <wp:positionH relativeFrom="column">
            <wp:posOffset>-46990</wp:posOffset>
          </wp:positionH>
          <wp:positionV relativeFrom="page">
            <wp:posOffset>217805</wp:posOffset>
          </wp:positionV>
          <wp:extent cx="1282700" cy="1022985"/>
          <wp:effectExtent l="0" t="0" r="0" b="5715"/>
          <wp:wrapNone/>
          <wp:docPr id="2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
                    <a:extLst>
                      <a:ext uri="{28A0092B-C50C-407E-A947-70E740481C1C}">
                        <a14:useLocalDpi xmlns:a14="http://schemas.microsoft.com/office/drawing/2010/main" val="0"/>
                      </a:ext>
                    </a:extLst>
                  </a:blip>
                  <a:srcRect l="80019" t="2313" r="3444" b="87481"/>
                  <a:stretch/>
                </pic:blipFill>
                <pic:spPr bwMode="auto">
                  <a:xfrm>
                    <a:off x="0" y="0"/>
                    <a:ext cx="1282700" cy="1022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B062E" w:rsidRPr="002E105E" w:rsidRDefault="008B062E" w:rsidP="00234F86">
    <w:pPr>
      <w:pStyle w:val="Encabezado"/>
      <w:jc w:val="right"/>
      <w:rPr>
        <w:rFonts w:ascii="Times New Roman" w:hAnsi="Times New Roman" w:cs="Times New Roman"/>
        <w:color w:val="1F497D" w:themeColor="text2"/>
        <w:sz w:val="20"/>
        <w:lang w:val="es-MX"/>
      </w:rPr>
    </w:pPr>
    <w:r>
      <w:rPr>
        <w:rFonts w:ascii="Times New Roman" w:hAnsi="Times New Roman" w:cs="Times New Roman"/>
        <w:color w:val="1F497D" w:themeColor="text2"/>
        <w:sz w:val="20"/>
        <w:lang w:val="es-MX"/>
      </w:rPr>
      <w:t>Junio</w:t>
    </w:r>
    <w:r w:rsidRPr="002E105E">
      <w:rPr>
        <w:rFonts w:ascii="Times New Roman" w:hAnsi="Times New Roman" w:cs="Times New Roman"/>
        <w:color w:val="1F497D" w:themeColor="text2"/>
        <w:sz w:val="20"/>
        <w:lang w:val="es-MX"/>
      </w:rPr>
      <w:t xml:space="preserve"> 2021</w:t>
    </w:r>
  </w:p>
  <w:p w:rsidR="008B062E" w:rsidRDefault="008B062E" w:rsidP="00234F86">
    <w:pPr>
      <w:pStyle w:val="Encabezado"/>
      <w:jc w:val="right"/>
      <w:rPr>
        <w:rFonts w:ascii="Times New Roman" w:hAnsi="Times New Roman" w:cs="Times New Roman"/>
        <w:lang w:val="es-MX"/>
      </w:rPr>
    </w:pPr>
    <w:r>
      <w:rPr>
        <w:rFonts w:ascii="Times New Roman" w:hAnsi="Times New Roman" w:cs="Times New Roman"/>
        <w:noProof/>
        <w:lang w:val="es-ES" w:eastAsia="es-ES"/>
      </w:rPr>
      <mc:AlternateContent>
        <mc:Choice Requires="wps">
          <w:drawing>
            <wp:anchor distT="0" distB="0" distL="114300" distR="114300" simplePos="0" relativeHeight="251807744" behindDoc="0" locked="0" layoutInCell="1" allowOverlap="1" wp14:anchorId="69805CEF" wp14:editId="7C7A2D70">
              <wp:simplePos x="0" y="0"/>
              <wp:positionH relativeFrom="column">
                <wp:posOffset>1352514</wp:posOffset>
              </wp:positionH>
              <wp:positionV relativeFrom="paragraph">
                <wp:posOffset>12472</wp:posOffset>
              </wp:positionV>
              <wp:extent cx="4744528" cy="45719"/>
              <wp:effectExtent l="38100" t="38100" r="56515" b="88265"/>
              <wp:wrapNone/>
              <wp:docPr id="24" name="11 Rectángulo"/>
              <wp:cNvGraphicFramePr/>
              <a:graphic xmlns:a="http://schemas.openxmlformats.org/drawingml/2006/main">
                <a:graphicData uri="http://schemas.microsoft.com/office/word/2010/wordprocessingShape">
                  <wps:wsp>
                    <wps:cNvSpPr/>
                    <wps:spPr>
                      <a:xfrm>
                        <a:off x="0" y="0"/>
                        <a:ext cx="4744528"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38BE9D67" id="11 Rectángulo" o:spid="_x0000_s1026" style="position:absolute;margin-left:106.5pt;margin-top:1pt;width:373.6pt;height:3.6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8B062E" w:rsidRPr="0073581B" w:rsidRDefault="008B062E" w:rsidP="00234F86">
    <w:pPr>
      <w:pStyle w:val="Encabezado"/>
      <w:jc w:val="center"/>
      <w:rPr>
        <w:rFonts w:ascii="Times New Roman" w:hAnsi="Times New Roman" w:cs="Times New Roman"/>
        <w:b/>
        <w:lang w:val="es-MX"/>
      </w:rPr>
    </w:pPr>
    <w:r w:rsidRPr="0073581B">
      <w:rPr>
        <w:rFonts w:ascii="Times New Roman" w:hAnsi="Times New Roman" w:cs="Times New Roman"/>
        <w:b/>
        <w:color w:val="4F81BD" w:themeColor="accent1"/>
        <w:lang w:val="es-MX"/>
      </w:rPr>
      <w:t>Dirección de Análisis y Política Fiscal</w:t>
    </w:r>
  </w:p>
  <w:p w:rsidR="008B062E" w:rsidRPr="00E16925" w:rsidRDefault="008B062E" w:rsidP="00E16925">
    <w:pPr>
      <w:pStyle w:val="Encabezado"/>
      <w:rPr>
        <w:rFonts w:ascii="Times New Roman" w:hAnsi="Times New Roman" w:cs="Times New Roman"/>
        <w:lang w:val="es-MX"/>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62E" w:rsidRPr="002E105E" w:rsidRDefault="008B062E" w:rsidP="00234F86">
    <w:pPr>
      <w:pStyle w:val="Encabezado"/>
      <w:jc w:val="right"/>
      <w:rPr>
        <w:rFonts w:ascii="Times New Roman" w:hAnsi="Times New Roman" w:cs="Times New Roman"/>
        <w:b/>
        <w:color w:val="1F497D" w:themeColor="text2"/>
        <w:lang w:val="es-MX"/>
      </w:rPr>
    </w:pPr>
    <w:r w:rsidRPr="002E105E">
      <w:rPr>
        <w:rFonts w:ascii="Times New Roman" w:hAnsi="Times New Roman" w:cs="Times New Roman"/>
        <w:b/>
        <w:color w:val="1F497D" w:themeColor="text2"/>
        <w:lang w:val="es-MX"/>
      </w:rPr>
      <w:t>Informe de las Finanzas Públicas</w:t>
    </w:r>
    <w:r w:rsidRPr="002E105E">
      <w:rPr>
        <w:noProof/>
        <w:sz w:val="20"/>
        <w:lang w:val="es-ES" w:eastAsia="es-ES"/>
      </w:rPr>
      <w:drawing>
        <wp:anchor distT="0" distB="0" distL="114300" distR="114300" simplePos="0" relativeHeight="251811840" behindDoc="1" locked="1" layoutInCell="1" allowOverlap="1" wp14:anchorId="37077A61" wp14:editId="34EEA951">
          <wp:simplePos x="0" y="0"/>
          <wp:positionH relativeFrom="column">
            <wp:posOffset>-46990</wp:posOffset>
          </wp:positionH>
          <wp:positionV relativeFrom="page">
            <wp:posOffset>217805</wp:posOffset>
          </wp:positionV>
          <wp:extent cx="1282700" cy="1022985"/>
          <wp:effectExtent l="0" t="0" r="0" b="5715"/>
          <wp:wrapNone/>
          <wp:docPr id="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
                    <a:extLst>
                      <a:ext uri="{28A0092B-C50C-407E-A947-70E740481C1C}">
                        <a14:useLocalDpi xmlns:a14="http://schemas.microsoft.com/office/drawing/2010/main" val="0"/>
                      </a:ext>
                    </a:extLst>
                  </a:blip>
                  <a:srcRect l="80019" t="2313" r="3444" b="87481"/>
                  <a:stretch/>
                </pic:blipFill>
                <pic:spPr bwMode="auto">
                  <a:xfrm>
                    <a:off x="0" y="0"/>
                    <a:ext cx="1282700" cy="1022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B062E" w:rsidRPr="002E105E" w:rsidRDefault="008B062E" w:rsidP="00234F86">
    <w:pPr>
      <w:pStyle w:val="Encabezado"/>
      <w:jc w:val="right"/>
      <w:rPr>
        <w:rFonts w:ascii="Times New Roman" w:hAnsi="Times New Roman" w:cs="Times New Roman"/>
        <w:color w:val="1F497D" w:themeColor="text2"/>
        <w:sz w:val="20"/>
        <w:lang w:val="es-MX"/>
      </w:rPr>
    </w:pPr>
    <w:r>
      <w:rPr>
        <w:rFonts w:ascii="Times New Roman" w:hAnsi="Times New Roman" w:cs="Times New Roman"/>
        <w:color w:val="1F497D" w:themeColor="text2"/>
        <w:sz w:val="20"/>
        <w:lang w:val="es-MX"/>
      </w:rPr>
      <w:t>Junio</w:t>
    </w:r>
    <w:r w:rsidRPr="002E105E">
      <w:rPr>
        <w:rFonts w:ascii="Times New Roman" w:hAnsi="Times New Roman" w:cs="Times New Roman"/>
        <w:color w:val="1F497D" w:themeColor="text2"/>
        <w:sz w:val="20"/>
        <w:lang w:val="es-MX"/>
      </w:rPr>
      <w:t xml:space="preserve"> 2021</w:t>
    </w:r>
  </w:p>
  <w:p w:rsidR="008B062E" w:rsidRDefault="008B062E" w:rsidP="00234F86">
    <w:pPr>
      <w:pStyle w:val="Encabezado"/>
      <w:jc w:val="right"/>
      <w:rPr>
        <w:rFonts w:ascii="Times New Roman" w:hAnsi="Times New Roman" w:cs="Times New Roman"/>
        <w:lang w:val="es-MX"/>
      </w:rPr>
    </w:pPr>
    <w:r>
      <w:rPr>
        <w:rFonts w:ascii="Times New Roman" w:hAnsi="Times New Roman" w:cs="Times New Roman"/>
        <w:noProof/>
        <w:lang w:val="es-ES" w:eastAsia="es-ES"/>
      </w:rPr>
      <mc:AlternateContent>
        <mc:Choice Requires="wps">
          <w:drawing>
            <wp:anchor distT="0" distB="0" distL="114300" distR="114300" simplePos="0" relativeHeight="251810816" behindDoc="0" locked="0" layoutInCell="1" allowOverlap="1" wp14:anchorId="42E2463E" wp14:editId="7DAD8CBD">
              <wp:simplePos x="0" y="0"/>
              <wp:positionH relativeFrom="column">
                <wp:posOffset>1352514</wp:posOffset>
              </wp:positionH>
              <wp:positionV relativeFrom="paragraph">
                <wp:posOffset>12472</wp:posOffset>
              </wp:positionV>
              <wp:extent cx="4744528" cy="45719"/>
              <wp:effectExtent l="38100" t="38100" r="56515" b="88265"/>
              <wp:wrapNone/>
              <wp:docPr id="27" name="11 Rectángulo"/>
              <wp:cNvGraphicFramePr/>
              <a:graphic xmlns:a="http://schemas.openxmlformats.org/drawingml/2006/main">
                <a:graphicData uri="http://schemas.microsoft.com/office/word/2010/wordprocessingShape">
                  <wps:wsp>
                    <wps:cNvSpPr/>
                    <wps:spPr>
                      <a:xfrm>
                        <a:off x="0" y="0"/>
                        <a:ext cx="4744528"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6D8A4B6E" id="11 Rectángulo" o:spid="_x0000_s1026" style="position:absolute;margin-left:106.5pt;margin-top:1pt;width:373.6pt;height:3.6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8B062E" w:rsidRPr="0073581B" w:rsidRDefault="008B062E" w:rsidP="00234F86">
    <w:pPr>
      <w:pStyle w:val="Encabezado"/>
      <w:jc w:val="center"/>
      <w:rPr>
        <w:rFonts w:ascii="Times New Roman" w:hAnsi="Times New Roman" w:cs="Times New Roman"/>
        <w:b/>
        <w:lang w:val="es-MX"/>
      </w:rPr>
    </w:pPr>
    <w:r w:rsidRPr="0073581B">
      <w:rPr>
        <w:rFonts w:ascii="Times New Roman" w:hAnsi="Times New Roman" w:cs="Times New Roman"/>
        <w:b/>
        <w:color w:val="4F81BD" w:themeColor="accent1"/>
        <w:lang w:val="es-MX"/>
      </w:rPr>
      <w:t>Dirección de Análisis y Política Fiscal</w:t>
    </w:r>
  </w:p>
  <w:p w:rsidR="008B062E" w:rsidRPr="00E16925" w:rsidRDefault="008B062E" w:rsidP="00E16925">
    <w:pPr>
      <w:pStyle w:val="Encabezado"/>
      <w:rPr>
        <w:rFonts w:ascii="Times New Roman" w:hAnsi="Times New Roman" w:cs="Times New Roman"/>
        <w:lang w:val="es-MX"/>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62E" w:rsidRPr="002E105E" w:rsidRDefault="008B062E" w:rsidP="00234F86">
    <w:pPr>
      <w:pStyle w:val="Encabezado"/>
      <w:jc w:val="right"/>
      <w:rPr>
        <w:rFonts w:ascii="Times New Roman" w:hAnsi="Times New Roman" w:cs="Times New Roman"/>
        <w:b/>
        <w:color w:val="1F497D" w:themeColor="text2"/>
        <w:lang w:val="es-MX"/>
      </w:rPr>
    </w:pPr>
    <w:r w:rsidRPr="002E105E">
      <w:rPr>
        <w:rFonts w:ascii="Times New Roman" w:hAnsi="Times New Roman" w:cs="Times New Roman"/>
        <w:b/>
        <w:color w:val="1F497D" w:themeColor="text2"/>
        <w:lang w:val="es-MX"/>
      </w:rPr>
      <w:t>Informe de las Finanzas Públicas</w:t>
    </w:r>
    <w:r w:rsidRPr="002E105E">
      <w:rPr>
        <w:noProof/>
        <w:sz w:val="20"/>
        <w:lang w:val="es-ES" w:eastAsia="es-ES"/>
      </w:rPr>
      <w:drawing>
        <wp:anchor distT="0" distB="0" distL="114300" distR="114300" simplePos="0" relativeHeight="251814912" behindDoc="1" locked="1" layoutInCell="1" allowOverlap="1" wp14:anchorId="1793D0CF" wp14:editId="1CBE4C20">
          <wp:simplePos x="0" y="0"/>
          <wp:positionH relativeFrom="column">
            <wp:posOffset>-46990</wp:posOffset>
          </wp:positionH>
          <wp:positionV relativeFrom="page">
            <wp:posOffset>217805</wp:posOffset>
          </wp:positionV>
          <wp:extent cx="1282700" cy="1022985"/>
          <wp:effectExtent l="0" t="0" r="0" b="5715"/>
          <wp:wrapNone/>
          <wp:docPr id="22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
                    <a:extLst>
                      <a:ext uri="{28A0092B-C50C-407E-A947-70E740481C1C}">
                        <a14:useLocalDpi xmlns:a14="http://schemas.microsoft.com/office/drawing/2010/main" val="0"/>
                      </a:ext>
                    </a:extLst>
                  </a:blip>
                  <a:srcRect l="80019" t="2313" r="3444" b="87481"/>
                  <a:stretch/>
                </pic:blipFill>
                <pic:spPr bwMode="auto">
                  <a:xfrm>
                    <a:off x="0" y="0"/>
                    <a:ext cx="1282700" cy="1022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B062E" w:rsidRPr="002E105E" w:rsidRDefault="008B062E" w:rsidP="00234F86">
    <w:pPr>
      <w:pStyle w:val="Encabezado"/>
      <w:jc w:val="right"/>
      <w:rPr>
        <w:rFonts w:ascii="Times New Roman" w:hAnsi="Times New Roman" w:cs="Times New Roman"/>
        <w:color w:val="1F497D" w:themeColor="text2"/>
        <w:sz w:val="20"/>
        <w:lang w:val="es-MX"/>
      </w:rPr>
    </w:pPr>
    <w:r>
      <w:rPr>
        <w:rFonts w:ascii="Times New Roman" w:hAnsi="Times New Roman" w:cs="Times New Roman"/>
        <w:color w:val="1F497D" w:themeColor="text2"/>
        <w:sz w:val="20"/>
        <w:lang w:val="es-MX"/>
      </w:rPr>
      <w:t>Junio</w:t>
    </w:r>
    <w:r w:rsidRPr="002E105E">
      <w:rPr>
        <w:rFonts w:ascii="Times New Roman" w:hAnsi="Times New Roman" w:cs="Times New Roman"/>
        <w:color w:val="1F497D" w:themeColor="text2"/>
        <w:sz w:val="20"/>
        <w:lang w:val="es-MX"/>
      </w:rPr>
      <w:t xml:space="preserve"> 2021</w:t>
    </w:r>
  </w:p>
  <w:p w:rsidR="008B062E" w:rsidRDefault="008B062E" w:rsidP="00234F86">
    <w:pPr>
      <w:pStyle w:val="Encabezado"/>
      <w:jc w:val="right"/>
      <w:rPr>
        <w:rFonts w:ascii="Times New Roman" w:hAnsi="Times New Roman" w:cs="Times New Roman"/>
        <w:lang w:val="es-MX"/>
      </w:rPr>
    </w:pPr>
    <w:r>
      <w:rPr>
        <w:rFonts w:ascii="Times New Roman" w:hAnsi="Times New Roman" w:cs="Times New Roman"/>
        <w:noProof/>
        <w:lang w:val="es-ES" w:eastAsia="es-ES"/>
      </w:rPr>
      <mc:AlternateContent>
        <mc:Choice Requires="wps">
          <w:drawing>
            <wp:anchor distT="0" distB="0" distL="114300" distR="114300" simplePos="0" relativeHeight="251813888" behindDoc="0" locked="0" layoutInCell="1" allowOverlap="1" wp14:anchorId="4B7B2092" wp14:editId="4D9D5CAD">
              <wp:simplePos x="0" y="0"/>
              <wp:positionH relativeFrom="column">
                <wp:posOffset>1352514</wp:posOffset>
              </wp:positionH>
              <wp:positionV relativeFrom="paragraph">
                <wp:posOffset>12472</wp:posOffset>
              </wp:positionV>
              <wp:extent cx="4744528" cy="45719"/>
              <wp:effectExtent l="38100" t="38100" r="56515" b="88265"/>
              <wp:wrapNone/>
              <wp:docPr id="29" name="11 Rectángulo"/>
              <wp:cNvGraphicFramePr/>
              <a:graphic xmlns:a="http://schemas.openxmlformats.org/drawingml/2006/main">
                <a:graphicData uri="http://schemas.microsoft.com/office/word/2010/wordprocessingShape">
                  <wps:wsp>
                    <wps:cNvSpPr/>
                    <wps:spPr>
                      <a:xfrm>
                        <a:off x="0" y="0"/>
                        <a:ext cx="4744528"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17FCA931" id="11 Rectángulo" o:spid="_x0000_s1026" style="position:absolute;margin-left:106.5pt;margin-top:1pt;width:373.6pt;height:3.6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8B062E" w:rsidRPr="0073581B" w:rsidRDefault="008B062E" w:rsidP="00234F86">
    <w:pPr>
      <w:pStyle w:val="Encabezado"/>
      <w:jc w:val="center"/>
      <w:rPr>
        <w:rFonts w:ascii="Times New Roman" w:hAnsi="Times New Roman" w:cs="Times New Roman"/>
        <w:b/>
        <w:lang w:val="es-MX"/>
      </w:rPr>
    </w:pPr>
    <w:r w:rsidRPr="0073581B">
      <w:rPr>
        <w:rFonts w:ascii="Times New Roman" w:hAnsi="Times New Roman" w:cs="Times New Roman"/>
        <w:b/>
        <w:color w:val="4F81BD" w:themeColor="accent1"/>
        <w:lang w:val="es-MX"/>
      </w:rPr>
      <w:t>Dirección de Análisis y Política Fiscal</w:t>
    </w:r>
  </w:p>
  <w:p w:rsidR="008B062E" w:rsidRPr="007452E2" w:rsidRDefault="008B062E" w:rsidP="00E16925">
    <w:pPr>
      <w:pStyle w:val="Encabezado"/>
      <w:rPr>
        <w:rFonts w:ascii="Times New Roman" w:hAnsi="Times New Roman" w:cs="Times New Roman"/>
        <w:lang w:val="es-MX"/>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5B1D" w:rsidRPr="002E105E" w:rsidRDefault="00C35B1D" w:rsidP="00C35B1D">
    <w:pPr>
      <w:pStyle w:val="Encabezado"/>
      <w:jc w:val="right"/>
      <w:rPr>
        <w:rFonts w:ascii="Times New Roman" w:hAnsi="Times New Roman" w:cs="Times New Roman"/>
        <w:b/>
        <w:color w:val="1F497D" w:themeColor="text2"/>
        <w:lang w:val="es-MX"/>
      </w:rPr>
    </w:pPr>
    <w:r w:rsidRPr="002E105E">
      <w:rPr>
        <w:rFonts w:ascii="Times New Roman" w:hAnsi="Times New Roman" w:cs="Times New Roman"/>
        <w:b/>
        <w:color w:val="1F497D" w:themeColor="text2"/>
        <w:lang w:val="es-MX"/>
      </w:rPr>
      <w:t>Informe de las Finanzas Públicas</w:t>
    </w:r>
    <w:r w:rsidRPr="002E105E">
      <w:rPr>
        <w:noProof/>
        <w:sz w:val="20"/>
        <w:lang w:val="es-ES" w:eastAsia="es-ES"/>
      </w:rPr>
      <w:drawing>
        <wp:anchor distT="0" distB="0" distL="114300" distR="114300" simplePos="0" relativeHeight="251830272" behindDoc="1" locked="1" layoutInCell="1" allowOverlap="1" wp14:anchorId="2767982C" wp14:editId="4C45A46E">
          <wp:simplePos x="0" y="0"/>
          <wp:positionH relativeFrom="column">
            <wp:posOffset>-46990</wp:posOffset>
          </wp:positionH>
          <wp:positionV relativeFrom="page">
            <wp:posOffset>217805</wp:posOffset>
          </wp:positionV>
          <wp:extent cx="1282700" cy="1022985"/>
          <wp:effectExtent l="0" t="0" r="0" b="5715"/>
          <wp:wrapNone/>
          <wp:docPr id="2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
                    <a:extLst>
                      <a:ext uri="{28A0092B-C50C-407E-A947-70E740481C1C}">
                        <a14:useLocalDpi xmlns:a14="http://schemas.microsoft.com/office/drawing/2010/main" val="0"/>
                      </a:ext>
                    </a:extLst>
                  </a:blip>
                  <a:srcRect l="80019" t="2313" r="3444" b="87481"/>
                  <a:stretch/>
                </pic:blipFill>
                <pic:spPr bwMode="auto">
                  <a:xfrm>
                    <a:off x="0" y="0"/>
                    <a:ext cx="1282700" cy="1022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35B1D" w:rsidRPr="002E105E" w:rsidRDefault="00C35B1D" w:rsidP="00C35B1D">
    <w:pPr>
      <w:pStyle w:val="Encabezado"/>
      <w:jc w:val="right"/>
      <w:rPr>
        <w:rFonts w:ascii="Times New Roman" w:hAnsi="Times New Roman" w:cs="Times New Roman"/>
        <w:color w:val="1F497D" w:themeColor="text2"/>
        <w:sz w:val="20"/>
        <w:lang w:val="es-MX"/>
      </w:rPr>
    </w:pPr>
    <w:r>
      <w:rPr>
        <w:rFonts w:ascii="Times New Roman" w:hAnsi="Times New Roman" w:cs="Times New Roman"/>
        <w:color w:val="1F497D" w:themeColor="text2"/>
        <w:sz w:val="20"/>
        <w:lang w:val="es-MX"/>
      </w:rPr>
      <w:t>Junio</w:t>
    </w:r>
    <w:r w:rsidRPr="002E105E">
      <w:rPr>
        <w:rFonts w:ascii="Times New Roman" w:hAnsi="Times New Roman" w:cs="Times New Roman"/>
        <w:color w:val="1F497D" w:themeColor="text2"/>
        <w:sz w:val="20"/>
        <w:lang w:val="es-MX"/>
      </w:rPr>
      <w:t xml:space="preserve"> 2021</w:t>
    </w:r>
  </w:p>
  <w:p w:rsidR="00C35B1D" w:rsidRDefault="00C35B1D" w:rsidP="00C35B1D">
    <w:pPr>
      <w:pStyle w:val="Encabezado"/>
      <w:jc w:val="right"/>
      <w:rPr>
        <w:rFonts w:ascii="Times New Roman" w:hAnsi="Times New Roman" w:cs="Times New Roman"/>
        <w:lang w:val="es-MX"/>
      </w:rPr>
    </w:pPr>
    <w:r>
      <w:rPr>
        <w:rFonts w:ascii="Times New Roman" w:hAnsi="Times New Roman" w:cs="Times New Roman"/>
        <w:noProof/>
        <w:lang w:val="es-ES" w:eastAsia="es-ES"/>
      </w:rPr>
      <mc:AlternateContent>
        <mc:Choice Requires="wps">
          <w:drawing>
            <wp:anchor distT="0" distB="0" distL="114300" distR="114300" simplePos="0" relativeHeight="251829248" behindDoc="0" locked="0" layoutInCell="1" allowOverlap="1" wp14:anchorId="26C1DEA3" wp14:editId="7686E269">
              <wp:simplePos x="0" y="0"/>
              <wp:positionH relativeFrom="column">
                <wp:posOffset>1352514</wp:posOffset>
              </wp:positionH>
              <wp:positionV relativeFrom="paragraph">
                <wp:posOffset>12472</wp:posOffset>
              </wp:positionV>
              <wp:extent cx="4744528" cy="45719"/>
              <wp:effectExtent l="38100" t="38100" r="56515" b="88265"/>
              <wp:wrapNone/>
              <wp:docPr id="13" name="11 Rectángulo"/>
              <wp:cNvGraphicFramePr/>
              <a:graphic xmlns:a="http://schemas.openxmlformats.org/drawingml/2006/main">
                <a:graphicData uri="http://schemas.microsoft.com/office/word/2010/wordprocessingShape">
                  <wps:wsp>
                    <wps:cNvSpPr/>
                    <wps:spPr>
                      <a:xfrm>
                        <a:off x="0" y="0"/>
                        <a:ext cx="4744528"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2F4A3C4F" id="11 Rectángulo" o:spid="_x0000_s1026" style="position:absolute;margin-left:106.5pt;margin-top:1pt;width:373.6pt;height:3.6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C35B1D" w:rsidRPr="0073581B" w:rsidRDefault="00C35B1D" w:rsidP="00C35B1D">
    <w:pPr>
      <w:pStyle w:val="Encabezado"/>
      <w:jc w:val="center"/>
      <w:rPr>
        <w:rFonts w:ascii="Times New Roman" w:hAnsi="Times New Roman" w:cs="Times New Roman"/>
        <w:b/>
        <w:lang w:val="es-MX"/>
      </w:rPr>
    </w:pPr>
    <w:r w:rsidRPr="0073581B">
      <w:rPr>
        <w:rFonts w:ascii="Times New Roman" w:hAnsi="Times New Roman" w:cs="Times New Roman"/>
        <w:b/>
        <w:color w:val="4F81BD" w:themeColor="accent1"/>
        <w:lang w:val="es-MX"/>
      </w:rPr>
      <w:t>Dirección de Análisis y Política Fiscal</w:t>
    </w:r>
  </w:p>
  <w:p w:rsidR="008B062E" w:rsidRPr="00E16925" w:rsidRDefault="008B062E" w:rsidP="00E16925">
    <w:pPr>
      <w:pStyle w:val="Encabezado"/>
      <w:rPr>
        <w:rFonts w:ascii="Times New Roman" w:hAnsi="Times New Roman" w:cs="Times New Roman"/>
        <w:lang w:val="es-MX"/>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62E" w:rsidRPr="002E105E" w:rsidRDefault="008B062E" w:rsidP="00C77E67">
    <w:pPr>
      <w:pStyle w:val="Encabezado"/>
      <w:jc w:val="right"/>
      <w:rPr>
        <w:rFonts w:ascii="Times New Roman" w:hAnsi="Times New Roman" w:cs="Times New Roman"/>
        <w:b/>
        <w:color w:val="1F497D" w:themeColor="text2"/>
        <w:lang w:val="es-MX"/>
      </w:rPr>
    </w:pPr>
    <w:r w:rsidRPr="002E105E">
      <w:rPr>
        <w:rFonts w:ascii="Times New Roman" w:hAnsi="Times New Roman" w:cs="Times New Roman"/>
        <w:b/>
        <w:color w:val="1F497D" w:themeColor="text2"/>
        <w:lang w:val="es-MX"/>
      </w:rPr>
      <w:t>Informe de las Finanzas Públicas</w:t>
    </w:r>
    <w:r w:rsidRPr="002E105E">
      <w:rPr>
        <w:noProof/>
        <w:sz w:val="20"/>
        <w:lang w:val="es-ES" w:eastAsia="es-ES"/>
      </w:rPr>
      <w:drawing>
        <wp:anchor distT="0" distB="0" distL="114300" distR="114300" simplePos="0" relativeHeight="251827200" behindDoc="1" locked="1" layoutInCell="1" allowOverlap="1" wp14:anchorId="41D93BF7" wp14:editId="45DE4EBE">
          <wp:simplePos x="0" y="0"/>
          <wp:positionH relativeFrom="column">
            <wp:posOffset>-46990</wp:posOffset>
          </wp:positionH>
          <wp:positionV relativeFrom="page">
            <wp:posOffset>217805</wp:posOffset>
          </wp:positionV>
          <wp:extent cx="1282700" cy="1022985"/>
          <wp:effectExtent l="0" t="0" r="0" b="5715"/>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
                    <a:extLst>
                      <a:ext uri="{28A0092B-C50C-407E-A947-70E740481C1C}">
                        <a14:useLocalDpi xmlns:a14="http://schemas.microsoft.com/office/drawing/2010/main" val="0"/>
                      </a:ext>
                    </a:extLst>
                  </a:blip>
                  <a:srcRect l="80019" t="2313" r="3444" b="87481"/>
                  <a:stretch/>
                </pic:blipFill>
                <pic:spPr bwMode="auto">
                  <a:xfrm>
                    <a:off x="0" y="0"/>
                    <a:ext cx="1282700" cy="1022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B062E" w:rsidRPr="002E105E" w:rsidRDefault="008B062E" w:rsidP="00C77E67">
    <w:pPr>
      <w:pStyle w:val="Encabezado"/>
      <w:jc w:val="right"/>
      <w:rPr>
        <w:rFonts w:ascii="Times New Roman" w:hAnsi="Times New Roman" w:cs="Times New Roman"/>
        <w:color w:val="1F497D" w:themeColor="text2"/>
        <w:sz w:val="20"/>
        <w:lang w:val="es-MX"/>
      </w:rPr>
    </w:pPr>
    <w:r>
      <w:rPr>
        <w:rFonts w:ascii="Times New Roman" w:hAnsi="Times New Roman" w:cs="Times New Roman"/>
        <w:color w:val="1F497D" w:themeColor="text2"/>
        <w:sz w:val="20"/>
        <w:lang w:val="es-MX"/>
      </w:rPr>
      <w:t>Junio</w:t>
    </w:r>
    <w:r w:rsidRPr="002E105E">
      <w:rPr>
        <w:rFonts w:ascii="Times New Roman" w:hAnsi="Times New Roman" w:cs="Times New Roman"/>
        <w:color w:val="1F497D" w:themeColor="text2"/>
        <w:sz w:val="20"/>
        <w:lang w:val="es-MX"/>
      </w:rPr>
      <w:t xml:space="preserve"> 2021</w:t>
    </w:r>
  </w:p>
  <w:p w:rsidR="008B062E" w:rsidRDefault="008B062E" w:rsidP="00C77E67">
    <w:pPr>
      <w:pStyle w:val="Encabezado"/>
      <w:jc w:val="right"/>
      <w:rPr>
        <w:rFonts w:ascii="Times New Roman" w:hAnsi="Times New Roman" w:cs="Times New Roman"/>
        <w:lang w:val="es-MX"/>
      </w:rPr>
    </w:pPr>
    <w:r>
      <w:rPr>
        <w:rFonts w:ascii="Times New Roman" w:hAnsi="Times New Roman" w:cs="Times New Roman"/>
        <w:noProof/>
        <w:lang w:val="es-ES" w:eastAsia="es-ES"/>
      </w:rPr>
      <mc:AlternateContent>
        <mc:Choice Requires="wps">
          <w:drawing>
            <wp:anchor distT="0" distB="0" distL="114300" distR="114300" simplePos="0" relativeHeight="251826176" behindDoc="0" locked="0" layoutInCell="1" allowOverlap="1" wp14:anchorId="7C7FAAF5" wp14:editId="48CE7456">
              <wp:simplePos x="0" y="0"/>
              <wp:positionH relativeFrom="column">
                <wp:posOffset>1352514</wp:posOffset>
              </wp:positionH>
              <wp:positionV relativeFrom="paragraph">
                <wp:posOffset>12472</wp:posOffset>
              </wp:positionV>
              <wp:extent cx="4744528" cy="45719"/>
              <wp:effectExtent l="38100" t="38100" r="56515" b="88265"/>
              <wp:wrapNone/>
              <wp:docPr id="6" name="11 Rectángulo"/>
              <wp:cNvGraphicFramePr/>
              <a:graphic xmlns:a="http://schemas.openxmlformats.org/drawingml/2006/main">
                <a:graphicData uri="http://schemas.microsoft.com/office/word/2010/wordprocessingShape">
                  <wps:wsp>
                    <wps:cNvSpPr/>
                    <wps:spPr>
                      <a:xfrm>
                        <a:off x="0" y="0"/>
                        <a:ext cx="4744528"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6065B540" id="11 Rectángulo" o:spid="_x0000_s1026" style="position:absolute;margin-left:106.5pt;margin-top:1pt;width:373.6pt;height:3.6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8B062E" w:rsidRPr="0073581B" w:rsidRDefault="008B062E" w:rsidP="00C77E67">
    <w:pPr>
      <w:pStyle w:val="Encabezado"/>
      <w:jc w:val="center"/>
      <w:rPr>
        <w:rFonts w:ascii="Times New Roman" w:hAnsi="Times New Roman" w:cs="Times New Roman"/>
        <w:b/>
        <w:lang w:val="es-MX"/>
      </w:rPr>
    </w:pPr>
    <w:r w:rsidRPr="0073581B">
      <w:rPr>
        <w:rFonts w:ascii="Times New Roman" w:hAnsi="Times New Roman" w:cs="Times New Roman"/>
        <w:b/>
        <w:color w:val="4F81BD" w:themeColor="accent1"/>
        <w:lang w:val="es-MX"/>
      </w:rPr>
      <w:t>Dirección de Análisis y Política Fiscal</w:t>
    </w:r>
  </w:p>
  <w:p w:rsidR="008B062E" w:rsidRPr="00E16925" w:rsidRDefault="008B062E" w:rsidP="00E16925">
    <w:pPr>
      <w:pStyle w:val="Encabezado"/>
      <w:rPr>
        <w:rFonts w:ascii="Times New Roman" w:hAnsi="Times New Roman" w:cs="Times New Roman"/>
        <w:lang w:val="es-MX"/>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62E" w:rsidRPr="002E105E" w:rsidRDefault="008B062E" w:rsidP="00234F86">
    <w:pPr>
      <w:pStyle w:val="Encabezado"/>
      <w:jc w:val="right"/>
      <w:rPr>
        <w:rFonts w:ascii="Times New Roman" w:hAnsi="Times New Roman" w:cs="Times New Roman"/>
        <w:b/>
        <w:color w:val="1F497D" w:themeColor="text2"/>
        <w:lang w:val="es-MX"/>
      </w:rPr>
    </w:pPr>
    <w:r w:rsidRPr="002E105E">
      <w:rPr>
        <w:rFonts w:ascii="Times New Roman" w:hAnsi="Times New Roman" w:cs="Times New Roman"/>
        <w:b/>
        <w:color w:val="1F497D" w:themeColor="text2"/>
        <w:lang w:val="es-MX"/>
      </w:rPr>
      <w:t>Informe de las Finanzas Públicas</w:t>
    </w:r>
    <w:r w:rsidRPr="002E105E">
      <w:rPr>
        <w:noProof/>
        <w:sz w:val="20"/>
        <w:lang w:val="es-ES" w:eastAsia="es-ES"/>
      </w:rPr>
      <w:drawing>
        <wp:anchor distT="0" distB="0" distL="114300" distR="114300" simplePos="0" relativeHeight="251821056" behindDoc="1" locked="1" layoutInCell="1" allowOverlap="1" wp14:anchorId="79C2783C" wp14:editId="348B8764">
          <wp:simplePos x="0" y="0"/>
          <wp:positionH relativeFrom="column">
            <wp:posOffset>-46990</wp:posOffset>
          </wp:positionH>
          <wp:positionV relativeFrom="page">
            <wp:posOffset>217805</wp:posOffset>
          </wp:positionV>
          <wp:extent cx="1282700" cy="1022985"/>
          <wp:effectExtent l="0" t="0" r="0" b="5715"/>
          <wp:wrapNone/>
          <wp:docPr id="23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
                    <a:extLst>
                      <a:ext uri="{28A0092B-C50C-407E-A947-70E740481C1C}">
                        <a14:useLocalDpi xmlns:a14="http://schemas.microsoft.com/office/drawing/2010/main" val="0"/>
                      </a:ext>
                    </a:extLst>
                  </a:blip>
                  <a:srcRect l="80019" t="2313" r="3444" b="87481"/>
                  <a:stretch/>
                </pic:blipFill>
                <pic:spPr bwMode="auto">
                  <a:xfrm>
                    <a:off x="0" y="0"/>
                    <a:ext cx="1282700" cy="1022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B062E" w:rsidRPr="002E105E" w:rsidRDefault="008B062E" w:rsidP="00234F86">
    <w:pPr>
      <w:pStyle w:val="Encabezado"/>
      <w:jc w:val="right"/>
      <w:rPr>
        <w:rFonts w:ascii="Times New Roman" w:hAnsi="Times New Roman" w:cs="Times New Roman"/>
        <w:color w:val="1F497D" w:themeColor="text2"/>
        <w:sz w:val="20"/>
        <w:lang w:val="es-MX"/>
      </w:rPr>
    </w:pPr>
    <w:r>
      <w:rPr>
        <w:rFonts w:ascii="Times New Roman" w:hAnsi="Times New Roman" w:cs="Times New Roman"/>
        <w:color w:val="1F497D" w:themeColor="text2"/>
        <w:sz w:val="20"/>
        <w:lang w:val="es-MX"/>
      </w:rPr>
      <w:t>Junio</w:t>
    </w:r>
    <w:r w:rsidRPr="002E105E">
      <w:rPr>
        <w:rFonts w:ascii="Times New Roman" w:hAnsi="Times New Roman" w:cs="Times New Roman"/>
        <w:color w:val="1F497D" w:themeColor="text2"/>
        <w:sz w:val="20"/>
        <w:lang w:val="es-MX"/>
      </w:rPr>
      <w:t xml:space="preserve"> 2021</w:t>
    </w:r>
  </w:p>
  <w:p w:rsidR="008B062E" w:rsidRDefault="008B062E" w:rsidP="00234F86">
    <w:pPr>
      <w:pStyle w:val="Encabezado"/>
      <w:jc w:val="right"/>
      <w:rPr>
        <w:rFonts w:ascii="Times New Roman" w:hAnsi="Times New Roman" w:cs="Times New Roman"/>
        <w:lang w:val="es-MX"/>
      </w:rPr>
    </w:pPr>
    <w:r>
      <w:rPr>
        <w:rFonts w:ascii="Times New Roman" w:hAnsi="Times New Roman" w:cs="Times New Roman"/>
        <w:noProof/>
        <w:lang w:val="es-ES" w:eastAsia="es-ES"/>
      </w:rPr>
      <mc:AlternateContent>
        <mc:Choice Requires="wps">
          <w:drawing>
            <wp:anchor distT="0" distB="0" distL="114300" distR="114300" simplePos="0" relativeHeight="251820032" behindDoc="0" locked="0" layoutInCell="1" allowOverlap="1" wp14:anchorId="67D5C8E3" wp14:editId="0F88AA33">
              <wp:simplePos x="0" y="0"/>
              <wp:positionH relativeFrom="column">
                <wp:posOffset>1352514</wp:posOffset>
              </wp:positionH>
              <wp:positionV relativeFrom="paragraph">
                <wp:posOffset>12472</wp:posOffset>
              </wp:positionV>
              <wp:extent cx="4744528" cy="45719"/>
              <wp:effectExtent l="38100" t="38100" r="56515" b="88265"/>
              <wp:wrapNone/>
              <wp:docPr id="234" name="11 Rectángulo"/>
              <wp:cNvGraphicFramePr/>
              <a:graphic xmlns:a="http://schemas.openxmlformats.org/drawingml/2006/main">
                <a:graphicData uri="http://schemas.microsoft.com/office/word/2010/wordprocessingShape">
                  <wps:wsp>
                    <wps:cNvSpPr/>
                    <wps:spPr>
                      <a:xfrm>
                        <a:off x="0" y="0"/>
                        <a:ext cx="4744528"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60BE89CE" id="11 Rectángulo" o:spid="_x0000_s1026" style="position:absolute;margin-left:106.5pt;margin-top:1pt;width:373.6pt;height:3.6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8B062E" w:rsidRPr="0073581B" w:rsidRDefault="008B062E" w:rsidP="00234F86">
    <w:pPr>
      <w:pStyle w:val="Encabezado"/>
      <w:jc w:val="center"/>
      <w:rPr>
        <w:rFonts w:ascii="Times New Roman" w:hAnsi="Times New Roman" w:cs="Times New Roman"/>
        <w:b/>
        <w:lang w:val="es-MX"/>
      </w:rPr>
    </w:pPr>
    <w:r w:rsidRPr="0073581B">
      <w:rPr>
        <w:rFonts w:ascii="Times New Roman" w:hAnsi="Times New Roman" w:cs="Times New Roman"/>
        <w:b/>
        <w:color w:val="4F81BD" w:themeColor="accent1"/>
        <w:lang w:val="es-MX"/>
      </w:rPr>
      <w:t>Dirección de Análisis y Política Fiscal</w:t>
    </w:r>
  </w:p>
  <w:p w:rsidR="008B062E" w:rsidRPr="007452E2" w:rsidRDefault="008B062E" w:rsidP="00E16925">
    <w:pPr>
      <w:pStyle w:val="Encabezado"/>
      <w:rPr>
        <w:rFonts w:ascii="Times New Roman" w:hAnsi="Times New Roman" w:cs="Times New Roman"/>
        <w:lang w:val="es-MX"/>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2341B"/>
    <w:multiLevelType w:val="hybridMultilevel"/>
    <w:tmpl w:val="7614440A"/>
    <w:lvl w:ilvl="0" w:tplc="B25265AA">
      <w:start w:val="1"/>
      <w:numFmt w:val="decimal"/>
      <w:lvlText w:val="%1."/>
      <w:lvlJc w:val="left"/>
      <w:pPr>
        <w:ind w:left="720" w:hanging="360"/>
      </w:pPr>
      <w:rPr>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nsid w:val="0B8641F5"/>
    <w:multiLevelType w:val="hybridMultilevel"/>
    <w:tmpl w:val="6C9AD44A"/>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nsid w:val="0E370CD0"/>
    <w:multiLevelType w:val="hybridMultilevel"/>
    <w:tmpl w:val="6AFCB71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nsid w:val="0FD5081C"/>
    <w:multiLevelType w:val="hybridMultilevel"/>
    <w:tmpl w:val="7A082BE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
    <w:nsid w:val="172228C2"/>
    <w:multiLevelType w:val="hybridMultilevel"/>
    <w:tmpl w:val="8B2A4192"/>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5">
    <w:nsid w:val="284F18C2"/>
    <w:multiLevelType w:val="hybridMultilevel"/>
    <w:tmpl w:val="60180018"/>
    <w:lvl w:ilvl="0" w:tplc="8DF2F090">
      <w:start w:val="1"/>
      <w:numFmt w:val="decimal"/>
      <w:lvlText w:val="%1."/>
      <w:lvlJc w:val="left"/>
      <w:pPr>
        <w:ind w:left="1065" w:hanging="705"/>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nsid w:val="2DA43097"/>
    <w:multiLevelType w:val="hybridMultilevel"/>
    <w:tmpl w:val="DFE611E6"/>
    <w:lvl w:ilvl="0" w:tplc="04441B1A">
      <w:start w:val="1"/>
      <w:numFmt w:val="decimal"/>
      <w:lvlText w:val="%1."/>
      <w:lvlJc w:val="left"/>
      <w:pPr>
        <w:ind w:left="360" w:hanging="360"/>
      </w:pPr>
      <w:rPr>
        <w:rFonts w:hint="default"/>
        <w:b w:val="0"/>
        <w:sz w:val="22"/>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7">
    <w:nsid w:val="2E3D271E"/>
    <w:multiLevelType w:val="hybridMultilevel"/>
    <w:tmpl w:val="C66CBD6C"/>
    <w:lvl w:ilvl="0" w:tplc="7A684F14">
      <w:start w:val="1"/>
      <w:numFmt w:val="decimal"/>
      <w:lvlText w:val="%1."/>
      <w:lvlJc w:val="left"/>
      <w:pPr>
        <w:ind w:left="720" w:hanging="360"/>
      </w:pPr>
      <w:rPr>
        <w:rFonts w:hint="default"/>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
    <w:nsid w:val="318C7F52"/>
    <w:multiLevelType w:val="hybridMultilevel"/>
    <w:tmpl w:val="8BEAF84A"/>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nsid w:val="32216C57"/>
    <w:multiLevelType w:val="hybridMultilevel"/>
    <w:tmpl w:val="4C90958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nsid w:val="32FF1852"/>
    <w:multiLevelType w:val="hybridMultilevel"/>
    <w:tmpl w:val="778483F6"/>
    <w:lvl w:ilvl="0" w:tplc="100A000F">
      <w:start w:val="1"/>
      <w:numFmt w:val="decimal"/>
      <w:lvlText w:val="%1."/>
      <w:lvlJc w:val="left"/>
      <w:pPr>
        <w:ind w:left="720" w:hanging="360"/>
      </w:pPr>
    </w:lvl>
    <w:lvl w:ilvl="1" w:tplc="0F9AD968">
      <w:start w:val="1"/>
      <w:numFmt w:val="lowerLetter"/>
      <w:lvlText w:val="%2."/>
      <w:lvlJc w:val="left"/>
      <w:pPr>
        <w:ind w:left="1440" w:hanging="360"/>
      </w:pPr>
      <w:rPr>
        <w:color w:val="auto"/>
      </w:r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
    <w:nsid w:val="335D3E9F"/>
    <w:multiLevelType w:val="hybridMultilevel"/>
    <w:tmpl w:val="DFE611E6"/>
    <w:lvl w:ilvl="0" w:tplc="04441B1A">
      <w:start w:val="1"/>
      <w:numFmt w:val="decimal"/>
      <w:lvlText w:val="%1."/>
      <w:lvlJc w:val="left"/>
      <w:pPr>
        <w:ind w:left="360" w:hanging="360"/>
      </w:pPr>
      <w:rPr>
        <w:rFonts w:hint="default"/>
        <w:b w:val="0"/>
        <w:sz w:val="22"/>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2">
    <w:nsid w:val="34920911"/>
    <w:multiLevelType w:val="hybridMultilevel"/>
    <w:tmpl w:val="1104419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3">
    <w:nsid w:val="37515E66"/>
    <w:multiLevelType w:val="hybridMultilevel"/>
    <w:tmpl w:val="778483F6"/>
    <w:lvl w:ilvl="0" w:tplc="100A000F">
      <w:start w:val="1"/>
      <w:numFmt w:val="decimal"/>
      <w:lvlText w:val="%1."/>
      <w:lvlJc w:val="left"/>
      <w:pPr>
        <w:ind w:left="720" w:hanging="360"/>
      </w:pPr>
    </w:lvl>
    <w:lvl w:ilvl="1" w:tplc="0F9AD968">
      <w:start w:val="1"/>
      <w:numFmt w:val="lowerLetter"/>
      <w:lvlText w:val="%2."/>
      <w:lvlJc w:val="left"/>
      <w:pPr>
        <w:ind w:left="1440" w:hanging="360"/>
      </w:pPr>
      <w:rPr>
        <w:color w:val="auto"/>
      </w:r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
    <w:nsid w:val="3AF330C7"/>
    <w:multiLevelType w:val="hybridMultilevel"/>
    <w:tmpl w:val="778483F6"/>
    <w:lvl w:ilvl="0" w:tplc="100A000F">
      <w:start w:val="1"/>
      <w:numFmt w:val="decimal"/>
      <w:lvlText w:val="%1."/>
      <w:lvlJc w:val="left"/>
      <w:pPr>
        <w:ind w:left="720" w:hanging="360"/>
      </w:pPr>
    </w:lvl>
    <w:lvl w:ilvl="1" w:tplc="0F9AD968">
      <w:start w:val="1"/>
      <w:numFmt w:val="lowerLetter"/>
      <w:lvlText w:val="%2."/>
      <w:lvlJc w:val="left"/>
      <w:pPr>
        <w:ind w:left="1440" w:hanging="360"/>
      </w:pPr>
      <w:rPr>
        <w:color w:val="auto"/>
      </w:r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
    <w:nsid w:val="3FF856EE"/>
    <w:multiLevelType w:val="hybridMultilevel"/>
    <w:tmpl w:val="778483F6"/>
    <w:lvl w:ilvl="0" w:tplc="100A000F">
      <w:start w:val="1"/>
      <w:numFmt w:val="decimal"/>
      <w:lvlText w:val="%1."/>
      <w:lvlJc w:val="left"/>
      <w:pPr>
        <w:ind w:left="720" w:hanging="360"/>
      </w:pPr>
    </w:lvl>
    <w:lvl w:ilvl="1" w:tplc="0F9AD968">
      <w:start w:val="1"/>
      <w:numFmt w:val="lowerLetter"/>
      <w:lvlText w:val="%2."/>
      <w:lvlJc w:val="left"/>
      <w:pPr>
        <w:ind w:left="1440" w:hanging="360"/>
      </w:pPr>
      <w:rPr>
        <w:color w:val="auto"/>
      </w:r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
    <w:nsid w:val="4F1F1422"/>
    <w:multiLevelType w:val="hybridMultilevel"/>
    <w:tmpl w:val="ECB205F6"/>
    <w:lvl w:ilvl="0" w:tplc="100A000F">
      <w:start w:val="1"/>
      <w:numFmt w:val="decimal"/>
      <w:lvlText w:val="%1."/>
      <w:lvlJc w:val="left"/>
      <w:pPr>
        <w:ind w:left="360" w:hanging="360"/>
      </w:pPr>
      <w:rPr>
        <w:rFonts w:hint="default"/>
      </w:rPr>
    </w:lvl>
    <w:lvl w:ilvl="1" w:tplc="15DACC7C">
      <w:start w:val="1"/>
      <w:numFmt w:val="bullet"/>
      <w:lvlText w:val="-"/>
      <w:lvlJc w:val="left"/>
      <w:pPr>
        <w:ind w:left="1080" w:hanging="360"/>
      </w:pPr>
      <w:rPr>
        <w:rFonts w:ascii="Courier New" w:hAnsi="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7">
    <w:nsid w:val="5EB178D6"/>
    <w:multiLevelType w:val="hybridMultilevel"/>
    <w:tmpl w:val="8794A3C4"/>
    <w:lvl w:ilvl="0" w:tplc="06C04D0C">
      <w:start w:val="1"/>
      <w:numFmt w:val="decimal"/>
      <w:lvlText w:val="%1."/>
      <w:lvlJc w:val="left"/>
      <w:pPr>
        <w:ind w:left="720" w:hanging="360"/>
      </w:pPr>
      <w:rPr>
        <w:rFonts w:hint="default"/>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
    <w:nsid w:val="69506CB3"/>
    <w:multiLevelType w:val="hybridMultilevel"/>
    <w:tmpl w:val="E098E3D8"/>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
    <w:nsid w:val="6DAE7A0A"/>
    <w:multiLevelType w:val="hybridMultilevel"/>
    <w:tmpl w:val="F59ACDD0"/>
    <w:lvl w:ilvl="0" w:tplc="527E0502">
      <w:start w:val="1"/>
      <w:numFmt w:val="decimal"/>
      <w:lvlText w:val="%1."/>
      <w:lvlJc w:val="left"/>
      <w:pPr>
        <w:ind w:left="720" w:hanging="360"/>
      </w:pPr>
      <w:rPr>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0">
    <w:nsid w:val="7A3757A3"/>
    <w:multiLevelType w:val="hybridMultilevel"/>
    <w:tmpl w:val="C638E66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1">
    <w:nsid w:val="7F885ABE"/>
    <w:multiLevelType w:val="hybridMultilevel"/>
    <w:tmpl w:val="F0FA2C9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abstractNumId w:val="4"/>
  </w:num>
  <w:num w:numId="2">
    <w:abstractNumId w:val="16"/>
  </w:num>
  <w:num w:numId="3">
    <w:abstractNumId w:val="8"/>
  </w:num>
  <w:num w:numId="4">
    <w:abstractNumId w:val="1"/>
  </w:num>
  <w:num w:numId="5">
    <w:abstractNumId w:val="17"/>
  </w:num>
  <w:num w:numId="6">
    <w:abstractNumId w:val="21"/>
  </w:num>
  <w:num w:numId="7">
    <w:abstractNumId w:val="20"/>
  </w:num>
  <w:num w:numId="8">
    <w:abstractNumId w:val="3"/>
  </w:num>
  <w:num w:numId="9">
    <w:abstractNumId w:val="11"/>
  </w:num>
  <w:num w:numId="10">
    <w:abstractNumId w:val="6"/>
  </w:num>
  <w:num w:numId="11">
    <w:abstractNumId w:val="9"/>
  </w:num>
  <w:num w:numId="12">
    <w:abstractNumId w:val="7"/>
  </w:num>
  <w:num w:numId="13">
    <w:abstractNumId w:val="0"/>
  </w:num>
  <w:num w:numId="14">
    <w:abstractNumId w:val="2"/>
  </w:num>
  <w:num w:numId="15">
    <w:abstractNumId w:val="5"/>
  </w:num>
  <w:num w:numId="16">
    <w:abstractNumId w:val="19"/>
  </w:num>
  <w:num w:numId="17">
    <w:abstractNumId w:val="12"/>
  </w:num>
  <w:num w:numId="18">
    <w:abstractNumId w:val="18"/>
  </w:num>
  <w:num w:numId="19">
    <w:abstractNumId w:val="13"/>
  </w:num>
  <w:num w:numId="20">
    <w:abstractNumId w:val="14"/>
  </w:num>
  <w:num w:numId="21">
    <w:abstractNumId w:val="15"/>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4651"/>
    <w:rsid w:val="0000354D"/>
    <w:rsid w:val="000053A7"/>
    <w:rsid w:val="00006489"/>
    <w:rsid w:val="000064C3"/>
    <w:rsid w:val="000067B1"/>
    <w:rsid w:val="00010575"/>
    <w:rsid w:val="00013A7F"/>
    <w:rsid w:val="00013C63"/>
    <w:rsid w:val="0001606E"/>
    <w:rsid w:val="0001624A"/>
    <w:rsid w:val="00020E23"/>
    <w:rsid w:val="00022E98"/>
    <w:rsid w:val="00025121"/>
    <w:rsid w:val="00025788"/>
    <w:rsid w:val="00025D1E"/>
    <w:rsid w:val="0002628B"/>
    <w:rsid w:val="0002658D"/>
    <w:rsid w:val="00035835"/>
    <w:rsid w:val="000378CF"/>
    <w:rsid w:val="00040C99"/>
    <w:rsid w:val="00041CC3"/>
    <w:rsid w:val="00042B27"/>
    <w:rsid w:val="00045D14"/>
    <w:rsid w:val="00051776"/>
    <w:rsid w:val="00051A92"/>
    <w:rsid w:val="000530BD"/>
    <w:rsid w:val="00053517"/>
    <w:rsid w:val="0006261A"/>
    <w:rsid w:val="00063120"/>
    <w:rsid w:val="0006646A"/>
    <w:rsid w:val="00067F82"/>
    <w:rsid w:val="000704F4"/>
    <w:rsid w:val="000723B2"/>
    <w:rsid w:val="00072EEB"/>
    <w:rsid w:val="00074BC6"/>
    <w:rsid w:val="00076AB4"/>
    <w:rsid w:val="00076AD2"/>
    <w:rsid w:val="00076BF9"/>
    <w:rsid w:val="000802A8"/>
    <w:rsid w:val="00080B88"/>
    <w:rsid w:val="00080BD8"/>
    <w:rsid w:val="0008320B"/>
    <w:rsid w:val="0008348D"/>
    <w:rsid w:val="00087ADE"/>
    <w:rsid w:val="00091917"/>
    <w:rsid w:val="000A0A4F"/>
    <w:rsid w:val="000A5725"/>
    <w:rsid w:val="000A6E8E"/>
    <w:rsid w:val="000B0279"/>
    <w:rsid w:val="000B20DC"/>
    <w:rsid w:val="000B56CE"/>
    <w:rsid w:val="000B6744"/>
    <w:rsid w:val="000C1547"/>
    <w:rsid w:val="000C1FF2"/>
    <w:rsid w:val="000C21E1"/>
    <w:rsid w:val="000C2C25"/>
    <w:rsid w:val="000C4EC0"/>
    <w:rsid w:val="000C65AB"/>
    <w:rsid w:val="000D016D"/>
    <w:rsid w:val="000D0CF5"/>
    <w:rsid w:val="000D2E0C"/>
    <w:rsid w:val="000D2FA4"/>
    <w:rsid w:val="000D489E"/>
    <w:rsid w:val="000E164F"/>
    <w:rsid w:val="000E43A8"/>
    <w:rsid w:val="000E5E43"/>
    <w:rsid w:val="000F1314"/>
    <w:rsid w:val="000F3B7F"/>
    <w:rsid w:val="000F4520"/>
    <w:rsid w:val="000F509C"/>
    <w:rsid w:val="000F5A9A"/>
    <w:rsid w:val="000F5F87"/>
    <w:rsid w:val="000F6E9F"/>
    <w:rsid w:val="000F7F65"/>
    <w:rsid w:val="00102939"/>
    <w:rsid w:val="00103DA9"/>
    <w:rsid w:val="001045CE"/>
    <w:rsid w:val="00106793"/>
    <w:rsid w:val="00107309"/>
    <w:rsid w:val="00110662"/>
    <w:rsid w:val="0011194C"/>
    <w:rsid w:val="00111B77"/>
    <w:rsid w:val="001178B6"/>
    <w:rsid w:val="00120C4D"/>
    <w:rsid w:val="001259BA"/>
    <w:rsid w:val="0013022C"/>
    <w:rsid w:val="001339A4"/>
    <w:rsid w:val="00133DBA"/>
    <w:rsid w:val="0013436D"/>
    <w:rsid w:val="00136D08"/>
    <w:rsid w:val="0014167F"/>
    <w:rsid w:val="00142BF3"/>
    <w:rsid w:val="00142F1A"/>
    <w:rsid w:val="00143620"/>
    <w:rsid w:val="00145313"/>
    <w:rsid w:val="00150585"/>
    <w:rsid w:val="00152798"/>
    <w:rsid w:val="001549AB"/>
    <w:rsid w:val="00155A02"/>
    <w:rsid w:val="00156DE0"/>
    <w:rsid w:val="00157402"/>
    <w:rsid w:val="00157C3A"/>
    <w:rsid w:val="00160EAC"/>
    <w:rsid w:val="00163944"/>
    <w:rsid w:val="00171909"/>
    <w:rsid w:val="001735EE"/>
    <w:rsid w:val="001741D8"/>
    <w:rsid w:val="0017454D"/>
    <w:rsid w:val="00182730"/>
    <w:rsid w:val="00185253"/>
    <w:rsid w:val="001913A4"/>
    <w:rsid w:val="00196A44"/>
    <w:rsid w:val="001A0C82"/>
    <w:rsid w:val="001A27B3"/>
    <w:rsid w:val="001A3185"/>
    <w:rsid w:val="001A6038"/>
    <w:rsid w:val="001A790A"/>
    <w:rsid w:val="001A79F4"/>
    <w:rsid w:val="001A7B1C"/>
    <w:rsid w:val="001B1DBB"/>
    <w:rsid w:val="001B3984"/>
    <w:rsid w:val="001B3EEE"/>
    <w:rsid w:val="001B4A4C"/>
    <w:rsid w:val="001B5046"/>
    <w:rsid w:val="001C2FF5"/>
    <w:rsid w:val="001C3649"/>
    <w:rsid w:val="001C6054"/>
    <w:rsid w:val="001D0065"/>
    <w:rsid w:val="001D1406"/>
    <w:rsid w:val="001D3345"/>
    <w:rsid w:val="001D46C3"/>
    <w:rsid w:val="001D4C8E"/>
    <w:rsid w:val="001D5A5B"/>
    <w:rsid w:val="001E05BE"/>
    <w:rsid w:val="001E0E10"/>
    <w:rsid w:val="001E0F86"/>
    <w:rsid w:val="001E3B99"/>
    <w:rsid w:val="001E4CD2"/>
    <w:rsid w:val="001E61BB"/>
    <w:rsid w:val="001F2EA3"/>
    <w:rsid w:val="001F34AD"/>
    <w:rsid w:val="001F4EE1"/>
    <w:rsid w:val="001F4F78"/>
    <w:rsid w:val="001F5240"/>
    <w:rsid w:val="001F5581"/>
    <w:rsid w:val="001F7141"/>
    <w:rsid w:val="00200FB1"/>
    <w:rsid w:val="00202594"/>
    <w:rsid w:val="0020377F"/>
    <w:rsid w:val="00205BF7"/>
    <w:rsid w:val="00207693"/>
    <w:rsid w:val="002101C9"/>
    <w:rsid w:val="00212A2C"/>
    <w:rsid w:val="00213C92"/>
    <w:rsid w:val="00216605"/>
    <w:rsid w:val="0021693D"/>
    <w:rsid w:val="00216B0E"/>
    <w:rsid w:val="00216DA8"/>
    <w:rsid w:val="002215C9"/>
    <w:rsid w:val="00222598"/>
    <w:rsid w:val="00226B35"/>
    <w:rsid w:val="002302ED"/>
    <w:rsid w:val="00232A32"/>
    <w:rsid w:val="002335EE"/>
    <w:rsid w:val="00234F86"/>
    <w:rsid w:val="0023642A"/>
    <w:rsid w:val="00240D86"/>
    <w:rsid w:val="00242202"/>
    <w:rsid w:val="00242A7B"/>
    <w:rsid w:val="00244AAA"/>
    <w:rsid w:val="0025116F"/>
    <w:rsid w:val="002512EC"/>
    <w:rsid w:val="00252B28"/>
    <w:rsid w:val="0025608A"/>
    <w:rsid w:val="00256F02"/>
    <w:rsid w:val="002610FC"/>
    <w:rsid w:val="00261B5A"/>
    <w:rsid w:val="00261B7A"/>
    <w:rsid w:val="00262E76"/>
    <w:rsid w:val="00263007"/>
    <w:rsid w:val="00263CC4"/>
    <w:rsid w:val="00264C3A"/>
    <w:rsid w:val="00264FC5"/>
    <w:rsid w:val="002672D5"/>
    <w:rsid w:val="00270007"/>
    <w:rsid w:val="00270CAB"/>
    <w:rsid w:val="002719C8"/>
    <w:rsid w:val="00271EDC"/>
    <w:rsid w:val="00273E2C"/>
    <w:rsid w:val="002752BD"/>
    <w:rsid w:val="00275B04"/>
    <w:rsid w:val="00275F3F"/>
    <w:rsid w:val="00276250"/>
    <w:rsid w:val="0027637A"/>
    <w:rsid w:val="00276A28"/>
    <w:rsid w:val="00281439"/>
    <w:rsid w:val="00281FB7"/>
    <w:rsid w:val="0028212F"/>
    <w:rsid w:val="00292AD2"/>
    <w:rsid w:val="00292AD8"/>
    <w:rsid w:val="0029321A"/>
    <w:rsid w:val="00295365"/>
    <w:rsid w:val="002955BE"/>
    <w:rsid w:val="00296D57"/>
    <w:rsid w:val="002977ED"/>
    <w:rsid w:val="002A076B"/>
    <w:rsid w:val="002A5B1B"/>
    <w:rsid w:val="002A63DE"/>
    <w:rsid w:val="002B5E9D"/>
    <w:rsid w:val="002B7644"/>
    <w:rsid w:val="002B769D"/>
    <w:rsid w:val="002C0021"/>
    <w:rsid w:val="002C2547"/>
    <w:rsid w:val="002C482A"/>
    <w:rsid w:val="002C4CB2"/>
    <w:rsid w:val="002C6478"/>
    <w:rsid w:val="002C68B8"/>
    <w:rsid w:val="002C7F2B"/>
    <w:rsid w:val="002D11E8"/>
    <w:rsid w:val="002D1C01"/>
    <w:rsid w:val="002D3469"/>
    <w:rsid w:val="002D54E6"/>
    <w:rsid w:val="002E105E"/>
    <w:rsid w:val="002E3F4C"/>
    <w:rsid w:val="002F0EAF"/>
    <w:rsid w:val="002F14AA"/>
    <w:rsid w:val="002F29DE"/>
    <w:rsid w:val="002F2A42"/>
    <w:rsid w:val="002F5408"/>
    <w:rsid w:val="002F7E08"/>
    <w:rsid w:val="002F7FDC"/>
    <w:rsid w:val="0030020D"/>
    <w:rsid w:val="003004FC"/>
    <w:rsid w:val="00302D40"/>
    <w:rsid w:val="00306038"/>
    <w:rsid w:val="0030695C"/>
    <w:rsid w:val="00312262"/>
    <w:rsid w:val="00312D85"/>
    <w:rsid w:val="0031651A"/>
    <w:rsid w:val="00321745"/>
    <w:rsid w:val="0032198D"/>
    <w:rsid w:val="00322ECC"/>
    <w:rsid w:val="003262DE"/>
    <w:rsid w:val="00330A9D"/>
    <w:rsid w:val="00334324"/>
    <w:rsid w:val="00336F5B"/>
    <w:rsid w:val="003371DC"/>
    <w:rsid w:val="00340AB7"/>
    <w:rsid w:val="00341585"/>
    <w:rsid w:val="00343A5D"/>
    <w:rsid w:val="00345216"/>
    <w:rsid w:val="00346F8B"/>
    <w:rsid w:val="0034700C"/>
    <w:rsid w:val="003523F0"/>
    <w:rsid w:val="0035279B"/>
    <w:rsid w:val="00352A53"/>
    <w:rsid w:val="003531E5"/>
    <w:rsid w:val="003551C3"/>
    <w:rsid w:val="003566E1"/>
    <w:rsid w:val="0036168D"/>
    <w:rsid w:val="003649D9"/>
    <w:rsid w:val="00364DD6"/>
    <w:rsid w:val="00366770"/>
    <w:rsid w:val="00367E12"/>
    <w:rsid w:val="0037150D"/>
    <w:rsid w:val="00374D44"/>
    <w:rsid w:val="003762C5"/>
    <w:rsid w:val="00376802"/>
    <w:rsid w:val="00376FE9"/>
    <w:rsid w:val="0038008D"/>
    <w:rsid w:val="003804E5"/>
    <w:rsid w:val="00381A4F"/>
    <w:rsid w:val="003844F4"/>
    <w:rsid w:val="0038488D"/>
    <w:rsid w:val="00385BA8"/>
    <w:rsid w:val="00387AFB"/>
    <w:rsid w:val="00393E59"/>
    <w:rsid w:val="0039499F"/>
    <w:rsid w:val="0039681F"/>
    <w:rsid w:val="003968DB"/>
    <w:rsid w:val="003A1300"/>
    <w:rsid w:val="003A3726"/>
    <w:rsid w:val="003A37AC"/>
    <w:rsid w:val="003A3AB5"/>
    <w:rsid w:val="003A72C9"/>
    <w:rsid w:val="003B00D2"/>
    <w:rsid w:val="003B13B4"/>
    <w:rsid w:val="003B1A93"/>
    <w:rsid w:val="003B24E3"/>
    <w:rsid w:val="003B7D31"/>
    <w:rsid w:val="003C3922"/>
    <w:rsid w:val="003C4892"/>
    <w:rsid w:val="003C7085"/>
    <w:rsid w:val="003D05CE"/>
    <w:rsid w:val="003D15F7"/>
    <w:rsid w:val="003D2128"/>
    <w:rsid w:val="003D2C99"/>
    <w:rsid w:val="003D38A7"/>
    <w:rsid w:val="003D557F"/>
    <w:rsid w:val="003D60E4"/>
    <w:rsid w:val="003D72D3"/>
    <w:rsid w:val="003D7EBA"/>
    <w:rsid w:val="003E25F8"/>
    <w:rsid w:val="003E2823"/>
    <w:rsid w:val="003E28F4"/>
    <w:rsid w:val="003E591D"/>
    <w:rsid w:val="003E70E0"/>
    <w:rsid w:val="003F0660"/>
    <w:rsid w:val="003F1E83"/>
    <w:rsid w:val="003F32A1"/>
    <w:rsid w:val="003F4609"/>
    <w:rsid w:val="003F61A8"/>
    <w:rsid w:val="003F7076"/>
    <w:rsid w:val="0040361C"/>
    <w:rsid w:val="004053C6"/>
    <w:rsid w:val="0040580B"/>
    <w:rsid w:val="00410690"/>
    <w:rsid w:val="0041262B"/>
    <w:rsid w:val="00413FBE"/>
    <w:rsid w:val="00416D41"/>
    <w:rsid w:val="00421BA0"/>
    <w:rsid w:val="0042387A"/>
    <w:rsid w:val="0042628E"/>
    <w:rsid w:val="00426F4F"/>
    <w:rsid w:val="00434FC6"/>
    <w:rsid w:val="00443336"/>
    <w:rsid w:val="00443385"/>
    <w:rsid w:val="00443621"/>
    <w:rsid w:val="00443689"/>
    <w:rsid w:val="004456FD"/>
    <w:rsid w:val="00447F4F"/>
    <w:rsid w:val="00450531"/>
    <w:rsid w:val="00451504"/>
    <w:rsid w:val="00452A5A"/>
    <w:rsid w:val="004575BA"/>
    <w:rsid w:val="004606FD"/>
    <w:rsid w:val="00464DB9"/>
    <w:rsid w:val="004650C5"/>
    <w:rsid w:val="00465F37"/>
    <w:rsid w:val="00471B35"/>
    <w:rsid w:val="00474998"/>
    <w:rsid w:val="00474EC2"/>
    <w:rsid w:val="00476161"/>
    <w:rsid w:val="00480824"/>
    <w:rsid w:val="004830FD"/>
    <w:rsid w:val="004835C8"/>
    <w:rsid w:val="00483632"/>
    <w:rsid w:val="0048385B"/>
    <w:rsid w:val="00484E5F"/>
    <w:rsid w:val="00487136"/>
    <w:rsid w:val="00491F92"/>
    <w:rsid w:val="00492967"/>
    <w:rsid w:val="00494116"/>
    <w:rsid w:val="00494BC6"/>
    <w:rsid w:val="00494D1D"/>
    <w:rsid w:val="00495AED"/>
    <w:rsid w:val="00495C21"/>
    <w:rsid w:val="00495F43"/>
    <w:rsid w:val="00497DD6"/>
    <w:rsid w:val="004A28E4"/>
    <w:rsid w:val="004A3D32"/>
    <w:rsid w:val="004A3DB8"/>
    <w:rsid w:val="004A6705"/>
    <w:rsid w:val="004A73AA"/>
    <w:rsid w:val="004B1E1A"/>
    <w:rsid w:val="004B336D"/>
    <w:rsid w:val="004B4B9F"/>
    <w:rsid w:val="004B5B0F"/>
    <w:rsid w:val="004B799B"/>
    <w:rsid w:val="004C208F"/>
    <w:rsid w:val="004C2A11"/>
    <w:rsid w:val="004C3B4E"/>
    <w:rsid w:val="004C71BC"/>
    <w:rsid w:val="004D0A0F"/>
    <w:rsid w:val="004D1F76"/>
    <w:rsid w:val="004D401E"/>
    <w:rsid w:val="004D4775"/>
    <w:rsid w:val="004D7482"/>
    <w:rsid w:val="004E01C1"/>
    <w:rsid w:val="004E23E4"/>
    <w:rsid w:val="004E358C"/>
    <w:rsid w:val="004E4FDE"/>
    <w:rsid w:val="004E54B7"/>
    <w:rsid w:val="004E5D0E"/>
    <w:rsid w:val="004E61EC"/>
    <w:rsid w:val="004F02B2"/>
    <w:rsid w:val="004F4F4D"/>
    <w:rsid w:val="004F72F9"/>
    <w:rsid w:val="005004C9"/>
    <w:rsid w:val="005016F6"/>
    <w:rsid w:val="005016F7"/>
    <w:rsid w:val="00502FD6"/>
    <w:rsid w:val="00506BDB"/>
    <w:rsid w:val="005077A5"/>
    <w:rsid w:val="00507E67"/>
    <w:rsid w:val="005104DC"/>
    <w:rsid w:val="00511C93"/>
    <w:rsid w:val="00512601"/>
    <w:rsid w:val="0051308A"/>
    <w:rsid w:val="00513134"/>
    <w:rsid w:val="005136F3"/>
    <w:rsid w:val="00514CFD"/>
    <w:rsid w:val="00515C51"/>
    <w:rsid w:val="00515CE6"/>
    <w:rsid w:val="00517930"/>
    <w:rsid w:val="00520351"/>
    <w:rsid w:val="00520FB0"/>
    <w:rsid w:val="005226CD"/>
    <w:rsid w:val="00523738"/>
    <w:rsid w:val="00530EAC"/>
    <w:rsid w:val="00532025"/>
    <w:rsid w:val="0053566F"/>
    <w:rsid w:val="005364DE"/>
    <w:rsid w:val="005428C6"/>
    <w:rsid w:val="00544E9A"/>
    <w:rsid w:val="00546650"/>
    <w:rsid w:val="0055248B"/>
    <w:rsid w:val="005537D0"/>
    <w:rsid w:val="005550D8"/>
    <w:rsid w:val="0055590E"/>
    <w:rsid w:val="00561402"/>
    <w:rsid w:val="00573AB0"/>
    <w:rsid w:val="005755E9"/>
    <w:rsid w:val="00575DFA"/>
    <w:rsid w:val="00580066"/>
    <w:rsid w:val="00580234"/>
    <w:rsid w:val="00580D47"/>
    <w:rsid w:val="00582F9F"/>
    <w:rsid w:val="005831AA"/>
    <w:rsid w:val="00586745"/>
    <w:rsid w:val="005879A5"/>
    <w:rsid w:val="00591D14"/>
    <w:rsid w:val="005925BD"/>
    <w:rsid w:val="00592D6E"/>
    <w:rsid w:val="0059421A"/>
    <w:rsid w:val="005948F0"/>
    <w:rsid w:val="005958E9"/>
    <w:rsid w:val="0059655C"/>
    <w:rsid w:val="00596662"/>
    <w:rsid w:val="0059700F"/>
    <w:rsid w:val="005979EB"/>
    <w:rsid w:val="005A03A9"/>
    <w:rsid w:val="005A1EFC"/>
    <w:rsid w:val="005A34F5"/>
    <w:rsid w:val="005A6ACE"/>
    <w:rsid w:val="005A6F91"/>
    <w:rsid w:val="005B0E33"/>
    <w:rsid w:val="005B0E84"/>
    <w:rsid w:val="005B1B53"/>
    <w:rsid w:val="005B44D1"/>
    <w:rsid w:val="005B4E4C"/>
    <w:rsid w:val="005B6D05"/>
    <w:rsid w:val="005C103A"/>
    <w:rsid w:val="005C275E"/>
    <w:rsid w:val="005C4C97"/>
    <w:rsid w:val="005D2336"/>
    <w:rsid w:val="005D34FC"/>
    <w:rsid w:val="005D5151"/>
    <w:rsid w:val="005D51CA"/>
    <w:rsid w:val="005D6423"/>
    <w:rsid w:val="005D7AC4"/>
    <w:rsid w:val="005E4D76"/>
    <w:rsid w:val="005E6BD0"/>
    <w:rsid w:val="005E7E89"/>
    <w:rsid w:val="005F01EF"/>
    <w:rsid w:val="005F04EC"/>
    <w:rsid w:val="005F18DE"/>
    <w:rsid w:val="005F470C"/>
    <w:rsid w:val="005F493D"/>
    <w:rsid w:val="005F5366"/>
    <w:rsid w:val="005F591A"/>
    <w:rsid w:val="0060094A"/>
    <w:rsid w:val="0060136C"/>
    <w:rsid w:val="006014EC"/>
    <w:rsid w:val="00601BE6"/>
    <w:rsid w:val="00601C99"/>
    <w:rsid w:val="00603743"/>
    <w:rsid w:val="00604F51"/>
    <w:rsid w:val="006060AD"/>
    <w:rsid w:val="00606D70"/>
    <w:rsid w:val="00610F84"/>
    <w:rsid w:val="00615821"/>
    <w:rsid w:val="00620D69"/>
    <w:rsid w:val="00621070"/>
    <w:rsid w:val="0062255C"/>
    <w:rsid w:val="00622FB1"/>
    <w:rsid w:val="00623DEA"/>
    <w:rsid w:val="00623EC9"/>
    <w:rsid w:val="00624417"/>
    <w:rsid w:val="00625AA5"/>
    <w:rsid w:val="00632EE6"/>
    <w:rsid w:val="00633616"/>
    <w:rsid w:val="0063426D"/>
    <w:rsid w:val="00637772"/>
    <w:rsid w:val="00637AC9"/>
    <w:rsid w:val="00640B12"/>
    <w:rsid w:val="0064258A"/>
    <w:rsid w:val="00643685"/>
    <w:rsid w:val="00643FB6"/>
    <w:rsid w:val="006470E2"/>
    <w:rsid w:val="00651522"/>
    <w:rsid w:val="00651D53"/>
    <w:rsid w:val="006525C5"/>
    <w:rsid w:val="006530FD"/>
    <w:rsid w:val="00654855"/>
    <w:rsid w:val="006553D6"/>
    <w:rsid w:val="00656178"/>
    <w:rsid w:val="006576D5"/>
    <w:rsid w:val="00660888"/>
    <w:rsid w:val="00661E2A"/>
    <w:rsid w:val="006630B2"/>
    <w:rsid w:val="00663EB3"/>
    <w:rsid w:val="00665BB7"/>
    <w:rsid w:val="00666477"/>
    <w:rsid w:val="006668D4"/>
    <w:rsid w:val="0066791B"/>
    <w:rsid w:val="00667937"/>
    <w:rsid w:val="00670F33"/>
    <w:rsid w:val="0067132B"/>
    <w:rsid w:val="00674EAE"/>
    <w:rsid w:val="00676765"/>
    <w:rsid w:val="0068170A"/>
    <w:rsid w:val="006820CE"/>
    <w:rsid w:val="006830CD"/>
    <w:rsid w:val="00683AF9"/>
    <w:rsid w:val="00685A33"/>
    <w:rsid w:val="00685C3A"/>
    <w:rsid w:val="00687029"/>
    <w:rsid w:val="00690C8D"/>
    <w:rsid w:val="006968BB"/>
    <w:rsid w:val="006A1473"/>
    <w:rsid w:val="006A33A0"/>
    <w:rsid w:val="006A41F1"/>
    <w:rsid w:val="006A64D5"/>
    <w:rsid w:val="006B0D82"/>
    <w:rsid w:val="006B40EC"/>
    <w:rsid w:val="006B7BFD"/>
    <w:rsid w:val="006C0680"/>
    <w:rsid w:val="006C2F15"/>
    <w:rsid w:val="006C47AE"/>
    <w:rsid w:val="006C7015"/>
    <w:rsid w:val="006D1857"/>
    <w:rsid w:val="006D7959"/>
    <w:rsid w:val="006D7B6E"/>
    <w:rsid w:val="006D7BB6"/>
    <w:rsid w:val="006E082A"/>
    <w:rsid w:val="006E1D11"/>
    <w:rsid w:val="006E27A5"/>
    <w:rsid w:val="006E4937"/>
    <w:rsid w:val="006E63F3"/>
    <w:rsid w:val="006E6A13"/>
    <w:rsid w:val="006F157C"/>
    <w:rsid w:val="006F1B31"/>
    <w:rsid w:val="006F202E"/>
    <w:rsid w:val="006F20A4"/>
    <w:rsid w:val="006F3C0D"/>
    <w:rsid w:val="006F3FF3"/>
    <w:rsid w:val="006F410A"/>
    <w:rsid w:val="006F4891"/>
    <w:rsid w:val="006F5EA0"/>
    <w:rsid w:val="006F7575"/>
    <w:rsid w:val="007027B7"/>
    <w:rsid w:val="00706506"/>
    <w:rsid w:val="00706A33"/>
    <w:rsid w:val="00712339"/>
    <w:rsid w:val="00714E40"/>
    <w:rsid w:val="00715429"/>
    <w:rsid w:val="00715C88"/>
    <w:rsid w:val="00715D8F"/>
    <w:rsid w:val="0071791E"/>
    <w:rsid w:val="007206C9"/>
    <w:rsid w:val="00720E64"/>
    <w:rsid w:val="00723F6E"/>
    <w:rsid w:val="00725F93"/>
    <w:rsid w:val="0073367E"/>
    <w:rsid w:val="007336AF"/>
    <w:rsid w:val="0073437F"/>
    <w:rsid w:val="0073581B"/>
    <w:rsid w:val="007362C1"/>
    <w:rsid w:val="0074137E"/>
    <w:rsid w:val="007413CE"/>
    <w:rsid w:val="00741591"/>
    <w:rsid w:val="00741F6B"/>
    <w:rsid w:val="0074369F"/>
    <w:rsid w:val="0074502B"/>
    <w:rsid w:val="0074528B"/>
    <w:rsid w:val="007452E2"/>
    <w:rsid w:val="00747C79"/>
    <w:rsid w:val="00751CCA"/>
    <w:rsid w:val="00754057"/>
    <w:rsid w:val="007572E9"/>
    <w:rsid w:val="0075770C"/>
    <w:rsid w:val="00757FCC"/>
    <w:rsid w:val="0076028F"/>
    <w:rsid w:val="00762722"/>
    <w:rsid w:val="00762FE3"/>
    <w:rsid w:val="00765A09"/>
    <w:rsid w:val="0076667B"/>
    <w:rsid w:val="00767573"/>
    <w:rsid w:val="00767B56"/>
    <w:rsid w:val="007701C9"/>
    <w:rsid w:val="007703A2"/>
    <w:rsid w:val="007706F8"/>
    <w:rsid w:val="00771670"/>
    <w:rsid w:val="00773919"/>
    <w:rsid w:val="00775116"/>
    <w:rsid w:val="00775DE3"/>
    <w:rsid w:val="00776974"/>
    <w:rsid w:val="0078135B"/>
    <w:rsid w:val="007814D6"/>
    <w:rsid w:val="007846C7"/>
    <w:rsid w:val="00784AF8"/>
    <w:rsid w:val="007859CD"/>
    <w:rsid w:val="007A004E"/>
    <w:rsid w:val="007A05AB"/>
    <w:rsid w:val="007A1680"/>
    <w:rsid w:val="007A345B"/>
    <w:rsid w:val="007A5D86"/>
    <w:rsid w:val="007A6523"/>
    <w:rsid w:val="007A71F2"/>
    <w:rsid w:val="007A7272"/>
    <w:rsid w:val="007A7814"/>
    <w:rsid w:val="007A7FB8"/>
    <w:rsid w:val="007B26CD"/>
    <w:rsid w:val="007B3D0C"/>
    <w:rsid w:val="007B5BA5"/>
    <w:rsid w:val="007B720C"/>
    <w:rsid w:val="007C0C8C"/>
    <w:rsid w:val="007C4E46"/>
    <w:rsid w:val="007C6F35"/>
    <w:rsid w:val="007D0566"/>
    <w:rsid w:val="007D268B"/>
    <w:rsid w:val="007D38A9"/>
    <w:rsid w:val="007D4651"/>
    <w:rsid w:val="007D7CFE"/>
    <w:rsid w:val="007E314A"/>
    <w:rsid w:val="007E5841"/>
    <w:rsid w:val="007E6BCF"/>
    <w:rsid w:val="007E6F28"/>
    <w:rsid w:val="007F126E"/>
    <w:rsid w:val="007F443F"/>
    <w:rsid w:val="007F4528"/>
    <w:rsid w:val="007F525E"/>
    <w:rsid w:val="007F6F57"/>
    <w:rsid w:val="008010A6"/>
    <w:rsid w:val="00804E1C"/>
    <w:rsid w:val="00805711"/>
    <w:rsid w:val="00806D75"/>
    <w:rsid w:val="0081055D"/>
    <w:rsid w:val="0081058F"/>
    <w:rsid w:val="00810A4C"/>
    <w:rsid w:val="008112C9"/>
    <w:rsid w:val="00813E3C"/>
    <w:rsid w:val="0081609E"/>
    <w:rsid w:val="00822C6B"/>
    <w:rsid w:val="00823719"/>
    <w:rsid w:val="00825110"/>
    <w:rsid w:val="00826AEC"/>
    <w:rsid w:val="00826D9D"/>
    <w:rsid w:val="008274C1"/>
    <w:rsid w:val="008277A9"/>
    <w:rsid w:val="008316E1"/>
    <w:rsid w:val="00833E90"/>
    <w:rsid w:val="00835216"/>
    <w:rsid w:val="00835D5C"/>
    <w:rsid w:val="00842D8F"/>
    <w:rsid w:val="00842FFE"/>
    <w:rsid w:val="008501C7"/>
    <w:rsid w:val="00851B4B"/>
    <w:rsid w:val="00855D0B"/>
    <w:rsid w:val="00857302"/>
    <w:rsid w:val="00857341"/>
    <w:rsid w:val="0085741B"/>
    <w:rsid w:val="00861640"/>
    <w:rsid w:val="008662DB"/>
    <w:rsid w:val="00867436"/>
    <w:rsid w:val="00870831"/>
    <w:rsid w:val="008718E5"/>
    <w:rsid w:val="00871B31"/>
    <w:rsid w:val="008801C1"/>
    <w:rsid w:val="008827D6"/>
    <w:rsid w:val="008844B1"/>
    <w:rsid w:val="00886F39"/>
    <w:rsid w:val="00891B11"/>
    <w:rsid w:val="00891F2D"/>
    <w:rsid w:val="00892181"/>
    <w:rsid w:val="00892DE1"/>
    <w:rsid w:val="0089425E"/>
    <w:rsid w:val="00894DC9"/>
    <w:rsid w:val="00895722"/>
    <w:rsid w:val="00897192"/>
    <w:rsid w:val="008A1777"/>
    <w:rsid w:val="008A2427"/>
    <w:rsid w:val="008A2503"/>
    <w:rsid w:val="008A5760"/>
    <w:rsid w:val="008B062E"/>
    <w:rsid w:val="008B110A"/>
    <w:rsid w:val="008B3C43"/>
    <w:rsid w:val="008B5573"/>
    <w:rsid w:val="008C079A"/>
    <w:rsid w:val="008C147E"/>
    <w:rsid w:val="008C24EA"/>
    <w:rsid w:val="008C2DDF"/>
    <w:rsid w:val="008C6964"/>
    <w:rsid w:val="008D3F91"/>
    <w:rsid w:val="008D5E9E"/>
    <w:rsid w:val="008D6C33"/>
    <w:rsid w:val="008E0F73"/>
    <w:rsid w:val="008E3A30"/>
    <w:rsid w:val="008E54C0"/>
    <w:rsid w:val="008E5C4F"/>
    <w:rsid w:val="008E6162"/>
    <w:rsid w:val="008E66C1"/>
    <w:rsid w:val="008E7869"/>
    <w:rsid w:val="008E7927"/>
    <w:rsid w:val="008F312E"/>
    <w:rsid w:val="008F46B7"/>
    <w:rsid w:val="008F4BCE"/>
    <w:rsid w:val="008F4D62"/>
    <w:rsid w:val="008F5915"/>
    <w:rsid w:val="008F59E6"/>
    <w:rsid w:val="008F5DBB"/>
    <w:rsid w:val="0090034D"/>
    <w:rsid w:val="009060FA"/>
    <w:rsid w:val="009062A4"/>
    <w:rsid w:val="00910163"/>
    <w:rsid w:val="009121F7"/>
    <w:rsid w:val="00912A58"/>
    <w:rsid w:val="009140AB"/>
    <w:rsid w:val="009162DA"/>
    <w:rsid w:val="00916532"/>
    <w:rsid w:val="00917786"/>
    <w:rsid w:val="0092152F"/>
    <w:rsid w:val="00924740"/>
    <w:rsid w:val="00924E88"/>
    <w:rsid w:val="00934746"/>
    <w:rsid w:val="00934D66"/>
    <w:rsid w:val="0093522C"/>
    <w:rsid w:val="00935D14"/>
    <w:rsid w:val="00936E17"/>
    <w:rsid w:val="00940C2E"/>
    <w:rsid w:val="00942163"/>
    <w:rsid w:val="0094219B"/>
    <w:rsid w:val="00943253"/>
    <w:rsid w:val="00945C92"/>
    <w:rsid w:val="00946523"/>
    <w:rsid w:val="00950874"/>
    <w:rsid w:val="00951347"/>
    <w:rsid w:val="00954FB2"/>
    <w:rsid w:val="00956270"/>
    <w:rsid w:val="009567D5"/>
    <w:rsid w:val="00956DD7"/>
    <w:rsid w:val="00963756"/>
    <w:rsid w:val="00964466"/>
    <w:rsid w:val="00964ECA"/>
    <w:rsid w:val="00965239"/>
    <w:rsid w:val="00965F44"/>
    <w:rsid w:val="00972FCF"/>
    <w:rsid w:val="00975E49"/>
    <w:rsid w:val="00981FB0"/>
    <w:rsid w:val="00982379"/>
    <w:rsid w:val="00986297"/>
    <w:rsid w:val="0099341E"/>
    <w:rsid w:val="00993857"/>
    <w:rsid w:val="0099523B"/>
    <w:rsid w:val="00995540"/>
    <w:rsid w:val="00996BA4"/>
    <w:rsid w:val="00997A06"/>
    <w:rsid w:val="009A12F9"/>
    <w:rsid w:val="009A1EA3"/>
    <w:rsid w:val="009A1FA7"/>
    <w:rsid w:val="009A3187"/>
    <w:rsid w:val="009A47FE"/>
    <w:rsid w:val="009A5380"/>
    <w:rsid w:val="009A7441"/>
    <w:rsid w:val="009A7D66"/>
    <w:rsid w:val="009B10B6"/>
    <w:rsid w:val="009B2AD3"/>
    <w:rsid w:val="009B4C07"/>
    <w:rsid w:val="009B7148"/>
    <w:rsid w:val="009B7429"/>
    <w:rsid w:val="009B76D6"/>
    <w:rsid w:val="009C0583"/>
    <w:rsid w:val="009C0B93"/>
    <w:rsid w:val="009C361A"/>
    <w:rsid w:val="009C3938"/>
    <w:rsid w:val="009C4027"/>
    <w:rsid w:val="009C5F4E"/>
    <w:rsid w:val="009D0D94"/>
    <w:rsid w:val="009D1232"/>
    <w:rsid w:val="009D14C8"/>
    <w:rsid w:val="009D2132"/>
    <w:rsid w:val="009D25F9"/>
    <w:rsid w:val="009D2C22"/>
    <w:rsid w:val="009D38BF"/>
    <w:rsid w:val="009D4E7A"/>
    <w:rsid w:val="009D72CF"/>
    <w:rsid w:val="009E0376"/>
    <w:rsid w:val="009E5BD2"/>
    <w:rsid w:val="009E61BB"/>
    <w:rsid w:val="009F15B9"/>
    <w:rsid w:val="009F164F"/>
    <w:rsid w:val="009F1C07"/>
    <w:rsid w:val="009F1C62"/>
    <w:rsid w:val="009F2F46"/>
    <w:rsid w:val="009F36DC"/>
    <w:rsid w:val="009F530C"/>
    <w:rsid w:val="009F628A"/>
    <w:rsid w:val="00A00D30"/>
    <w:rsid w:val="00A0113A"/>
    <w:rsid w:val="00A015C5"/>
    <w:rsid w:val="00A07383"/>
    <w:rsid w:val="00A07BE4"/>
    <w:rsid w:val="00A1145F"/>
    <w:rsid w:val="00A11B04"/>
    <w:rsid w:val="00A15244"/>
    <w:rsid w:val="00A159B6"/>
    <w:rsid w:val="00A2151F"/>
    <w:rsid w:val="00A21A6A"/>
    <w:rsid w:val="00A21CA3"/>
    <w:rsid w:val="00A24C4D"/>
    <w:rsid w:val="00A25906"/>
    <w:rsid w:val="00A26C76"/>
    <w:rsid w:val="00A305E5"/>
    <w:rsid w:val="00A32AA1"/>
    <w:rsid w:val="00A34EAE"/>
    <w:rsid w:val="00A36C8F"/>
    <w:rsid w:val="00A40EAF"/>
    <w:rsid w:val="00A4399A"/>
    <w:rsid w:val="00A446DB"/>
    <w:rsid w:val="00A45BC8"/>
    <w:rsid w:val="00A46630"/>
    <w:rsid w:val="00A53877"/>
    <w:rsid w:val="00A54CC2"/>
    <w:rsid w:val="00A56612"/>
    <w:rsid w:val="00A60591"/>
    <w:rsid w:val="00A63A53"/>
    <w:rsid w:val="00A64AE4"/>
    <w:rsid w:val="00A67992"/>
    <w:rsid w:val="00A706A2"/>
    <w:rsid w:val="00A710E7"/>
    <w:rsid w:val="00A7383F"/>
    <w:rsid w:val="00A73B4D"/>
    <w:rsid w:val="00A74007"/>
    <w:rsid w:val="00A74F16"/>
    <w:rsid w:val="00A75539"/>
    <w:rsid w:val="00A75E19"/>
    <w:rsid w:val="00A775C6"/>
    <w:rsid w:val="00A808B8"/>
    <w:rsid w:val="00A817F8"/>
    <w:rsid w:val="00A875EE"/>
    <w:rsid w:val="00A900E8"/>
    <w:rsid w:val="00A92B4B"/>
    <w:rsid w:val="00A92D6E"/>
    <w:rsid w:val="00A93052"/>
    <w:rsid w:val="00A970F8"/>
    <w:rsid w:val="00AA11B9"/>
    <w:rsid w:val="00AA136F"/>
    <w:rsid w:val="00AA4872"/>
    <w:rsid w:val="00AA54A5"/>
    <w:rsid w:val="00AA6C6B"/>
    <w:rsid w:val="00AA7DB0"/>
    <w:rsid w:val="00AB20BD"/>
    <w:rsid w:val="00AB2522"/>
    <w:rsid w:val="00AB39D4"/>
    <w:rsid w:val="00AB52BE"/>
    <w:rsid w:val="00AC5CAC"/>
    <w:rsid w:val="00AC614D"/>
    <w:rsid w:val="00AC7961"/>
    <w:rsid w:val="00AD02C8"/>
    <w:rsid w:val="00AD255C"/>
    <w:rsid w:val="00AD3FF3"/>
    <w:rsid w:val="00AD4251"/>
    <w:rsid w:val="00AD4EF6"/>
    <w:rsid w:val="00AD55FD"/>
    <w:rsid w:val="00AD5816"/>
    <w:rsid w:val="00AD7F64"/>
    <w:rsid w:val="00AE1096"/>
    <w:rsid w:val="00AE2039"/>
    <w:rsid w:val="00AE50A8"/>
    <w:rsid w:val="00AF067F"/>
    <w:rsid w:val="00AF073D"/>
    <w:rsid w:val="00AF4290"/>
    <w:rsid w:val="00AF644A"/>
    <w:rsid w:val="00AF6555"/>
    <w:rsid w:val="00AF68D3"/>
    <w:rsid w:val="00AF7ACE"/>
    <w:rsid w:val="00B00205"/>
    <w:rsid w:val="00B00A4F"/>
    <w:rsid w:val="00B00E20"/>
    <w:rsid w:val="00B0107A"/>
    <w:rsid w:val="00B02673"/>
    <w:rsid w:val="00B04199"/>
    <w:rsid w:val="00B04D97"/>
    <w:rsid w:val="00B05AC1"/>
    <w:rsid w:val="00B06546"/>
    <w:rsid w:val="00B11FD1"/>
    <w:rsid w:val="00B136D6"/>
    <w:rsid w:val="00B1448A"/>
    <w:rsid w:val="00B21010"/>
    <w:rsid w:val="00B21D47"/>
    <w:rsid w:val="00B26014"/>
    <w:rsid w:val="00B2709E"/>
    <w:rsid w:val="00B33CEF"/>
    <w:rsid w:val="00B35FDC"/>
    <w:rsid w:val="00B368DA"/>
    <w:rsid w:val="00B36B7C"/>
    <w:rsid w:val="00B42A82"/>
    <w:rsid w:val="00B43892"/>
    <w:rsid w:val="00B468EF"/>
    <w:rsid w:val="00B5017E"/>
    <w:rsid w:val="00B5079C"/>
    <w:rsid w:val="00B508E2"/>
    <w:rsid w:val="00B5628E"/>
    <w:rsid w:val="00B579BB"/>
    <w:rsid w:val="00B57AAB"/>
    <w:rsid w:val="00B57CED"/>
    <w:rsid w:val="00B606D0"/>
    <w:rsid w:val="00B632B3"/>
    <w:rsid w:val="00B63567"/>
    <w:rsid w:val="00B667BC"/>
    <w:rsid w:val="00B667E7"/>
    <w:rsid w:val="00B7015D"/>
    <w:rsid w:val="00B7136E"/>
    <w:rsid w:val="00B7616E"/>
    <w:rsid w:val="00B807A2"/>
    <w:rsid w:val="00B80C7C"/>
    <w:rsid w:val="00B827E1"/>
    <w:rsid w:val="00B82ABC"/>
    <w:rsid w:val="00B83CAC"/>
    <w:rsid w:val="00B84995"/>
    <w:rsid w:val="00B85950"/>
    <w:rsid w:val="00B86812"/>
    <w:rsid w:val="00B87A60"/>
    <w:rsid w:val="00B91010"/>
    <w:rsid w:val="00B917E5"/>
    <w:rsid w:val="00B9286A"/>
    <w:rsid w:val="00B93470"/>
    <w:rsid w:val="00B95BBF"/>
    <w:rsid w:val="00B96036"/>
    <w:rsid w:val="00B96AC8"/>
    <w:rsid w:val="00B97122"/>
    <w:rsid w:val="00BA12CD"/>
    <w:rsid w:val="00BA25B6"/>
    <w:rsid w:val="00BA3920"/>
    <w:rsid w:val="00BA782D"/>
    <w:rsid w:val="00BB1AAC"/>
    <w:rsid w:val="00BB4591"/>
    <w:rsid w:val="00BB4C28"/>
    <w:rsid w:val="00BB5426"/>
    <w:rsid w:val="00BC2768"/>
    <w:rsid w:val="00BC33C2"/>
    <w:rsid w:val="00BC4F9E"/>
    <w:rsid w:val="00BC647C"/>
    <w:rsid w:val="00BC7539"/>
    <w:rsid w:val="00BC79C1"/>
    <w:rsid w:val="00BD0FCC"/>
    <w:rsid w:val="00BD1088"/>
    <w:rsid w:val="00BD33FC"/>
    <w:rsid w:val="00BD3A7C"/>
    <w:rsid w:val="00BD4961"/>
    <w:rsid w:val="00BD6CCD"/>
    <w:rsid w:val="00BE0387"/>
    <w:rsid w:val="00BE2D99"/>
    <w:rsid w:val="00BE54D6"/>
    <w:rsid w:val="00BE58B5"/>
    <w:rsid w:val="00BE5CD0"/>
    <w:rsid w:val="00BF1481"/>
    <w:rsid w:val="00BF2610"/>
    <w:rsid w:val="00BF321D"/>
    <w:rsid w:val="00C001D0"/>
    <w:rsid w:val="00C01040"/>
    <w:rsid w:val="00C02A39"/>
    <w:rsid w:val="00C02FE1"/>
    <w:rsid w:val="00C04E3C"/>
    <w:rsid w:val="00C05425"/>
    <w:rsid w:val="00C06568"/>
    <w:rsid w:val="00C069B8"/>
    <w:rsid w:val="00C06E6C"/>
    <w:rsid w:val="00C074EF"/>
    <w:rsid w:val="00C1020B"/>
    <w:rsid w:val="00C10B42"/>
    <w:rsid w:val="00C12720"/>
    <w:rsid w:val="00C15432"/>
    <w:rsid w:val="00C15AC4"/>
    <w:rsid w:val="00C162B2"/>
    <w:rsid w:val="00C21149"/>
    <w:rsid w:val="00C2355D"/>
    <w:rsid w:val="00C2773E"/>
    <w:rsid w:val="00C3128B"/>
    <w:rsid w:val="00C33674"/>
    <w:rsid w:val="00C3385B"/>
    <w:rsid w:val="00C35B1D"/>
    <w:rsid w:val="00C36B12"/>
    <w:rsid w:val="00C41470"/>
    <w:rsid w:val="00C41FF2"/>
    <w:rsid w:val="00C54747"/>
    <w:rsid w:val="00C5514E"/>
    <w:rsid w:val="00C56C98"/>
    <w:rsid w:val="00C61690"/>
    <w:rsid w:val="00C6254D"/>
    <w:rsid w:val="00C629B9"/>
    <w:rsid w:val="00C645BC"/>
    <w:rsid w:val="00C646C4"/>
    <w:rsid w:val="00C647CD"/>
    <w:rsid w:val="00C64B43"/>
    <w:rsid w:val="00C6700D"/>
    <w:rsid w:val="00C67BA2"/>
    <w:rsid w:val="00C75935"/>
    <w:rsid w:val="00C76463"/>
    <w:rsid w:val="00C77E67"/>
    <w:rsid w:val="00C813D6"/>
    <w:rsid w:val="00C84EF0"/>
    <w:rsid w:val="00C85696"/>
    <w:rsid w:val="00C8692F"/>
    <w:rsid w:val="00C9002C"/>
    <w:rsid w:val="00C91204"/>
    <w:rsid w:val="00C91553"/>
    <w:rsid w:val="00C922D7"/>
    <w:rsid w:val="00C935C2"/>
    <w:rsid w:val="00C93727"/>
    <w:rsid w:val="00C95BFB"/>
    <w:rsid w:val="00C97A4D"/>
    <w:rsid w:val="00CA1458"/>
    <w:rsid w:val="00CA19F5"/>
    <w:rsid w:val="00CA4AD0"/>
    <w:rsid w:val="00CA57D4"/>
    <w:rsid w:val="00CA6173"/>
    <w:rsid w:val="00CA628D"/>
    <w:rsid w:val="00CA65FF"/>
    <w:rsid w:val="00CB0938"/>
    <w:rsid w:val="00CB220A"/>
    <w:rsid w:val="00CB5234"/>
    <w:rsid w:val="00CC1604"/>
    <w:rsid w:val="00CC2800"/>
    <w:rsid w:val="00CC3420"/>
    <w:rsid w:val="00CC3BC7"/>
    <w:rsid w:val="00CC547C"/>
    <w:rsid w:val="00CC60FF"/>
    <w:rsid w:val="00CC741C"/>
    <w:rsid w:val="00CD5166"/>
    <w:rsid w:val="00CD58C8"/>
    <w:rsid w:val="00CD7760"/>
    <w:rsid w:val="00CE0468"/>
    <w:rsid w:val="00CE05BD"/>
    <w:rsid w:val="00CE123C"/>
    <w:rsid w:val="00CE13DA"/>
    <w:rsid w:val="00CE2620"/>
    <w:rsid w:val="00CE2837"/>
    <w:rsid w:val="00CE3C39"/>
    <w:rsid w:val="00CE75B5"/>
    <w:rsid w:val="00CE7A73"/>
    <w:rsid w:val="00CF0F94"/>
    <w:rsid w:val="00CF2D98"/>
    <w:rsid w:val="00CF436B"/>
    <w:rsid w:val="00CF5AB1"/>
    <w:rsid w:val="00CF73B4"/>
    <w:rsid w:val="00D00395"/>
    <w:rsid w:val="00D00E78"/>
    <w:rsid w:val="00D01738"/>
    <w:rsid w:val="00D04F96"/>
    <w:rsid w:val="00D101B7"/>
    <w:rsid w:val="00D1031C"/>
    <w:rsid w:val="00D1383A"/>
    <w:rsid w:val="00D22050"/>
    <w:rsid w:val="00D23424"/>
    <w:rsid w:val="00D24DA4"/>
    <w:rsid w:val="00D26F28"/>
    <w:rsid w:val="00D30D15"/>
    <w:rsid w:val="00D32839"/>
    <w:rsid w:val="00D33EE3"/>
    <w:rsid w:val="00D343EC"/>
    <w:rsid w:val="00D3500F"/>
    <w:rsid w:val="00D35260"/>
    <w:rsid w:val="00D36EA4"/>
    <w:rsid w:val="00D40769"/>
    <w:rsid w:val="00D4202F"/>
    <w:rsid w:val="00D43052"/>
    <w:rsid w:val="00D436D4"/>
    <w:rsid w:val="00D45810"/>
    <w:rsid w:val="00D466D2"/>
    <w:rsid w:val="00D50ABF"/>
    <w:rsid w:val="00D51EBD"/>
    <w:rsid w:val="00D532B4"/>
    <w:rsid w:val="00D55ACB"/>
    <w:rsid w:val="00D571E0"/>
    <w:rsid w:val="00D60160"/>
    <w:rsid w:val="00D616E2"/>
    <w:rsid w:val="00D61F8E"/>
    <w:rsid w:val="00D63636"/>
    <w:rsid w:val="00D63CFC"/>
    <w:rsid w:val="00D66147"/>
    <w:rsid w:val="00D66D34"/>
    <w:rsid w:val="00D6784D"/>
    <w:rsid w:val="00D716E4"/>
    <w:rsid w:val="00D73D1A"/>
    <w:rsid w:val="00D7427C"/>
    <w:rsid w:val="00D75694"/>
    <w:rsid w:val="00D75C74"/>
    <w:rsid w:val="00D75E95"/>
    <w:rsid w:val="00D770B0"/>
    <w:rsid w:val="00D858E5"/>
    <w:rsid w:val="00D918FA"/>
    <w:rsid w:val="00D92627"/>
    <w:rsid w:val="00D927DC"/>
    <w:rsid w:val="00DA13C8"/>
    <w:rsid w:val="00DA26EC"/>
    <w:rsid w:val="00DA53C7"/>
    <w:rsid w:val="00DA5809"/>
    <w:rsid w:val="00DA58BF"/>
    <w:rsid w:val="00DA7B48"/>
    <w:rsid w:val="00DA7C18"/>
    <w:rsid w:val="00DB03B7"/>
    <w:rsid w:val="00DB2350"/>
    <w:rsid w:val="00DB4551"/>
    <w:rsid w:val="00DC1048"/>
    <w:rsid w:val="00DC3E44"/>
    <w:rsid w:val="00DC44CF"/>
    <w:rsid w:val="00DC6DE1"/>
    <w:rsid w:val="00DC711C"/>
    <w:rsid w:val="00DC7AAA"/>
    <w:rsid w:val="00DD01C5"/>
    <w:rsid w:val="00DD23C0"/>
    <w:rsid w:val="00DD24D7"/>
    <w:rsid w:val="00DD4AB3"/>
    <w:rsid w:val="00DD4D5D"/>
    <w:rsid w:val="00DD517E"/>
    <w:rsid w:val="00DE17E2"/>
    <w:rsid w:val="00DE3020"/>
    <w:rsid w:val="00DE4D85"/>
    <w:rsid w:val="00DE67FE"/>
    <w:rsid w:val="00DE6D9A"/>
    <w:rsid w:val="00DE6DD3"/>
    <w:rsid w:val="00DE6FB7"/>
    <w:rsid w:val="00DF18B6"/>
    <w:rsid w:val="00DF317F"/>
    <w:rsid w:val="00DF3C7A"/>
    <w:rsid w:val="00DF42DF"/>
    <w:rsid w:val="00DF4B52"/>
    <w:rsid w:val="00DF57A6"/>
    <w:rsid w:val="00DF70C1"/>
    <w:rsid w:val="00DF71A8"/>
    <w:rsid w:val="00E027B0"/>
    <w:rsid w:val="00E02A24"/>
    <w:rsid w:val="00E06484"/>
    <w:rsid w:val="00E06DEC"/>
    <w:rsid w:val="00E0750D"/>
    <w:rsid w:val="00E11403"/>
    <w:rsid w:val="00E11DA9"/>
    <w:rsid w:val="00E1309C"/>
    <w:rsid w:val="00E16303"/>
    <w:rsid w:val="00E16925"/>
    <w:rsid w:val="00E27247"/>
    <w:rsid w:val="00E31CA5"/>
    <w:rsid w:val="00E31D49"/>
    <w:rsid w:val="00E3382E"/>
    <w:rsid w:val="00E348DD"/>
    <w:rsid w:val="00E3492D"/>
    <w:rsid w:val="00E3753A"/>
    <w:rsid w:val="00E37543"/>
    <w:rsid w:val="00E412A7"/>
    <w:rsid w:val="00E4153A"/>
    <w:rsid w:val="00E42E28"/>
    <w:rsid w:val="00E43BF3"/>
    <w:rsid w:val="00E44DE5"/>
    <w:rsid w:val="00E45C4B"/>
    <w:rsid w:val="00E47525"/>
    <w:rsid w:val="00E47720"/>
    <w:rsid w:val="00E47F91"/>
    <w:rsid w:val="00E50D06"/>
    <w:rsid w:val="00E5126C"/>
    <w:rsid w:val="00E526A4"/>
    <w:rsid w:val="00E52D3C"/>
    <w:rsid w:val="00E53B45"/>
    <w:rsid w:val="00E545F1"/>
    <w:rsid w:val="00E54BAD"/>
    <w:rsid w:val="00E551C4"/>
    <w:rsid w:val="00E56B67"/>
    <w:rsid w:val="00E570ED"/>
    <w:rsid w:val="00E60A24"/>
    <w:rsid w:val="00E6202B"/>
    <w:rsid w:val="00E627ED"/>
    <w:rsid w:val="00E63798"/>
    <w:rsid w:val="00E6619D"/>
    <w:rsid w:val="00E701B7"/>
    <w:rsid w:val="00E7442E"/>
    <w:rsid w:val="00E756CD"/>
    <w:rsid w:val="00E80EA8"/>
    <w:rsid w:val="00E82188"/>
    <w:rsid w:val="00E825A1"/>
    <w:rsid w:val="00E829E3"/>
    <w:rsid w:val="00E85293"/>
    <w:rsid w:val="00E871CE"/>
    <w:rsid w:val="00E87AC7"/>
    <w:rsid w:val="00E91D50"/>
    <w:rsid w:val="00E9315E"/>
    <w:rsid w:val="00E94F03"/>
    <w:rsid w:val="00E97903"/>
    <w:rsid w:val="00EA37FC"/>
    <w:rsid w:val="00EA68DF"/>
    <w:rsid w:val="00EA7845"/>
    <w:rsid w:val="00EB0687"/>
    <w:rsid w:val="00EB0FC5"/>
    <w:rsid w:val="00EB1910"/>
    <w:rsid w:val="00EB317F"/>
    <w:rsid w:val="00EB335D"/>
    <w:rsid w:val="00EB38A7"/>
    <w:rsid w:val="00EB62F2"/>
    <w:rsid w:val="00EC5082"/>
    <w:rsid w:val="00ED2C29"/>
    <w:rsid w:val="00ED3624"/>
    <w:rsid w:val="00ED7253"/>
    <w:rsid w:val="00ED7B45"/>
    <w:rsid w:val="00EE02F0"/>
    <w:rsid w:val="00EE2F16"/>
    <w:rsid w:val="00EE68A4"/>
    <w:rsid w:val="00EE6FBD"/>
    <w:rsid w:val="00EE72DB"/>
    <w:rsid w:val="00EE73CD"/>
    <w:rsid w:val="00EF0600"/>
    <w:rsid w:val="00EF1CB1"/>
    <w:rsid w:val="00EF5550"/>
    <w:rsid w:val="00EF56F9"/>
    <w:rsid w:val="00F00537"/>
    <w:rsid w:val="00F03418"/>
    <w:rsid w:val="00F04678"/>
    <w:rsid w:val="00F062BF"/>
    <w:rsid w:val="00F06437"/>
    <w:rsid w:val="00F06559"/>
    <w:rsid w:val="00F0713B"/>
    <w:rsid w:val="00F0775B"/>
    <w:rsid w:val="00F07EED"/>
    <w:rsid w:val="00F10A29"/>
    <w:rsid w:val="00F10ACE"/>
    <w:rsid w:val="00F16658"/>
    <w:rsid w:val="00F16692"/>
    <w:rsid w:val="00F20D0D"/>
    <w:rsid w:val="00F21DB9"/>
    <w:rsid w:val="00F229CE"/>
    <w:rsid w:val="00F23065"/>
    <w:rsid w:val="00F25E21"/>
    <w:rsid w:val="00F26087"/>
    <w:rsid w:val="00F27024"/>
    <w:rsid w:val="00F27173"/>
    <w:rsid w:val="00F3088D"/>
    <w:rsid w:val="00F341FB"/>
    <w:rsid w:val="00F34933"/>
    <w:rsid w:val="00F37AD2"/>
    <w:rsid w:val="00F43CF0"/>
    <w:rsid w:val="00F454D8"/>
    <w:rsid w:val="00F45F14"/>
    <w:rsid w:val="00F4680E"/>
    <w:rsid w:val="00F46EBB"/>
    <w:rsid w:val="00F47088"/>
    <w:rsid w:val="00F4723C"/>
    <w:rsid w:val="00F51B37"/>
    <w:rsid w:val="00F541D1"/>
    <w:rsid w:val="00F54627"/>
    <w:rsid w:val="00F54C17"/>
    <w:rsid w:val="00F641E1"/>
    <w:rsid w:val="00F644EA"/>
    <w:rsid w:val="00F6521F"/>
    <w:rsid w:val="00F652E7"/>
    <w:rsid w:val="00F654C6"/>
    <w:rsid w:val="00F674C8"/>
    <w:rsid w:val="00F70176"/>
    <w:rsid w:val="00F70871"/>
    <w:rsid w:val="00F708DC"/>
    <w:rsid w:val="00F73186"/>
    <w:rsid w:val="00F75C84"/>
    <w:rsid w:val="00F75EDB"/>
    <w:rsid w:val="00F762E5"/>
    <w:rsid w:val="00F76491"/>
    <w:rsid w:val="00F8230E"/>
    <w:rsid w:val="00F84C6C"/>
    <w:rsid w:val="00F84D0A"/>
    <w:rsid w:val="00F8628C"/>
    <w:rsid w:val="00F930A8"/>
    <w:rsid w:val="00FA3B81"/>
    <w:rsid w:val="00FA5DE4"/>
    <w:rsid w:val="00FA5E7B"/>
    <w:rsid w:val="00FA7384"/>
    <w:rsid w:val="00FB2C2F"/>
    <w:rsid w:val="00FB5F5C"/>
    <w:rsid w:val="00FB6AF8"/>
    <w:rsid w:val="00FC0D3E"/>
    <w:rsid w:val="00FC319F"/>
    <w:rsid w:val="00FC3884"/>
    <w:rsid w:val="00FC3E7B"/>
    <w:rsid w:val="00FC4DC9"/>
    <w:rsid w:val="00FC4F6B"/>
    <w:rsid w:val="00FD2282"/>
    <w:rsid w:val="00FD36A3"/>
    <w:rsid w:val="00FD4333"/>
    <w:rsid w:val="00FD46E0"/>
    <w:rsid w:val="00FD61B9"/>
    <w:rsid w:val="00FD7FF0"/>
    <w:rsid w:val="00FE16D2"/>
    <w:rsid w:val="00FE1AFF"/>
    <w:rsid w:val="00FE2ED3"/>
    <w:rsid w:val="00FE4F72"/>
    <w:rsid w:val="00FE500D"/>
    <w:rsid w:val="00FE52A7"/>
    <w:rsid w:val="00FE56B8"/>
    <w:rsid w:val="00FE65DB"/>
    <w:rsid w:val="00FE66F6"/>
    <w:rsid w:val="00FE6FD3"/>
    <w:rsid w:val="00FF0C96"/>
    <w:rsid w:val="00FF2904"/>
    <w:rsid w:val="00FF58D4"/>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D465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D4651"/>
  </w:style>
  <w:style w:type="paragraph" w:styleId="Piedepgina">
    <w:name w:val="footer"/>
    <w:basedOn w:val="Normal"/>
    <w:link w:val="PiedepginaCar"/>
    <w:uiPriority w:val="99"/>
    <w:unhideWhenUsed/>
    <w:rsid w:val="007D465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D4651"/>
  </w:style>
  <w:style w:type="paragraph" w:styleId="Sinespaciado">
    <w:name w:val="No Spacing"/>
    <w:link w:val="SinespaciadoCar"/>
    <w:uiPriority w:val="1"/>
    <w:qFormat/>
    <w:rsid w:val="007D4651"/>
    <w:pPr>
      <w:spacing w:after="0" w:line="240" w:lineRule="auto"/>
    </w:pPr>
  </w:style>
  <w:style w:type="character" w:customStyle="1" w:styleId="SinespaciadoCar">
    <w:name w:val="Sin espaciado Car"/>
    <w:basedOn w:val="Fuentedeprrafopredeter"/>
    <w:link w:val="Sinespaciado"/>
    <w:uiPriority w:val="1"/>
    <w:locked/>
    <w:rsid w:val="007D4651"/>
  </w:style>
  <w:style w:type="paragraph" w:styleId="Textonotapie">
    <w:name w:val="footnote text"/>
    <w:aliases w:val="Texto nota pie Car Car Car Car Car Car,Texto nota pie Car Car Car Car Car Car Car,Texto nota pie Car Car Car Car Car Car Ca"/>
    <w:basedOn w:val="Normal"/>
    <w:link w:val="TextonotapieCar"/>
    <w:uiPriority w:val="99"/>
    <w:unhideWhenUsed/>
    <w:rsid w:val="00FA3B81"/>
    <w:pPr>
      <w:spacing w:after="0" w:line="240" w:lineRule="auto"/>
    </w:pPr>
    <w:rPr>
      <w:sz w:val="20"/>
      <w:szCs w:val="20"/>
    </w:rPr>
  </w:style>
  <w:style w:type="character" w:customStyle="1" w:styleId="TextonotapieCar">
    <w:name w:val="Texto nota pie Car"/>
    <w:aliases w:val="Texto nota pie Car Car Car Car Car Car Car1,Texto nota pie Car Car Car Car Car Car Car Car,Texto nota pie Car Car Car Car Car Car Ca Car"/>
    <w:basedOn w:val="Fuentedeprrafopredeter"/>
    <w:link w:val="Textonotapie"/>
    <w:uiPriority w:val="99"/>
    <w:rsid w:val="00FA3B81"/>
    <w:rPr>
      <w:sz w:val="20"/>
      <w:szCs w:val="20"/>
    </w:rPr>
  </w:style>
  <w:style w:type="character" w:styleId="Refdenotaalpie">
    <w:name w:val="footnote reference"/>
    <w:basedOn w:val="Fuentedeprrafopredeter"/>
    <w:uiPriority w:val="99"/>
    <w:semiHidden/>
    <w:unhideWhenUsed/>
    <w:rsid w:val="00FA3B81"/>
    <w:rPr>
      <w:vertAlign w:val="superscript"/>
    </w:rPr>
  </w:style>
  <w:style w:type="table" w:styleId="Tablaconcuadrcula">
    <w:name w:val="Table Grid"/>
    <w:basedOn w:val="Tablanormal"/>
    <w:uiPriority w:val="59"/>
    <w:rsid w:val="00FA3B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DD01C5"/>
    <w:pPr>
      <w:spacing w:after="0" w:line="240" w:lineRule="auto"/>
      <w:ind w:left="720"/>
      <w:contextualSpacing/>
    </w:pPr>
  </w:style>
  <w:style w:type="paragraph" w:styleId="NormalWeb">
    <w:name w:val="Normal (Web)"/>
    <w:basedOn w:val="Normal"/>
    <w:uiPriority w:val="99"/>
    <w:semiHidden/>
    <w:unhideWhenUsed/>
    <w:rsid w:val="00213C92"/>
    <w:pPr>
      <w:spacing w:before="100" w:beforeAutospacing="1" w:after="100" w:afterAutospacing="1" w:line="240" w:lineRule="auto"/>
    </w:pPr>
    <w:rPr>
      <w:rFonts w:ascii="Times New Roman" w:eastAsiaTheme="minorEastAsia" w:hAnsi="Times New Roman" w:cs="Times New Roman"/>
      <w:sz w:val="24"/>
      <w:szCs w:val="24"/>
      <w:lang w:eastAsia="es-GT"/>
    </w:rPr>
  </w:style>
  <w:style w:type="paragraph" w:customStyle="1" w:styleId="Default">
    <w:name w:val="Default"/>
    <w:rsid w:val="00EB317F"/>
    <w:pPr>
      <w:autoSpaceDE w:val="0"/>
      <w:autoSpaceDN w:val="0"/>
      <w:adjustRightInd w:val="0"/>
      <w:spacing w:after="0" w:line="240" w:lineRule="auto"/>
    </w:pPr>
    <w:rPr>
      <w:rFonts w:ascii="Times New Roman" w:hAnsi="Times New Roman" w:cs="Times New Roman"/>
      <w:color w:val="000000"/>
      <w:sz w:val="24"/>
      <w:szCs w:val="24"/>
    </w:rPr>
  </w:style>
  <w:style w:type="paragraph" w:styleId="Textodeglobo">
    <w:name w:val="Balloon Text"/>
    <w:basedOn w:val="Normal"/>
    <w:link w:val="TextodegloboCar"/>
    <w:uiPriority w:val="99"/>
    <w:semiHidden/>
    <w:unhideWhenUsed/>
    <w:rsid w:val="00AF429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F4290"/>
    <w:rPr>
      <w:rFonts w:ascii="Tahoma" w:hAnsi="Tahoma" w:cs="Tahoma"/>
      <w:sz w:val="16"/>
      <w:szCs w:val="16"/>
    </w:rPr>
  </w:style>
  <w:style w:type="paragraph" w:customStyle="1" w:styleId="Normal1">
    <w:name w:val="Normal1"/>
    <w:basedOn w:val="Normal"/>
    <w:rsid w:val="00F541D1"/>
    <w:pPr>
      <w:spacing w:after="0" w:line="240" w:lineRule="auto"/>
    </w:pPr>
    <w:rPr>
      <w:rFonts w:ascii="Times New Roman" w:eastAsia="Times New Roman" w:hAnsi="Times New Roman" w:cs="Times New Roman"/>
      <w:sz w:val="24"/>
      <w:szCs w:val="20"/>
      <w:lang w:val="en-US"/>
    </w:rPr>
  </w:style>
  <w:style w:type="character" w:styleId="Refdecomentario">
    <w:name w:val="annotation reference"/>
    <w:basedOn w:val="Fuentedeprrafopredeter"/>
    <w:uiPriority w:val="99"/>
    <w:semiHidden/>
    <w:unhideWhenUsed/>
    <w:rsid w:val="00DE6FB7"/>
    <w:rPr>
      <w:sz w:val="16"/>
      <w:szCs w:val="16"/>
    </w:rPr>
  </w:style>
  <w:style w:type="paragraph" w:styleId="Textocomentario">
    <w:name w:val="annotation text"/>
    <w:basedOn w:val="Normal"/>
    <w:link w:val="TextocomentarioCar"/>
    <w:uiPriority w:val="99"/>
    <w:semiHidden/>
    <w:unhideWhenUsed/>
    <w:rsid w:val="00DE6FB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E6FB7"/>
    <w:rPr>
      <w:sz w:val="20"/>
      <w:szCs w:val="20"/>
    </w:rPr>
  </w:style>
  <w:style w:type="paragraph" w:styleId="Asuntodelcomentario">
    <w:name w:val="annotation subject"/>
    <w:basedOn w:val="Textocomentario"/>
    <w:next w:val="Textocomentario"/>
    <w:link w:val="AsuntodelcomentarioCar"/>
    <w:uiPriority w:val="99"/>
    <w:semiHidden/>
    <w:unhideWhenUsed/>
    <w:rsid w:val="00DE6FB7"/>
    <w:rPr>
      <w:b/>
      <w:bCs/>
    </w:rPr>
  </w:style>
  <w:style w:type="character" w:customStyle="1" w:styleId="AsuntodelcomentarioCar">
    <w:name w:val="Asunto del comentario Car"/>
    <w:basedOn w:val="TextocomentarioCar"/>
    <w:link w:val="Asuntodelcomentario"/>
    <w:uiPriority w:val="99"/>
    <w:semiHidden/>
    <w:rsid w:val="00DE6FB7"/>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D465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D4651"/>
  </w:style>
  <w:style w:type="paragraph" w:styleId="Piedepgina">
    <w:name w:val="footer"/>
    <w:basedOn w:val="Normal"/>
    <w:link w:val="PiedepginaCar"/>
    <w:uiPriority w:val="99"/>
    <w:unhideWhenUsed/>
    <w:rsid w:val="007D465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D4651"/>
  </w:style>
  <w:style w:type="paragraph" w:styleId="Sinespaciado">
    <w:name w:val="No Spacing"/>
    <w:link w:val="SinespaciadoCar"/>
    <w:uiPriority w:val="1"/>
    <w:qFormat/>
    <w:rsid w:val="007D4651"/>
    <w:pPr>
      <w:spacing w:after="0" w:line="240" w:lineRule="auto"/>
    </w:pPr>
  </w:style>
  <w:style w:type="character" w:customStyle="1" w:styleId="SinespaciadoCar">
    <w:name w:val="Sin espaciado Car"/>
    <w:basedOn w:val="Fuentedeprrafopredeter"/>
    <w:link w:val="Sinespaciado"/>
    <w:uiPriority w:val="1"/>
    <w:locked/>
    <w:rsid w:val="007D4651"/>
  </w:style>
  <w:style w:type="paragraph" w:styleId="Textonotapie">
    <w:name w:val="footnote text"/>
    <w:aliases w:val="Texto nota pie Car Car Car Car Car Car,Texto nota pie Car Car Car Car Car Car Car,Texto nota pie Car Car Car Car Car Car Ca"/>
    <w:basedOn w:val="Normal"/>
    <w:link w:val="TextonotapieCar"/>
    <w:uiPriority w:val="99"/>
    <w:unhideWhenUsed/>
    <w:rsid w:val="00FA3B81"/>
    <w:pPr>
      <w:spacing w:after="0" w:line="240" w:lineRule="auto"/>
    </w:pPr>
    <w:rPr>
      <w:sz w:val="20"/>
      <w:szCs w:val="20"/>
    </w:rPr>
  </w:style>
  <w:style w:type="character" w:customStyle="1" w:styleId="TextonotapieCar">
    <w:name w:val="Texto nota pie Car"/>
    <w:aliases w:val="Texto nota pie Car Car Car Car Car Car Car1,Texto nota pie Car Car Car Car Car Car Car Car,Texto nota pie Car Car Car Car Car Car Ca Car"/>
    <w:basedOn w:val="Fuentedeprrafopredeter"/>
    <w:link w:val="Textonotapie"/>
    <w:uiPriority w:val="99"/>
    <w:rsid w:val="00FA3B81"/>
    <w:rPr>
      <w:sz w:val="20"/>
      <w:szCs w:val="20"/>
    </w:rPr>
  </w:style>
  <w:style w:type="character" w:styleId="Refdenotaalpie">
    <w:name w:val="footnote reference"/>
    <w:basedOn w:val="Fuentedeprrafopredeter"/>
    <w:uiPriority w:val="99"/>
    <w:semiHidden/>
    <w:unhideWhenUsed/>
    <w:rsid w:val="00FA3B81"/>
    <w:rPr>
      <w:vertAlign w:val="superscript"/>
    </w:rPr>
  </w:style>
  <w:style w:type="table" w:styleId="Tablaconcuadrcula">
    <w:name w:val="Table Grid"/>
    <w:basedOn w:val="Tablanormal"/>
    <w:uiPriority w:val="59"/>
    <w:rsid w:val="00FA3B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DD01C5"/>
    <w:pPr>
      <w:spacing w:after="0" w:line="240" w:lineRule="auto"/>
      <w:ind w:left="720"/>
      <w:contextualSpacing/>
    </w:pPr>
  </w:style>
  <w:style w:type="paragraph" w:styleId="NormalWeb">
    <w:name w:val="Normal (Web)"/>
    <w:basedOn w:val="Normal"/>
    <w:uiPriority w:val="99"/>
    <w:semiHidden/>
    <w:unhideWhenUsed/>
    <w:rsid w:val="00213C92"/>
    <w:pPr>
      <w:spacing w:before="100" w:beforeAutospacing="1" w:after="100" w:afterAutospacing="1" w:line="240" w:lineRule="auto"/>
    </w:pPr>
    <w:rPr>
      <w:rFonts w:ascii="Times New Roman" w:eastAsiaTheme="minorEastAsia" w:hAnsi="Times New Roman" w:cs="Times New Roman"/>
      <w:sz w:val="24"/>
      <w:szCs w:val="24"/>
      <w:lang w:eastAsia="es-GT"/>
    </w:rPr>
  </w:style>
  <w:style w:type="paragraph" w:customStyle="1" w:styleId="Default">
    <w:name w:val="Default"/>
    <w:rsid w:val="00EB317F"/>
    <w:pPr>
      <w:autoSpaceDE w:val="0"/>
      <w:autoSpaceDN w:val="0"/>
      <w:adjustRightInd w:val="0"/>
      <w:spacing w:after="0" w:line="240" w:lineRule="auto"/>
    </w:pPr>
    <w:rPr>
      <w:rFonts w:ascii="Times New Roman" w:hAnsi="Times New Roman" w:cs="Times New Roman"/>
      <w:color w:val="000000"/>
      <w:sz w:val="24"/>
      <w:szCs w:val="24"/>
    </w:rPr>
  </w:style>
  <w:style w:type="paragraph" w:styleId="Textodeglobo">
    <w:name w:val="Balloon Text"/>
    <w:basedOn w:val="Normal"/>
    <w:link w:val="TextodegloboCar"/>
    <w:uiPriority w:val="99"/>
    <w:semiHidden/>
    <w:unhideWhenUsed/>
    <w:rsid w:val="00AF429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F4290"/>
    <w:rPr>
      <w:rFonts w:ascii="Tahoma" w:hAnsi="Tahoma" w:cs="Tahoma"/>
      <w:sz w:val="16"/>
      <w:szCs w:val="16"/>
    </w:rPr>
  </w:style>
  <w:style w:type="paragraph" w:customStyle="1" w:styleId="Normal1">
    <w:name w:val="Normal1"/>
    <w:basedOn w:val="Normal"/>
    <w:rsid w:val="00F541D1"/>
    <w:pPr>
      <w:spacing w:after="0" w:line="240" w:lineRule="auto"/>
    </w:pPr>
    <w:rPr>
      <w:rFonts w:ascii="Times New Roman" w:eastAsia="Times New Roman" w:hAnsi="Times New Roman" w:cs="Times New Roman"/>
      <w:sz w:val="24"/>
      <w:szCs w:val="20"/>
      <w:lang w:val="en-US"/>
    </w:rPr>
  </w:style>
  <w:style w:type="character" w:styleId="Refdecomentario">
    <w:name w:val="annotation reference"/>
    <w:basedOn w:val="Fuentedeprrafopredeter"/>
    <w:uiPriority w:val="99"/>
    <w:semiHidden/>
    <w:unhideWhenUsed/>
    <w:rsid w:val="00DE6FB7"/>
    <w:rPr>
      <w:sz w:val="16"/>
      <w:szCs w:val="16"/>
    </w:rPr>
  </w:style>
  <w:style w:type="paragraph" w:styleId="Textocomentario">
    <w:name w:val="annotation text"/>
    <w:basedOn w:val="Normal"/>
    <w:link w:val="TextocomentarioCar"/>
    <w:uiPriority w:val="99"/>
    <w:semiHidden/>
    <w:unhideWhenUsed/>
    <w:rsid w:val="00DE6FB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E6FB7"/>
    <w:rPr>
      <w:sz w:val="20"/>
      <w:szCs w:val="20"/>
    </w:rPr>
  </w:style>
  <w:style w:type="paragraph" w:styleId="Asuntodelcomentario">
    <w:name w:val="annotation subject"/>
    <w:basedOn w:val="Textocomentario"/>
    <w:next w:val="Textocomentario"/>
    <w:link w:val="AsuntodelcomentarioCar"/>
    <w:uiPriority w:val="99"/>
    <w:semiHidden/>
    <w:unhideWhenUsed/>
    <w:rsid w:val="00DE6FB7"/>
    <w:rPr>
      <w:b/>
      <w:bCs/>
    </w:rPr>
  </w:style>
  <w:style w:type="character" w:customStyle="1" w:styleId="AsuntodelcomentarioCar">
    <w:name w:val="Asunto del comentario Car"/>
    <w:basedOn w:val="TextocomentarioCar"/>
    <w:link w:val="Asuntodelcomentario"/>
    <w:uiPriority w:val="99"/>
    <w:semiHidden/>
    <w:rsid w:val="00DE6FB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421564">
      <w:bodyDiv w:val="1"/>
      <w:marLeft w:val="0"/>
      <w:marRight w:val="0"/>
      <w:marTop w:val="0"/>
      <w:marBottom w:val="0"/>
      <w:divBdr>
        <w:top w:val="none" w:sz="0" w:space="0" w:color="auto"/>
        <w:left w:val="none" w:sz="0" w:space="0" w:color="auto"/>
        <w:bottom w:val="none" w:sz="0" w:space="0" w:color="auto"/>
        <w:right w:val="none" w:sz="0" w:space="0" w:color="auto"/>
      </w:divBdr>
    </w:div>
    <w:div w:id="454951055">
      <w:bodyDiv w:val="1"/>
      <w:marLeft w:val="0"/>
      <w:marRight w:val="0"/>
      <w:marTop w:val="0"/>
      <w:marBottom w:val="0"/>
      <w:divBdr>
        <w:top w:val="none" w:sz="0" w:space="0" w:color="auto"/>
        <w:left w:val="none" w:sz="0" w:space="0" w:color="auto"/>
        <w:bottom w:val="none" w:sz="0" w:space="0" w:color="auto"/>
        <w:right w:val="none" w:sz="0" w:space="0" w:color="auto"/>
      </w:divBdr>
    </w:div>
    <w:div w:id="517159523">
      <w:bodyDiv w:val="1"/>
      <w:marLeft w:val="0"/>
      <w:marRight w:val="0"/>
      <w:marTop w:val="0"/>
      <w:marBottom w:val="0"/>
      <w:divBdr>
        <w:top w:val="none" w:sz="0" w:space="0" w:color="auto"/>
        <w:left w:val="none" w:sz="0" w:space="0" w:color="auto"/>
        <w:bottom w:val="none" w:sz="0" w:space="0" w:color="auto"/>
        <w:right w:val="none" w:sz="0" w:space="0" w:color="auto"/>
      </w:divBdr>
    </w:div>
    <w:div w:id="528221259">
      <w:bodyDiv w:val="1"/>
      <w:marLeft w:val="0"/>
      <w:marRight w:val="0"/>
      <w:marTop w:val="0"/>
      <w:marBottom w:val="0"/>
      <w:divBdr>
        <w:top w:val="none" w:sz="0" w:space="0" w:color="auto"/>
        <w:left w:val="none" w:sz="0" w:space="0" w:color="auto"/>
        <w:bottom w:val="none" w:sz="0" w:space="0" w:color="auto"/>
        <w:right w:val="none" w:sz="0" w:space="0" w:color="auto"/>
      </w:divBdr>
    </w:div>
    <w:div w:id="536358022">
      <w:bodyDiv w:val="1"/>
      <w:marLeft w:val="0"/>
      <w:marRight w:val="0"/>
      <w:marTop w:val="0"/>
      <w:marBottom w:val="0"/>
      <w:divBdr>
        <w:top w:val="none" w:sz="0" w:space="0" w:color="auto"/>
        <w:left w:val="none" w:sz="0" w:space="0" w:color="auto"/>
        <w:bottom w:val="none" w:sz="0" w:space="0" w:color="auto"/>
        <w:right w:val="none" w:sz="0" w:space="0" w:color="auto"/>
      </w:divBdr>
    </w:div>
    <w:div w:id="782306113">
      <w:bodyDiv w:val="1"/>
      <w:marLeft w:val="0"/>
      <w:marRight w:val="0"/>
      <w:marTop w:val="0"/>
      <w:marBottom w:val="0"/>
      <w:divBdr>
        <w:top w:val="none" w:sz="0" w:space="0" w:color="auto"/>
        <w:left w:val="none" w:sz="0" w:space="0" w:color="auto"/>
        <w:bottom w:val="none" w:sz="0" w:space="0" w:color="auto"/>
        <w:right w:val="none" w:sz="0" w:space="0" w:color="auto"/>
      </w:divBdr>
    </w:div>
    <w:div w:id="801312384">
      <w:bodyDiv w:val="1"/>
      <w:marLeft w:val="0"/>
      <w:marRight w:val="0"/>
      <w:marTop w:val="0"/>
      <w:marBottom w:val="0"/>
      <w:divBdr>
        <w:top w:val="none" w:sz="0" w:space="0" w:color="auto"/>
        <w:left w:val="none" w:sz="0" w:space="0" w:color="auto"/>
        <w:bottom w:val="none" w:sz="0" w:space="0" w:color="auto"/>
        <w:right w:val="none" w:sz="0" w:space="0" w:color="auto"/>
      </w:divBdr>
    </w:div>
    <w:div w:id="1090859446">
      <w:bodyDiv w:val="1"/>
      <w:marLeft w:val="0"/>
      <w:marRight w:val="0"/>
      <w:marTop w:val="0"/>
      <w:marBottom w:val="0"/>
      <w:divBdr>
        <w:top w:val="none" w:sz="0" w:space="0" w:color="auto"/>
        <w:left w:val="none" w:sz="0" w:space="0" w:color="auto"/>
        <w:bottom w:val="none" w:sz="0" w:space="0" w:color="auto"/>
        <w:right w:val="none" w:sz="0" w:space="0" w:color="auto"/>
      </w:divBdr>
    </w:div>
    <w:div w:id="1241788255">
      <w:bodyDiv w:val="1"/>
      <w:marLeft w:val="0"/>
      <w:marRight w:val="0"/>
      <w:marTop w:val="0"/>
      <w:marBottom w:val="0"/>
      <w:divBdr>
        <w:top w:val="none" w:sz="0" w:space="0" w:color="auto"/>
        <w:left w:val="none" w:sz="0" w:space="0" w:color="auto"/>
        <w:bottom w:val="none" w:sz="0" w:space="0" w:color="auto"/>
        <w:right w:val="none" w:sz="0" w:space="0" w:color="auto"/>
      </w:divBdr>
    </w:div>
    <w:div w:id="1562714576">
      <w:bodyDiv w:val="1"/>
      <w:marLeft w:val="0"/>
      <w:marRight w:val="0"/>
      <w:marTop w:val="0"/>
      <w:marBottom w:val="0"/>
      <w:divBdr>
        <w:top w:val="none" w:sz="0" w:space="0" w:color="auto"/>
        <w:left w:val="none" w:sz="0" w:space="0" w:color="auto"/>
        <w:bottom w:val="none" w:sz="0" w:space="0" w:color="auto"/>
        <w:right w:val="none" w:sz="0" w:space="0" w:color="auto"/>
      </w:divBdr>
      <w:divsChild>
        <w:div w:id="330841121">
          <w:marLeft w:val="150"/>
          <w:marRight w:val="0"/>
          <w:marTop w:val="90"/>
          <w:marBottom w:val="0"/>
          <w:divBdr>
            <w:top w:val="none" w:sz="0" w:space="0" w:color="auto"/>
            <w:left w:val="none" w:sz="0" w:space="0" w:color="auto"/>
            <w:bottom w:val="none" w:sz="0" w:space="0" w:color="auto"/>
            <w:right w:val="none" w:sz="0" w:space="0" w:color="auto"/>
          </w:divBdr>
        </w:div>
        <w:div w:id="1742369145">
          <w:marLeft w:val="0"/>
          <w:marRight w:val="0"/>
          <w:marTop w:val="0"/>
          <w:marBottom w:val="0"/>
          <w:divBdr>
            <w:top w:val="none" w:sz="0" w:space="0" w:color="auto"/>
            <w:left w:val="none" w:sz="0" w:space="0" w:color="auto"/>
            <w:bottom w:val="none" w:sz="0" w:space="0" w:color="auto"/>
            <w:right w:val="none" w:sz="0" w:space="0" w:color="auto"/>
          </w:divBdr>
        </w:div>
      </w:divsChild>
    </w:div>
    <w:div w:id="1790584602">
      <w:bodyDiv w:val="1"/>
      <w:marLeft w:val="0"/>
      <w:marRight w:val="0"/>
      <w:marTop w:val="0"/>
      <w:marBottom w:val="0"/>
      <w:divBdr>
        <w:top w:val="none" w:sz="0" w:space="0" w:color="auto"/>
        <w:left w:val="none" w:sz="0" w:space="0" w:color="auto"/>
        <w:bottom w:val="none" w:sz="0" w:space="0" w:color="auto"/>
        <w:right w:val="none" w:sz="0" w:space="0" w:color="auto"/>
      </w:divBdr>
    </w:div>
    <w:div w:id="1938250269">
      <w:bodyDiv w:val="1"/>
      <w:marLeft w:val="0"/>
      <w:marRight w:val="0"/>
      <w:marTop w:val="0"/>
      <w:marBottom w:val="0"/>
      <w:divBdr>
        <w:top w:val="none" w:sz="0" w:space="0" w:color="auto"/>
        <w:left w:val="none" w:sz="0" w:space="0" w:color="auto"/>
        <w:bottom w:val="none" w:sz="0" w:space="0" w:color="auto"/>
        <w:right w:val="none" w:sz="0" w:space="0" w:color="auto"/>
      </w:divBdr>
    </w:div>
    <w:div w:id="1989505390">
      <w:bodyDiv w:val="1"/>
      <w:marLeft w:val="0"/>
      <w:marRight w:val="0"/>
      <w:marTop w:val="0"/>
      <w:marBottom w:val="0"/>
      <w:divBdr>
        <w:top w:val="none" w:sz="0" w:space="0" w:color="auto"/>
        <w:left w:val="none" w:sz="0" w:space="0" w:color="auto"/>
        <w:bottom w:val="none" w:sz="0" w:space="0" w:color="auto"/>
        <w:right w:val="none" w:sz="0" w:space="0" w:color="auto"/>
      </w:divBdr>
    </w:div>
    <w:div w:id="2047025171">
      <w:bodyDiv w:val="1"/>
      <w:marLeft w:val="0"/>
      <w:marRight w:val="0"/>
      <w:marTop w:val="0"/>
      <w:marBottom w:val="0"/>
      <w:divBdr>
        <w:top w:val="none" w:sz="0" w:space="0" w:color="auto"/>
        <w:left w:val="none" w:sz="0" w:space="0" w:color="auto"/>
        <w:bottom w:val="none" w:sz="0" w:space="0" w:color="auto"/>
        <w:right w:val="none" w:sz="0" w:space="0" w:color="auto"/>
      </w:divBdr>
    </w:div>
    <w:div w:id="2072342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chart" Target="charts/chart4.xml"/><Relationship Id="rId26" Type="http://schemas.openxmlformats.org/officeDocument/2006/relationships/header" Target="header5.xml"/><Relationship Id="rId39" Type="http://schemas.openxmlformats.org/officeDocument/2006/relationships/header" Target="header10.xml"/><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header" Target="header8.xm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chart" Target="charts/chart8.xml"/><Relationship Id="rId33" Type="http://schemas.openxmlformats.org/officeDocument/2006/relationships/footer" Target="footer7.xml"/><Relationship Id="rId38"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chart" Target="charts/chart6.xml"/><Relationship Id="rId29" Type="http://schemas.openxmlformats.org/officeDocument/2006/relationships/header" Target="header6.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footer" Target="footer4.xml"/><Relationship Id="rId32" Type="http://schemas.openxmlformats.org/officeDocument/2006/relationships/header" Target="header7.xml"/><Relationship Id="rId37" Type="http://schemas.openxmlformats.org/officeDocument/2006/relationships/footer" Target="footer9.xml"/><Relationship Id="rId40" Type="http://schemas.openxmlformats.org/officeDocument/2006/relationships/footer" Target="footer10.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header" Target="header4.xml"/><Relationship Id="rId28" Type="http://schemas.openxmlformats.org/officeDocument/2006/relationships/chart" Target="charts/chart9.xml"/><Relationship Id="rId36" Type="http://schemas.openxmlformats.org/officeDocument/2006/relationships/header" Target="header9.xml"/><Relationship Id="rId10" Type="http://schemas.openxmlformats.org/officeDocument/2006/relationships/footer" Target="footer1.xml"/><Relationship Id="rId19" Type="http://schemas.openxmlformats.org/officeDocument/2006/relationships/chart" Target="charts/chart5.xml"/><Relationship Id="rId31"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hart" Target="charts/chart2.xml"/><Relationship Id="rId22" Type="http://schemas.openxmlformats.org/officeDocument/2006/relationships/image" Target="media/image3.emf"/><Relationship Id="rId27" Type="http://schemas.openxmlformats.org/officeDocument/2006/relationships/footer" Target="footer5.xml"/><Relationship Id="rId30" Type="http://schemas.openxmlformats.org/officeDocument/2006/relationships/footer" Target="footer6.xml"/><Relationship Id="rId35" Type="http://schemas.openxmlformats.org/officeDocument/2006/relationships/footer" Target="footer8.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10.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_rels/header7.xml.rels><?xml version="1.0" encoding="UTF-8" standalone="yes"?>
<Relationships xmlns="http://schemas.openxmlformats.org/package/2006/relationships"><Relationship Id="rId1" Type="http://schemas.openxmlformats.org/officeDocument/2006/relationships/image" Target="media/image1.jpg"/></Relationships>
</file>

<file path=word/_rels/header8.xml.rels><?xml version="1.0" encoding="UTF-8" standalone="yes"?>
<Relationships xmlns="http://schemas.openxmlformats.org/package/2006/relationships"><Relationship Id="rId1" Type="http://schemas.openxmlformats.org/officeDocument/2006/relationships/image" Target="media/image1.jpg"/></Relationships>
</file>

<file path=word/_rels/header9.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1.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801624387420669E-2"/>
          <c:y val="2.6511071214841413E-2"/>
          <c:w val="0.87879660984298036"/>
          <c:h val="0.83533788527780517"/>
        </c:manualLayout>
      </c:layout>
      <c:barChart>
        <c:barDir val="col"/>
        <c:grouping val="clustered"/>
        <c:varyColors val="0"/>
        <c:ser>
          <c:idx val="0"/>
          <c:order val="0"/>
          <c:tx>
            <c:strRef>
              <c:f>'Reporte Diario'!$L$62</c:f>
              <c:strCache>
                <c:ptCount val="1"/>
                <c:pt idx="0">
                  <c:v>Déficit</c:v>
                </c:pt>
              </c:strCache>
            </c:strRef>
          </c:tx>
          <c:spPr>
            <a:solidFill>
              <a:schemeClr val="accent1">
                <a:lumMod val="50000"/>
              </a:schemeClr>
            </a:solidFill>
            <a:ln>
              <a:noFill/>
            </a:ln>
            <a:effectLst/>
            <a:scene3d>
              <a:camera prst="orthographicFront"/>
              <a:lightRig rig="threePt" dir="t"/>
            </a:scene3d>
            <a:sp3d>
              <a:bevelT w="165100" prst="coolSlant"/>
            </a:sp3d>
          </c:spPr>
          <c:invertIfNegative val="0"/>
          <c:dPt>
            <c:idx val="3"/>
            <c:invertIfNegative val="0"/>
            <c:bubble3D val="0"/>
            <c:spPr>
              <a:solidFill>
                <a:srgbClr val="C00000"/>
              </a:solidFill>
              <a:ln>
                <a:noFill/>
              </a:ln>
              <a:effectLst/>
              <a:scene3d>
                <a:camera prst="orthographicFront"/>
                <a:lightRig rig="threePt" dir="t"/>
              </a:scene3d>
              <a:sp3d>
                <a:bevelT w="165100" prst="coolSlant"/>
              </a:sp3d>
            </c:spPr>
            <c:extLst xmlns:c16r2="http://schemas.microsoft.com/office/drawing/2015/06/chart">
              <c:ext xmlns:c16="http://schemas.microsoft.com/office/drawing/2014/chart" uri="{C3380CC4-5D6E-409C-BE32-E72D297353CC}">
                <c16:uniqueId val="{00000001-E247-46C3-8FA9-AF8D97B8FE0A}"/>
              </c:ext>
            </c:extLst>
          </c:dPt>
          <c:dLbls>
            <c:dLbl>
              <c:idx val="2"/>
              <c:layout>
                <c:manualLayout>
                  <c:x val="-0.11700055795112181"/>
                  <c:y val="8.695652173913043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247-46C3-8FA9-AF8D97B8FE0A}"/>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'Reporte Diario'!$M$61:$P$61</c:f>
              <c:numCache>
                <c:formatCode>General</c:formatCode>
                <c:ptCount val="4"/>
                <c:pt idx="0">
                  <c:v>2018</c:v>
                </c:pt>
                <c:pt idx="1">
                  <c:v>2019</c:v>
                </c:pt>
                <c:pt idx="2">
                  <c:v>2020</c:v>
                </c:pt>
                <c:pt idx="3">
                  <c:v>2021</c:v>
                </c:pt>
              </c:numCache>
            </c:numRef>
          </c:cat>
          <c:val>
            <c:numRef>
              <c:f>'Reporte Diario'!$M$62:$P$62</c:f>
              <c:numCache>
                <c:formatCode>_-* #,##0.0_-;\-* #,##0.0_-;_-* "-"??_-;_-@_-</c:formatCode>
                <c:ptCount val="4"/>
                <c:pt idx="0">
                  <c:v>-609.84532320000017</c:v>
                </c:pt>
                <c:pt idx="1">
                  <c:v>-4447.819266479999</c:v>
                </c:pt>
                <c:pt idx="2">
                  <c:v>-9381.8726234399983</c:v>
                </c:pt>
                <c:pt idx="3">
                  <c:v>-1903.0737095000077</c:v>
                </c:pt>
              </c:numCache>
            </c:numRef>
          </c:val>
          <c:extLst xmlns:c16r2="http://schemas.microsoft.com/office/drawing/2015/06/chart">
            <c:ext xmlns:c16="http://schemas.microsoft.com/office/drawing/2014/chart" uri="{C3380CC4-5D6E-409C-BE32-E72D297353CC}">
              <c16:uniqueId val="{00000003-E247-46C3-8FA9-AF8D97B8FE0A}"/>
            </c:ext>
          </c:extLst>
        </c:ser>
        <c:dLbls>
          <c:showLegendKey val="0"/>
          <c:showVal val="0"/>
          <c:showCatName val="0"/>
          <c:showSerName val="0"/>
          <c:showPercent val="0"/>
          <c:showBubbleSize val="0"/>
        </c:dLbls>
        <c:gapWidth val="63"/>
        <c:overlap val="-27"/>
        <c:axId val="89290240"/>
        <c:axId val="89291776"/>
      </c:barChart>
      <c:catAx>
        <c:axId val="8929024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crossAx val="89291776"/>
        <c:crosses val="autoZero"/>
        <c:auto val="1"/>
        <c:lblAlgn val="ctr"/>
        <c:lblOffset val="100"/>
        <c:noMultiLvlLbl val="0"/>
      </c:catAx>
      <c:valAx>
        <c:axId val="89291776"/>
        <c:scaling>
          <c:orientation val="minMax"/>
        </c:scaling>
        <c:delete val="0"/>
        <c:axPos val="l"/>
        <c:numFmt formatCode="_-* #,##0.0_-;\-* #,##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crossAx val="892902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es-E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919663312595904"/>
          <c:y val="7.1528060984408823E-2"/>
          <c:w val="0.58862874956594935"/>
          <c:h val="0.79324173123777841"/>
        </c:manualLayout>
      </c:layout>
      <c:radarChart>
        <c:radarStyle val="marker"/>
        <c:varyColors val="0"/>
        <c:ser>
          <c:idx val="0"/>
          <c:order val="0"/>
          <c:tx>
            <c:strRef>
              <c:f>Hoja1!$B$1</c:f>
              <c:strCache>
                <c:ptCount val="1"/>
                <c:pt idx="0">
                  <c:v>2021-2020</c:v>
                </c:pt>
              </c:strCache>
            </c:strRef>
          </c:tx>
          <c:spPr>
            <a:ln w="22225" cap="rnd">
              <a:solidFill>
                <a:schemeClr val="accent1"/>
              </a:solidFill>
              <a:round/>
            </a:ln>
            <a:effectLst/>
          </c:spPr>
          <c:marker>
            <c:symbol val="none"/>
          </c:marker>
          <c:dLbls>
            <c:dLbl>
              <c:idx val="0"/>
              <c:layout>
                <c:manualLayout>
                  <c:x val="8.3764474008376444E-2"/>
                  <c:y val="5.452562704471099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6E5-4A03-BBCA-4FE509722B4B}"/>
                </c:ext>
              </c:extLst>
            </c:dLbl>
            <c:dLbl>
              <c:idx val="1"/>
              <c:layout>
                <c:manualLayout>
                  <c:x val="3.4491254003449129E-2"/>
                  <c:y val="-5.452562704471151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6E5-4A03-BBCA-4FE509722B4B}"/>
                </c:ext>
              </c:extLst>
            </c:dLbl>
            <c:dLbl>
              <c:idx val="2"/>
              <c:layout>
                <c:manualLayout>
                  <c:x val="0.12811037201281103"/>
                  <c:y val="-4.36205016357688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6E5-4A03-BBCA-4FE509722B4B}"/>
                </c:ext>
              </c:extLst>
            </c:dLbl>
            <c:dLbl>
              <c:idx val="4"/>
              <c:layout>
                <c:manualLayout>
                  <c:x val="-4.9273220004927322E-2"/>
                  <c:y val="-4.36205016357688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6E5-4A03-BBCA-4FE509722B4B}"/>
                </c:ext>
              </c:extLst>
            </c:dLbl>
            <c:dLbl>
              <c:idx val="5"/>
              <c:layout>
                <c:manualLayout>
                  <c:x val="-0.10347376201034737"/>
                  <c:y val="1.635768811341330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6E5-4A03-BBCA-4FE509722B4B}"/>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Hoja1!$A$2:$A$7</c:f>
              <c:strCache>
                <c:ptCount val="6"/>
                <c:pt idx="0">
                  <c:v>IVA imp</c:v>
                </c:pt>
                <c:pt idx="1">
                  <c:v>Los demás</c:v>
                </c:pt>
                <c:pt idx="2">
                  <c:v>Petróleo</c:v>
                </c:pt>
                <c:pt idx="3">
                  <c:v>ISO</c:v>
                </c:pt>
                <c:pt idx="4">
                  <c:v>ISR</c:v>
                </c:pt>
                <c:pt idx="5">
                  <c:v>IVA dom</c:v>
                </c:pt>
              </c:strCache>
            </c:strRef>
          </c:cat>
          <c:val>
            <c:numRef>
              <c:f>Hoja1!$B$2:$B$7</c:f>
              <c:numCache>
                <c:formatCode>General</c:formatCode>
                <c:ptCount val="6"/>
                <c:pt idx="0">
                  <c:v>2628.7624818299937</c:v>
                </c:pt>
                <c:pt idx="1">
                  <c:v>1091.1369314999999</c:v>
                </c:pt>
                <c:pt idx="2">
                  <c:v>396.18577311999934</c:v>
                </c:pt>
                <c:pt idx="3">
                  <c:v>200.24442231000012</c:v>
                </c:pt>
                <c:pt idx="4">
                  <c:v>1872.2057627300001</c:v>
                </c:pt>
                <c:pt idx="5">
                  <c:v>1365.6844217000016</c:v>
                </c:pt>
              </c:numCache>
            </c:numRef>
          </c:val>
          <c:extLst xmlns:c16r2="http://schemas.microsoft.com/office/drawing/2015/06/chart">
            <c:ext xmlns:c16="http://schemas.microsoft.com/office/drawing/2014/chart" uri="{C3380CC4-5D6E-409C-BE32-E72D297353CC}">
              <c16:uniqueId val="{00000005-06E5-4A03-BBCA-4FE509722B4B}"/>
            </c:ext>
          </c:extLst>
        </c:ser>
        <c:ser>
          <c:idx val="1"/>
          <c:order val="1"/>
          <c:tx>
            <c:strRef>
              <c:f>Hoja1!$C$1</c:f>
              <c:strCache>
                <c:ptCount val="1"/>
                <c:pt idx="0">
                  <c:v>2021-Presupuesto</c:v>
                </c:pt>
              </c:strCache>
            </c:strRef>
          </c:tx>
          <c:spPr>
            <a:ln w="22225" cap="rnd">
              <a:solidFill>
                <a:srgbClr val="FF0000"/>
              </a:solidFill>
              <a:round/>
            </a:ln>
            <a:effectLst/>
          </c:spPr>
          <c:marker>
            <c:symbol val="none"/>
          </c:marker>
          <c:dLbls>
            <c:dLbl>
              <c:idx val="0"/>
              <c:layout>
                <c:manualLayout>
                  <c:x val="0.10840108401084012"/>
                  <c:y val="-2.18102508178844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6E5-4A03-BBCA-4FE509722B4B}"/>
                </c:ext>
              </c:extLst>
            </c:dLbl>
            <c:dLbl>
              <c:idx val="1"/>
              <c:layout>
                <c:manualLayout>
                  <c:x val="2.9563932002956393E-2"/>
                  <c:y val="-0.1145038167938931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6E5-4A03-BBCA-4FE509722B4B}"/>
                </c:ext>
              </c:extLst>
            </c:dLbl>
            <c:dLbl>
              <c:idx val="3"/>
              <c:layout>
                <c:manualLayout>
                  <c:x val="4.9273220004927322E-3"/>
                  <c:y val="6.543075245365322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06E5-4A03-BBCA-4FE509722B4B}"/>
                </c:ext>
              </c:extLst>
            </c:dLbl>
            <c:dLbl>
              <c:idx val="4"/>
              <c:layout>
                <c:manualLayout>
                  <c:x val="6.4055186006405473E-2"/>
                  <c:y val="1.635768811341330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6E5-4A03-BBCA-4FE509722B4B}"/>
                </c:ext>
              </c:extLst>
            </c:dLbl>
            <c:dLbl>
              <c:idx val="5"/>
              <c:layout>
                <c:manualLayout>
                  <c:x val="-6.4055186006405571E-2"/>
                  <c:y val="-9.81461286804798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06E5-4A03-BBCA-4FE509722B4B}"/>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Hoja1!$A$2:$A$7</c:f>
              <c:strCache>
                <c:ptCount val="6"/>
                <c:pt idx="0">
                  <c:v>IVA imp</c:v>
                </c:pt>
                <c:pt idx="1">
                  <c:v>Los demás</c:v>
                </c:pt>
                <c:pt idx="2">
                  <c:v>Petróleo</c:v>
                </c:pt>
                <c:pt idx="3">
                  <c:v>ISO</c:v>
                </c:pt>
                <c:pt idx="4">
                  <c:v>ISR</c:v>
                </c:pt>
                <c:pt idx="5">
                  <c:v>IVA dom</c:v>
                </c:pt>
              </c:strCache>
            </c:strRef>
          </c:cat>
          <c:val>
            <c:numRef>
              <c:f>Hoja1!$C$2:$C$7</c:f>
              <c:numCache>
                <c:formatCode>General</c:formatCode>
                <c:ptCount val="6"/>
                <c:pt idx="0">
                  <c:v>1591.1803340999923</c:v>
                </c:pt>
                <c:pt idx="1">
                  <c:v>569.01135152839254</c:v>
                </c:pt>
                <c:pt idx="2">
                  <c:v>324.97318234999807</c:v>
                </c:pt>
                <c:pt idx="3">
                  <c:v>135.06962526999996</c:v>
                </c:pt>
                <c:pt idx="4">
                  <c:v>1960.6519607900136</c:v>
                </c:pt>
                <c:pt idx="5">
                  <c:v>767.89648613000099</c:v>
                </c:pt>
              </c:numCache>
            </c:numRef>
          </c:val>
          <c:extLst xmlns:c16r2="http://schemas.microsoft.com/office/drawing/2015/06/chart">
            <c:ext xmlns:c16="http://schemas.microsoft.com/office/drawing/2014/chart" uri="{C3380CC4-5D6E-409C-BE32-E72D297353CC}">
              <c16:uniqueId val="{0000000B-06E5-4A03-BBCA-4FE509722B4B}"/>
            </c:ext>
          </c:extLst>
        </c:ser>
        <c:dLbls>
          <c:showLegendKey val="0"/>
          <c:showVal val="0"/>
          <c:showCatName val="0"/>
          <c:showSerName val="0"/>
          <c:showPercent val="0"/>
          <c:showBubbleSize val="0"/>
        </c:dLbls>
        <c:axId val="89511040"/>
        <c:axId val="89512576"/>
      </c:radarChart>
      <c:catAx>
        <c:axId val="8951104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700" b="1"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89512576"/>
        <c:crosses val="autoZero"/>
        <c:auto val="1"/>
        <c:lblAlgn val="ctr"/>
        <c:lblOffset val="100"/>
        <c:noMultiLvlLbl val="0"/>
      </c:catAx>
      <c:valAx>
        <c:axId val="8951257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89511040"/>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
          <c:y val="0.93874517941574998"/>
          <c:w val="1"/>
          <c:h val="5.9297263414592245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pPr>
      <a:endParaRPr lang="es-E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702855324902571"/>
          <c:y val="3.1995541841673462E-2"/>
          <c:w val="0.85833483674851063"/>
          <c:h val="0.81784501707928714"/>
        </c:manualLayout>
      </c:layout>
      <c:lineChart>
        <c:grouping val="standard"/>
        <c:varyColors val="0"/>
        <c:ser>
          <c:idx val="0"/>
          <c:order val="0"/>
          <c:tx>
            <c:strRef>
              <c:f>Hoja1!$B$1</c:f>
              <c:strCache>
                <c:ptCount val="1"/>
                <c:pt idx="0">
                  <c:v>Var </c:v>
                </c:pt>
              </c:strCache>
            </c:strRef>
          </c:tx>
          <c:spPr>
            <a:ln w="22225" cap="rnd">
              <a:solidFill>
                <a:schemeClr val="accent1"/>
              </a:solidFill>
              <a:round/>
            </a:ln>
            <a:effectLst/>
          </c:spPr>
          <c:marker>
            <c:symbol val="circle"/>
            <c:size val="5"/>
            <c:spPr>
              <a:solidFill>
                <a:schemeClr val="lt1"/>
              </a:solidFill>
              <a:ln w="15875">
                <a:solidFill>
                  <a:schemeClr val="accent1"/>
                </a:solidFill>
                <a:round/>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s-E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Hoja1!$A$2:$A$11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Hoja1!$B$2:$B$11</c:f>
              <c:numCache>
                <c:formatCode>General</c:formatCode>
                <c:ptCount val="10"/>
                <c:pt idx="0">
                  <c:v>6.0150699110244954E-2</c:v>
                </c:pt>
                <c:pt idx="1">
                  <c:v>8.5143067362820402E-2</c:v>
                </c:pt>
                <c:pt idx="2">
                  <c:v>4.5205966244620921E-2</c:v>
                </c:pt>
                <c:pt idx="3">
                  <c:v>2.2224602995835507E-2</c:v>
                </c:pt>
                <c:pt idx="4">
                  <c:v>6.605323003950736E-2</c:v>
                </c:pt>
                <c:pt idx="5">
                  <c:v>7.609743404587177E-2</c:v>
                </c:pt>
                <c:pt idx="6">
                  <c:v>2.8817404101354027E-2</c:v>
                </c:pt>
                <c:pt idx="7">
                  <c:v>3.9980363745735881E-2</c:v>
                </c:pt>
                <c:pt idx="8">
                  <c:v>-5.322095581138242E-2</c:v>
                </c:pt>
                <c:pt idx="9">
                  <c:v>0.26538566620848836</c:v>
                </c:pt>
              </c:numCache>
            </c:numRef>
          </c:val>
          <c:smooth val="1"/>
          <c:extLst xmlns:c16r2="http://schemas.microsoft.com/office/drawing/2015/06/chart">
            <c:ext xmlns:c16="http://schemas.microsoft.com/office/drawing/2014/chart" uri="{C3380CC4-5D6E-409C-BE32-E72D297353CC}">
              <c16:uniqueId val="{00000000-DE25-42AB-9EB3-C078238C1D65}"/>
            </c:ext>
          </c:extLst>
        </c:ser>
        <c:dLbls>
          <c:showLegendKey val="0"/>
          <c:showVal val="0"/>
          <c:showCatName val="0"/>
          <c:showSerName val="0"/>
          <c:showPercent val="0"/>
          <c:showBubbleSize val="0"/>
        </c:dLbls>
        <c:marker val="1"/>
        <c:smooth val="0"/>
        <c:axId val="89566208"/>
        <c:axId val="153232128"/>
      </c:lineChart>
      <c:catAx>
        <c:axId val="89566208"/>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low"/>
        <c:spPr>
          <a:noFill/>
          <a:ln w="9525" cap="flat" cmpd="sng" algn="ctr">
            <a:solidFill>
              <a:schemeClr val="dk1">
                <a:lumMod val="15000"/>
                <a:lumOff val="85000"/>
              </a:schemeClr>
            </a:solidFill>
            <a:round/>
          </a:ln>
          <a:effectLst/>
        </c:spPr>
        <c:txPr>
          <a:bodyPr rot="-5400000" spcFirstLastPara="1" vertOverflow="ellipsis" wrap="square" anchor="ctr" anchorCtr="1"/>
          <a:lstStyle/>
          <a:p>
            <a:pPr>
              <a:defRPr sz="800" b="1"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153232128"/>
        <c:crosses val="autoZero"/>
        <c:auto val="1"/>
        <c:lblAlgn val="ctr"/>
        <c:lblOffset val="100"/>
        <c:noMultiLvlLbl val="0"/>
      </c:catAx>
      <c:valAx>
        <c:axId val="153232128"/>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89566208"/>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noFill/>
      <a:round/>
    </a:ln>
    <a:effectLst/>
  </c:spPr>
  <c:txPr>
    <a:bodyPr/>
    <a:lstStyle/>
    <a:p>
      <a:pPr>
        <a:defRPr sz="800"/>
      </a:pPr>
      <a:endParaRPr lang="es-E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452367019503562E-2"/>
          <c:y val="2.0471470641031241E-2"/>
          <c:w val="0.90205628106458469"/>
          <c:h val="0.7660694446465911"/>
        </c:manualLayout>
      </c:layout>
      <c:barChart>
        <c:barDir val="col"/>
        <c:grouping val="clustered"/>
        <c:varyColors val="0"/>
        <c:ser>
          <c:idx val="1"/>
          <c:order val="1"/>
          <c:tx>
            <c:strRef>
              <c:f>Sheet1!$C$1</c:f>
              <c:strCache>
                <c:ptCount val="1"/>
                <c:pt idx="0">
                  <c:v>2021</c:v>
                </c:pt>
              </c:strCache>
            </c:strRef>
          </c:tx>
          <c:spPr>
            <a:solidFill>
              <a:srgbClr val="FF7C80"/>
            </a:solidFill>
            <a:ln w="12700">
              <a:solidFill>
                <a:schemeClr val="tx1"/>
              </a:solidFill>
            </a:ln>
            <a:effectLst/>
          </c:spPr>
          <c:invertIfNegative val="0"/>
          <c:dLbls>
            <c:dLbl>
              <c:idx val="0"/>
              <c:layout>
                <c:manualLayout>
                  <c:x val="0"/>
                  <c:y val="9.2064315352697101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401-4F6A-9BC4-3FB2BFF12F57}"/>
                </c:ext>
              </c:extLst>
            </c:dLbl>
            <c:dLbl>
              <c:idx val="1"/>
              <c:layout>
                <c:manualLayout>
                  <c:x val="0"/>
                  <c:y val="9.7251037344398245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401-4F6A-9BC4-3FB2BFF12F57}"/>
                </c:ext>
              </c:extLst>
            </c:dLbl>
            <c:dLbl>
              <c:idx val="2"/>
              <c:layout>
                <c:manualLayout>
                  <c:x val="0"/>
                  <c:y val="8.068783284869474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401-4F6A-9BC4-3FB2BFF12F57}"/>
                </c:ext>
              </c:extLst>
            </c:dLbl>
            <c:dLbl>
              <c:idx val="3"/>
              <c:layout>
                <c:manualLayout>
                  <c:x val="3.9468507099136252E-17"/>
                  <c:y val="1.9498807462345169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401-4F6A-9BC4-3FB2BFF12F57}"/>
                </c:ext>
              </c:extLst>
            </c:dLbl>
            <c:dLbl>
              <c:idx val="4"/>
              <c:layout>
                <c:manualLayout>
                  <c:x val="0"/>
                  <c:y val="1.4263485477178471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401-4F6A-9BC4-3FB2BFF12F57}"/>
                </c:ext>
              </c:extLst>
            </c:dLbl>
            <c:dLbl>
              <c:idx val="8"/>
              <c:layout>
                <c:manualLayout>
                  <c:x val="0"/>
                  <c:y val="2.2043568464730292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401-4F6A-9BC4-3FB2BFF12F57}"/>
                </c:ext>
              </c:extLst>
            </c:dLbl>
            <c:dLbl>
              <c:idx val="9"/>
              <c:layout>
                <c:manualLayout>
                  <c:x val="0"/>
                  <c:y val="1.6856846473029045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A401-4F6A-9BC4-3FB2BFF12F57}"/>
                </c:ext>
              </c:extLst>
            </c:dLbl>
            <c:dLbl>
              <c:idx val="10"/>
              <c:layout>
                <c:manualLayout>
                  <c:x val="0"/>
                  <c:y val="2.2043568464730292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A401-4F6A-9BC4-3FB2BFF12F57}"/>
                </c:ext>
              </c:extLst>
            </c:dLbl>
            <c:spPr>
              <a:noFill/>
              <a:ln>
                <a:noFill/>
              </a:ln>
              <a:effectLst/>
            </c:spPr>
            <c:txPr>
              <a:bodyPr rot="-5400000" spcFirstLastPara="1" vertOverflow="ellipsis"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Enero</c:v>
                </c:pt>
                <c:pt idx="1">
                  <c:v>Febrero</c:v>
                </c:pt>
                <c:pt idx="2">
                  <c:v>Marzo</c:v>
                </c:pt>
                <c:pt idx="3">
                  <c:v>Abril</c:v>
                </c:pt>
                <c:pt idx="4">
                  <c:v>Mayo</c:v>
                </c:pt>
                <c:pt idx="5">
                  <c:v>Junio</c:v>
                </c:pt>
                <c:pt idx="6">
                  <c:v>Julio</c:v>
                </c:pt>
                <c:pt idx="7">
                  <c:v>Agosto</c:v>
                </c:pt>
                <c:pt idx="8">
                  <c:v>Septiembre</c:v>
                </c:pt>
                <c:pt idx="9">
                  <c:v>Octubre </c:v>
                </c:pt>
                <c:pt idx="10">
                  <c:v>Noviembre </c:v>
                </c:pt>
                <c:pt idx="11">
                  <c:v>Diciembre</c:v>
                </c:pt>
              </c:strCache>
            </c:strRef>
          </c:cat>
          <c:val>
            <c:numRef>
              <c:f>Sheet1!$C$2:$C$13</c:f>
              <c:numCache>
                <c:formatCode>0.0</c:formatCode>
                <c:ptCount val="12"/>
                <c:pt idx="0">
                  <c:v>3.7189413058487304</c:v>
                </c:pt>
                <c:pt idx="1">
                  <c:v>6.1267370575853732</c:v>
                </c:pt>
                <c:pt idx="2">
                  <c:v>1.9518107242856928</c:v>
                </c:pt>
                <c:pt idx="3">
                  <c:v>11.31040113518587</c:v>
                </c:pt>
                <c:pt idx="4">
                  <c:v>6.3930371872600773</c:v>
                </c:pt>
                <c:pt idx="5">
                  <c:v>0.38854905082506264</c:v>
                </c:pt>
              </c:numCache>
            </c:numRef>
          </c:val>
          <c:extLst xmlns:c16r2="http://schemas.microsoft.com/office/drawing/2015/06/chart">
            <c:ext xmlns:c16="http://schemas.microsoft.com/office/drawing/2014/chart" uri="{C3380CC4-5D6E-409C-BE32-E72D297353CC}">
              <c16:uniqueId val="{00000008-A401-4F6A-9BC4-3FB2BFF12F57}"/>
            </c:ext>
          </c:extLst>
        </c:ser>
        <c:dLbls>
          <c:showLegendKey val="0"/>
          <c:showVal val="0"/>
          <c:showCatName val="0"/>
          <c:showSerName val="0"/>
          <c:showPercent val="0"/>
          <c:showBubbleSize val="0"/>
        </c:dLbls>
        <c:gapWidth val="62"/>
        <c:overlap val="-27"/>
        <c:axId val="153283584"/>
        <c:axId val="140378880"/>
      </c:barChart>
      <c:lineChart>
        <c:grouping val="stacked"/>
        <c:varyColors val="0"/>
        <c:ser>
          <c:idx val="0"/>
          <c:order val="0"/>
          <c:tx>
            <c:strRef>
              <c:f>Sheet1!$B$1</c:f>
              <c:strCache>
                <c:ptCount val="1"/>
                <c:pt idx="0">
                  <c:v>2020</c:v>
                </c:pt>
              </c:strCache>
            </c:strRef>
          </c:tx>
          <c:spPr>
            <a:ln w="15875" cap="rnd">
              <a:solidFill>
                <a:schemeClr val="accent1"/>
              </a:solidFill>
              <a:prstDash val="sysDash"/>
              <a:round/>
            </a:ln>
            <a:effectLst/>
          </c:spPr>
          <c:marker>
            <c:symbol val="circle"/>
            <c:size val="4"/>
            <c:spPr>
              <a:solidFill>
                <a:schemeClr val="accent1"/>
              </a:solidFill>
              <a:ln w="3175">
                <a:solidFill>
                  <a:schemeClr val="accent1"/>
                </a:solidFill>
              </a:ln>
              <a:effectLst/>
            </c:spPr>
          </c:marker>
          <c:dLbls>
            <c:dLbl>
              <c:idx val="0"/>
              <c:layout>
                <c:manualLayout>
                  <c:x val="-5.6657223796033995E-2"/>
                  <c:y val="-4.72673559822747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A401-4F6A-9BC4-3FB2BFF12F57}"/>
                </c:ext>
              </c:extLst>
            </c:dLbl>
            <c:dLbl>
              <c:idx val="1"/>
              <c:layout>
                <c:manualLayout>
                  <c:x val="-6.3041624640838081E-2"/>
                  <c:y val="5.028914954095468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A401-4F6A-9BC4-3FB2BFF12F57}"/>
                </c:ext>
              </c:extLst>
            </c:dLbl>
            <c:dLbl>
              <c:idx val="2"/>
              <c:layout>
                <c:manualLayout>
                  <c:x val="-5.235160997770865E-2"/>
                  <c:y val="-3.572017839056425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A401-4F6A-9BC4-3FB2BFF12F57}"/>
                </c:ext>
              </c:extLst>
            </c:dLbl>
            <c:dLbl>
              <c:idx val="3"/>
              <c:layout>
                <c:manualLayout>
                  <c:x val="-6.1378673198681163E-2"/>
                  <c:y val="3.125510504133041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A401-4F6A-9BC4-3FB2BFF12F57}"/>
                </c:ext>
              </c:extLst>
            </c:dLbl>
            <c:dLbl>
              <c:idx val="4"/>
              <c:layout>
                <c:manualLayout>
                  <c:x val="-1.0988023698329421E-3"/>
                  <c:y val="-1.47037442415133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A401-4F6A-9BC4-3FB2BFF12F57}"/>
                </c:ext>
              </c:extLst>
            </c:dLbl>
            <c:dLbl>
              <c:idx val="5"/>
              <c:layout>
                <c:manualLayout>
                  <c:x val="-6.915877711195681E-2"/>
                  <c:y val="-4.063735420001965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A401-4F6A-9BC4-3FB2BFF12F57}"/>
                </c:ext>
              </c:extLst>
            </c:dLbl>
            <c:dLbl>
              <c:idx val="6"/>
              <c:layout>
                <c:manualLayout>
                  <c:x val="-6.1378659112370164E-2"/>
                  <c:y val="-4.726735598227479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A401-4F6A-9BC4-3FB2BFF12F57}"/>
                </c:ext>
              </c:extLst>
            </c:dLbl>
            <c:dLbl>
              <c:idx val="7"/>
              <c:layout>
                <c:manualLayout>
                  <c:x val="-6.9990083317087975E-2"/>
                  <c:y val="-4.654572483418825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A401-4F6A-9BC4-3FB2BFF12F57}"/>
                </c:ext>
              </c:extLst>
            </c:dLbl>
            <c:dLbl>
              <c:idx val="8"/>
              <c:layout>
                <c:manualLayout>
                  <c:x val="-4.9708856360662211E-2"/>
                  <c:y val="5.245409546835686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A401-4F6A-9BC4-3FB2BFF12F57}"/>
                </c:ext>
              </c:extLst>
            </c:dLbl>
            <c:dLbl>
              <c:idx val="9"/>
              <c:layout>
                <c:manualLayout>
                  <c:x val="-3.2486036123848351E-2"/>
                  <c:y val="4.06373542000196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A401-4F6A-9BC4-3FB2BFF12F57}"/>
                </c:ext>
              </c:extLst>
            </c:dLbl>
            <c:dLbl>
              <c:idx val="10"/>
              <c:layout>
                <c:manualLayout>
                  <c:x val="-7.0405736419653836E-2"/>
                  <c:y val="-3.644182703303165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A401-4F6A-9BC4-3FB2BFF12F57}"/>
                </c:ext>
              </c:extLst>
            </c:dLbl>
            <c:dLbl>
              <c:idx val="11"/>
              <c:layout>
                <c:manualLayout>
                  <c:x val="-8.3130620513124768E-4"/>
                  <c:y val="-4.235019766720032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A401-4F6A-9BC4-3FB2BFF12F57}"/>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accent1">
                        <a:lumMod val="75000"/>
                      </a:schemeClr>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Sheet1!$A$2:$A$13</c:f>
              <c:strCache>
                <c:ptCount val="12"/>
                <c:pt idx="0">
                  <c:v>Enero</c:v>
                </c:pt>
                <c:pt idx="1">
                  <c:v>Febrero</c:v>
                </c:pt>
                <c:pt idx="2">
                  <c:v>Marzo</c:v>
                </c:pt>
                <c:pt idx="3">
                  <c:v>Abril</c:v>
                </c:pt>
                <c:pt idx="4">
                  <c:v>Mayo</c:v>
                </c:pt>
                <c:pt idx="5">
                  <c:v>Junio</c:v>
                </c:pt>
                <c:pt idx="6">
                  <c:v>Julio</c:v>
                </c:pt>
                <c:pt idx="7">
                  <c:v>Agosto</c:v>
                </c:pt>
                <c:pt idx="8">
                  <c:v>Septiembre</c:v>
                </c:pt>
                <c:pt idx="9">
                  <c:v>Octubre </c:v>
                </c:pt>
                <c:pt idx="10">
                  <c:v>Noviembre </c:v>
                </c:pt>
                <c:pt idx="11">
                  <c:v>Diciembre</c:v>
                </c:pt>
              </c:strCache>
            </c:strRef>
          </c:cat>
          <c:val>
            <c:numRef>
              <c:f>Sheet1!$B$2:$B$13</c:f>
              <c:numCache>
                <c:formatCode>0.0</c:formatCode>
                <c:ptCount val="12"/>
                <c:pt idx="0">
                  <c:v>4.8191861258905817</c:v>
                </c:pt>
                <c:pt idx="1">
                  <c:v>9.5655130970186519E-2</c:v>
                </c:pt>
                <c:pt idx="2">
                  <c:v>2.3974325379896584</c:v>
                </c:pt>
                <c:pt idx="3">
                  <c:v>-1.9848700717106169</c:v>
                </c:pt>
                <c:pt idx="4">
                  <c:v>4.2224631181484256</c:v>
                </c:pt>
                <c:pt idx="5">
                  <c:v>9.0680434021580965</c:v>
                </c:pt>
                <c:pt idx="6">
                  <c:v>10.232293442045986</c:v>
                </c:pt>
                <c:pt idx="7">
                  <c:v>12.533229099769343</c:v>
                </c:pt>
                <c:pt idx="8">
                  <c:v>14.872198669992656</c:v>
                </c:pt>
                <c:pt idx="9">
                  <c:v>14.678379762438269</c:v>
                </c:pt>
                <c:pt idx="10">
                  <c:v>15.472802612662733</c:v>
                </c:pt>
                <c:pt idx="11">
                  <c:v>17.151091678742532</c:v>
                </c:pt>
              </c:numCache>
            </c:numRef>
          </c:val>
          <c:smooth val="0"/>
          <c:extLst xmlns:c16r2="http://schemas.microsoft.com/office/drawing/2015/06/chart">
            <c:ext xmlns:c16="http://schemas.microsoft.com/office/drawing/2014/chart" uri="{C3380CC4-5D6E-409C-BE32-E72D297353CC}">
              <c16:uniqueId val="{00000015-A401-4F6A-9BC4-3FB2BFF12F57}"/>
            </c:ext>
          </c:extLst>
        </c:ser>
        <c:dLbls>
          <c:showLegendKey val="0"/>
          <c:showVal val="0"/>
          <c:showCatName val="0"/>
          <c:showSerName val="0"/>
          <c:showPercent val="0"/>
          <c:showBubbleSize val="0"/>
        </c:dLbls>
        <c:marker val="1"/>
        <c:smooth val="0"/>
        <c:axId val="153283584"/>
        <c:axId val="140378880"/>
      </c:lineChart>
      <c:catAx>
        <c:axId val="15328358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crossAx val="140378880"/>
        <c:crosses val="autoZero"/>
        <c:auto val="1"/>
        <c:lblAlgn val="ctr"/>
        <c:lblOffset val="100"/>
        <c:noMultiLvlLbl val="0"/>
      </c:catAx>
      <c:valAx>
        <c:axId val="140378880"/>
        <c:scaling>
          <c:orientation val="minMax"/>
          <c:min val="-5"/>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153283584"/>
        <c:crosses val="autoZero"/>
        <c:crossBetween val="between"/>
      </c:valAx>
      <c:spPr>
        <a:noFill/>
        <a:ln>
          <a:noFill/>
        </a:ln>
        <a:effectLst/>
      </c:spPr>
    </c:plotArea>
    <c:legend>
      <c:legendPos val="b"/>
      <c:layout>
        <c:manualLayout>
          <c:xMode val="edge"/>
          <c:yMode val="edge"/>
          <c:x val="0.65501181472729819"/>
          <c:y val="0.34502509568234158"/>
          <c:w val="0.25118035882908402"/>
          <c:h val="0.13928916187159299"/>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E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849846471893718"/>
          <c:y val="3.1349542845605836E-2"/>
          <c:w val="0.57115149606299209"/>
          <c:h val="0.81466508994068054"/>
        </c:manualLayout>
      </c:layout>
      <c:barChart>
        <c:barDir val="bar"/>
        <c:grouping val="clustered"/>
        <c:varyColors val="0"/>
        <c:ser>
          <c:idx val="0"/>
          <c:order val="0"/>
          <c:tx>
            <c:strRef>
              <c:f>Sheet1!$B$1</c:f>
              <c:strCache>
                <c:ptCount val="1"/>
                <c:pt idx="0">
                  <c:v>2020</c:v>
                </c:pt>
              </c:strCache>
            </c:strRef>
          </c:tx>
          <c:spPr>
            <a:solidFill>
              <a:schemeClr val="accent1">
                <a:lumMod val="75000"/>
              </a:schemeClr>
            </a:solidFill>
            <a:ln w="15875">
              <a:solidFill>
                <a:srgbClr val="002060"/>
              </a:solidFill>
            </a:ln>
            <a:effectLst>
              <a:outerShdw blurRad="50800" dist="38100" dir="2700000" algn="tl" rotWithShape="0">
                <a:prstClr val="black">
                  <a:alpha val="40000"/>
                </a:prstClr>
              </a:outerShdw>
            </a:effectLst>
          </c:spPr>
          <c:invertIfNegative val="0"/>
          <c:dLbls>
            <c:dLbl>
              <c:idx val="0"/>
              <c:layout>
                <c:manualLayout>
                  <c:x val="-8.5796707843951939E-3"/>
                  <c:y val="1.468059800364342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B8B-4B98-BF1D-37D6D94403A3}"/>
                </c:ext>
              </c:extLst>
            </c:dLbl>
            <c:dLbl>
              <c:idx val="1"/>
              <c:layout>
                <c:manualLayout>
                  <c:x val="-1.2869337278786098E-2"/>
                  <c:y val="1.434034416826012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B8B-4B98-BF1D-37D6D94403A3}"/>
                </c:ext>
              </c:extLst>
            </c:dLbl>
            <c:dLbl>
              <c:idx val="3"/>
              <c:layout>
                <c:manualLayout>
                  <c:x val="-3.9996850393700786E-3"/>
                  <c:y val="4.780114722753346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B8B-4B98-BF1D-37D6D94403A3}"/>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2">
                        <a:lumMod val="75000"/>
                      </a:schemeClr>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Sheet1!$A$2:$A$9</c:f>
              <c:strCache>
                <c:ptCount val="8"/>
                <c:pt idx="0">
                  <c:v>Trans. Corrientes</c:v>
                </c:pt>
                <c:pt idx="1">
                  <c:v>Inversión Financiera</c:v>
                </c:pt>
                <c:pt idx="2">
                  <c:v>Inversión Real Directa</c:v>
                </c:pt>
                <c:pt idx="3">
                  <c:v>Prestaciones a la S.S</c:v>
                </c:pt>
                <c:pt idx="4">
                  <c:v>Trans. De Capital</c:v>
                </c:pt>
                <c:pt idx="5">
                  <c:v>Remuneraciones </c:v>
                </c:pt>
                <c:pt idx="6">
                  <c:v>Intereses </c:v>
                </c:pt>
                <c:pt idx="7">
                  <c:v>Bienes y servicios </c:v>
                </c:pt>
              </c:strCache>
            </c:strRef>
          </c:cat>
          <c:val>
            <c:numRef>
              <c:f>Sheet1!$B$2:$B$9</c:f>
              <c:numCache>
                <c:formatCode>#,##0.0</c:formatCode>
                <c:ptCount val="8"/>
                <c:pt idx="0">
                  <c:v>1388.7699999999995</c:v>
                </c:pt>
                <c:pt idx="1">
                  <c:v>1447.09</c:v>
                </c:pt>
                <c:pt idx="2">
                  <c:v>-705.69999999999982</c:v>
                </c:pt>
                <c:pt idx="3">
                  <c:v>29.319999999999709</c:v>
                </c:pt>
                <c:pt idx="4">
                  <c:v>-7.3799999999991996</c:v>
                </c:pt>
                <c:pt idx="5">
                  <c:v>1123.1499999999996</c:v>
                </c:pt>
                <c:pt idx="6">
                  <c:v>208.01999999999953</c:v>
                </c:pt>
                <c:pt idx="7">
                  <c:v>-128.36000000000013</c:v>
                </c:pt>
              </c:numCache>
            </c:numRef>
          </c:val>
          <c:extLst xmlns:c16r2="http://schemas.microsoft.com/office/drawing/2015/06/chart">
            <c:ext xmlns:c16="http://schemas.microsoft.com/office/drawing/2014/chart" uri="{C3380CC4-5D6E-409C-BE32-E72D297353CC}">
              <c16:uniqueId val="{00000003-DB8B-4B98-BF1D-37D6D94403A3}"/>
            </c:ext>
          </c:extLst>
        </c:ser>
        <c:ser>
          <c:idx val="1"/>
          <c:order val="1"/>
          <c:tx>
            <c:strRef>
              <c:f>Sheet1!$C$1</c:f>
              <c:strCache>
                <c:ptCount val="1"/>
                <c:pt idx="0">
                  <c:v>2021</c:v>
                </c:pt>
              </c:strCache>
            </c:strRef>
          </c:tx>
          <c:spPr>
            <a:solidFill>
              <a:srgbClr val="92D050"/>
            </a:solidFill>
            <a:ln w="15875">
              <a:solidFill>
                <a:schemeClr val="accent3">
                  <a:lumMod val="50000"/>
                </a:schemeClr>
              </a:solidFill>
            </a:ln>
            <a:effectLst>
              <a:outerShdw blurRad="50800" dist="38100" dir="2700000" algn="tl" rotWithShape="0">
                <a:prstClr val="black">
                  <a:alpha val="40000"/>
                </a:prstClr>
              </a:outerShdw>
            </a:effectLst>
          </c:spPr>
          <c:invertIfNegative val="0"/>
          <c:dLbls>
            <c:dLbl>
              <c:idx val="0"/>
              <c:layout>
                <c:manualLayout>
                  <c:x val="-0.16801691113347056"/>
                  <c:y val="4.302103250478011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B8B-4B98-BF1D-37D6D94403A3}"/>
                </c:ext>
              </c:extLst>
            </c:dLbl>
            <c:dLbl>
              <c:idx val="2"/>
              <c:layout>
                <c:manualLayout>
                  <c:x val="-8.5801574803149611E-3"/>
                  <c:y val="-4.780114722753346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B8B-4B98-BF1D-37D6D94403A3}"/>
                </c:ext>
              </c:extLst>
            </c:dLbl>
            <c:dLbl>
              <c:idx val="4"/>
              <c:layout>
                <c:manualLayout>
                  <c:x val="0"/>
                  <c:y val="-9.560229445506692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B8B-4B98-BF1D-37D6D94403A3}"/>
                </c:ext>
              </c:extLst>
            </c:dLbl>
            <c:dLbl>
              <c:idx val="6"/>
              <c:layout>
                <c:manualLayout>
                  <c:x val="0"/>
                  <c:y val="-4.780114722753346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B8B-4B98-BF1D-37D6D94403A3}"/>
                </c:ext>
              </c:extLst>
            </c:dLbl>
            <c:dLbl>
              <c:idx val="7"/>
              <c:layout>
                <c:manualLayout>
                  <c:x val="-5.1582649472450177E-2"/>
                  <c:y val="-5.258126195028680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DB8B-4B98-BF1D-37D6D94403A3}"/>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accent3">
                        <a:lumMod val="50000"/>
                      </a:schemeClr>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Sheet1!$A$2:$A$9</c:f>
              <c:strCache>
                <c:ptCount val="8"/>
                <c:pt idx="0">
                  <c:v>Trans. Corrientes</c:v>
                </c:pt>
                <c:pt idx="1">
                  <c:v>Inversión Financiera</c:v>
                </c:pt>
                <c:pt idx="2">
                  <c:v>Inversión Real Directa</c:v>
                </c:pt>
                <c:pt idx="3">
                  <c:v>Prestaciones a la S.S</c:v>
                </c:pt>
                <c:pt idx="4">
                  <c:v>Trans. De Capital</c:v>
                </c:pt>
                <c:pt idx="5">
                  <c:v>Remuneraciones </c:v>
                </c:pt>
                <c:pt idx="6">
                  <c:v>Intereses </c:v>
                </c:pt>
                <c:pt idx="7">
                  <c:v>Bienes y servicios </c:v>
                </c:pt>
              </c:strCache>
            </c:strRef>
          </c:cat>
          <c:val>
            <c:numRef>
              <c:f>Sheet1!$C$2:$C$9</c:f>
              <c:numCache>
                <c:formatCode>#,##0.0</c:formatCode>
                <c:ptCount val="8"/>
                <c:pt idx="0">
                  <c:v>-2269.7920261999998</c:v>
                </c:pt>
                <c:pt idx="1">
                  <c:v>-1447.0052336700001</c:v>
                </c:pt>
                <c:pt idx="2">
                  <c:v>83.03356008999981</c:v>
                </c:pt>
                <c:pt idx="3">
                  <c:v>84.184834510000201</c:v>
                </c:pt>
                <c:pt idx="4">
                  <c:v>264.43753775999903</c:v>
                </c:pt>
                <c:pt idx="5">
                  <c:v>532.52818830999968</c:v>
                </c:pt>
                <c:pt idx="6">
                  <c:v>755.03080082000088</c:v>
                </c:pt>
                <c:pt idx="7">
                  <c:v>2118.6007515799988</c:v>
                </c:pt>
              </c:numCache>
            </c:numRef>
          </c:val>
          <c:extLst xmlns:c16r2="http://schemas.microsoft.com/office/drawing/2015/06/chart">
            <c:ext xmlns:c16="http://schemas.microsoft.com/office/drawing/2014/chart" uri="{C3380CC4-5D6E-409C-BE32-E72D297353CC}">
              <c16:uniqueId val="{00000009-DB8B-4B98-BF1D-37D6D94403A3}"/>
            </c:ext>
          </c:extLst>
        </c:ser>
        <c:dLbls>
          <c:showLegendKey val="0"/>
          <c:showVal val="0"/>
          <c:showCatName val="0"/>
          <c:showSerName val="0"/>
          <c:showPercent val="0"/>
          <c:showBubbleSize val="0"/>
        </c:dLbls>
        <c:gapWidth val="132"/>
        <c:axId val="179770880"/>
        <c:axId val="179772416"/>
      </c:barChart>
      <c:catAx>
        <c:axId val="17977088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700" b="1" i="0" u="none" strike="noStrike" kern="1200" cap="none" spc="0" normalizeH="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endParaRPr lang="es-ES"/>
          </a:p>
        </c:txPr>
        <c:crossAx val="179772416"/>
        <c:crosses val="autoZero"/>
        <c:auto val="1"/>
        <c:lblAlgn val="ctr"/>
        <c:lblOffset val="100"/>
        <c:noMultiLvlLbl val="0"/>
      </c:catAx>
      <c:valAx>
        <c:axId val="179772416"/>
        <c:scaling>
          <c:orientation val="minMax"/>
          <c:max val="2300"/>
          <c:min val="-2300"/>
        </c:scaling>
        <c:delete val="0"/>
        <c:axPos val="b"/>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179770880"/>
        <c:crosses val="autoZero"/>
        <c:crossBetween val="between"/>
        <c:majorUnit val="1000"/>
        <c:minorUnit val="500"/>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35845657669175118"/>
          <c:y val="0.92436630905007844"/>
          <c:w val="0.28308684661649763"/>
          <c:h val="7.5633690949921589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chart>
  <c:spPr>
    <a:solidFill>
      <a:schemeClr val="lt1"/>
    </a:solidFill>
    <a:ln w="9525" cap="flat" cmpd="sng" algn="ctr">
      <a:noFill/>
      <a:round/>
    </a:ln>
    <a:effectLst/>
  </c:spPr>
  <c:txPr>
    <a:bodyPr/>
    <a:lstStyle/>
    <a:p>
      <a:pPr>
        <a:defRPr/>
      </a:pPr>
      <a:endParaRPr lang="es-E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739668902540773E-2"/>
          <c:y val="2.363100771720747E-2"/>
          <c:w val="0.90489558370421086"/>
          <c:h val="0.88490914133436227"/>
        </c:manualLayout>
      </c:layout>
      <c:barChart>
        <c:barDir val="col"/>
        <c:grouping val="clustered"/>
        <c:varyColors val="0"/>
        <c:ser>
          <c:idx val="0"/>
          <c:order val="0"/>
          <c:tx>
            <c:strRef>
              <c:f>Hoja1!$B$1</c:f>
              <c:strCache>
                <c:ptCount val="1"/>
                <c:pt idx="0">
                  <c:v>% de ejecución</c:v>
                </c:pt>
              </c:strCache>
            </c:strRef>
          </c:tx>
          <c:spPr>
            <a:solidFill>
              <a:schemeClr val="tx2">
                <a:lumMod val="60000"/>
                <a:lumOff val="40000"/>
              </a:schemeClr>
            </a:solidFill>
            <a:ln>
              <a:noFill/>
            </a:ln>
            <a:effectLst>
              <a:outerShdw blurRad="50800" dist="38100" dir="2700000" algn="tl" rotWithShape="0">
                <a:prstClr val="black">
                  <a:alpha val="40000"/>
                </a:prstClr>
              </a:outerShdw>
            </a:effectLst>
            <a:scene3d>
              <a:camera prst="orthographicFront"/>
              <a:lightRig rig="threePt" dir="t"/>
            </a:scene3d>
            <a:sp3d>
              <a:bevelT/>
            </a:sp3d>
          </c:spPr>
          <c:invertIfNegative val="0"/>
          <c:dPt>
            <c:idx val="5"/>
            <c:invertIfNegative val="0"/>
            <c:bubble3D val="0"/>
            <c:spPr>
              <a:solidFill>
                <a:schemeClr val="tx2">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1-E3B3-43E2-BD97-D60C6CA34098}"/>
              </c:ext>
            </c:extLst>
          </c:dPt>
          <c:dPt>
            <c:idx val="6"/>
            <c:invertIfNegative val="0"/>
            <c:bubble3D val="0"/>
            <c:spPr>
              <a:solidFill>
                <a:srgbClr val="FFC000"/>
              </a:solidFill>
              <a:ln>
                <a:noFill/>
              </a:ln>
              <a:effectLst>
                <a:outerShdw blurRad="50800" dist="38100" dir="2700000" algn="tl" rotWithShape="0">
                  <a:prstClr val="black">
                    <a:alpha val="40000"/>
                  </a:prstClr>
                </a:outerShdw>
              </a:effectLst>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3-E3B3-43E2-BD97-D60C6CA34098}"/>
              </c:ext>
            </c:extLst>
          </c:dPt>
          <c:dLbls>
            <c:dLbl>
              <c:idx val="3"/>
              <c:layout>
                <c:manualLayout>
                  <c:x val="-8.0109772984700854E-17"/>
                  <c:y val="0.10352102213638389"/>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3B3-43E2-BD97-D60C6CA34098}"/>
                </c:ext>
              </c:extLst>
            </c:dLbl>
            <c:dLbl>
              <c:idx val="4"/>
              <c:layout>
                <c:manualLayout>
                  <c:x val="0"/>
                  <c:y val="0.11747778736311131"/>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3B3-43E2-BD97-D60C6CA34098}"/>
                </c:ext>
              </c:extLst>
            </c:dLbl>
            <c:dLbl>
              <c:idx val="5"/>
              <c:layout>
                <c:manualLayout>
                  <c:x val="0"/>
                  <c:y val="0.12454901616013979"/>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ES"/>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3B3-43E2-BD97-D60C6CA34098}"/>
                </c:ext>
              </c:extLst>
            </c:dLbl>
            <c:dLbl>
              <c:idx val="6"/>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dLblPos val="in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2">
                        <a:lumMod val="50000"/>
                      </a:schemeClr>
                    </a:solidFill>
                    <a:latin typeface="Times New Roman" panose="02020603050405020304" pitchFamily="18" charset="0"/>
                    <a:ea typeface="+mn-ea"/>
                    <a:cs typeface="Times New Roman" panose="02020603050405020304" pitchFamily="18" charset="0"/>
                  </a:defRPr>
                </a:pPr>
                <a:endParaRPr lang="es-E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Hoja1!$A$2:$A$8</c:f>
              <c:strCache>
                <c:ptCount val="7"/>
                <c:pt idx="0">
                  <c:v>2016</c:v>
                </c:pt>
                <c:pt idx="1">
                  <c:v>2017</c:v>
                </c:pt>
                <c:pt idx="2">
                  <c:v>2018</c:v>
                </c:pt>
                <c:pt idx="3">
                  <c:v>2019</c:v>
                </c:pt>
                <c:pt idx="4">
                  <c:v>2020</c:v>
                </c:pt>
                <c:pt idx="5">
                  <c:v>2021</c:v>
                </c:pt>
                <c:pt idx="6">
                  <c:v>Ajustado*</c:v>
                </c:pt>
              </c:strCache>
            </c:strRef>
          </c:cat>
          <c:val>
            <c:numRef>
              <c:f>Hoja1!$B$2:$B$8</c:f>
              <c:numCache>
                <c:formatCode>0.0</c:formatCode>
                <c:ptCount val="7"/>
                <c:pt idx="0">
                  <c:v>40.325852250454666</c:v>
                </c:pt>
                <c:pt idx="1">
                  <c:v>39.600445723889734</c:v>
                </c:pt>
                <c:pt idx="2">
                  <c:v>42.079032637881717</c:v>
                </c:pt>
                <c:pt idx="3">
                  <c:v>42.937539584606547</c:v>
                </c:pt>
                <c:pt idx="4">
                  <c:v>38.322154863107819</c:v>
                </c:pt>
                <c:pt idx="5">
                  <c:v>38.511876533591469</c:v>
                </c:pt>
                <c:pt idx="6">
                  <c:v>43.886357189721679</c:v>
                </c:pt>
              </c:numCache>
            </c:numRef>
          </c:val>
          <c:extLst xmlns:c16r2="http://schemas.microsoft.com/office/drawing/2015/06/chart">
            <c:ext xmlns:c16="http://schemas.microsoft.com/office/drawing/2014/chart" uri="{C3380CC4-5D6E-409C-BE32-E72D297353CC}">
              <c16:uniqueId val="{00000006-E3B3-43E2-BD97-D60C6CA34098}"/>
            </c:ext>
          </c:extLst>
        </c:ser>
        <c:dLbls>
          <c:showLegendKey val="0"/>
          <c:showVal val="0"/>
          <c:showCatName val="0"/>
          <c:showSerName val="0"/>
          <c:showPercent val="0"/>
          <c:showBubbleSize val="0"/>
        </c:dLbls>
        <c:gapWidth val="50"/>
        <c:overlap val="-27"/>
        <c:axId val="153623168"/>
        <c:axId val="153633152"/>
      </c:barChart>
      <c:lineChart>
        <c:grouping val="standard"/>
        <c:varyColors val="0"/>
        <c:ser>
          <c:idx val="1"/>
          <c:order val="1"/>
          <c:tx>
            <c:strRef>
              <c:f>Hoja1!$C$1</c:f>
              <c:strCache>
                <c:ptCount val="1"/>
                <c:pt idx="0">
                  <c:v>Promedio</c:v>
                </c:pt>
              </c:strCache>
            </c:strRef>
          </c:tx>
          <c:spPr>
            <a:ln w="15875" cap="rnd">
              <a:solidFill>
                <a:srgbClr val="C00000"/>
              </a:solidFill>
              <a:prstDash val="sysDash"/>
              <a:round/>
            </a:ln>
            <a:effectLst/>
          </c:spPr>
          <c:marker>
            <c:symbol val="none"/>
          </c:marker>
          <c:dLbls>
            <c:dLbl>
              <c:idx val="2"/>
              <c:layout>
                <c:manualLayout>
                  <c:x val="-0.32772588209082559"/>
                  <c:y val="-0.10088816872167507"/>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1"/>
              <c:showPercent val="0"/>
              <c:showBubbleSize val="0"/>
              <c:extLst xmlns:c16r2="http://schemas.microsoft.com/office/drawing/2015/06/chart">
                <c:ext xmlns:c15="http://schemas.microsoft.com/office/drawing/2012/chart" uri="{CE6537A1-D6FC-4f65-9D91-7224C49458BB}">
                  <c15:layout>
                    <c:manualLayout>
                      <c:w val="0.28619165667433361"/>
                      <c:h val="0.15151902782219379"/>
                    </c:manualLayout>
                  </c15:layout>
                </c:ext>
                <c:ext xmlns:c16="http://schemas.microsoft.com/office/drawing/2014/chart" uri="{C3380CC4-5D6E-409C-BE32-E72D297353CC}">
                  <c16:uniqueId val="{00000007-E3B3-43E2-BD97-D60C6CA3409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Hoja1!$A$2:$A$8</c:f>
              <c:strCache>
                <c:ptCount val="7"/>
                <c:pt idx="0">
                  <c:v>2016</c:v>
                </c:pt>
                <c:pt idx="1">
                  <c:v>2017</c:v>
                </c:pt>
                <c:pt idx="2">
                  <c:v>2018</c:v>
                </c:pt>
                <c:pt idx="3">
                  <c:v>2019</c:v>
                </c:pt>
                <c:pt idx="4">
                  <c:v>2020</c:v>
                </c:pt>
                <c:pt idx="5">
                  <c:v>2021</c:v>
                </c:pt>
                <c:pt idx="6">
                  <c:v>Ajustado*</c:v>
                </c:pt>
              </c:strCache>
            </c:strRef>
          </c:cat>
          <c:val>
            <c:numRef>
              <c:f>Hoja1!$C$2:$C$8</c:f>
              <c:numCache>
                <c:formatCode>0.0</c:formatCode>
                <c:ptCount val="7"/>
                <c:pt idx="0">
                  <c:v>40.6530050119881</c:v>
                </c:pt>
                <c:pt idx="1">
                  <c:v>40.6530050119881</c:v>
                </c:pt>
                <c:pt idx="2">
                  <c:v>40.6530050119881</c:v>
                </c:pt>
                <c:pt idx="3">
                  <c:v>40.6530050119881</c:v>
                </c:pt>
                <c:pt idx="4">
                  <c:v>40.6530050119881</c:v>
                </c:pt>
              </c:numCache>
            </c:numRef>
          </c:val>
          <c:smooth val="0"/>
          <c:extLst xmlns:c16r2="http://schemas.microsoft.com/office/drawing/2015/06/chart">
            <c:ext xmlns:c16="http://schemas.microsoft.com/office/drawing/2014/chart" uri="{C3380CC4-5D6E-409C-BE32-E72D297353CC}">
              <c16:uniqueId val="{00000008-E3B3-43E2-BD97-D60C6CA34098}"/>
            </c:ext>
          </c:extLst>
        </c:ser>
        <c:dLbls>
          <c:showLegendKey val="0"/>
          <c:showVal val="0"/>
          <c:showCatName val="0"/>
          <c:showSerName val="0"/>
          <c:showPercent val="0"/>
          <c:showBubbleSize val="0"/>
        </c:dLbls>
        <c:marker val="1"/>
        <c:smooth val="0"/>
        <c:axId val="153623168"/>
        <c:axId val="153633152"/>
      </c:lineChart>
      <c:catAx>
        <c:axId val="15362316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crossAx val="153633152"/>
        <c:crosses val="autoZero"/>
        <c:auto val="1"/>
        <c:lblAlgn val="ctr"/>
        <c:lblOffset val="100"/>
        <c:noMultiLvlLbl val="0"/>
      </c:catAx>
      <c:valAx>
        <c:axId val="153633152"/>
        <c:scaling>
          <c:orientation val="minMax"/>
          <c:max val="45.5"/>
          <c:min val="25.5"/>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crossAx val="153623168"/>
        <c:crosses val="autoZero"/>
        <c:crossBetween val="between"/>
        <c:majorUnit val="1"/>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E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311229258735818"/>
          <c:y val="1.8216503424876768E-2"/>
          <c:w val="0.67595450840542404"/>
          <c:h val="0.93331000291630217"/>
        </c:manualLayout>
      </c:layout>
      <c:barChart>
        <c:barDir val="bar"/>
        <c:grouping val="clustered"/>
        <c:varyColors val="0"/>
        <c:ser>
          <c:idx val="0"/>
          <c:order val="0"/>
          <c:tx>
            <c:strRef>
              <c:f>Hoja1!$B$1</c:f>
              <c:strCache>
                <c:ptCount val="1"/>
                <c:pt idx="0">
                  <c:v>%</c:v>
                </c:pt>
              </c:strCache>
            </c:strRef>
          </c:tx>
          <c:spPr>
            <a:solidFill>
              <a:srgbClr val="FF9999">
                <a:alpha val="75000"/>
              </a:srgbClr>
            </a:solidFill>
            <a:ln>
              <a:solidFill>
                <a:schemeClr val="tx1">
                  <a:lumMod val="95000"/>
                  <a:lumOff val="5000"/>
                </a:schemeClr>
              </a:solidFill>
            </a:ln>
            <a:effectLst/>
          </c:spPr>
          <c:invertIfNegative val="0"/>
          <c:dPt>
            <c:idx val="7"/>
            <c:invertIfNegative val="0"/>
            <c:bubble3D val="0"/>
            <c:extLst xmlns:c16r2="http://schemas.microsoft.com/office/drawing/2015/06/chart">
              <c:ext xmlns:c16="http://schemas.microsoft.com/office/drawing/2014/chart" uri="{C3380CC4-5D6E-409C-BE32-E72D297353CC}">
                <c16:uniqueId val="{00000001-F4E0-4B09-A180-D6B4E81A3E0F}"/>
              </c:ext>
            </c:extLst>
          </c:dPt>
          <c:dPt>
            <c:idx val="8"/>
            <c:invertIfNegative val="0"/>
            <c:bubble3D val="0"/>
            <c:extLst xmlns:c16r2="http://schemas.microsoft.com/office/drawing/2015/06/chart">
              <c:ext xmlns:c16="http://schemas.microsoft.com/office/drawing/2014/chart" uri="{C3380CC4-5D6E-409C-BE32-E72D297353CC}">
                <c16:uniqueId val="{00000003-F4E0-4B09-A180-D6B4E81A3E0F}"/>
              </c:ext>
            </c:extLst>
          </c:dPt>
          <c:dPt>
            <c:idx val="9"/>
            <c:invertIfNegative val="0"/>
            <c:bubble3D val="0"/>
            <c:spPr>
              <a:solidFill>
                <a:srgbClr val="C00000">
                  <a:alpha val="74902"/>
                </a:srgbClr>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05-F4E0-4B09-A180-D6B4E81A3E0F}"/>
              </c:ext>
            </c:extLst>
          </c:dPt>
          <c:dPt>
            <c:idx val="10"/>
            <c:invertIfNegative val="0"/>
            <c:bubble3D val="0"/>
            <c:spPr>
              <a:solidFill>
                <a:srgbClr val="FF9999">
                  <a:alpha val="74902"/>
                </a:srgbClr>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07-F4E0-4B09-A180-D6B4E81A3E0F}"/>
              </c:ext>
            </c:extLst>
          </c:dPt>
          <c:dPt>
            <c:idx val="11"/>
            <c:invertIfNegative val="0"/>
            <c:bubble3D val="0"/>
            <c:spPr>
              <a:solidFill>
                <a:srgbClr val="FF7C80">
                  <a:alpha val="74902"/>
                </a:srgbClr>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09-F4E0-4B09-A180-D6B4E81A3E0F}"/>
              </c:ext>
            </c:extLst>
          </c:dPt>
          <c:dPt>
            <c:idx val="12"/>
            <c:invertIfNegative val="0"/>
            <c:bubble3D val="0"/>
            <c:spPr>
              <a:solidFill>
                <a:srgbClr val="FF7C80">
                  <a:alpha val="75000"/>
                </a:srgbClr>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0B-F4E0-4B09-A180-D6B4E81A3E0F}"/>
              </c:ext>
            </c:extLst>
          </c:dPt>
          <c:dPt>
            <c:idx val="13"/>
            <c:invertIfNegative val="0"/>
            <c:bubble3D val="0"/>
            <c:spPr>
              <a:solidFill>
                <a:srgbClr val="FF9999">
                  <a:alpha val="74902"/>
                </a:srgbClr>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0D-F4E0-4B09-A180-D6B4E81A3E0F}"/>
              </c:ext>
            </c:extLst>
          </c:dPt>
          <c:dPt>
            <c:idx val="14"/>
            <c:invertIfNegative val="0"/>
            <c:bubble3D val="0"/>
            <c:spPr>
              <a:solidFill>
                <a:srgbClr val="FF9999">
                  <a:alpha val="74902"/>
                </a:srgbClr>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0F-F4E0-4B09-A180-D6B4E81A3E0F}"/>
              </c:ext>
            </c:extLst>
          </c:dPt>
          <c:dLbls>
            <c:dLbl>
              <c:idx val="19"/>
              <c:layout>
                <c:manualLayout>
                  <c:x val="-1.3295143311980156E-3"/>
                  <c:y val="-4.1402713522016234E-1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F4E0-4B09-A180-D6B4E81A3E0F}"/>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Hoja1!$A$2:$A$21</c:f>
              <c:strCache>
                <c:ptCount val="20"/>
                <c:pt idx="0">
                  <c:v>Obligaciones </c:v>
                </c:pt>
                <c:pt idx="1">
                  <c:v>Economía</c:v>
                </c:pt>
                <c:pt idx="2">
                  <c:v>Secretarías</c:v>
                </c:pt>
                <c:pt idx="3">
                  <c:v>Cultura</c:v>
                </c:pt>
                <c:pt idx="4">
                  <c:v>Desarrollo</c:v>
                </c:pt>
                <c:pt idx="5">
                  <c:v>Agricultura</c:v>
                </c:pt>
                <c:pt idx="6">
                  <c:v>Energía</c:v>
                </c:pt>
                <c:pt idx="7">
                  <c:v>Presidencia</c:v>
                </c:pt>
                <c:pt idx="8">
                  <c:v>Defensa </c:v>
                </c:pt>
                <c:pt idx="9">
                  <c:v>Total</c:v>
                </c:pt>
                <c:pt idx="10">
                  <c:v>Finanzas</c:v>
                </c:pt>
                <c:pt idx="11">
                  <c:v>Comunicaciones</c:v>
                </c:pt>
                <c:pt idx="12">
                  <c:v>MINREX</c:v>
                </c:pt>
                <c:pt idx="13">
                  <c:v>Ambiente </c:v>
                </c:pt>
                <c:pt idx="14">
                  <c:v>Trabajo </c:v>
                </c:pt>
                <c:pt idx="15">
                  <c:v>Educación </c:v>
                </c:pt>
                <c:pt idx="16">
                  <c:v>Gobernación</c:v>
                </c:pt>
                <c:pt idx="17">
                  <c:v>Salud Pública </c:v>
                </c:pt>
                <c:pt idx="18">
                  <c:v>Deuda Pública</c:v>
                </c:pt>
                <c:pt idx="19">
                  <c:v>PGN</c:v>
                </c:pt>
              </c:strCache>
            </c:strRef>
          </c:cat>
          <c:val>
            <c:numRef>
              <c:f>Hoja1!$B$2:$B$21</c:f>
              <c:numCache>
                <c:formatCode>0.0</c:formatCode>
                <c:ptCount val="20"/>
                <c:pt idx="0">
                  <c:v>29.991958118745497</c:v>
                </c:pt>
                <c:pt idx="1">
                  <c:v>30.022783232265134</c:v>
                </c:pt>
                <c:pt idx="2">
                  <c:v>31.822475153204106</c:v>
                </c:pt>
                <c:pt idx="3">
                  <c:v>32.333960037280143</c:v>
                </c:pt>
                <c:pt idx="4">
                  <c:v>33.343657148780693</c:v>
                </c:pt>
                <c:pt idx="5">
                  <c:v>34.743320611037191</c:v>
                </c:pt>
                <c:pt idx="6">
                  <c:v>36.945640315378171</c:v>
                </c:pt>
                <c:pt idx="7">
                  <c:v>37.216609798927621</c:v>
                </c:pt>
                <c:pt idx="8">
                  <c:v>38.106688790256491</c:v>
                </c:pt>
                <c:pt idx="9">
                  <c:v>38.511876533591469</c:v>
                </c:pt>
                <c:pt idx="10">
                  <c:v>38.639442654684743</c:v>
                </c:pt>
                <c:pt idx="11">
                  <c:v>38.949070991445069</c:v>
                </c:pt>
                <c:pt idx="12">
                  <c:v>40.582557887944645</c:v>
                </c:pt>
                <c:pt idx="13">
                  <c:v>41.003737497044995</c:v>
                </c:pt>
                <c:pt idx="14">
                  <c:v>43.436447306430424</c:v>
                </c:pt>
                <c:pt idx="15">
                  <c:v>44.69471788200709</c:v>
                </c:pt>
                <c:pt idx="16">
                  <c:v>45.440019123825124</c:v>
                </c:pt>
                <c:pt idx="17">
                  <c:v>46.486397917342003</c:v>
                </c:pt>
                <c:pt idx="18">
                  <c:v>48.475862253165417</c:v>
                </c:pt>
                <c:pt idx="19">
                  <c:v>52.860430683257967</c:v>
                </c:pt>
              </c:numCache>
            </c:numRef>
          </c:val>
          <c:extLst xmlns:c16r2="http://schemas.microsoft.com/office/drawing/2015/06/chart">
            <c:ext xmlns:c16="http://schemas.microsoft.com/office/drawing/2014/chart" uri="{C3380CC4-5D6E-409C-BE32-E72D297353CC}">
              <c16:uniqueId val="{00000011-F4E0-4B09-A180-D6B4E81A3E0F}"/>
            </c:ext>
          </c:extLst>
        </c:ser>
        <c:dLbls>
          <c:showLegendKey val="0"/>
          <c:showVal val="0"/>
          <c:showCatName val="0"/>
          <c:showSerName val="0"/>
          <c:showPercent val="0"/>
          <c:showBubbleSize val="0"/>
        </c:dLbls>
        <c:gapWidth val="100"/>
        <c:axId val="89574016"/>
        <c:axId val="140403072"/>
      </c:barChart>
      <c:catAx>
        <c:axId val="895740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crossAx val="140403072"/>
        <c:crosses val="autoZero"/>
        <c:auto val="1"/>
        <c:lblAlgn val="ctr"/>
        <c:lblOffset val="100"/>
        <c:noMultiLvlLbl val="0"/>
      </c:catAx>
      <c:valAx>
        <c:axId val="140403072"/>
        <c:scaling>
          <c:orientation val="minMax"/>
          <c:max val="55"/>
          <c:min val="0"/>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crossAx val="89574016"/>
        <c:crosses val="autoZero"/>
        <c:crossBetween val="between"/>
        <c:majorUnit val="10"/>
        <c:minorUnit val="5"/>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es-E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9"/>
    </mc:Choice>
    <mc:Fallback>
      <c:style val="1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3611111111111117E-2"/>
          <c:y val="5.7870370370370371E-2"/>
          <c:w val="0.94166666666666654"/>
          <c:h val="0.8935185185185186"/>
        </c:manualLayout>
      </c:layout>
      <c:ofPieChart>
        <c:ofPieType val="bar"/>
        <c:varyColors val="1"/>
        <c:ser>
          <c:idx val="0"/>
          <c:order val="0"/>
          <c:dLbls>
            <c:dLbl>
              <c:idx val="0"/>
              <c:layout>
                <c:manualLayout>
                  <c:x val="4.5558086560364468E-2"/>
                  <c:y val="-1.524847855556517E-2"/>
                </c:manualLayout>
              </c:layout>
              <c:spPr/>
              <c:txPr>
                <a:bodyPr/>
                <a:lstStyle/>
                <a:p>
                  <a:pPr>
                    <a:defRPr sz="900" b="1">
                      <a:solidFill>
                        <a:schemeClr val="bg1"/>
                      </a:solidFill>
                    </a:defRPr>
                  </a:pPr>
                  <a:endParaRPr lang="es-ES"/>
                </a:p>
              </c:txPr>
              <c:showLegendKey val="0"/>
              <c:showVal val="1"/>
              <c:showCatName val="1"/>
              <c:showSerName val="0"/>
              <c:showPercent val="1"/>
              <c:showBubbleSize val="0"/>
              <c:extLst xmlns:c16r2="http://schemas.microsoft.com/office/drawing/2015/06/chart">
                <c:ext xmlns:c15="http://schemas.microsoft.com/office/drawing/2012/chart" uri="{CE6537A1-D6FC-4f65-9D91-7224C49458BB}">
                  <c15:layout>
                    <c:manualLayout>
                      <c:w val="0.25301275267698597"/>
                      <c:h val="0.35813504081220615"/>
                    </c:manualLayout>
                  </c15:layout>
                </c:ext>
                <c:ext xmlns:c16="http://schemas.microsoft.com/office/drawing/2014/chart" uri="{C3380CC4-5D6E-409C-BE32-E72D297353CC}">
                  <c16:uniqueId val="{00000000-B184-4973-984A-A5712E308239}"/>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184-4973-984A-A5712E308239}"/>
                </c:ext>
              </c:extLst>
            </c:dLbl>
            <c:dLbl>
              <c:idx val="2"/>
              <c:layout>
                <c:manualLayout>
                  <c:x val="-4.4335880874436712E-2"/>
                  <c:y val="-3.2456160053701728E-2"/>
                </c:manualLayout>
              </c:layout>
              <c:spPr/>
              <c:txPr>
                <a:bodyPr/>
                <a:lstStyle/>
                <a:p>
                  <a:pPr>
                    <a:defRPr sz="900" b="1"/>
                  </a:pPr>
                  <a:endParaRPr lang="es-ES"/>
                </a:p>
              </c:txPr>
              <c:showLegendKey val="0"/>
              <c:showVal val="1"/>
              <c:showCatName val="1"/>
              <c:showSerName val="0"/>
              <c:showPercent val="1"/>
              <c:showBubbleSize val="0"/>
              <c:extLst xmlns:c16r2="http://schemas.microsoft.com/office/drawing/2015/06/chart">
                <c:ext xmlns:c15="http://schemas.microsoft.com/office/drawing/2012/chart" uri="{CE6537A1-D6FC-4f65-9D91-7224C49458BB}">
                  <c15:layout>
                    <c:manualLayout>
                      <c:w val="0.32505407780747225"/>
                      <c:h val="0.29298895330391395"/>
                    </c:manualLayout>
                  </c15:layout>
                </c:ext>
                <c:ext xmlns:c16="http://schemas.microsoft.com/office/drawing/2014/chart" uri="{C3380CC4-5D6E-409C-BE32-E72D297353CC}">
                  <c16:uniqueId val="{00000002-B184-4973-984A-A5712E308239}"/>
                </c:ext>
              </c:extLst>
            </c:dLbl>
            <c:dLbl>
              <c:idx val="3"/>
              <c:layout>
                <c:manualLayout>
                  <c:x val="-3.0632970423116246E-2"/>
                  <c:y val="3.8655360387643854E-2"/>
                </c:manualLayout>
              </c:layout>
              <c:spPr>
                <a:noFill/>
                <a:ln>
                  <a:noFill/>
                </a:ln>
                <a:effectLst/>
              </c:spPr>
              <c:txPr>
                <a:bodyPr/>
                <a:lstStyle/>
                <a:p>
                  <a:pPr>
                    <a:defRPr sz="900" b="1"/>
                  </a:pPr>
                  <a:endParaRPr lang="es-ES"/>
                </a:p>
              </c:txPr>
              <c:showLegendKey val="0"/>
              <c:showVal val="1"/>
              <c:showCatName val="1"/>
              <c:showSerName val="0"/>
              <c:showPercent val="1"/>
              <c:showBubbleSize val="0"/>
              <c:extLst xmlns:c16r2="http://schemas.microsoft.com/office/drawing/2015/06/chart">
                <c:ext xmlns:c15="http://schemas.microsoft.com/office/drawing/2012/chart" uri="{CE6537A1-D6FC-4f65-9D91-7224C49458BB}">
                  <c15:layout>
                    <c:manualLayout>
                      <c:w val="0.25646584040320702"/>
                      <c:h val="0.19866805110899599"/>
                    </c:manualLayout>
                  </c15:layout>
                </c:ext>
                <c:ext xmlns:c16="http://schemas.microsoft.com/office/drawing/2014/chart" uri="{C3380CC4-5D6E-409C-BE32-E72D297353CC}">
                  <c16:uniqueId val="{00000003-B184-4973-984A-A5712E308239}"/>
                </c:ext>
              </c:extLst>
            </c:dLbl>
            <c:dLbl>
              <c:idx val="4"/>
              <c:layout>
                <c:manualLayout>
                  <c:x val="-0.28369845568848312"/>
                  <c:y val="1.6508321075250142E-2"/>
                </c:manualLayout>
              </c:layout>
              <c:tx>
                <c:rich>
                  <a:bodyPr/>
                  <a:lstStyle/>
                  <a:p>
                    <a:pPr>
                      <a:defRPr sz="900" b="1"/>
                    </a:pPr>
                    <a:r>
                      <a:rPr lang="en-US" sz="900" b="1"/>
                      <a:t>Colocado</a:t>
                    </a:r>
                    <a:r>
                      <a:rPr lang="en-US" sz="900" b="1" baseline="0"/>
                      <a:t>; </a:t>
                    </a:r>
                    <a:fld id="{B1725B05-51F7-4F5A-AE6D-1738DF120E59}" type="VALUE">
                      <a:rPr lang="en-US" sz="900" b="1" baseline="0"/>
                      <a:pPr>
                        <a:defRPr sz="900" b="1"/>
                      </a:pPr>
                      <a:t>[VALOR]</a:t>
                    </a:fld>
                    <a:r>
                      <a:rPr lang="en-US" sz="900" b="1" baseline="0"/>
                      <a:t>; </a:t>
                    </a:r>
                    <a:fld id="{4BB50BCE-B587-4D53-B6A5-0BF47E776F3A}" type="PERCENTAGE">
                      <a:rPr lang="en-US" sz="900" b="1" baseline="0"/>
                      <a:pPr>
                        <a:defRPr sz="900" b="1"/>
                      </a:pPr>
                      <a:t>[PORCENTAJE]</a:t>
                    </a:fld>
                    <a:endParaRPr lang="en-US" sz="900" b="1" baseline="0"/>
                  </a:p>
                </c:rich>
              </c:tx>
              <c:spPr>
                <a:noFill/>
                <a:ln>
                  <a:noFill/>
                </a:ln>
                <a:effectLst/>
              </c:spPr>
              <c:showLegendKey val="0"/>
              <c:showVal val="1"/>
              <c:showCatName val="1"/>
              <c:showSerName val="0"/>
              <c:showPercent val="1"/>
              <c:showBubbleSize val="0"/>
              <c:extLst xmlns:c16r2="http://schemas.microsoft.com/office/drawing/2015/06/chart">
                <c:ext xmlns:c15="http://schemas.microsoft.com/office/drawing/2012/chart" uri="{CE6537A1-D6FC-4f65-9D91-7224C49458BB}">
                  <c15:layout>
                    <c:manualLayout>
                      <c:w val="0.25512528473804102"/>
                      <c:h val="0.32512820512820512"/>
                    </c:manualLayout>
                  </c15:layout>
                  <c15:dlblFieldTable/>
                  <c15:showDataLabelsRange val="0"/>
                </c:ext>
                <c:ext xmlns:c16="http://schemas.microsoft.com/office/drawing/2014/chart" uri="{C3380CC4-5D6E-409C-BE32-E72D297353CC}">
                  <c16:uniqueId val="{00000004-B184-4973-984A-A5712E308239}"/>
                </c:ext>
              </c:extLst>
            </c:dLbl>
            <c:spPr>
              <a:noFill/>
              <a:ln>
                <a:noFill/>
              </a:ln>
              <a:effectLst/>
            </c:spPr>
            <c:txPr>
              <a:bodyPr wrap="square" lIns="38100" tIns="19050" rIns="38100" bIns="19050" anchor="ctr">
                <a:spAutoFit/>
              </a:bodyPr>
              <a:lstStyle/>
              <a:p>
                <a:pPr>
                  <a:defRPr sz="900"/>
                </a:pPr>
                <a:endParaRPr lang="es-ES"/>
              </a:p>
            </c:txPr>
            <c:showLegendKey val="0"/>
            <c:showVal val="1"/>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'Bonos Dash'!$Q$79:$Q$82</c:f>
              <c:strCache>
                <c:ptCount val="4"/>
                <c:pt idx="0">
                  <c:v>Por Colocar</c:v>
                </c:pt>
                <c:pt idx="1">
                  <c:v>Colocado</c:v>
                </c:pt>
                <c:pt idx="2">
                  <c:v>Nuevo Endeudamiento</c:v>
                </c:pt>
                <c:pt idx="3">
                  <c:v>Roll Over</c:v>
                </c:pt>
              </c:strCache>
            </c:strRef>
          </c:cat>
          <c:val>
            <c:numRef>
              <c:f>'Bonos Dash'!$R$79:$R$82</c:f>
              <c:numCache>
                <c:formatCode>General</c:formatCode>
                <c:ptCount val="4"/>
                <c:pt idx="0" formatCode="#,##0.0">
                  <c:v>11553.414000000001</c:v>
                </c:pt>
                <c:pt idx="2" formatCode="#,##0.0">
                  <c:v>11587.947999999999</c:v>
                </c:pt>
                <c:pt idx="3" formatCode="#,##0.0">
                  <c:v>1337.1079999999999</c:v>
                </c:pt>
              </c:numCache>
            </c:numRef>
          </c:val>
          <c:extLst xmlns:c16r2="http://schemas.microsoft.com/office/drawing/2015/06/chart">
            <c:ext xmlns:c16="http://schemas.microsoft.com/office/drawing/2014/chart" uri="{C3380CC4-5D6E-409C-BE32-E72D297353CC}">
              <c16:uniqueId val="{00000005-B184-4973-984A-A5712E308239}"/>
            </c:ext>
          </c:extLst>
        </c:ser>
        <c:dLbls>
          <c:showLegendKey val="0"/>
          <c:showVal val="0"/>
          <c:showCatName val="0"/>
          <c:showSerName val="0"/>
          <c:showPercent val="0"/>
          <c:showBubbleSize val="0"/>
          <c:showLeaderLines val="1"/>
        </c:dLbls>
        <c:gapWidth val="100"/>
        <c:splitType val="pos"/>
        <c:splitPos val="2"/>
        <c:secondPieSize val="75"/>
        <c:serLines/>
      </c:ofPieChart>
    </c:plotArea>
    <c:plotVisOnly val="1"/>
    <c:dispBlanksAs val="zero"/>
    <c:showDLblsOverMax val="0"/>
  </c:chart>
  <c:spPr>
    <a:solidFill>
      <a:schemeClr val="bg1"/>
    </a:solidFill>
    <a:ln>
      <a:noFill/>
    </a:ln>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s-E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488843047973636"/>
          <c:y val="1.9759260690094382E-2"/>
          <c:w val="0.87155221493945989"/>
          <c:h val="0.88952215049835981"/>
        </c:manualLayout>
      </c:layout>
      <c:barChart>
        <c:barDir val="col"/>
        <c:grouping val="clustered"/>
        <c:varyColors val="0"/>
        <c:ser>
          <c:idx val="1"/>
          <c:order val="0"/>
          <c:tx>
            <c:strRef>
              <c:f>Sheet1!$B$1</c:f>
              <c:strCache>
                <c:ptCount val="1"/>
                <c:pt idx="0">
                  <c:v>Ejecución</c:v>
                </c:pt>
              </c:strCache>
            </c:strRef>
          </c:tx>
          <c:spPr>
            <a:solidFill>
              <a:schemeClr val="accent3"/>
            </a:solidFill>
            <a:ln>
              <a:noFill/>
            </a:ln>
            <a:effectLst/>
            <a:scene3d>
              <a:camera prst="orthographicFront"/>
              <a:lightRig rig="threePt" dir="t"/>
            </a:scene3d>
            <a:sp3d>
              <a:bevelT w="165100" prst="coolSlant"/>
            </a:sp3d>
          </c:spPr>
          <c:invertIfNegative val="0"/>
          <c:dLbls>
            <c:dLbl>
              <c:idx val="2"/>
              <c:layout>
                <c:manualLayout>
                  <c:x val="4.2598509052182388E-3"/>
                  <c:y val="7.1831392697534434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B04-4F82-8E51-5FDBA88C42D8}"/>
                </c:ext>
              </c:extLst>
            </c:dLbl>
            <c:spPr>
              <a:noFill/>
              <a:ln>
                <a:noFill/>
              </a:ln>
              <a:effectLst/>
            </c:spPr>
            <c:txPr>
              <a:bodyPr rot="-5400000" spcFirstLastPara="1" vertOverflow="ellipsis" wrap="square" lIns="38100" tIns="19050" rIns="38100" bIns="19050" anchor="ctr" anchorCtr="1">
                <a:spAutoFit/>
              </a:bodyPr>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Sheet1!$A$2:$A$7</c:f>
              <c:strCache>
                <c:ptCount val="6"/>
                <c:pt idx="0">
                  <c:v>Enero</c:v>
                </c:pt>
                <c:pt idx="1">
                  <c:v>Febrero</c:v>
                </c:pt>
                <c:pt idx="2">
                  <c:v>Marzo</c:v>
                </c:pt>
                <c:pt idx="3">
                  <c:v>Abril </c:v>
                </c:pt>
                <c:pt idx="4">
                  <c:v>Mayo</c:v>
                </c:pt>
                <c:pt idx="5">
                  <c:v>Junio</c:v>
                </c:pt>
              </c:strCache>
            </c:strRef>
          </c:cat>
          <c:val>
            <c:numRef>
              <c:f>Sheet1!$B$2:$B$7</c:f>
              <c:numCache>
                <c:formatCode>#,##0.0</c:formatCode>
                <c:ptCount val="6"/>
                <c:pt idx="0">
                  <c:v>4.03</c:v>
                </c:pt>
                <c:pt idx="1">
                  <c:v>22.38</c:v>
                </c:pt>
                <c:pt idx="2">
                  <c:v>139.29</c:v>
                </c:pt>
                <c:pt idx="3">
                  <c:v>1010.3</c:v>
                </c:pt>
                <c:pt idx="4">
                  <c:v>1099.79</c:v>
                </c:pt>
                <c:pt idx="5">
                  <c:v>1218.47</c:v>
                </c:pt>
              </c:numCache>
            </c:numRef>
          </c:val>
          <c:extLst xmlns:c16r2="http://schemas.microsoft.com/office/drawing/2015/06/chart">
            <c:ext xmlns:c16="http://schemas.microsoft.com/office/drawing/2014/chart" uri="{C3380CC4-5D6E-409C-BE32-E72D297353CC}">
              <c16:uniqueId val="{00000001-5B04-4F82-8E51-5FDBA88C42D8}"/>
            </c:ext>
          </c:extLst>
        </c:ser>
        <c:dLbls>
          <c:showLegendKey val="0"/>
          <c:showVal val="0"/>
          <c:showCatName val="0"/>
          <c:showSerName val="0"/>
          <c:showPercent val="0"/>
          <c:showBubbleSize val="0"/>
        </c:dLbls>
        <c:gapWidth val="68"/>
        <c:axId val="185863552"/>
        <c:axId val="188376192"/>
      </c:barChart>
      <c:catAx>
        <c:axId val="18586355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crossAx val="188376192"/>
        <c:crosses val="autoZero"/>
        <c:auto val="1"/>
        <c:lblAlgn val="ctr"/>
        <c:lblOffset val="100"/>
        <c:noMultiLvlLbl val="0"/>
      </c:catAx>
      <c:valAx>
        <c:axId val="188376192"/>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crossAx val="185863552"/>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15363101976470195"/>
          <c:y val="9.8594305779345165E-2"/>
          <c:w val="0.40306809891575057"/>
          <c:h val="0.1871199799349405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chart>
  <c:spPr>
    <a:solidFill>
      <a:schemeClr val="lt1"/>
    </a:solidFill>
    <a:ln w="9525" cap="flat" cmpd="sng" algn="ctr">
      <a:no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es-ES"/>
    </a:p>
  </c:txPr>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F6317B-4B76-4CB2-9721-B1246A896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4100</Words>
  <Characters>22552</Characters>
  <Application>Microsoft Office Word</Application>
  <DocSecurity>0</DocSecurity>
  <Lines>187</Lines>
  <Paragraphs>53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26599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Saul Enrique De León Meneses</dc:creator>
  <cp:lastModifiedBy>René Augusto Castro González</cp:lastModifiedBy>
  <cp:revision>2</cp:revision>
  <cp:lastPrinted>2021-07-09T18:17:00Z</cp:lastPrinted>
  <dcterms:created xsi:type="dcterms:W3CDTF">2021-08-05T17:55:00Z</dcterms:created>
  <dcterms:modified xsi:type="dcterms:W3CDTF">2021-08-05T17:55:00Z</dcterms:modified>
</cp:coreProperties>
</file>