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1832D" w14:textId="77777777" w:rsidR="00C24781" w:rsidRPr="00867061" w:rsidRDefault="005419C5" w:rsidP="00013059">
      <w:pPr>
        <w:shd w:val="clear" w:color="auto" w:fill="44546A" w:themeFill="text2"/>
        <w:spacing w:after="0"/>
        <w:ind w:right="-376" w:hanging="426"/>
        <w:jc w:val="center"/>
        <w:rPr>
          <w:rFonts w:ascii="Times New Roman" w:hAnsi="Times New Roman" w:cs="Times New Roman"/>
          <w:b/>
          <w:color w:val="FFFFFF" w:themeColor="background1"/>
          <w:sz w:val="24"/>
        </w:rPr>
      </w:pPr>
      <w:r w:rsidRPr="00867061">
        <w:rPr>
          <w:rFonts w:ascii="Times New Roman" w:hAnsi="Times New Roman" w:cs="Times New Roman"/>
          <w:b/>
          <w:color w:val="FFFFFF" w:themeColor="background1"/>
          <w:sz w:val="24"/>
        </w:rPr>
        <w:t>Febrero continúa reportando superávit</w:t>
      </w:r>
      <w:r w:rsidR="00C24781" w:rsidRPr="00867061">
        <w:rPr>
          <w:rFonts w:ascii="Times New Roman" w:hAnsi="Times New Roman" w:cs="Times New Roman"/>
          <w:b/>
          <w:color w:val="FFFFFF" w:themeColor="background1"/>
          <w:sz w:val="24"/>
        </w:rPr>
        <w:t xml:space="preserve"> fiscal</w:t>
      </w:r>
    </w:p>
    <w:p w14:paraId="2AB21FD4" w14:textId="77777777" w:rsidR="00C24781" w:rsidRPr="0055536A" w:rsidRDefault="00C24781" w:rsidP="00960BE9">
      <w:pPr>
        <w:spacing w:after="0"/>
        <w:rPr>
          <w:rFonts w:ascii="Times New Roman" w:hAnsi="Times New Roman" w:cs="Times New Roman"/>
          <w:color w:val="FF0000"/>
          <w:sz w:val="24"/>
        </w:rPr>
      </w:pPr>
    </w:p>
    <w:p w14:paraId="0E7BD0A0" w14:textId="77777777" w:rsidR="00960BE9" w:rsidRPr="0055536A" w:rsidRDefault="00960BE9" w:rsidP="00960BE9">
      <w:pPr>
        <w:spacing w:after="0"/>
        <w:rPr>
          <w:rFonts w:ascii="Times New Roman" w:hAnsi="Times New Roman" w:cs="Times New Roman"/>
          <w:color w:val="FF0000"/>
          <w:sz w:val="18"/>
        </w:rPr>
        <w:sectPr w:rsidR="00960BE9" w:rsidRPr="0055536A">
          <w:headerReference w:type="default" r:id="rId7"/>
          <w:footerReference w:type="default" r:id="rId8"/>
          <w:pgSz w:w="12240" w:h="15840"/>
          <w:pgMar w:top="1417" w:right="1701" w:bottom="1417" w:left="1701" w:header="708" w:footer="708" w:gutter="0"/>
          <w:cols w:space="708"/>
          <w:docGrid w:linePitch="360"/>
        </w:sectPr>
      </w:pPr>
    </w:p>
    <w:p w14:paraId="3EFF3DFA" w14:textId="77777777" w:rsidR="00390C6B" w:rsidRPr="00390C6B" w:rsidRDefault="00390C6B" w:rsidP="00390C6B">
      <w:pPr>
        <w:pStyle w:val="Sinespaciado"/>
        <w:jc w:val="both"/>
        <w:rPr>
          <w:rFonts w:ascii="Times New Roman" w:hAnsi="Times New Roman" w:cs="Times New Roman"/>
          <w:lang w:val="es-MX"/>
        </w:rPr>
      </w:pPr>
      <w:r w:rsidRPr="00390C6B">
        <w:rPr>
          <w:rFonts w:ascii="Times New Roman" w:hAnsi="Times New Roman" w:cs="Times New Roman"/>
          <w:lang w:val="es-MX"/>
        </w:rPr>
        <w:t>El resultado presupuestario del gobierno central muestra un superávit fiscal que se sitúa al 28 de febrero de 2022 en Q526.2 millones. En los dos años anteriores en febrero también reportó superávit fiscal, mientras que en 2019 se reportó un leve déficit fiscal.</w:t>
      </w:r>
    </w:p>
    <w:p w14:paraId="60F96DF8" w14:textId="77777777" w:rsidR="00390C6B" w:rsidRPr="00390C6B" w:rsidRDefault="00390C6B" w:rsidP="00390C6B">
      <w:pPr>
        <w:pStyle w:val="Sinespaciado"/>
        <w:jc w:val="both"/>
        <w:rPr>
          <w:rFonts w:ascii="Times New Roman" w:hAnsi="Times New Roman" w:cs="Times New Roman"/>
          <w:lang w:val="es-MX"/>
        </w:rPr>
      </w:pPr>
    </w:p>
    <w:p w14:paraId="5BFCAE3D" w14:textId="77777777" w:rsidR="00390C6B" w:rsidRPr="00390C6B" w:rsidRDefault="00390C6B" w:rsidP="00390C6B">
      <w:pPr>
        <w:pStyle w:val="Sinespaciado"/>
        <w:jc w:val="both"/>
        <w:rPr>
          <w:rFonts w:ascii="Times New Roman" w:hAnsi="Times New Roman" w:cs="Times New Roman"/>
          <w:lang w:val="es-MX"/>
        </w:rPr>
      </w:pPr>
      <w:r w:rsidRPr="00390C6B">
        <w:rPr>
          <w:rFonts w:ascii="Times New Roman" w:hAnsi="Times New Roman" w:cs="Times New Roman"/>
          <w:lang w:val="es-MX"/>
        </w:rPr>
        <w:t>Lo anterior se explica en parte, por los ingresos tributarios que continúan con una buena dinámica, de esa cuenta la meta de recaudación fue superada por segundo mes consecutivo esto producto del comportamiento en los precios internacionales del petróleo que continúan en alza principalmente presionados por los eventos geopolíticos que iniciaron en la última semana de febrero, las medidas administrativas adoptadas por la SAT y porque la variante Ómicron y otras de COVID-19 no han mermado la reactivación económica.</w:t>
      </w:r>
    </w:p>
    <w:p w14:paraId="07B550A0" w14:textId="77777777" w:rsidR="00390C6B" w:rsidRDefault="00390C6B" w:rsidP="00390C6B">
      <w:pPr>
        <w:pStyle w:val="Sinespaciado"/>
        <w:jc w:val="both"/>
        <w:rPr>
          <w:rFonts w:ascii="Times New Roman" w:hAnsi="Times New Roman" w:cs="Times New Roman"/>
          <w:lang w:val="es-MX"/>
        </w:rPr>
      </w:pPr>
      <w:r>
        <w:rPr>
          <w:rFonts w:ascii="Times New Roman" w:hAnsi="Times New Roman" w:cs="Times New Roman"/>
          <w:lang w:val="es-MX"/>
        </w:rPr>
        <w:t xml:space="preserve"> </w:t>
      </w:r>
    </w:p>
    <w:p w14:paraId="51E2C445" w14:textId="77777777" w:rsidR="00390C6B" w:rsidRPr="00390C6B" w:rsidRDefault="00390C6B" w:rsidP="00390C6B">
      <w:pPr>
        <w:pStyle w:val="Sinespaciado"/>
        <w:jc w:val="both"/>
        <w:rPr>
          <w:rFonts w:ascii="Times New Roman" w:hAnsi="Times New Roman" w:cs="Times New Roman"/>
          <w:lang w:val="es-MX"/>
        </w:rPr>
      </w:pPr>
      <w:r w:rsidRPr="00390C6B">
        <w:rPr>
          <w:rFonts w:ascii="Times New Roman" w:hAnsi="Times New Roman" w:cs="Times New Roman"/>
          <w:lang w:val="es-MX"/>
        </w:rPr>
        <w:t xml:space="preserve">Por el lado del gasto público, existe una aceleración en la ejecución a febrero del 2022, se ve materializado el efecto de contar con un presupuesto aprobado por el Congreso de la República, lo cual facilita el manejo de la política fiscal. </w:t>
      </w:r>
    </w:p>
    <w:p w14:paraId="0390631C" w14:textId="77777777" w:rsidR="00390C6B" w:rsidRPr="00390C6B" w:rsidRDefault="00390C6B" w:rsidP="00390C6B">
      <w:pPr>
        <w:pStyle w:val="Sinespaciado"/>
        <w:jc w:val="both"/>
        <w:rPr>
          <w:rFonts w:ascii="Times New Roman" w:hAnsi="Times New Roman" w:cs="Times New Roman"/>
          <w:lang w:val="es-MX"/>
        </w:rPr>
      </w:pPr>
    </w:p>
    <w:p w14:paraId="5536ED0E" w14:textId="77777777" w:rsidR="00960BE9" w:rsidRPr="00390C6B" w:rsidRDefault="00390C6B" w:rsidP="00390C6B">
      <w:pPr>
        <w:pStyle w:val="Sinespaciado"/>
        <w:jc w:val="both"/>
        <w:rPr>
          <w:rFonts w:ascii="Times New Roman" w:hAnsi="Times New Roman" w:cs="Times New Roman"/>
          <w:lang w:val="es-MX"/>
        </w:rPr>
      </w:pPr>
      <w:r w:rsidRPr="00390C6B">
        <w:rPr>
          <w:rFonts w:ascii="Times New Roman" w:hAnsi="Times New Roman" w:cs="Times New Roman"/>
          <w:lang w:val="es-MX"/>
        </w:rPr>
        <w:t>En el próximo mes se podría ver diluido el superávit fiscal como resultado de un mayor dinamismo en el gasto público, aunque los impuestos también se espera que tengan un repunte por la liquidación anual del ISR. De momento, la perspectiva de déficit fiscal es que como máximo se ubique en torno al 2.8% del PIB, como se estima en el presupuesto aprobado.</w:t>
      </w:r>
    </w:p>
    <w:p w14:paraId="373121A8" w14:textId="77777777" w:rsidR="00960BE9" w:rsidRPr="0055536A" w:rsidRDefault="00960BE9" w:rsidP="00960BE9">
      <w:pPr>
        <w:pStyle w:val="Sinespaciado"/>
        <w:jc w:val="both"/>
        <w:rPr>
          <w:rFonts w:ascii="Times New Roman" w:hAnsi="Times New Roman" w:cs="Times New Roman"/>
          <w:color w:val="FF0000"/>
          <w:lang w:val="es-MX"/>
        </w:rPr>
        <w:sectPr w:rsidR="00960BE9" w:rsidRPr="0055536A" w:rsidSect="00C24781">
          <w:type w:val="continuous"/>
          <w:pgSz w:w="12240" w:h="15840"/>
          <w:pgMar w:top="1417" w:right="1701" w:bottom="1417" w:left="1701" w:header="708" w:footer="708" w:gutter="0"/>
          <w:cols w:num="2" w:space="708"/>
          <w:docGrid w:linePitch="360"/>
        </w:sectPr>
      </w:pPr>
    </w:p>
    <w:p w14:paraId="72E4EF43" w14:textId="77777777" w:rsidR="00960BE9" w:rsidRPr="00390C6B" w:rsidRDefault="00960BE9" w:rsidP="00960BE9">
      <w:pPr>
        <w:spacing w:after="0"/>
        <w:rPr>
          <w:rFonts w:ascii="Times New Roman" w:hAnsi="Times New Roman" w:cs="Times New Roman"/>
          <w:sz w:val="18"/>
        </w:rPr>
        <w:sectPr w:rsidR="00960BE9" w:rsidRPr="00390C6B" w:rsidSect="00960BE9">
          <w:headerReference w:type="default" r:id="rId9"/>
          <w:footerReference w:type="default" r:id="rId10"/>
          <w:type w:val="continuous"/>
          <w:pgSz w:w="12240" w:h="15840"/>
          <w:pgMar w:top="1417" w:right="1701" w:bottom="1417" w:left="1701" w:header="708" w:footer="708" w:gutter="0"/>
          <w:cols w:space="708"/>
          <w:docGrid w:linePitch="360"/>
        </w:sectPr>
      </w:pPr>
      <w:r w:rsidRPr="0055536A">
        <w:rPr>
          <w:rFonts w:ascii="Times New Roman" w:hAnsi="Times New Roman" w:cs="Times New Roman"/>
          <w:color w:val="FF0000"/>
          <w:lang w:val="es-MX"/>
        </w:rPr>
        <w:t xml:space="preserve"> </w:t>
      </w:r>
    </w:p>
    <w:p w14:paraId="53BBD73F" w14:textId="77777777" w:rsidR="00C66E5B" w:rsidRPr="00390C6B" w:rsidRDefault="00960BE9" w:rsidP="00960BE9">
      <w:pPr>
        <w:pStyle w:val="Sinespaciado"/>
        <w:jc w:val="center"/>
        <w:rPr>
          <w:rFonts w:ascii="Times New Roman" w:hAnsi="Times New Roman" w:cs="Times New Roman"/>
          <w:b/>
          <w:sz w:val="24"/>
          <w:lang w:val="es-MX"/>
        </w:rPr>
      </w:pPr>
      <w:r w:rsidRPr="00390C6B">
        <w:rPr>
          <w:rFonts w:ascii="Times New Roman" w:hAnsi="Times New Roman" w:cs="Times New Roman"/>
          <w:b/>
          <w:sz w:val="24"/>
          <w:lang w:val="es-MX"/>
        </w:rPr>
        <w:t>Resultado Presupuestario</w:t>
      </w:r>
    </w:p>
    <w:p w14:paraId="683D7A1B" w14:textId="77777777" w:rsidR="00960BE9" w:rsidRPr="00243C9E" w:rsidRDefault="00960BE9" w:rsidP="00960BE9">
      <w:pPr>
        <w:pStyle w:val="Sinespaciado"/>
        <w:jc w:val="center"/>
        <w:rPr>
          <w:rFonts w:ascii="Times New Roman" w:hAnsi="Times New Roman" w:cs="Times New Roman"/>
          <w:sz w:val="18"/>
          <w:szCs w:val="18"/>
          <w:lang w:val="es-MX"/>
        </w:rPr>
      </w:pPr>
      <w:r w:rsidRPr="00243C9E">
        <w:rPr>
          <w:rFonts w:ascii="Times New Roman" w:hAnsi="Times New Roman" w:cs="Times New Roman"/>
          <w:sz w:val="18"/>
          <w:szCs w:val="18"/>
          <w:lang w:val="es-MX"/>
        </w:rPr>
        <w:t>Cifras en millones de quetzales</w:t>
      </w:r>
    </w:p>
    <w:p w14:paraId="19823F11" w14:textId="77777777" w:rsidR="00960BE9" w:rsidRPr="00243C9E" w:rsidRDefault="00960BE9" w:rsidP="00960BE9">
      <w:pPr>
        <w:pStyle w:val="Sinespaciado"/>
        <w:jc w:val="center"/>
        <w:rPr>
          <w:rFonts w:ascii="Times New Roman" w:hAnsi="Times New Roman" w:cs="Times New Roman"/>
          <w:sz w:val="18"/>
          <w:szCs w:val="18"/>
          <w:lang w:val="es-MX"/>
        </w:rPr>
      </w:pPr>
      <w:r w:rsidRPr="00243C9E">
        <w:rPr>
          <w:rFonts w:ascii="Times New Roman" w:hAnsi="Times New Roman" w:cs="Times New Roman"/>
          <w:sz w:val="18"/>
          <w:szCs w:val="18"/>
          <w:lang w:val="es-MX"/>
        </w:rPr>
        <w:t>Al</w:t>
      </w:r>
      <w:r w:rsidR="00B87B86" w:rsidRPr="00243C9E">
        <w:rPr>
          <w:rFonts w:ascii="Times New Roman" w:hAnsi="Times New Roman" w:cs="Times New Roman"/>
          <w:sz w:val="18"/>
          <w:szCs w:val="18"/>
          <w:lang w:val="es-MX"/>
        </w:rPr>
        <w:t xml:space="preserve"> 28</w:t>
      </w:r>
      <w:r w:rsidRPr="00243C9E">
        <w:rPr>
          <w:rFonts w:ascii="Times New Roman" w:hAnsi="Times New Roman" w:cs="Times New Roman"/>
          <w:sz w:val="18"/>
          <w:szCs w:val="18"/>
          <w:lang w:val="es-MX"/>
        </w:rPr>
        <w:t xml:space="preserve"> de </w:t>
      </w:r>
      <w:r w:rsidR="00B87B86" w:rsidRPr="00243C9E">
        <w:rPr>
          <w:rFonts w:ascii="Times New Roman" w:hAnsi="Times New Roman" w:cs="Times New Roman"/>
          <w:sz w:val="18"/>
          <w:szCs w:val="18"/>
          <w:lang w:val="es-MX"/>
        </w:rPr>
        <w:t>febr</w:t>
      </w:r>
      <w:r w:rsidRPr="00243C9E">
        <w:rPr>
          <w:rFonts w:ascii="Times New Roman" w:hAnsi="Times New Roman" w:cs="Times New Roman"/>
          <w:sz w:val="18"/>
          <w:szCs w:val="18"/>
          <w:lang w:val="es-MX"/>
        </w:rPr>
        <w:t>ero de cada año</w:t>
      </w:r>
    </w:p>
    <w:p w14:paraId="34BA402D" w14:textId="77777777" w:rsidR="00960BE9" w:rsidRPr="0055536A" w:rsidRDefault="00390C6B" w:rsidP="00960BE9">
      <w:pPr>
        <w:pStyle w:val="Sinespaciado"/>
        <w:jc w:val="center"/>
        <w:rPr>
          <w:rFonts w:ascii="Times New Roman" w:hAnsi="Times New Roman" w:cs="Times New Roman"/>
          <w:color w:val="FF0000"/>
          <w:lang w:val="es-MX"/>
        </w:rPr>
      </w:pPr>
      <w:r>
        <w:rPr>
          <w:noProof/>
          <w:lang w:eastAsia="es-GT"/>
        </w:rPr>
        <w:drawing>
          <wp:inline distT="0" distB="0" distL="0" distR="0" wp14:anchorId="631BC3E8" wp14:editId="3B377E69">
            <wp:extent cx="5612130" cy="2462080"/>
            <wp:effectExtent l="0" t="0" r="7620" b="0"/>
            <wp:docPr id="7" name="Chart 7">
              <a:extLst xmlns:a="http://schemas.openxmlformats.org/drawingml/2006/main">
                <a:ext uri="{FF2B5EF4-FFF2-40B4-BE49-F238E27FC236}">
                  <a16:creationId xmlns:a16="http://schemas.microsoft.com/office/drawing/2014/main" id="{00000000-0008-0000-0E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83CBF62" w14:textId="77777777" w:rsidR="00960BE9" w:rsidRPr="00390C6B" w:rsidRDefault="00960BE9" w:rsidP="00960BE9">
      <w:pPr>
        <w:pStyle w:val="Sinespaciado"/>
        <w:rPr>
          <w:rFonts w:ascii="Times New Roman" w:hAnsi="Times New Roman" w:cs="Times New Roman"/>
          <w:sz w:val="16"/>
          <w:szCs w:val="16"/>
          <w:lang w:val="es-MX"/>
        </w:rPr>
      </w:pPr>
      <w:r w:rsidRPr="00390C6B">
        <w:rPr>
          <w:rFonts w:ascii="Times New Roman" w:hAnsi="Times New Roman" w:cs="Times New Roman"/>
          <w:sz w:val="16"/>
          <w:szCs w:val="16"/>
          <w:lang w:val="es-MX"/>
        </w:rPr>
        <w:t>Fuente: Dirección de Análisis y Política Fiscal.</w:t>
      </w:r>
    </w:p>
    <w:p w14:paraId="7D8705EA" w14:textId="77777777" w:rsidR="00960BE9" w:rsidRPr="0055536A" w:rsidRDefault="00960BE9" w:rsidP="00960BE9">
      <w:pPr>
        <w:pStyle w:val="Sinespaciado"/>
        <w:rPr>
          <w:rFonts w:ascii="Times New Roman" w:hAnsi="Times New Roman" w:cs="Times New Roman"/>
          <w:color w:val="FF0000"/>
          <w:sz w:val="20"/>
          <w:szCs w:val="18"/>
          <w:lang w:val="es-MX"/>
        </w:rPr>
      </w:pPr>
    </w:p>
    <w:p w14:paraId="3FFAD0C1" w14:textId="77777777" w:rsidR="00960BE9" w:rsidRPr="009400B1" w:rsidRDefault="002C0967"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9400B1">
        <w:rPr>
          <w:rFonts w:ascii="Times New Roman" w:hAnsi="Times New Roman" w:cs="Times New Roman"/>
          <w:b/>
          <w:color w:val="FFFFFF" w:themeColor="background1"/>
          <w:sz w:val="24"/>
          <w:szCs w:val="24"/>
          <w:lang w:val="es-MX"/>
        </w:rPr>
        <w:t>L</w:t>
      </w:r>
      <w:r w:rsidR="00960BE9" w:rsidRPr="009400B1">
        <w:rPr>
          <w:rFonts w:ascii="Times New Roman" w:hAnsi="Times New Roman" w:cs="Times New Roman"/>
          <w:b/>
          <w:color w:val="FFFFFF" w:themeColor="background1"/>
          <w:sz w:val="24"/>
          <w:szCs w:val="24"/>
          <w:lang w:val="es-MX"/>
        </w:rPr>
        <w:t>a dinámica positiva en la recaudación tributaria</w:t>
      </w:r>
      <w:r w:rsidRPr="009400B1">
        <w:rPr>
          <w:rFonts w:ascii="Times New Roman" w:hAnsi="Times New Roman" w:cs="Times New Roman"/>
          <w:b/>
          <w:color w:val="FFFFFF" w:themeColor="background1"/>
          <w:sz w:val="24"/>
          <w:szCs w:val="24"/>
          <w:lang w:val="es-MX"/>
        </w:rPr>
        <w:t xml:space="preserve"> asociada al comercio se mantiene</w:t>
      </w:r>
    </w:p>
    <w:p w14:paraId="14274193" w14:textId="77777777" w:rsidR="00960BE9" w:rsidRPr="0055536A" w:rsidRDefault="00960BE9" w:rsidP="00960BE9">
      <w:pPr>
        <w:pStyle w:val="Sinespaciado"/>
        <w:rPr>
          <w:rFonts w:ascii="Times New Roman" w:hAnsi="Times New Roman" w:cs="Times New Roman"/>
          <w:color w:val="FF0000"/>
          <w:sz w:val="18"/>
          <w:szCs w:val="18"/>
          <w:lang w:val="es-MX"/>
        </w:rPr>
      </w:pPr>
    </w:p>
    <w:p w14:paraId="410B667D" w14:textId="77777777" w:rsidR="00960BE9" w:rsidRPr="0055536A" w:rsidRDefault="00960BE9" w:rsidP="00960BE9">
      <w:pPr>
        <w:spacing w:after="0"/>
        <w:rPr>
          <w:rFonts w:ascii="Times New Roman" w:hAnsi="Times New Roman" w:cs="Times New Roman"/>
          <w:color w:val="FF0000"/>
          <w:sz w:val="24"/>
        </w:rPr>
        <w:sectPr w:rsidR="00960BE9" w:rsidRPr="0055536A" w:rsidSect="00960BE9">
          <w:headerReference w:type="default" r:id="rId12"/>
          <w:footerReference w:type="default" r:id="rId13"/>
          <w:type w:val="continuous"/>
          <w:pgSz w:w="12240" w:h="15840"/>
          <w:pgMar w:top="1417" w:right="1701" w:bottom="1417" w:left="1701" w:header="708" w:footer="708" w:gutter="0"/>
          <w:cols w:space="708"/>
          <w:docGrid w:linePitch="360"/>
        </w:sectPr>
      </w:pPr>
    </w:p>
    <w:p w14:paraId="6D67AB30" w14:textId="77777777" w:rsidR="00612263" w:rsidRDefault="00612263" w:rsidP="00612263">
      <w:pPr>
        <w:spacing w:after="0" w:line="240" w:lineRule="auto"/>
        <w:jc w:val="both"/>
        <w:rPr>
          <w:rFonts w:ascii="Times New Roman" w:hAnsi="Times New Roman" w:cs="Times New Roman"/>
        </w:rPr>
      </w:pPr>
      <w:r w:rsidRPr="007551B2">
        <w:rPr>
          <w:rFonts w:ascii="Times New Roman" w:hAnsi="Times New Roman" w:cs="Times New Roman"/>
        </w:rPr>
        <w:t xml:space="preserve">En </w:t>
      </w:r>
      <w:r>
        <w:rPr>
          <w:rFonts w:ascii="Times New Roman" w:hAnsi="Times New Roman" w:cs="Times New Roman"/>
        </w:rPr>
        <w:t>febrero</w:t>
      </w:r>
      <w:r w:rsidRPr="007551B2">
        <w:rPr>
          <w:rFonts w:ascii="Times New Roman" w:hAnsi="Times New Roman" w:cs="Times New Roman"/>
        </w:rPr>
        <w:t xml:space="preserve"> se recaudaron Q</w:t>
      </w:r>
      <w:r>
        <w:rPr>
          <w:rFonts w:ascii="Times New Roman" w:hAnsi="Times New Roman" w:cs="Times New Roman"/>
        </w:rPr>
        <w:t xml:space="preserve">5,224.5 </w:t>
      </w:r>
      <w:r w:rsidRPr="007551B2">
        <w:rPr>
          <w:rFonts w:ascii="Times New Roman" w:hAnsi="Times New Roman" w:cs="Times New Roman"/>
        </w:rPr>
        <w:t>millones, superior a lo establecido en la meta de presupuesto fijada en Q</w:t>
      </w:r>
      <w:r>
        <w:rPr>
          <w:rFonts w:ascii="Times New Roman" w:hAnsi="Times New Roman" w:cs="Times New Roman"/>
        </w:rPr>
        <w:t xml:space="preserve">4,720.3 </w:t>
      </w:r>
      <w:r w:rsidRPr="007551B2">
        <w:rPr>
          <w:rFonts w:ascii="Times New Roman" w:hAnsi="Times New Roman" w:cs="Times New Roman"/>
        </w:rPr>
        <w:t>millones</w:t>
      </w:r>
      <w:r>
        <w:rPr>
          <w:rFonts w:ascii="Times New Roman" w:hAnsi="Times New Roman" w:cs="Times New Roman"/>
        </w:rPr>
        <w:t xml:space="preserve">, resaltando en ese sentido el hecho que la meta para el presente año fiscal ya responde a una actualización de las condiciones, económicas </w:t>
      </w:r>
      <w:r>
        <w:rPr>
          <w:rFonts w:ascii="Times New Roman" w:hAnsi="Times New Roman" w:cs="Times New Roman"/>
        </w:rPr>
        <w:t>especialmente, sobre las cuales se esperan se desarrolle el sistema tributario durante 2022.</w:t>
      </w:r>
    </w:p>
    <w:p w14:paraId="3D1F5237" w14:textId="77777777" w:rsidR="00960BE9" w:rsidRPr="0055536A" w:rsidRDefault="00612263" w:rsidP="00612263">
      <w:pPr>
        <w:spacing w:after="0" w:line="240" w:lineRule="auto"/>
        <w:jc w:val="both"/>
        <w:rPr>
          <w:rFonts w:ascii="Times New Roman" w:hAnsi="Times New Roman" w:cs="Times New Roman"/>
          <w:b/>
          <w:color w:val="FF0000"/>
        </w:rPr>
      </w:pPr>
      <w:r w:rsidRPr="007551B2">
        <w:rPr>
          <w:rFonts w:ascii="Times New Roman" w:hAnsi="Times New Roman" w:cs="Times New Roman"/>
        </w:rPr>
        <w:t xml:space="preserve">Impuestos que contribuyeron en mayor cuantía para generar la brecha positiva </w:t>
      </w:r>
      <w:r>
        <w:rPr>
          <w:rFonts w:ascii="Times New Roman" w:hAnsi="Times New Roman" w:cs="Times New Roman"/>
        </w:rPr>
        <w:t xml:space="preserve">acumulada </w:t>
      </w:r>
      <w:r w:rsidRPr="007551B2">
        <w:rPr>
          <w:rFonts w:ascii="Times New Roman" w:hAnsi="Times New Roman" w:cs="Times New Roman"/>
        </w:rPr>
        <w:t>de Q</w:t>
      </w:r>
      <w:r>
        <w:rPr>
          <w:rFonts w:ascii="Times New Roman" w:hAnsi="Times New Roman" w:cs="Times New Roman"/>
        </w:rPr>
        <w:t>1,047.7 m</w:t>
      </w:r>
      <w:r w:rsidRPr="007551B2">
        <w:rPr>
          <w:rFonts w:ascii="Times New Roman" w:hAnsi="Times New Roman" w:cs="Times New Roman"/>
        </w:rPr>
        <w:t xml:space="preserve">illones </w:t>
      </w:r>
      <w:r>
        <w:rPr>
          <w:rFonts w:ascii="Times New Roman" w:hAnsi="Times New Roman" w:cs="Times New Roman"/>
        </w:rPr>
        <w:t xml:space="preserve">respecto a la meta de presupuesto </w:t>
      </w:r>
      <w:r w:rsidRPr="007551B2">
        <w:rPr>
          <w:rFonts w:ascii="Times New Roman" w:hAnsi="Times New Roman" w:cs="Times New Roman"/>
        </w:rPr>
        <w:t>son: el ISR, IVA</w:t>
      </w:r>
      <w:r>
        <w:rPr>
          <w:rFonts w:ascii="Times New Roman" w:hAnsi="Times New Roman" w:cs="Times New Roman"/>
        </w:rPr>
        <w:t xml:space="preserve"> total, </w:t>
      </w:r>
      <w:r w:rsidRPr="007551B2">
        <w:rPr>
          <w:rFonts w:ascii="Times New Roman" w:hAnsi="Times New Roman" w:cs="Times New Roman"/>
        </w:rPr>
        <w:t>DAI</w:t>
      </w:r>
      <w:r>
        <w:rPr>
          <w:rFonts w:ascii="Times New Roman" w:hAnsi="Times New Roman" w:cs="Times New Roman"/>
        </w:rPr>
        <w:t xml:space="preserve">, los derivados del petróleo, el de </w:t>
      </w:r>
      <w:r>
        <w:rPr>
          <w:rFonts w:ascii="Times New Roman" w:hAnsi="Times New Roman" w:cs="Times New Roman"/>
        </w:rPr>
        <w:lastRenderedPageBreak/>
        <w:t xml:space="preserve">Circulación de Vehículos, el IPRIMA, </w:t>
      </w:r>
      <w:r w:rsidRPr="007551B2">
        <w:rPr>
          <w:rFonts w:ascii="Times New Roman" w:hAnsi="Times New Roman" w:cs="Times New Roman"/>
        </w:rPr>
        <w:t xml:space="preserve">principalmente.  Impuestos que </w:t>
      </w:r>
      <w:r>
        <w:rPr>
          <w:rFonts w:ascii="Times New Roman" w:hAnsi="Times New Roman" w:cs="Times New Roman"/>
        </w:rPr>
        <w:t>generan brecha negativa</w:t>
      </w:r>
      <w:r w:rsidRPr="007551B2">
        <w:rPr>
          <w:rFonts w:ascii="Times New Roman" w:hAnsi="Times New Roman" w:cs="Times New Roman"/>
        </w:rPr>
        <w:t xml:space="preserve">: </w:t>
      </w:r>
      <w:r>
        <w:rPr>
          <w:rFonts w:ascii="Times New Roman" w:hAnsi="Times New Roman" w:cs="Times New Roman"/>
        </w:rPr>
        <w:t>ISO, Timbres Fiscales y</w:t>
      </w:r>
      <w:r w:rsidRPr="007551B2">
        <w:rPr>
          <w:rFonts w:ascii="Times New Roman" w:hAnsi="Times New Roman" w:cs="Times New Roman"/>
        </w:rPr>
        <w:t xml:space="preserve"> </w:t>
      </w:r>
      <w:r>
        <w:rPr>
          <w:rFonts w:ascii="Times New Roman" w:hAnsi="Times New Roman" w:cs="Times New Roman"/>
        </w:rPr>
        <w:t>Tabacos.</w:t>
      </w:r>
    </w:p>
    <w:p w14:paraId="75A1D288" w14:textId="77777777" w:rsidR="00371E68" w:rsidRPr="0055536A" w:rsidRDefault="00371E68" w:rsidP="00960BE9">
      <w:pPr>
        <w:spacing w:after="0" w:line="240" w:lineRule="auto"/>
        <w:jc w:val="both"/>
        <w:rPr>
          <w:rFonts w:ascii="Times New Roman" w:hAnsi="Times New Roman" w:cs="Times New Roman"/>
          <w:b/>
          <w:color w:val="FF0000"/>
        </w:rPr>
      </w:pPr>
    </w:p>
    <w:p w14:paraId="5C16A158" w14:textId="77777777" w:rsidR="00960BE9" w:rsidRPr="00612263" w:rsidRDefault="00960BE9" w:rsidP="0094241B">
      <w:pPr>
        <w:spacing w:after="0" w:line="240" w:lineRule="auto"/>
        <w:jc w:val="center"/>
        <w:rPr>
          <w:rFonts w:ascii="Times New Roman" w:hAnsi="Times New Roman" w:cs="Times New Roman"/>
          <w:b/>
          <w:sz w:val="24"/>
        </w:rPr>
      </w:pPr>
      <w:r w:rsidRPr="00612263">
        <w:rPr>
          <w:rFonts w:ascii="Times New Roman" w:hAnsi="Times New Roman" w:cs="Times New Roman"/>
          <w:b/>
          <w:sz w:val="24"/>
        </w:rPr>
        <w:t>Brecha mensual de recaudación respecto a presupuesto</w:t>
      </w:r>
    </w:p>
    <w:p w14:paraId="6B388335" w14:textId="77777777" w:rsidR="00960BE9" w:rsidRPr="00612263" w:rsidRDefault="00960BE9" w:rsidP="00960BE9">
      <w:pPr>
        <w:spacing w:after="0" w:line="240" w:lineRule="auto"/>
        <w:jc w:val="center"/>
        <w:rPr>
          <w:rFonts w:ascii="Times New Roman" w:hAnsi="Times New Roman" w:cs="Times New Roman"/>
          <w:bCs/>
          <w:szCs w:val="20"/>
        </w:rPr>
      </w:pPr>
      <w:r w:rsidRPr="00612263">
        <w:rPr>
          <w:rFonts w:ascii="Times New Roman" w:hAnsi="Times New Roman" w:cs="Times New Roman"/>
          <w:bCs/>
          <w:szCs w:val="20"/>
        </w:rPr>
        <w:t>En millones de quetzales</w:t>
      </w:r>
    </w:p>
    <w:p w14:paraId="720E8B13" w14:textId="77777777" w:rsidR="00960BE9" w:rsidRPr="00612263" w:rsidRDefault="00612263" w:rsidP="00960BE9">
      <w:pPr>
        <w:spacing w:after="0" w:line="240" w:lineRule="auto"/>
        <w:jc w:val="both"/>
        <w:rPr>
          <w:rFonts w:ascii="Times New Roman" w:hAnsi="Times New Roman" w:cs="Times New Roman"/>
        </w:rPr>
      </w:pPr>
      <w:r w:rsidRPr="00612263">
        <w:rPr>
          <w:rFonts w:ascii="Times New Roman" w:hAnsi="Times New Roman" w:cs="Times New Roman"/>
          <w:noProof/>
          <w:shd w:val="clear" w:color="auto" w:fill="FF0000"/>
          <w:lang w:eastAsia="es-GT"/>
        </w:rPr>
        <w:drawing>
          <wp:inline distT="0" distB="0" distL="0" distR="0" wp14:anchorId="5AF967E5" wp14:editId="2D13AFA8">
            <wp:extent cx="2581275" cy="1689899"/>
            <wp:effectExtent l="0" t="0" r="0" b="5715"/>
            <wp:docPr id="227" name="Gráfico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FA5DCD" w14:textId="77777777" w:rsidR="00960BE9" w:rsidRPr="00612263" w:rsidRDefault="00960BE9" w:rsidP="00960BE9">
      <w:pPr>
        <w:spacing w:after="0" w:line="240" w:lineRule="auto"/>
        <w:jc w:val="both"/>
        <w:rPr>
          <w:rFonts w:ascii="Times New Roman" w:hAnsi="Times New Roman" w:cs="Times New Roman"/>
          <w:sz w:val="24"/>
        </w:rPr>
      </w:pPr>
      <w:r w:rsidRPr="00612263">
        <w:rPr>
          <w:rFonts w:ascii="Times New Roman" w:hAnsi="Times New Roman" w:cs="Times New Roman"/>
          <w:sz w:val="18"/>
        </w:rPr>
        <w:t>Fuente: Ministerio de Finanzas Públicas.</w:t>
      </w:r>
    </w:p>
    <w:p w14:paraId="49ED4BBA" w14:textId="77777777" w:rsidR="00960BE9" w:rsidRPr="0055536A" w:rsidRDefault="00960BE9" w:rsidP="00960BE9">
      <w:pPr>
        <w:spacing w:after="0" w:line="240" w:lineRule="auto"/>
        <w:jc w:val="both"/>
        <w:rPr>
          <w:rFonts w:ascii="Times New Roman" w:hAnsi="Times New Roman" w:cs="Times New Roman"/>
          <w:color w:val="FF0000"/>
        </w:rPr>
      </w:pPr>
    </w:p>
    <w:p w14:paraId="2F7EF8A3" w14:textId="77777777" w:rsidR="00960BE9" w:rsidRPr="008C352D" w:rsidRDefault="008C352D" w:rsidP="00960BE9">
      <w:pPr>
        <w:spacing w:after="0" w:line="240" w:lineRule="auto"/>
        <w:jc w:val="both"/>
        <w:rPr>
          <w:rFonts w:ascii="Times New Roman" w:hAnsi="Times New Roman" w:cs="Times New Roman"/>
        </w:rPr>
      </w:pPr>
      <w:r>
        <w:rPr>
          <w:rFonts w:ascii="Times New Roman" w:hAnsi="Times New Roman" w:cs="Times New Roman"/>
        </w:rPr>
        <w:t xml:space="preserve">Las expectativas para este ejercicio 2022 respecto al esfuerzo de la SAT se mantienen constantes promoviendo reducir las brechas de incumplimiento, por lo que se espera se alcancen Q76,314.9 millones, que </w:t>
      </w:r>
      <w:r w:rsidRPr="008C352D">
        <w:rPr>
          <w:rFonts w:ascii="Times New Roman" w:hAnsi="Times New Roman" w:cs="Times New Roman"/>
        </w:rPr>
        <w:t>corresponden a la meta establecida en el presupuesto.</w:t>
      </w:r>
    </w:p>
    <w:p w14:paraId="3515456E" w14:textId="77777777" w:rsidR="008C352D" w:rsidRPr="008C352D" w:rsidRDefault="008C352D" w:rsidP="00960BE9">
      <w:pPr>
        <w:spacing w:after="0" w:line="240" w:lineRule="auto"/>
        <w:jc w:val="both"/>
        <w:rPr>
          <w:rFonts w:ascii="Times New Roman" w:hAnsi="Times New Roman" w:cs="Times New Roman"/>
        </w:rPr>
      </w:pPr>
    </w:p>
    <w:p w14:paraId="0C1559FE" w14:textId="77777777" w:rsidR="00960BE9" w:rsidRPr="008C352D" w:rsidRDefault="00960BE9" w:rsidP="00960BE9">
      <w:pPr>
        <w:spacing w:after="0" w:line="240" w:lineRule="auto"/>
        <w:jc w:val="center"/>
        <w:rPr>
          <w:rFonts w:ascii="Times New Roman" w:hAnsi="Times New Roman" w:cs="Times New Roman"/>
          <w:b/>
          <w:sz w:val="24"/>
        </w:rPr>
      </w:pPr>
      <w:r w:rsidRPr="008C352D">
        <w:rPr>
          <w:rFonts w:ascii="Times New Roman" w:hAnsi="Times New Roman" w:cs="Times New Roman"/>
          <w:b/>
          <w:sz w:val="24"/>
        </w:rPr>
        <w:t xml:space="preserve">Variación de la recaudación tributaria neta </w:t>
      </w:r>
      <w:r w:rsidR="000075D4" w:rsidRPr="008C352D">
        <w:rPr>
          <w:rFonts w:ascii="Times New Roman" w:hAnsi="Times New Roman" w:cs="Times New Roman"/>
          <w:b/>
          <w:sz w:val="24"/>
        </w:rPr>
        <w:t>acumulada de febr</w:t>
      </w:r>
      <w:r w:rsidRPr="008C352D">
        <w:rPr>
          <w:rFonts w:ascii="Times New Roman" w:hAnsi="Times New Roman" w:cs="Times New Roman"/>
          <w:b/>
          <w:sz w:val="24"/>
        </w:rPr>
        <w:t>ero</w:t>
      </w:r>
    </w:p>
    <w:p w14:paraId="2A2A0E43" w14:textId="77777777" w:rsidR="00960BE9" w:rsidRPr="008C352D" w:rsidRDefault="00960BE9" w:rsidP="00960BE9">
      <w:pPr>
        <w:spacing w:after="0" w:line="240" w:lineRule="auto"/>
        <w:jc w:val="center"/>
        <w:rPr>
          <w:rFonts w:ascii="Times New Roman" w:hAnsi="Times New Roman" w:cs="Times New Roman"/>
        </w:rPr>
      </w:pPr>
      <w:r w:rsidRPr="008C352D">
        <w:rPr>
          <w:rFonts w:ascii="Times New Roman" w:hAnsi="Times New Roman" w:cs="Times New Roman"/>
        </w:rPr>
        <w:t>Millones de quetzales</w:t>
      </w:r>
    </w:p>
    <w:p w14:paraId="2A71E187" w14:textId="77777777" w:rsidR="00960BE9" w:rsidRPr="008C352D" w:rsidRDefault="008C352D" w:rsidP="00960BE9">
      <w:pPr>
        <w:spacing w:after="0" w:line="240" w:lineRule="auto"/>
        <w:jc w:val="center"/>
        <w:rPr>
          <w:rFonts w:ascii="Times New Roman" w:hAnsi="Times New Roman" w:cs="Times New Roman"/>
          <w:sz w:val="20"/>
        </w:rPr>
      </w:pPr>
      <w:r w:rsidRPr="008C352D">
        <w:rPr>
          <w:rFonts w:ascii="Times New Roman" w:hAnsi="Times New Roman" w:cs="Times New Roman"/>
          <w:noProof/>
          <w:lang w:eastAsia="es-GT"/>
        </w:rPr>
        <w:drawing>
          <wp:inline distT="0" distB="0" distL="0" distR="0" wp14:anchorId="67469659" wp14:editId="1A02B7C4">
            <wp:extent cx="2581275" cy="1592702"/>
            <wp:effectExtent l="0" t="0" r="0" b="7620"/>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E5D2EE" w14:textId="77777777" w:rsidR="00960BE9" w:rsidRPr="008C352D" w:rsidRDefault="00960BE9" w:rsidP="00960BE9">
      <w:pPr>
        <w:spacing w:after="0" w:line="240" w:lineRule="auto"/>
        <w:jc w:val="both"/>
        <w:rPr>
          <w:rFonts w:ascii="Times New Roman" w:hAnsi="Times New Roman" w:cs="Times New Roman"/>
          <w:sz w:val="24"/>
        </w:rPr>
      </w:pPr>
      <w:r w:rsidRPr="008C352D">
        <w:rPr>
          <w:rFonts w:ascii="Times New Roman" w:hAnsi="Times New Roman" w:cs="Times New Roman"/>
          <w:sz w:val="18"/>
        </w:rPr>
        <w:t>Fuente: Ministerio de Finanzas Públicas.</w:t>
      </w:r>
    </w:p>
    <w:p w14:paraId="24D9DAF7" w14:textId="77777777" w:rsidR="00371E68" w:rsidRPr="008C352D" w:rsidRDefault="00371E68" w:rsidP="00960BE9">
      <w:pPr>
        <w:spacing w:after="0" w:line="240" w:lineRule="auto"/>
        <w:jc w:val="both"/>
        <w:rPr>
          <w:rFonts w:ascii="Times New Roman" w:hAnsi="Times New Roman" w:cs="Times New Roman"/>
        </w:rPr>
      </w:pPr>
    </w:p>
    <w:p w14:paraId="54B1FBCA" w14:textId="77777777" w:rsidR="00960BE9" w:rsidRPr="008C352D" w:rsidRDefault="008C352D" w:rsidP="00960BE9">
      <w:pPr>
        <w:spacing w:after="0" w:line="240" w:lineRule="auto"/>
        <w:jc w:val="both"/>
        <w:rPr>
          <w:rFonts w:ascii="Times New Roman" w:hAnsi="Times New Roman" w:cs="Times New Roman"/>
        </w:rPr>
      </w:pPr>
      <w:r w:rsidRPr="008C352D">
        <w:rPr>
          <w:rFonts w:ascii="Times New Roman" w:hAnsi="Times New Roman" w:cs="Times New Roman"/>
        </w:rPr>
        <w:t xml:space="preserve">El ritmo de recuperación de la recaudación asociada al comercio exterior observada en 2021 se mantiene para el presente ejercicio, generándose una brecha positiva acumulada a febrero respecto a la meta de presupuesto de Q886.4 millones, y con relación a lo observado en 2021 de Q953.8 millones, es decir que en </w:t>
      </w:r>
      <w:r w:rsidRPr="008C352D">
        <w:rPr>
          <w:rFonts w:ascii="Times New Roman" w:hAnsi="Times New Roman" w:cs="Times New Roman"/>
        </w:rPr>
        <w:t>2022 se creció de mantera interanual en estos impuestos en 30.4%,  este  resultado es producto del seguimiento de las medidas implementadas en 2021 en el ramo de aduanas, en donde se implementaron acciones para combatir la defraudación y el contrabando tales como, mayor eficiencia del control aduanero, seguimiento del plan de combate al contrabando aduanero puesta en marcha de puestos de control interinstitucional (a la fecha van 6) a la simplificación, automatización y transparencia en el ingreso y salida de la carga vía aérea, fortalecimiento de la gestión de riesgo, operativos interinstitucionales en aduanas aéreas, terrestres, marítimas, puestos fronterizos, depósitos aduaneros y zonas francas, fortalecimiento del intercambio de información con otros Estados Partes, fortalecimiento de la valoración aduanera  y a las mejoras en el tiempo de atención de solicitudes entre otras, pero a su vez también un efecto del precio de los combustibles que sigue una tendencia alcista y que impacta en el mismo sentido en la recaudación aduanera asociada a dicho producto.</w:t>
      </w:r>
      <w:r w:rsidR="00960BE9" w:rsidRPr="008C352D">
        <w:rPr>
          <w:rFonts w:ascii="Times New Roman" w:hAnsi="Times New Roman" w:cs="Times New Roman"/>
        </w:rPr>
        <w:t xml:space="preserve"> </w:t>
      </w:r>
    </w:p>
    <w:p w14:paraId="4B1547DA" w14:textId="77777777" w:rsidR="00960BE9" w:rsidRPr="008C352D" w:rsidRDefault="00960BE9" w:rsidP="00960BE9">
      <w:pPr>
        <w:spacing w:after="0" w:line="240" w:lineRule="auto"/>
        <w:jc w:val="both"/>
        <w:rPr>
          <w:rFonts w:ascii="Times New Roman" w:hAnsi="Times New Roman" w:cs="Times New Roman"/>
          <w:sz w:val="20"/>
        </w:rPr>
      </w:pPr>
    </w:p>
    <w:p w14:paraId="0A725D60" w14:textId="77777777" w:rsidR="00960BE9" w:rsidRPr="008C352D" w:rsidRDefault="00960BE9" w:rsidP="00960BE9">
      <w:pPr>
        <w:spacing w:after="0" w:line="240" w:lineRule="auto"/>
        <w:jc w:val="both"/>
        <w:rPr>
          <w:rFonts w:ascii="Times New Roman" w:hAnsi="Times New Roman" w:cs="Times New Roman"/>
          <w:b/>
        </w:rPr>
      </w:pPr>
      <w:r w:rsidRPr="008C352D">
        <w:rPr>
          <w:rFonts w:ascii="Times New Roman" w:hAnsi="Times New Roman" w:cs="Times New Roman"/>
          <w:b/>
        </w:rPr>
        <w:t>El Impuesto Sobre la Renta y el ISO</w:t>
      </w:r>
    </w:p>
    <w:p w14:paraId="6074E3EB" w14:textId="77777777" w:rsidR="00960BE9" w:rsidRPr="0055536A" w:rsidRDefault="00960BE9" w:rsidP="00960BE9">
      <w:pPr>
        <w:spacing w:after="0" w:line="240" w:lineRule="auto"/>
        <w:jc w:val="both"/>
        <w:rPr>
          <w:rFonts w:ascii="Times New Roman" w:hAnsi="Times New Roman" w:cs="Times New Roman"/>
          <w:b/>
          <w:color w:val="FF0000"/>
          <w:sz w:val="20"/>
        </w:rPr>
      </w:pPr>
    </w:p>
    <w:p w14:paraId="7F58A97A" w14:textId="77777777" w:rsidR="008C352D" w:rsidRDefault="008C352D" w:rsidP="008C352D">
      <w:pPr>
        <w:spacing w:after="0" w:line="240" w:lineRule="auto"/>
        <w:jc w:val="both"/>
        <w:rPr>
          <w:rFonts w:ascii="Times New Roman" w:hAnsi="Times New Roman" w:cs="Times New Roman"/>
        </w:rPr>
      </w:pPr>
      <w:r>
        <w:rPr>
          <w:rFonts w:ascii="Times New Roman" w:hAnsi="Times New Roman" w:cs="Times New Roman"/>
        </w:rPr>
        <w:t xml:space="preserve">Estos impuestos en febrero se comportaron de </w:t>
      </w:r>
      <w:r w:rsidRPr="0030682D">
        <w:rPr>
          <w:rFonts w:ascii="Times New Roman" w:hAnsi="Times New Roman" w:cs="Times New Roman"/>
        </w:rPr>
        <w:t>forma adversa.</w:t>
      </w:r>
      <w:r>
        <w:rPr>
          <w:rFonts w:ascii="Times New Roman" w:hAnsi="Times New Roman" w:cs="Times New Roman"/>
        </w:rPr>
        <w:t xml:space="preserve">  El ISR no alcanzó la meta por Q50.8 millones y el ISO superó la meta establecida en presupuesto en Q33.9 millones. Este resultado positivo en ISO contribuyó a reducir la brecha negativa observada en enero, la cual se generó por el adelanto en el pago trimestral de enero realizado por algunos contribuyentes en el mes de diciembre de 2021.</w:t>
      </w:r>
      <w:r w:rsidRPr="00EF1BF6">
        <w:rPr>
          <w:rFonts w:ascii="Times New Roman" w:hAnsi="Times New Roman" w:cs="Times New Roman"/>
        </w:rPr>
        <w:t xml:space="preserve"> </w:t>
      </w:r>
      <w:r>
        <w:rPr>
          <w:rFonts w:ascii="Times New Roman" w:hAnsi="Times New Roman" w:cs="Times New Roman"/>
        </w:rPr>
        <w:t>De manera acumulada estos dos impuestos generan brecha negativa por Q63.3 millones, la cual está determinada principalmente por el ISO que genera brecha negativa de Q123.8 millones, el ISR supera la meta en Q60.5 millones.</w:t>
      </w:r>
    </w:p>
    <w:p w14:paraId="076A97DF" w14:textId="77777777" w:rsidR="00672F97" w:rsidRPr="0055536A" w:rsidRDefault="00672F97" w:rsidP="00960BE9">
      <w:pPr>
        <w:spacing w:after="0" w:line="240" w:lineRule="auto"/>
        <w:jc w:val="both"/>
        <w:rPr>
          <w:rFonts w:ascii="Times New Roman" w:hAnsi="Times New Roman" w:cs="Times New Roman"/>
          <w:color w:val="FF0000"/>
        </w:rPr>
      </w:pPr>
      <w:r w:rsidRPr="0055536A">
        <w:rPr>
          <w:rFonts w:ascii="Times New Roman" w:hAnsi="Times New Roman" w:cs="Times New Roman"/>
          <w:noProof/>
          <w:color w:val="FF0000"/>
          <w:lang w:eastAsia="es-GT"/>
        </w:rPr>
        <mc:AlternateContent>
          <mc:Choice Requires="wps">
            <w:drawing>
              <wp:anchor distT="0" distB="0" distL="114300" distR="114300" simplePos="0" relativeHeight="251679744" behindDoc="0" locked="0" layoutInCell="1" allowOverlap="1" wp14:anchorId="75508F19" wp14:editId="2E8EBB6D">
                <wp:simplePos x="0" y="0"/>
                <wp:positionH relativeFrom="column">
                  <wp:posOffset>3810</wp:posOffset>
                </wp:positionH>
                <wp:positionV relativeFrom="paragraph">
                  <wp:posOffset>-1426</wp:posOffset>
                </wp:positionV>
                <wp:extent cx="2612390" cy="1457864"/>
                <wp:effectExtent l="0" t="0" r="16510" b="28575"/>
                <wp:wrapNone/>
                <wp:docPr id="24" name="Rectángulo: esquinas redondeadas 1"/>
                <wp:cNvGraphicFramePr/>
                <a:graphic xmlns:a="http://schemas.openxmlformats.org/drawingml/2006/main">
                  <a:graphicData uri="http://schemas.microsoft.com/office/word/2010/wordprocessingShape">
                    <wps:wsp>
                      <wps:cNvSpPr/>
                      <wps:spPr>
                        <a:xfrm>
                          <a:off x="0" y="0"/>
                          <a:ext cx="2612390" cy="1457864"/>
                        </a:xfrm>
                        <a:prstGeom prst="roundRect">
                          <a:avLst>
                            <a:gd name="adj" fmla="val 5854"/>
                          </a:avLst>
                        </a:prstGeom>
                        <a:solidFill>
                          <a:schemeClr val="accent1">
                            <a:alpha val="3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79A2B6" w14:textId="77777777" w:rsidR="008C352D" w:rsidRPr="005315AF" w:rsidRDefault="008C352D" w:rsidP="008C352D">
                            <w:pPr>
                              <w:spacing w:after="0" w:line="240" w:lineRule="auto"/>
                              <w:jc w:val="both"/>
                              <w:rPr>
                                <w:rFonts w:ascii="Times New Roman" w:hAnsi="Times New Roman" w:cs="Times New Roman"/>
                                <w:b/>
                                <w:bCs/>
                                <w:color w:val="000000" w:themeColor="text1"/>
                                <w:sz w:val="17"/>
                                <w:szCs w:val="17"/>
                                <w:u w:val="single"/>
                                <w:lang w:val="es-US"/>
                              </w:rPr>
                            </w:pPr>
                            <w:r w:rsidRPr="005315AF">
                              <w:rPr>
                                <w:rFonts w:ascii="Times New Roman" w:hAnsi="Times New Roman" w:cs="Times New Roman"/>
                                <w:b/>
                                <w:bCs/>
                                <w:color w:val="000000" w:themeColor="text1"/>
                                <w:sz w:val="17"/>
                                <w:szCs w:val="17"/>
                                <w:u w:val="single"/>
                                <w:lang w:val="es-US"/>
                              </w:rPr>
                              <w:t>Impuesto Sobre la Renta</w:t>
                            </w:r>
                          </w:p>
                          <w:p w14:paraId="5E63D9F6" w14:textId="77777777" w:rsidR="008C352D" w:rsidRPr="00742831" w:rsidRDefault="008C352D" w:rsidP="008C352D">
                            <w:pPr>
                              <w:jc w:val="both"/>
                              <w:rPr>
                                <w:rFonts w:ascii="Times New Roman" w:hAnsi="Times New Roman" w:cs="Times New Roman"/>
                                <w:color w:val="000000" w:themeColor="text1"/>
                                <w:sz w:val="17"/>
                                <w:szCs w:val="17"/>
                                <w:lang w:val="es-US"/>
                              </w:rPr>
                            </w:pPr>
                            <w:r w:rsidRPr="00742831">
                              <w:rPr>
                                <w:rFonts w:ascii="Times New Roman" w:hAnsi="Times New Roman" w:cs="Times New Roman"/>
                                <w:color w:val="000000" w:themeColor="text1"/>
                                <w:sz w:val="17"/>
                                <w:szCs w:val="17"/>
                                <w:lang w:val="es-US"/>
                              </w:rPr>
                              <w:t>En enero el Impuesto sobre la Renta por régimen mostró que el régimen de rentas lucrativas creció en 26.6% respecto a 2021 siendo el régimen sobre renta imponible el que más creció 80% (Q210.1 millones), por su parte el de empleados en relación de dependencia crecieron en 17.7% y las retenciones a no domiciliados en 29%, el que mostró un resultado adverso fue el de productos financieros y rentas de capital el cual cayó en 28.8% (Q85.7 millones).</w:t>
                            </w:r>
                          </w:p>
                          <w:p w14:paraId="37AD94E6" w14:textId="77777777" w:rsidR="0094241B" w:rsidRPr="00604B81" w:rsidRDefault="0094241B" w:rsidP="000075D4">
                            <w:pPr>
                              <w:jc w:val="both"/>
                              <w:rPr>
                                <w:color w:val="000000" w:themeColor="text1"/>
                                <w:sz w:val="18"/>
                                <w:szCs w:val="18"/>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70A1A6" id="Rectángulo: esquinas redondeadas 1" o:spid="_x0000_s1026" style="position:absolute;left:0;text-align:left;margin-left:.3pt;margin-top:-.1pt;width:205.7pt;height:114.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" fillcolor="#5b9bd5 [3204]" strokecolor="#1f4d78 [1604]" strokeweight="1pt">
                <v:fill opacity="19789f"/>
                <v:stroke joinstyle="miter"/>
                <v:textbox>
                  <w:txbxContent>
                    <w:p w:rsidR="008C352D" w:rsidRPr="005315AF" w:rsidRDefault="008C352D" w:rsidP="008C352D">
                      <w:pPr>
                        <w:spacing w:after="0" w:line="240" w:lineRule="auto"/>
                        <w:jc w:val="both"/>
                        <w:rPr>
                          <w:rFonts w:ascii="Times New Roman" w:hAnsi="Times New Roman" w:cs="Times New Roman"/>
                          <w:b/>
                          <w:bCs/>
                          <w:color w:val="000000" w:themeColor="text1"/>
                          <w:sz w:val="17"/>
                          <w:szCs w:val="17"/>
                          <w:u w:val="single"/>
                          <w:lang w:val="es-US"/>
                        </w:rPr>
                      </w:pPr>
                      <w:r w:rsidRPr="005315AF">
                        <w:rPr>
                          <w:rFonts w:ascii="Times New Roman" w:hAnsi="Times New Roman" w:cs="Times New Roman"/>
                          <w:b/>
                          <w:bCs/>
                          <w:color w:val="000000" w:themeColor="text1"/>
                          <w:sz w:val="17"/>
                          <w:szCs w:val="17"/>
                          <w:u w:val="single"/>
                          <w:lang w:val="es-US"/>
                        </w:rPr>
                        <w:t>Impuesto Sobre la Renta</w:t>
                      </w:r>
                    </w:p>
                    <w:p w:rsidR="008C352D" w:rsidRPr="00742831" w:rsidRDefault="008C352D" w:rsidP="008C352D">
                      <w:pPr>
                        <w:jc w:val="both"/>
                        <w:rPr>
                          <w:rFonts w:ascii="Times New Roman" w:hAnsi="Times New Roman" w:cs="Times New Roman"/>
                          <w:color w:val="000000" w:themeColor="text1"/>
                          <w:sz w:val="17"/>
                          <w:szCs w:val="17"/>
                          <w:lang w:val="es-US"/>
                        </w:rPr>
                      </w:pPr>
                      <w:r w:rsidRPr="00742831">
                        <w:rPr>
                          <w:rFonts w:ascii="Times New Roman" w:hAnsi="Times New Roman" w:cs="Times New Roman"/>
                          <w:color w:val="000000" w:themeColor="text1"/>
                          <w:sz w:val="17"/>
                          <w:szCs w:val="17"/>
                          <w:lang w:val="es-US"/>
                        </w:rPr>
                        <w:t>En enero el Impuesto sobre la Renta por régimen mostró que el régimen de rentas lucrativas creció en 26.6% respecto a 2021 siendo el régimen sobre renta imponible el que más creció 80% (Q210.1 millones), por su parte el de empleados en relación de dependencia crecieron en 17.7% y las retenciones a no domiciliados en 29%, el que mostró un resultado adverso fue el de productos financieros y rentas de capital el cual cayó en 28.8% (Q85.7 millones).</w:t>
                      </w:r>
                    </w:p>
                    <w:p w:rsidR="0094241B" w:rsidRPr="00604B81" w:rsidRDefault="0094241B" w:rsidP="000075D4">
                      <w:pPr>
                        <w:jc w:val="both"/>
                        <w:rPr>
                          <w:color w:val="000000" w:themeColor="text1"/>
                          <w:sz w:val="18"/>
                          <w:szCs w:val="18"/>
                          <w:lang w:val="es-US"/>
                        </w:rPr>
                      </w:pPr>
                    </w:p>
                  </w:txbxContent>
                </v:textbox>
              </v:roundrect>
            </w:pict>
          </mc:Fallback>
        </mc:AlternateContent>
      </w:r>
    </w:p>
    <w:p w14:paraId="1F5104E1" w14:textId="77777777" w:rsidR="00DF6AE8" w:rsidRPr="0055536A" w:rsidRDefault="00DF6AE8" w:rsidP="00960BE9">
      <w:pPr>
        <w:spacing w:after="0" w:line="240" w:lineRule="auto"/>
        <w:jc w:val="both"/>
        <w:rPr>
          <w:rFonts w:ascii="Times New Roman" w:hAnsi="Times New Roman" w:cs="Times New Roman"/>
          <w:b/>
          <w:color w:val="FF0000"/>
        </w:rPr>
      </w:pPr>
    </w:p>
    <w:p w14:paraId="0234EE6E" w14:textId="77777777" w:rsidR="000075D4" w:rsidRPr="0055536A" w:rsidRDefault="000075D4" w:rsidP="00960BE9">
      <w:pPr>
        <w:spacing w:after="0" w:line="240" w:lineRule="auto"/>
        <w:jc w:val="both"/>
        <w:rPr>
          <w:rFonts w:ascii="Times New Roman" w:hAnsi="Times New Roman" w:cs="Times New Roman"/>
          <w:b/>
          <w:color w:val="FF0000"/>
        </w:rPr>
      </w:pPr>
    </w:p>
    <w:p w14:paraId="43AB9866" w14:textId="77777777" w:rsidR="000075D4" w:rsidRPr="0055536A" w:rsidRDefault="000075D4" w:rsidP="00960BE9">
      <w:pPr>
        <w:spacing w:after="0" w:line="240" w:lineRule="auto"/>
        <w:jc w:val="both"/>
        <w:rPr>
          <w:rFonts w:ascii="Times New Roman" w:hAnsi="Times New Roman" w:cs="Times New Roman"/>
          <w:b/>
          <w:color w:val="FF0000"/>
        </w:rPr>
      </w:pPr>
    </w:p>
    <w:p w14:paraId="290261DE" w14:textId="77777777" w:rsidR="000075D4" w:rsidRPr="0055536A" w:rsidRDefault="000075D4" w:rsidP="00960BE9">
      <w:pPr>
        <w:spacing w:after="0" w:line="240" w:lineRule="auto"/>
        <w:jc w:val="both"/>
        <w:rPr>
          <w:rFonts w:ascii="Times New Roman" w:hAnsi="Times New Roman" w:cs="Times New Roman"/>
          <w:b/>
          <w:color w:val="FF0000"/>
        </w:rPr>
      </w:pPr>
    </w:p>
    <w:p w14:paraId="5B713FD6" w14:textId="77777777" w:rsidR="000075D4" w:rsidRPr="0055536A" w:rsidRDefault="000075D4" w:rsidP="00960BE9">
      <w:pPr>
        <w:spacing w:after="0" w:line="240" w:lineRule="auto"/>
        <w:jc w:val="both"/>
        <w:rPr>
          <w:rFonts w:ascii="Times New Roman" w:hAnsi="Times New Roman" w:cs="Times New Roman"/>
          <w:b/>
          <w:color w:val="FF0000"/>
        </w:rPr>
      </w:pPr>
    </w:p>
    <w:p w14:paraId="22AAEBCE" w14:textId="77777777" w:rsidR="000075D4" w:rsidRPr="0055536A" w:rsidRDefault="000075D4" w:rsidP="00960BE9">
      <w:pPr>
        <w:spacing w:after="0" w:line="240" w:lineRule="auto"/>
        <w:jc w:val="both"/>
        <w:rPr>
          <w:rFonts w:ascii="Times New Roman" w:hAnsi="Times New Roman" w:cs="Times New Roman"/>
          <w:b/>
          <w:color w:val="FF0000"/>
        </w:rPr>
      </w:pPr>
    </w:p>
    <w:p w14:paraId="1225095E" w14:textId="77777777" w:rsidR="000075D4" w:rsidRPr="008C352D" w:rsidRDefault="000075D4" w:rsidP="00960BE9">
      <w:pPr>
        <w:spacing w:after="0" w:line="240" w:lineRule="auto"/>
        <w:jc w:val="both"/>
        <w:rPr>
          <w:rFonts w:ascii="Times New Roman" w:hAnsi="Times New Roman" w:cs="Times New Roman"/>
          <w:b/>
        </w:rPr>
      </w:pPr>
    </w:p>
    <w:p w14:paraId="31E51239" w14:textId="77777777" w:rsidR="00960BE9" w:rsidRPr="008C352D" w:rsidRDefault="00960BE9" w:rsidP="00960BE9">
      <w:pPr>
        <w:spacing w:after="0" w:line="240" w:lineRule="auto"/>
        <w:jc w:val="both"/>
        <w:rPr>
          <w:rFonts w:ascii="Times New Roman" w:hAnsi="Times New Roman" w:cs="Times New Roman"/>
          <w:b/>
        </w:rPr>
      </w:pPr>
      <w:r w:rsidRPr="008C352D">
        <w:rPr>
          <w:rFonts w:ascii="Times New Roman" w:hAnsi="Times New Roman" w:cs="Times New Roman"/>
          <w:b/>
        </w:rPr>
        <w:lastRenderedPageBreak/>
        <w:t>El Impuesto al Valor Agregado</w:t>
      </w:r>
    </w:p>
    <w:p w14:paraId="3BF8DB97" w14:textId="77777777" w:rsidR="00960BE9" w:rsidRPr="008C352D" w:rsidRDefault="00960BE9" w:rsidP="00960BE9">
      <w:pPr>
        <w:spacing w:after="0" w:line="240" w:lineRule="auto"/>
        <w:jc w:val="both"/>
        <w:rPr>
          <w:rFonts w:ascii="Times New Roman" w:hAnsi="Times New Roman" w:cs="Times New Roman"/>
          <w:sz w:val="18"/>
        </w:rPr>
      </w:pPr>
    </w:p>
    <w:p w14:paraId="550D0340" w14:textId="77777777" w:rsidR="008C352D" w:rsidRPr="008C352D" w:rsidRDefault="008C352D" w:rsidP="008C352D">
      <w:pPr>
        <w:spacing w:after="0" w:line="240" w:lineRule="auto"/>
        <w:jc w:val="both"/>
        <w:rPr>
          <w:rFonts w:ascii="Times New Roman" w:hAnsi="Times New Roman" w:cs="Times New Roman"/>
        </w:rPr>
      </w:pPr>
      <w:r w:rsidRPr="008C352D">
        <w:rPr>
          <w:rFonts w:ascii="Times New Roman" w:hAnsi="Times New Roman" w:cs="Times New Roman"/>
        </w:rPr>
        <w:t>Este impuesto, en febrero, generó una brecha positiva de Q462.1 millones, los cuales están explicados en su mayoría por el IVA asociado al comercio exterior el cual mantiene la dinámica observa en 2021, principalmente como reflejo al aumento de precios en los combustibles.  El impuesto al consumo interno superó lo establecido en presupuesto por Q33.7 millones.</w:t>
      </w:r>
    </w:p>
    <w:p w14:paraId="6F428E75" w14:textId="77777777" w:rsidR="008C352D" w:rsidRPr="008C352D" w:rsidRDefault="008C352D" w:rsidP="008C352D">
      <w:pPr>
        <w:spacing w:after="0" w:line="240" w:lineRule="auto"/>
        <w:jc w:val="both"/>
        <w:rPr>
          <w:rFonts w:ascii="Times New Roman" w:hAnsi="Times New Roman" w:cs="Times New Roman"/>
          <w:sz w:val="18"/>
          <w:szCs w:val="18"/>
        </w:rPr>
      </w:pPr>
    </w:p>
    <w:p w14:paraId="67600108" w14:textId="77777777" w:rsidR="008C352D" w:rsidRPr="008C352D" w:rsidRDefault="008C352D" w:rsidP="008C352D">
      <w:pPr>
        <w:spacing w:after="0" w:line="240" w:lineRule="auto"/>
        <w:jc w:val="both"/>
        <w:rPr>
          <w:rFonts w:ascii="Times New Roman" w:hAnsi="Times New Roman" w:cs="Times New Roman"/>
        </w:rPr>
      </w:pPr>
      <w:r w:rsidRPr="008C352D">
        <w:rPr>
          <w:rFonts w:ascii="Times New Roman" w:hAnsi="Times New Roman" w:cs="Times New Roman"/>
        </w:rPr>
        <w:t>De manera interanual el IVA creció en 15.5% impulsado principalmente por el IVA de importaciones que crece en 28.8%, por las razones ya expuestas y, el IVA asociado al consumo interno que crece moderadamente en 1.6%, generando en su conjunto, una brecha positiva de Q414.1 millones respecto a lo observado en 2021 y Q462.1 millones respecto a la meta de presupuesto.</w:t>
      </w:r>
    </w:p>
    <w:p w14:paraId="69148AB6" w14:textId="77777777" w:rsidR="008C352D" w:rsidRPr="008C352D" w:rsidRDefault="008C352D" w:rsidP="008C352D">
      <w:pPr>
        <w:spacing w:after="0" w:line="240" w:lineRule="auto"/>
        <w:jc w:val="both"/>
        <w:rPr>
          <w:rFonts w:ascii="Times New Roman" w:hAnsi="Times New Roman" w:cs="Times New Roman"/>
          <w:sz w:val="18"/>
          <w:szCs w:val="18"/>
        </w:rPr>
      </w:pPr>
    </w:p>
    <w:p w14:paraId="541A5D27" w14:textId="77777777" w:rsidR="002C0967" w:rsidRPr="008C352D" w:rsidRDefault="008C352D" w:rsidP="008C352D">
      <w:pPr>
        <w:spacing w:after="0" w:line="240" w:lineRule="auto"/>
        <w:jc w:val="both"/>
        <w:rPr>
          <w:rFonts w:ascii="Times New Roman" w:hAnsi="Times New Roman" w:cs="Times New Roman"/>
        </w:rPr>
      </w:pPr>
      <w:r w:rsidRPr="008C352D">
        <w:rPr>
          <w:rFonts w:ascii="Times New Roman" w:hAnsi="Times New Roman" w:cs="Times New Roman"/>
        </w:rPr>
        <w:t xml:space="preserve">Aspectos que impulsan el crecimiento en el IVA de importaciones pueden ser el aumento en el precio del barril de petróleo consecuencia </w:t>
      </w:r>
      <w:r w:rsidRPr="008C352D">
        <w:rPr>
          <w:rFonts w:ascii="Times New Roman" w:hAnsi="Times New Roman" w:cs="Times New Roman"/>
        </w:rPr>
        <w:t xml:space="preserve">del conflicto armado entre Rusia y Ucrania. En febrero 2021 el precio del barril era de US$59.06 dólares y en febrero 2022 se ubica en US$91.63 dólares, según U.S. Energy </w:t>
      </w:r>
      <w:proofErr w:type="spellStart"/>
      <w:r w:rsidRPr="008C352D">
        <w:rPr>
          <w:rFonts w:ascii="Times New Roman" w:hAnsi="Times New Roman" w:cs="Times New Roman"/>
        </w:rPr>
        <w:t>Information</w:t>
      </w:r>
      <w:proofErr w:type="spellEnd"/>
      <w:r w:rsidRPr="008C352D">
        <w:rPr>
          <w:rFonts w:ascii="Times New Roman" w:hAnsi="Times New Roman" w:cs="Times New Roman"/>
        </w:rPr>
        <w:t xml:space="preserve"> </w:t>
      </w:r>
      <w:proofErr w:type="spellStart"/>
      <w:r w:rsidRPr="008C352D">
        <w:rPr>
          <w:rFonts w:ascii="Times New Roman" w:hAnsi="Times New Roman" w:cs="Times New Roman"/>
        </w:rPr>
        <w:t>Administration</w:t>
      </w:r>
      <w:proofErr w:type="spellEnd"/>
      <w:r w:rsidRPr="008C352D">
        <w:rPr>
          <w:rFonts w:ascii="Times New Roman" w:hAnsi="Times New Roman" w:cs="Times New Roman"/>
        </w:rPr>
        <w:t>.</w:t>
      </w:r>
    </w:p>
    <w:p w14:paraId="127496BC" w14:textId="77777777" w:rsidR="000075D4" w:rsidRPr="008C352D" w:rsidRDefault="000075D4" w:rsidP="000075D4">
      <w:pPr>
        <w:spacing w:after="0" w:line="240" w:lineRule="auto"/>
        <w:jc w:val="both"/>
        <w:rPr>
          <w:rFonts w:ascii="Times New Roman" w:hAnsi="Times New Roman" w:cs="Times New Roman"/>
        </w:rPr>
      </w:pPr>
    </w:p>
    <w:p w14:paraId="1DC75D8D" w14:textId="77777777" w:rsidR="00960BE9" w:rsidRPr="008C352D" w:rsidRDefault="00960BE9" w:rsidP="00960BE9">
      <w:pPr>
        <w:spacing w:after="0" w:line="240" w:lineRule="auto"/>
        <w:jc w:val="both"/>
        <w:rPr>
          <w:rFonts w:ascii="Times New Roman" w:hAnsi="Times New Roman" w:cs="Times New Roman"/>
          <w:b/>
          <w:bCs/>
        </w:rPr>
      </w:pPr>
      <w:r w:rsidRPr="008C352D">
        <w:rPr>
          <w:rFonts w:ascii="Times New Roman" w:hAnsi="Times New Roman" w:cs="Times New Roman"/>
          <w:b/>
          <w:bCs/>
        </w:rPr>
        <w:t>Los demás impuestos</w:t>
      </w:r>
    </w:p>
    <w:p w14:paraId="045CA6FE" w14:textId="77777777" w:rsidR="00960BE9" w:rsidRPr="0055536A" w:rsidRDefault="00960BE9" w:rsidP="00960BE9">
      <w:pPr>
        <w:spacing w:after="0" w:line="240" w:lineRule="auto"/>
        <w:jc w:val="both"/>
        <w:rPr>
          <w:rFonts w:ascii="Times New Roman" w:hAnsi="Times New Roman" w:cs="Times New Roman"/>
          <w:b/>
          <w:bCs/>
          <w:color w:val="FF0000"/>
          <w:sz w:val="14"/>
        </w:rPr>
      </w:pPr>
    </w:p>
    <w:p w14:paraId="717F1DA9" w14:textId="77777777" w:rsidR="008C352D" w:rsidRDefault="008C352D" w:rsidP="008C352D">
      <w:pPr>
        <w:spacing w:after="0" w:line="240" w:lineRule="auto"/>
        <w:jc w:val="both"/>
        <w:rPr>
          <w:rFonts w:ascii="Times New Roman" w:hAnsi="Times New Roman" w:cs="Times New Roman"/>
        </w:rPr>
      </w:pPr>
      <w:r w:rsidRPr="007551B2">
        <w:rPr>
          <w:rFonts w:ascii="Times New Roman" w:hAnsi="Times New Roman" w:cs="Times New Roman"/>
        </w:rPr>
        <w:t xml:space="preserve">En la recaudación </w:t>
      </w:r>
      <w:r>
        <w:rPr>
          <w:rFonts w:ascii="Times New Roman" w:hAnsi="Times New Roman" w:cs="Times New Roman"/>
        </w:rPr>
        <w:t xml:space="preserve">de febrero </w:t>
      </w:r>
      <w:r w:rsidRPr="007551B2">
        <w:rPr>
          <w:rFonts w:ascii="Times New Roman" w:hAnsi="Times New Roman" w:cs="Times New Roman"/>
        </w:rPr>
        <w:t xml:space="preserve">de los demás impuestos, destaca que </w:t>
      </w:r>
      <w:r>
        <w:rPr>
          <w:rFonts w:ascii="Times New Roman" w:hAnsi="Times New Roman" w:cs="Times New Roman"/>
        </w:rPr>
        <w:t xml:space="preserve">de </w:t>
      </w:r>
      <w:r w:rsidRPr="007551B2">
        <w:rPr>
          <w:rFonts w:ascii="Times New Roman" w:hAnsi="Times New Roman" w:cs="Times New Roman"/>
        </w:rPr>
        <w:t xml:space="preserve">los impuestos no administrados por SAT </w:t>
      </w:r>
      <w:r>
        <w:rPr>
          <w:rFonts w:ascii="Times New Roman" w:hAnsi="Times New Roman" w:cs="Times New Roman"/>
        </w:rPr>
        <w:t xml:space="preserve">superaron la meta de presupuesto generando una brecha positiva de Q6.9 millones en conjunto. </w:t>
      </w:r>
    </w:p>
    <w:p w14:paraId="34A1CFDC" w14:textId="77777777" w:rsidR="008C352D" w:rsidRDefault="008C352D" w:rsidP="008C352D">
      <w:pPr>
        <w:spacing w:after="0" w:line="240" w:lineRule="auto"/>
        <w:jc w:val="both"/>
        <w:rPr>
          <w:rFonts w:ascii="Times New Roman" w:hAnsi="Times New Roman" w:cs="Times New Roman"/>
        </w:rPr>
      </w:pPr>
    </w:p>
    <w:p w14:paraId="3EB00151" w14:textId="77777777" w:rsidR="008C352D" w:rsidRDefault="008C352D" w:rsidP="008C352D">
      <w:pPr>
        <w:spacing w:after="0" w:line="240" w:lineRule="auto"/>
        <w:jc w:val="both"/>
        <w:rPr>
          <w:rFonts w:ascii="Times New Roman" w:hAnsi="Times New Roman" w:cs="Times New Roman"/>
        </w:rPr>
      </w:pPr>
      <w:r>
        <w:rPr>
          <w:rFonts w:ascii="Times New Roman" w:hAnsi="Times New Roman" w:cs="Times New Roman"/>
        </w:rPr>
        <w:t>Impuestos como el de Derivados del Petróleo, Circulación de Vehículos, T</w:t>
      </w:r>
      <w:r w:rsidRPr="007551B2">
        <w:rPr>
          <w:rFonts w:ascii="Times New Roman" w:hAnsi="Times New Roman" w:cs="Times New Roman"/>
        </w:rPr>
        <w:t>abacos</w:t>
      </w:r>
      <w:r>
        <w:rPr>
          <w:rFonts w:ascii="Times New Roman" w:hAnsi="Times New Roman" w:cs="Times New Roman"/>
        </w:rPr>
        <w:t xml:space="preserve"> y el de Cemento no alcanzaron la meta de presupuesto, generaron una brecha negativa en conjunto de Q53.7 millones.</w:t>
      </w:r>
    </w:p>
    <w:p w14:paraId="012F4477" w14:textId="77777777" w:rsidR="008C352D" w:rsidRDefault="008C352D" w:rsidP="008C352D">
      <w:pPr>
        <w:spacing w:after="0" w:line="240" w:lineRule="auto"/>
        <w:jc w:val="both"/>
        <w:rPr>
          <w:rFonts w:ascii="Times New Roman" w:hAnsi="Times New Roman" w:cs="Times New Roman"/>
        </w:rPr>
      </w:pPr>
    </w:p>
    <w:p w14:paraId="0D623A03" w14:textId="77777777" w:rsidR="0094241B" w:rsidRPr="008C352D" w:rsidRDefault="008C352D" w:rsidP="000075D4">
      <w:pPr>
        <w:spacing w:after="0" w:line="240" w:lineRule="auto"/>
        <w:jc w:val="both"/>
        <w:rPr>
          <w:rFonts w:ascii="Times New Roman" w:hAnsi="Times New Roman" w:cs="Times New Roman"/>
          <w:color w:val="FF0000"/>
        </w:rPr>
      </w:pPr>
      <w:r>
        <w:rPr>
          <w:rFonts w:ascii="Times New Roman" w:hAnsi="Times New Roman" w:cs="Times New Roman"/>
        </w:rPr>
        <w:t>De manera acumulada el impuesto al Valor Agregado de consumo interno, el de Tabacos y el ISO generan brecha negativa de Q70.5 millones.</w:t>
      </w:r>
    </w:p>
    <w:p w14:paraId="0C584216" w14:textId="77777777" w:rsidR="000075D4" w:rsidRPr="0055536A" w:rsidRDefault="000075D4" w:rsidP="00371E68">
      <w:pPr>
        <w:spacing w:after="0" w:line="240" w:lineRule="auto"/>
        <w:jc w:val="both"/>
        <w:rPr>
          <w:rFonts w:ascii="Times New Roman" w:hAnsi="Times New Roman" w:cs="Times New Roman"/>
          <w:color w:val="FF0000"/>
        </w:rPr>
        <w:sectPr w:rsidR="000075D4" w:rsidRPr="0055536A" w:rsidSect="00960BE9">
          <w:type w:val="continuous"/>
          <w:pgSz w:w="12240" w:h="15840"/>
          <w:pgMar w:top="1417" w:right="1701" w:bottom="1417" w:left="1701" w:header="708" w:footer="708" w:gutter="0"/>
          <w:cols w:num="2" w:space="708"/>
          <w:docGrid w:linePitch="360"/>
        </w:sectPr>
      </w:pPr>
    </w:p>
    <w:p w14:paraId="30EBFF6D" w14:textId="77777777" w:rsidR="00F23E3F" w:rsidRPr="0055536A" w:rsidRDefault="00F23E3F" w:rsidP="00F23E3F">
      <w:pPr>
        <w:pStyle w:val="Sinespaciado"/>
        <w:rPr>
          <w:rFonts w:ascii="Times New Roman" w:hAnsi="Times New Roman" w:cs="Times New Roman"/>
          <w:color w:val="FF0000"/>
          <w:sz w:val="18"/>
          <w:szCs w:val="18"/>
          <w:lang w:val="es-MX"/>
        </w:rPr>
      </w:pPr>
    </w:p>
    <w:p w14:paraId="68B2C7FB" w14:textId="77777777" w:rsidR="00F23E3F" w:rsidRPr="0055536A" w:rsidRDefault="00F23E3F" w:rsidP="00F23E3F">
      <w:pPr>
        <w:spacing w:after="0"/>
        <w:rPr>
          <w:rFonts w:ascii="Times New Roman" w:hAnsi="Times New Roman" w:cs="Times New Roman"/>
          <w:color w:val="FF0000"/>
        </w:rPr>
        <w:sectPr w:rsidR="00F23E3F" w:rsidRPr="0055536A" w:rsidSect="00960BE9">
          <w:headerReference w:type="default" r:id="rId16"/>
          <w:footerReference w:type="default" r:id="rId17"/>
          <w:type w:val="continuous"/>
          <w:pgSz w:w="12240" w:h="15840"/>
          <w:pgMar w:top="1417" w:right="1701" w:bottom="1417" w:left="1701" w:header="708" w:footer="708" w:gutter="0"/>
          <w:cols w:space="708"/>
          <w:docGrid w:linePitch="360"/>
        </w:sectPr>
      </w:pPr>
    </w:p>
    <w:p w14:paraId="2DAEE667" w14:textId="77777777" w:rsidR="00960BE9" w:rsidRPr="00ED02FF" w:rsidRDefault="000150E7"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ED02FF">
        <w:rPr>
          <w:rFonts w:ascii="Times New Roman" w:hAnsi="Times New Roman" w:cs="Times New Roman"/>
          <w:b/>
          <w:color w:val="FFFFFF" w:themeColor="background1"/>
          <w:sz w:val="24"/>
          <w:szCs w:val="24"/>
          <w:lang w:val="es-MX"/>
        </w:rPr>
        <w:t xml:space="preserve">Febrero continúa con un alto dinamismo del </w:t>
      </w:r>
      <w:r w:rsidR="00F23E3F" w:rsidRPr="00ED02FF">
        <w:rPr>
          <w:rFonts w:ascii="Times New Roman" w:hAnsi="Times New Roman" w:cs="Times New Roman"/>
          <w:b/>
          <w:color w:val="FFFFFF" w:themeColor="background1"/>
          <w:sz w:val="24"/>
          <w:szCs w:val="24"/>
          <w:lang w:val="es-MX"/>
        </w:rPr>
        <w:t xml:space="preserve">gasto </w:t>
      </w:r>
      <w:r w:rsidRPr="00ED02FF">
        <w:rPr>
          <w:rFonts w:ascii="Times New Roman" w:hAnsi="Times New Roman" w:cs="Times New Roman"/>
          <w:b/>
          <w:color w:val="FFFFFF" w:themeColor="background1"/>
          <w:sz w:val="24"/>
          <w:szCs w:val="24"/>
          <w:lang w:val="es-MX"/>
        </w:rPr>
        <w:t>público</w:t>
      </w:r>
    </w:p>
    <w:p w14:paraId="29C9C31A" w14:textId="77777777" w:rsidR="00F23E3F" w:rsidRPr="0055536A" w:rsidRDefault="00F23E3F" w:rsidP="00F23E3F">
      <w:pPr>
        <w:pStyle w:val="Sinespaciado"/>
        <w:rPr>
          <w:rFonts w:ascii="Times New Roman" w:hAnsi="Times New Roman" w:cs="Times New Roman"/>
          <w:color w:val="FF0000"/>
          <w:sz w:val="18"/>
          <w:szCs w:val="18"/>
          <w:lang w:val="es-MX"/>
        </w:rPr>
      </w:pPr>
    </w:p>
    <w:p w14:paraId="3C4E9370" w14:textId="77777777" w:rsidR="00F23E3F" w:rsidRPr="0055536A" w:rsidRDefault="00F23E3F" w:rsidP="00F23E3F">
      <w:pPr>
        <w:spacing w:after="0"/>
        <w:rPr>
          <w:rFonts w:ascii="Times New Roman" w:hAnsi="Times New Roman" w:cs="Times New Roman"/>
          <w:color w:val="FF0000"/>
          <w:sz w:val="24"/>
        </w:rPr>
        <w:sectPr w:rsidR="00F23E3F" w:rsidRPr="0055536A" w:rsidSect="00960BE9">
          <w:headerReference w:type="default" r:id="rId18"/>
          <w:footerReference w:type="default" r:id="rId19"/>
          <w:type w:val="continuous"/>
          <w:pgSz w:w="12240" w:h="15840"/>
          <w:pgMar w:top="1417" w:right="1701" w:bottom="1417" w:left="1701" w:header="708" w:footer="708" w:gutter="0"/>
          <w:cols w:space="708"/>
          <w:docGrid w:linePitch="360"/>
        </w:sectPr>
      </w:pPr>
    </w:p>
    <w:p w14:paraId="2D7B051B" w14:textId="77777777" w:rsidR="00E02DD8" w:rsidRPr="0055536A" w:rsidRDefault="00ED02FF" w:rsidP="00AD7C37">
      <w:pPr>
        <w:pStyle w:val="Sinespaciado"/>
        <w:jc w:val="both"/>
        <w:rPr>
          <w:rFonts w:ascii="Times New Roman" w:hAnsi="Times New Roman" w:cs="Times New Roman"/>
          <w:color w:val="FF0000"/>
          <w:lang w:val="es-MX"/>
        </w:rPr>
      </w:pPr>
      <w:r w:rsidRPr="001E2D24">
        <w:rPr>
          <w:rFonts w:ascii="Times New Roman" w:hAnsi="Times New Roman" w:cs="Times New Roman"/>
          <w:lang w:val="es-MX"/>
        </w:rPr>
        <w:t xml:space="preserve">La </w:t>
      </w:r>
      <w:r w:rsidRPr="00ED090B">
        <w:rPr>
          <w:rFonts w:ascii="Times New Roman" w:hAnsi="Times New Roman" w:cs="Times New Roman"/>
          <w:lang w:val="es-MX"/>
        </w:rPr>
        <w:t xml:space="preserve">ejecución del gasto público a </w:t>
      </w:r>
      <w:r>
        <w:rPr>
          <w:rFonts w:ascii="Times New Roman" w:hAnsi="Times New Roman" w:cs="Times New Roman"/>
          <w:lang w:val="es-MX"/>
        </w:rPr>
        <w:t xml:space="preserve">febrero </w:t>
      </w:r>
      <w:r w:rsidRPr="00ED090B">
        <w:rPr>
          <w:rFonts w:ascii="Times New Roman" w:hAnsi="Times New Roman" w:cs="Times New Roman"/>
          <w:lang w:val="es-MX"/>
        </w:rPr>
        <w:t>sin incluir las amortizaciones de la deuda pública se ubicó en Q</w:t>
      </w:r>
      <w:r>
        <w:rPr>
          <w:rFonts w:ascii="Times New Roman" w:hAnsi="Times New Roman" w:cs="Times New Roman"/>
          <w:lang w:val="es-MX"/>
        </w:rPr>
        <w:t>13</w:t>
      </w:r>
      <w:r w:rsidRPr="00ED090B">
        <w:rPr>
          <w:rFonts w:ascii="Times New Roman" w:hAnsi="Times New Roman" w:cs="Times New Roman"/>
          <w:lang w:val="es-MX"/>
        </w:rPr>
        <w:t>,</w:t>
      </w:r>
      <w:r>
        <w:rPr>
          <w:rFonts w:ascii="Times New Roman" w:hAnsi="Times New Roman" w:cs="Times New Roman"/>
          <w:lang w:val="es-MX"/>
        </w:rPr>
        <w:t>167.7</w:t>
      </w:r>
      <w:r w:rsidRPr="00ED090B">
        <w:rPr>
          <w:rFonts w:ascii="Times New Roman" w:hAnsi="Times New Roman" w:cs="Times New Roman"/>
          <w:lang w:val="es-MX"/>
        </w:rPr>
        <w:t xml:space="preserve"> millones con un</w:t>
      </w:r>
      <w:r>
        <w:rPr>
          <w:rFonts w:ascii="Times New Roman" w:hAnsi="Times New Roman" w:cs="Times New Roman"/>
          <w:lang w:val="es-MX"/>
        </w:rPr>
        <w:t>a variación</w:t>
      </w:r>
      <w:r w:rsidRPr="00ED090B">
        <w:rPr>
          <w:rFonts w:ascii="Times New Roman" w:hAnsi="Times New Roman" w:cs="Times New Roman"/>
          <w:lang w:val="es-MX"/>
        </w:rPr>
        <w:t xml:space="preserve"> interanual de </w:t>
      </w:r>
      <w:r>
        <w:rPr>
          <w:rFonts w:ascii="Times New Roman" w:hAnsi="Times New Roman" w:cs="Times New Roman"/>
          <w:lang w:val="es-MX"/>
        </w:rPr>
        <w:t>17</w:t>
      </w:r>
      <w:r w:rsidRPr="00ED090B">
        <w:rPr>
          <w:rFonts w:ascii="Times New Roman" w:hAnsi="Times New Roman" w:cs="Times New Roman"/>
          <w:lang w:val="es-MX"/>
        </w:rPr>
        <w:t>.</w:t>
      </w:r>
      <w:r>
        <w:rPr>
          <w:rFonts w:ascii="Times New Roman" w:hAnsi="Times New Roman" w:cs="Times New Roman"/>
          <w:lang w:val="es-MX"/>
        </w:rPr>
        <w:t>3</w:t>
      </w:r>
      <w:r w:rsidRPr="00ED090B">
        <w:rPr>
          <w:rFonts w:ascii="Times New Roman" w:hAnsi="Times New Roman" w:cs="Times New Roman"/>
          <w:lang w:val="es-MX"/>
        </w:rPr>
        <w:t>% (equivalente a</w:t>
      </w:r>
      <w:r>
        <w:rPr>
          <w:rFonts w:ascii="Times New Roman" w:hAnsi="Times New Roman" w:cs="Times New Roman"/>
          <w:lang w:val="es-MX"/>
        </w:rPr>
        <w:t xml:space="preserve"> Q1,944.8 millones), dado que en 2021 e</w:t>
      </w:r>
      <w:r w:rsidRPr="000973DB">
        <w:rPr>
          <w:rFonts w:ascii="Times New Roman" w:hAnsi="Times New Roman" w:cs="Times New Roman"/>
          <w:lang w:val="es-MX"/>
        </w:rPr>
        <w:t>l gasto fue moderado</w:t>
      </w:r>
      <w:r>
        <w:rPr>
          <w:rFonts w:ascii="Times New Roman" w:hAnsi="Times New Roman" w:cs="Times New Roman"/>
          <w:lang w:val="es-MX"/>
        </w:rPr>
        <w:t xml:space="preserve"> en los primeros meses</w:t>
      </w:r>
      <w:r w:rsidRPr="000973DB">
        <w:rPr>
          <w:rFonts w:ascii="Times New Roman" w:hAnsi="Times New Roman" w:cs="Times New Roman"/>
          <w:lang w:val="es-MX"/>
        </w:rPr>
        <w:t xml:space="preserve"> </w:t>
      </w:r>
      <w:r>
        <w:rPr>
          <w:rFonts w:ascii="Times New Roman" w:hAnsi="Times New Roman" w:cs="Times New Roman"/>
          <w:lang w:val="es-MX"/>
        </w:rPr>
        <w:t>derivado que el Presupuesto para este año no fue aprobado y fue necesario realizar readecuaciones presupuestarias.</w:t>
      </w:r>
    </w:p>
    <w:p w14:paraId="637FB958" w14:textId="77777777" w:rsidR="00E02DD8" w:rsidRPr="00ED02FF" w:rsidRDefault="00E02DD8" w:rsidP="00E02DD8">
      <w:pPr>
        <w:pStyle w:val="Sinespaciado"/>
        <w:jc w:val="both"/>
        <w:rPr>
          <w:rFonts w:ascii="Times New Roman" w:hAnsi="Times New Roman" w:cs="Times New Roman"/>
          <w:lang w:val="es-MX"/>
        </w:rPr>
      </w:pPr>
    </w:p>
    <w:p w14:paraId="35F64B52" w14:textId="77777777" w:rsidR="00E02DD8" w:rsidRPr="00ED02FF" w:rsidRDefault="00E02DD8" w:rsidP="00E02DD8">
      <w:pPr>
        <w:pStyle w:val="Sinespaciado"/>
        <w:jc w:val="center"/>
        <w:rPr>
          <w:rFonts w:ascii="Times New Roman" w:hAnsi="Times New Roman" w:cs="Times New Roman"/>
          <w:b/>
          <w:sz w:val="24"/>
          <w:lang w:val="es-MX"/>
        </w:rPr>
      </w:pPr>
      <w:r w:rsidRPr="00ED02FF">
        <w:rPr>
          <w:rFonts w:ascii="Times New Roman" w:hAnsi="Times New Roman" w:cs="Times New Roman"/>
          <w:b/>
          <w:sz w:val="24"/>
          <w:lang w:val="es-MX"/>
        </w:rPr>
        <w:t>Ritmo de Ejecución del Gasto</w:t>
      </w:r>
    </w:p>
    <w:p w14:paraId="44B46746" w14:textId="77777777" w:rsidR="00E02DD8" w:rsidRPr="00243C9E" w:rsidRDefault="00C17FDF" w:rsidP="00E02DD8">
      <w:pPr>
        <w:pStyle w:val="Sinespaciado"/>
        <w:jc w:val="center"/>
        <w:rPr>
          <w:rFonts w:ascii="Times New Roman" w:hAnsi="Times New Roman" w:cs="Times New Roman"/>
          <w:sz w:val="18"/>
          <w:szCs w:val="18"/>
          <w:lang w:val="es-MX"/>
        </w:rPr>
      </w:pPr>
      <w:r w:rsidRPr="00243C9E">
        <w:rPr>
          <w:rFonts w:ascii="Times New Roman" w:hAnsi="Times New Roman" w:cs="Times New Roman"/>
          <w:noProof/>
          <w:sz w:val="18"/>
          <w:szCs w:val="18"/>
          <w:lang w:eastAsia="es-GT"/>
        </w:rPr>
        <w:drawing>
          <wp:anchor distT="0" distB="0" distL="114300" distR="114300" simplePos="0" relativeHeight="251685888" behindDoc="0" locked="0" layoutInCell="1" allowOverlap="1" wp14:anchorId="34B91C7D" wp14:editId="3C86C3B9">
            <wp:simplePos x="0" y="0"/>
            <wp:positionH relativeFrom="column">
              <wp:posOffset>-1905</wp:posOffset>
            </wp:positionH>
            <wp:positionV relativeFrom="paragraph">
              <wp:posOffset>159385</wp:posOffset>
            </wp:positionV>
            <wp:extent cx="2596515" cy="1690370"/>
            <wp:effectExtent l="0" t="0" r="0" b="5080"/>
            <wp:wrapSquare wrapText="bothSides"/>
            <wp:docPr id="23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E02DD8" w:rsidRPr="00243C9E">
        <w:rPr>
          <w:rFonts w:ascii="Times New Roman" w:hAnsi="Times New Roman" w:cs="Times New Roman"/>
          <w:sz w:val="18"/>
          <w:szCs w:val="18"/>
          <w:lang w:val="es-MX"/>
        </w:rPr>
        <w:t>Variación Interanual (%)*</w:t>
      </w:r>
    </w:p>
    <w:p w14:paraId="57EAC424" w14:textId="77777777" w:rsidR="00E02DD8" w:rsidRPr="00ED02FF" w:rsidRDefault="00E02DD8" w:rsidP="00E02DD8">
      <w:pPr>
        <w:pStyle w:val="Sinespaciado"/>
        <w:rPr>
          <w:rFonts w:ascii="Times New Roman" w:hAnsi="Times New Roman" w:cs="Times New Roman"/>
          <w:sz w:val="16"/>
          <w:lang w:val="es-MX"/>
        </w:rPr>
      </w:pPr>
      <w:r w:rsidRPr="00ED02FF">
        <w:rPr>
          <w:rFonts w:ascii="Times New Roman" w:hAnsi="Times New Roman" w:cs="Times New Roman"/>
          <w:sz w:val="16"/>
          <w:lang w:val="es-MX"/>
        </w:rPr>
        <w:t>*No incluye amortizaciones de la deuda pública</w:t>
      </w:r>
    </w:p>
    <w:p w14:paraId="64737F81" w14:textId="77777777" w:rsidR="00E02DD8" w:rsidRPr="00ED02FF" w:rsidRDefault="00E02DD8" w:rsidP="00E02DD8">
      <w:pPr>
        <w:spacing w:after="0" w:line="240" w:lineRule="auto"/>
        <w:jc w:val="both"/>
        <w:rPr>
          <w:rFonts w:ascii="Times New Roman" w:hAnsi="Times New Roman" w:cs="Times New Roman"/>
          <w:sz w:val="16"/>
        </w:rPr>
      </w:pPr>
      <w:r w:rsidRPr="00ED02FF">
        <w:rPr>
          <w:rFonts w:ascii="Times New Roman" w:hAnsi="Times New Roman" w:cs="Times New Roman"/>
          <w:sz w:val="16"/>
        </w:rPr>
        <w:t>Fuente: Dirección de Análisis y Política Fiscal</w:t>
      </w:r>
    </w:p>
    <w:p w14:paraId="3DEF5D51" w14:textId="77777777" w:rsidR="00ED02FF" w:rsidRDefault="00ED02FF" w:rsidP="00ED02FF">
      <w:pPr>
        <w:pStyle w:val="Sinespaciado"/>
        <w:jc w:val="both"/>
        <w:rPr>
          <w:rFonts w:ascii="Times New Roman" w:hAnsi="Times New Roman" w:cs="Times New Roman"/>
          <w:color w:val="000000" w:themeColor="text1"/>
          <w:lang w:val="es-MX"/>
        </w:rPr>
      </w:pPr>
      <w:r w:rsidRPr="003A1809">
        <w:rPr>
          <w:rFonts w:ascii="Times New Roman" w:hAnsi="Times New Roman" w:cs="Times New Roman"/>
          <w:color w:val="000000" w:themeColor="text1"/>
          <w:lang w:val="es-MX"/>
        </w:rPr>
        <w:t>A nivel de rubro de cuenta económica, el mayor crecimiento absoluto se reporta en</w:t>
      </w:r>
      <w:r w:rsidRPr="00A320E2">
        <w:t xml:space="preserve"> </w:t>
      </w:r>
      <w:r w:rsidRPr="00A320E2">
        <w:rPr>
          <w:rFonts w:ascii="Times New Roman" w:hAnsi="Times New Roman" w:cs="Times New Roman"/>
          <w:color w:val="000000" w:themeColor="text1"/>
          <w:lang w:val="es-MX"/>
        </w:rPr>
        <w:t xml:space="preserve">las transferencias corrientes estas reportan un crecimiento de </w:t>
      </w:r>
      <w:r>
        <w:rPr>
          <w:rFonts w:ascii="Times New Roman" w:hAnsi="Times New Roman" w:cs="Times New Roman"/>
          <w:color w:val="000000" w:themeColor="text1"/>
          <w:lang w:val="es-MX"/>
        </w:rPr>
        <w:t>32</w:t>
      </w:r>
      <w:r w:rsidRPr="00A320E2">
        <w:rPr>
          <w:rFonts w:ascii="Times New Roman" w:hAnsi="Times New Roman" w:cs="Times New Roman"/>
          <w:color w:val="000000" w:themeColor="text1"/>
          <w:lang w:val="es-MX"/>
        </w:rPr>
        <w:t>.</w:t>
      </w:r>
      <w:r>
        <w:rPr>
          <w:rFonts w:ascii="Times New Roman" w:hAnsi="Times New Roman" w:cs="Times New Roman"/>
          <w:color w:val="000000" w:themeColor="text1"/>
          <w:lang w:val="es-MX"/>
        </w:rPr>
        <w:t>9%, equivalente a Q736</w:t>
      </w:r>
      <w:r w:rsidRPr="00A320E2">
        <w:rPr>
          <w:rFonts w:ascii="Times New Roman" w:hAnsi="Times New Roman" w:cs="Times New Roman"/>
          <w:color w:val="000000" w:themeColor="text1"/>
          <w:lang w:val="es-MX"/>
        </w:rPr>
        <w:t>.</w:t>
      </w:r>
      <w:r>
        <w:rPr>
          <w:rFonts w:ascii="Times New Roman" w:hAnsi="Times New Roman" w:cs="Times New Roman"/>
          <w:color w:val="000000" w:themeColor="text1"/>
          <w:lang w:val="es-MX"/>
        </w:rPr>
        <w:t>4</w:t>
      </w:r>
      <w:r w:rsidRPr="00A320E2">
        <w:rPr>
          <w:rFonts w:ascii="Times New Roman" w:hAnsi="Times New Roman" w:cs="Times New Roman"/>
          <w:color w:val="000000" w:themeColor="text1"/>
          <w:lang w:val="es-MX"/>
        </w:rPr>
        <w:t xml:space="preserve"> millones, motivadas en parte por el aumento en la recaudación tributaria.</w:t>
      </w:r>
      <w:r>
        <w:rPr>
          <w:rFonts w:ascii="Times New Roman" w:hAnsi="Times New Roman" w:cs="Times New Roman"/>
          <w:color w:val="000000" w:themeColor="text1"/>
          <w:lang w:val="es-MX"/>
        </w:rPr>
        <w:t xml:space="preserve"> Del lado de las transferencias hacia el sector público, resalta una mayor transferencia hacia el Tribunal Supremo Electoral por Q200 millones, el cual es para el financiamiento de las Elecciones Generales del próximo año; y el Ministerio Público por Q237.1 millones. </w:t>
      </w:r>
    </w:p>
    <w:p w14:paraId="22DBC405" w14:textId="77777777" w:rsidR="00ED02FF" w:rsidRDefault="00ED02FF" w:rsidP="00ED02FF">
      <w:pPr>
        <w:pStyle w:val="Sinespaciado"/>
        <w:jc w:val="both"/>
        <w:rPr>
          <w:rFonts w:ascii="Times New Roman" w:hAnsi="Times New Roman" w:cs="Times New Roman"/>
          <w:color w:val="000000" w:themeColor="text1"/>
          <w:lang w:val="es-MX"/>
        </w:rPr>
      </w:pPr>
    </w:p>
    <w:p w14:paraId="63FBB441" w14:textId="77777777" w:rsidR="00ED02FF" w:rsidRDefault="00ED02FF" w:rsidP="00ED02FF">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Por su parte, en las transferencias al sector privado resaltan las que realiza el Ministerio de Educación hacia instituciones sin fines de lucro como las Organizaciones de Padres de Familia y Consejos Educativos que están enfocadas principalmente a la alimentación escolar. Así mismo, resalta las que realizó el Ministerio de Energía y Minas hacia empresas privadas por concepto del subsidio al gas propano por Q89.2 millones.</w:t>
      </w:r>
    </w:p>
    <w:p w14:paraId="4A3F038B" w14:textId="77777777" w:rsidR="00ED02FF" w:rsidRDefault="00ED02FF" w:rsidP="00ED02FF">
      <w:pPr>
        <w:pStyle w:val="Sinespaciado"/>
        <w:jc w:val="both"/>
        <w:rPr>
          <w:rFonts w:ascii="Times New Roman" w:hAnsi="Times New Roman" w:cs="Times New Roman"/>
          <w:color w:val="000000" w:themeColor="text1"/>
          <w:lang w:val="es-MX"/>
        </w:rPr>
      </w:pPr>
    </w:p>
    <w:p w14:paraId="6E77D4D8" w14:textId="77777777" w:rsidR="00ED02FF" w:rsidRDefault="00ED02FF" w:rsidP="00ED02FF">
      <w:pPr>
        <w:pStyle w:val="Sinespaciado"/>
        <w:jc w:val="both"/>
        <w:rPr>
          <w:rFonts w:ascii="Times New Roman" w:hAnsi="Times New Roman" w:cs="Times New Roman"/>
          <w:color w:val="000000" w:themeColor="text1"/>
          <w:lang w:val="es-MX"/>
        </w:rPr>
      </w:pPr>
      <w:r w:rsidRPr="001257DC">
        <w:rPr>
          <w:rFonts w:ascii="Times New Roman" w:hAnsi="Times New Roman" w:cs="Times New Roman"/>
          <w:color w:val="000000" w:themeColor="text1"/>
          <w:lang w:val="es-MX"/>
        </w:rPr>
        <w:lastRenderedPageBreak/>
        <w:t>Los bienes y servicios reportan una ejecución mayor en Q</w:t>
      </w:r>
      <w:r>
        <w:rPr>
          <w:rFonts w:ascii="Times New Roman" w:hAnsi="Times New Roman" w:cs="Times New Roman"/>
          <w:color w:val="000000" w:themeColor="text1"/>
          <w:lang w:val="es-MX"/>
        </w:rPr>
        <w:t>459.5</w:t>
      </w:r>
      <w:r w:rsidRPr="001257DC">
        <w:rPr>
          <w:rFonts w:ascii="Times New Roman" w:hAnsi="Times New Roman" w:cs="Times New Roman"/>
          <w:color w:val="000000" w:themeColor="text1"/>
          <w:lang w:val="es-MX"/>
        </w:rPr>
        <w:t xml:space="preserve"> millones (equivalente a un crecimiento interanual de 5</w:t>
      </w:r>
      <w:r>
        <w:rPr>
          <w:rFonts w:ascii="Times New Roman" w:hAnsi="Times New Roman" w:cs="Times New Roman"/>
          <w:color w:val="000000" w:themeColor="text1"/>
          <w:lang w:val="es-MX"/>
        </w:rPr>
        <w:t>0</w:t>
      </w:r>
      <w:r w:rsidRPr="001257DC">
        <w:rPr>
          <w:rFonts w:ascii="Times New Roman" w:hAnsi="Times New Roman" w:cs="Times New Roman"/>
          <w:color w:val="000000" w:themeColor="text1"/>
          <w:lang w:val="es-MX"/>
        </w:rPr>
        <w:t>.3%), explicado por un aumento de</w:t>
      </w:r>
      <w:r>
        <w:rPr>
          <w:rFonts w:ascii="Times New Roman" w:hAnsi="Times New Roman" w:cs="Times New Roman"/>
          <w:color w:val="000000" w:themeColor="text1"/>
          <w:lang w:val="es-MX"/>
        </w:rPr>
        <w:t xml:space="preserve"> Q249.6 millones en el Ministerio de Salud Pública y Asistencia Social, resaltando los servicios médicos y sanitarios con un aumento de Q77.5 millones y los productos medicinales y farmacéuticos con Q65.6 millones que responde en parte a la compra de la vacuna COVID-19. Asimismo, se reporta un aumento de </w:t>
      </w:r>
      <w:r w:rsidRPr="001257DC">
        <w:rPr>
          <w:rFonts w:ascii="Times New Roman" w:hAnsi="Times New Roman" w:cs="Times New Roman"/>
          <w:color w:val="000000" w:themeColor="text1"/>
          <w:lang w:val="es-MX"/>
        </w:rPr>
        <w:t>Q</w:t>
      </w:r>
      <w:r>
        <w:rPr>
          <w:rFonts w:ascii="Times New Roman" w:hAnsi="Times New Roman" w:cs="Times New Roman"/>
          <w:color w:val="000000" w:themeColor="text1"/>
          <w:lang w:val="es-MX"/>
        </w:rPr>
        <w:t>96</w:t>
      </w:r>
      <w:r w:rsidRPr="001257DC">
        <w:rPr>
          <w:rFonts w:ascii="Times New Roman" w:hAnsi="Times New Roman" w:cs="Times New Roman"/>
          <w:color w:val="000000" w:themeColor="text1"/>
          <w:lang w:val="es-MX"/>
        </w:rPr>
        <w:t>.</w:t>
      </w:r>
      <w:r>
        <w:rPr>
          <w:rFonts w:ascii="Times New Roman" w:hAnsi="Times New Roman" w:cs="Times New Roman"/>
          <w:color w:val="000000" w:themeColor="text1"/>
          <w:lang w:val="es-MX"/>
        </w:rPr>
        <w:t>4</w:t>
      </w:r>
      <w:r w:rsidRPr="001257DC">
        <w:rPr>
          <w:rFonts w:ascii="Times New Roman" w:hAnsi="Times New Roman" w:cs="Times New Roman"/>
          <w:color w:val="000000" w:themeColor="text1"/>
          <w:lang w:val="es-MX"/>
        </w:rPr>
        <w:t xml:space="preserve"> millones en el Ministerio de Comunicaciones, Infraestructura y Vivienda destinado</w:t>
      </w:r>
      <w:r>
        <w:rPr>
          <w:rFonts w:ascii="Times New Roman" w:hAnsi="Times New Roman" w:cs="Times New Roman"/>
          <w:color w:val="000000" w:themeColor="text1"/>
          <w:lang w:val="es-MX"/>
        </w:rPr>
        <w:t xml:space="preserve"> en su mayoría</w:t>
      </w:r>
      <w:r w:rsidRPr="001257DC">
        <w:rPr>
          <w:rFonts w:ascii="Times New Roman" w:hAnsi="Times New Roman" w:cs="Times New Roman"/>
          <w:color w:val="000000" w:themeColor="text1"/>
          <w:lang w:val="es-MX"/>
        </w:rPr>
        <w:t xml:space="preserve"> al mantenimiento y reparación de edificios</w:t>
      </w:r>
      <w:r>
        <w:rPr>
          <w:rFonts w:ascii="Times New Roman" w:hAnsi="Times New Roman" w:cs="Times New Roman"/>
          <w:color w:val="000000" w:themeColor="text1"/>
          <w:lang w:val="es-MX"/>
        </w:rPr>
        <w:t xml:space="preserve"> y de bienes nacionales que son de uso común. </w:t>
      </w:r>
    </w:p>
    <w:p w14:paraId="062D4B26" w14:textId="77777777" w:rsidR="00ED02FF" w:rsidRDefault="00ED02FF" w:rsidP="00ED02FF">
      <w:pPr>
        <w:pStyle w:val="Sinespaciado"/>
        <w:jc w:val="both"/>
        <w:rPr>
          <w:rFonts w:ascii="Times New Roman" w:hAnsi="Times New Roman" w:cs="Times New Roman"/>
          <w:color w:val="000000" w:themeColor="text1"/>
          <w:lang w:val="es-MX"/>
        </w:rPr>
      </w:pPr>
    </w:p>
    <w:p w14:paraId="12A89AD8" w14:textId="77777777" w:rsidR="00ED02FF" w:rsidRDefault="00ED02FF" w:rsidP="00ED02FF">
      <w:pPr>
        <w:spacing w:after="0" w:line="240" w:lineRule="auto"/>
        <w:jc w:val="both"/>
        <w:rPr>
          <w:rFonts w:ascii="Times New Roman" w:hAnsi="Times New Roman" w:cs="Times New Roman"/>
          <w:color w:val="000000" w:themeColor="text1"/>
        </w:rPr>
      </w:pPr>
      <w:r w:rsidRPr="00404683">
        <w:rPr>
          <w:rFonts w:ascii="Times New Roman" w:hAnsi="Times New Roman" w:cs="Times New Roman"/>
          <w:color w:val="000000" w:themeColor="text1"/>
        </w:rPr>
        <w:t>En lo que respecta a los intereses de la deuda interna y externa se observa un aumento de Q</w:t>
      </w:r>
      <w:r>
        <w:rPr>
          <w:rFonts w:ascii="Times New Roman" w:hAnsi="Times New Roman" w:cs="Times New Roman"/>
          <w:color w:val="000000" w:themeColor="text1"/>
        </w:rPr>
        <w:t xml:space="preserve">218.0 </w:t>
      </w:r>
      <w:r w:rsidRPr="00404683">
        <w:rPr>
          <w:rFonts w:ascii="Times New Roman" w:hAnsi="Times New Roman" w:cs="Times New Roman"/>
          <w:color w:val="000000" w:themeColor="text1"/>
        </w:rPr>
        <w:t>millones (e</w:t>
      </w:r>
      <w:r>
        <w:rPr>
          <w:rFonts w:ascii="Times New Roman" w:hAnsi="Times New Roman" w:cs="Times New Roman"/>
          <w:color w:val="000000" w:themeColor="text1"/>
        </w:rPr>
        <w:t>quivalente a un crecimiento de 18.9</w:t>
      </w:r>
      <w:r w:rsidRPr="00404683">
        <w:rPr>
          <w:rFonts w:ascii="Times New Roman" w:hAnsi="Times New Roman" w:cs="Times New Roman"/>
          <w:color w:val="000000" w:themeColor="text1"/>
        </w:rPr>
        <w:t>%). En la deuda interna se encuentra concentrado dicho aumento con Q</w:t>
      </w:r>
      <w:r>
        <w:rPr>
          <w:rFonts w:ascii="Times New Roman" w:hAnsi="Times New Roman" w:cs="Times New Roman"/>
          <w:color w:val="000000" w:themeColor="text1"/>
        </w:rPr>
        <w:t>237</w:t>
      </w:r>
      <w:r w:rsidRPr="00404683">
        <w:rPr>
          <w:rFonts w:ascii="Times New Roman" w:hAnsi="Times New Roman" w:cs="Times New Roman"/>
          <w:color w:val="000000" w:themeColor="text1"/>
        </w:rPr>
        <w:t>.</w:t>
      </w:r>
      <w:r>
        <w:rPr>
          <w:rFonts w:ascii="Times New Roman" w:hAnsi="Times New Roman" w:cs="Times New Roman"/>
          <w:color w:val="000000" w:themeColor="text1"/>
        </w:rPr>
        <w:t>7 millones,</w:t>
      </w:r>
      <w:r w:rsidRPr="003E2E08">
        <w:t xml:space="preserve"> </w:t>
      </w:r>
      <w:r>
        <w:rPr>
          <w:rFonts w:ascii="Times New Roman" w:hAnsi="Times New Roman" w:cs="Times New Roman"/>
          <w:color w:val="000000" w:themeColor="text1"/>
        </w:rPr>
        <w:t xml:space="preserve">debido a </w:t>
      </w:r>
      <w:r w:rsidRPr="003E2E08">
        <w:rPr>
          <w:rFonts w:ascii="Times New Roman" w:hAnsi="Times New Roman" w:cs="Times New Roman"/>
          <w:color w:val="000000" w:themeColor="text1"/>
        </w:rPr>
        <w:t>la mayor colocación de Bonos del Tesoro</w:t>
      </w:r>
      <w:r>
        <w:rPr>
          <w:rFonts w:ascii="Times New Roman" w:hAnsi="Times New Roman" w:cs="Times New Roman"/>
          <w:color w:val="000000" w:themeColor="text1"/>
        </w:rPr>
        <w:t xml:space="preserve"> en años anteriores, mientras que la deuda externa reporta una menor ejecución en Q19.7 millones explicado casi en su totalidad por los préstamos, como resultado de la reducción en el saldo de la deuda con préstamos externos.</w:t>
      </w:r>
    </w:p>
    <w:p w14:paraId="6949001F" w14:textId="77777777" w:rsidR="00ED02FF" w:rsidRDefault="00ED02FF" w:rsidP="00ED02FF">
      <w:pPr>
        <w:spacing w:after="0" w:line="240" w:lineRule="auto"/>
        <w:jc w:val="both"/>
        <w:rPr>
          <w:rFonts w:ascii="Times New Roman" w:hAnsi="Times New Roman" w:cs="Times New Roman"/>
          <w:color w:val="000000" w:themeColor="text1"/>
        </w:rPr>
      </w:pPr>
    </w:p>
    <w:p w14:paraId="3096932F" w14:textId="77777777" w:rsidR="00ED02FF" w:rsidRDefault="00ED02FF" w:rsidP="00ED02FF">
      <w:pPr>
        <w:spacing w:after="0" w:line="240" w:lineRule="auto"/>
        <w:jc w:val="both"/>
        <w:rPr>
          <w:rFonts w:ascii="Times New Roman" w:hAnsi="Times New Roman" w:cs="Times New Roman"/>
          <w:szCs w:val="24"/>
        </w:rPr>
      </w:pPr>
      <w:r w:rsidRPr="00E25FF7">
        <w:rPr>
          <w:rFonts w:ascii="Times New Roman" w:hAnsi="Times New Roman" w:cs="Times New Roman"/>
          <w:szCs w:val="24"/>
        </w:rPr>
        <w:t>En el rubro de las transferencias de capital se reporta un aumento de Q</w:t>
      </w:r>
      <w:r>
        <w:rPr>
          <w:rFonts w:ascii="Times New Roman" w:hAnsi="Times New Roman" w:cs="Times New Roman"/>
          <w:szCs w:val="24"/>
        </w:rPr>
        <w:t>209.8</w:t>
      </w:r>
      <w:r w:rsidRPr="00E25FF7">
        <w:rPr>
          <w:rFonts w:ascii="Times New Roman" w:hAnsi="Times New Roman" w:cs="Times New Roman"/>
          <w:szCs w:val="24"/>
        </w:rPr>
        <w:t xml:space="preserve"> millones, con un crecimiento interanual de </w:t>
      </w:r>
      <w:r>
        <w:rPr>
          <w:rFonts w:ascii="Times New Roman" w:hAnsi="Times New Roman" w:cs="Times New Roman"/>
          <w:szCs w:val="24"/>
        </w:rPr>
        <w:t>16</w:t>
      </w:r>
      <w:r w:rsidRPr="00E25FF7">
        <w:rPr>
          <w:rFonts w:ascii="Times New Roman" w:hAnsi="Times New Roman" w:cs="Times New Roman"/>
          <w:szCs w:val="24"/>
        </w:rPr>
        <w:t>.</w:t>
      </w:r>
      <w:r>
        <w:rPr>
          <w:rFonts w:ascii="Times New Roman" w:hAnsi="Times New Roman" w:cs="Times New Roman"/>
          <w:szCs w:val="24"/>
        </w:rPr>
        <w:t xml:space="preserve">0%, explicado por el alza en las transferencias a las municipalidades que aumentaron en Q200.1 millones. </w:t>
      </w:r>
    </w:p>
    <w:p w14:paraId="1B993776" w14:textId="77777777" w:rsidR="00ED02FF" w:rsidRDefault="00ED02FF" w:rsidP="00ED02FF">
      <w:pPr>
        <w:spacing w:after="0" w:line="240" w:lineRule="auto"/>
        <w:jc w:val="both"/>
        <w:rPr>
          <w:rFonts w:ascii="Times New Roman" w:hAnsi="Times New Roman" w:cs="Times New Roman"/>
          <w:szCs w:val="24"/>
        </w:rPr>
      </w:pPr>
    </w:p>
    <w:p w14:paraId="5FF164FC" w14:textId="77777777" w:rsidR="00ED02FF" w:rsidRPr="00BD79AE" w:rsidRDefault="00ED02FF" w:rsidP="00ED02FF">
      <w:pPr>
        <w:pStyle w:val="Sinespaciado"/>
        <w:jc w:val="both"/>
        <w:rPr>
          <w:rFonts w:ascii="Times New Roman" w:hAnsi="Times New Roman" w:cs="Times New Roman"/>
          <w:lang w:val="es-MX"/>
        </w:rPr>
      </w:pPr>
      <w:r>
        <w:rPr>
          <w:rFonts w:ascii="Times New Roman" w:hAnsi="Times New Roman" w:cs="Times New Roman"/>
          <w:color w:val="000000" w:themeColor="text1"/>
          <w:lang w:val="es-MX"/>
        </w:rPr>
        <w:t xml:space="preserve">En </w:t>
      </w:r>
      <w:r w:rsidRPr="003A1809">
        <w:rPr>
          <w:rFonts w:ascii="Times New Roman" w:hAnsi="Times New Roman" w:cs="Times New Roman"/>
          <w:color w:val="000000" w:themeColor="text1"/>
          <w:lang w:val="es-MX"/>
        </w:rPr>
        <w:t>l</w:t>
      </w:r>
      <w:r>
        <w:rPr>
          <w:rFonts w:ascii="Times New Roman" w:hAnsi="Times New Roman" w:cs="Times New Roman"/>
          <w:color w:val="000000" w:themeColor="text1"/>
          <w:lang w:val="es-MX"/>
        </w:rPr>
        <w:t>a inversión real directa se reporta</w:t>
      </w:r>
      <w:r w:rsidRPr="00D75E5C">
        <w:rPr>
          <w:rFonts w:ascii="Times New Roman" w:hAnsi="Times New Roman" w:cs="Times New Roman"/>
          <w:color w:val="000000" w:themeColor="text1"/>
          <w:lang w:val="es-MX"/>
        </w:rPr>
        <w:t xml:space="preserve"> un </w:t>
      </w:r>
      <w:r>
        <w:rPr>
          <w:rFonts w:ascii="Times New Roman" w:hAnsi="Times New Roman" w:cs="Times New Roman"/>
          <w:color w:val="000000" w:themeColor="text1"/>
          <w:lang w:val="es-MX"/>
        </w:rPr>
        <w:t>aumento de Q197</w:t>
      </w:r>
      <w:r w:rsidRPr="00D75E5C">
        <w:rPr>
          <w:rFonts w:ascii="Times New Roman" w:hAnsi="Times New Roman" w:cs="Times New Roman"/>
          <w:color w:val="000000" w:themeColor="text1"/>
          <w:lang w:val="es-MX"/>
        </w:rPr>
        <w:t>.</w:t>
      </w:r>
      <w:r>
        <w:rPr>
          <w:rFonts w:ascii="Times New Roman" w:hAnsi="Times New Roman" w:cs="Times New Roman"/>
          <w:color w:val="000000" w:themeColor="text1"/>
          <w:lang w:val="es-MX"/>
        </w:rPr>
        <w:t>3</w:t>
      </w:r>
      <w:r w:rsidRPr="00D75E5C">
        <w:rPr>
          <w:rFonts w:ascii="Times New Roman" w:hAnsi="Times New Roman" w:cs="Times New Roman"/>
          <w:color w:val="000000" w:themeColor="text1"/>
          <w:lang w:val="es-MX"/>
        </w:rPr>
        <w:t xml:space="preserve"> millones</w:t>
      </w:r>
      <w:r>
        <w:rPr>
          <w:rFonts w:ascii="Times New Roman" w:hAnsi="Times New Roman" w:cs="Times New Roman"/>
          <w:color w:val="000000" w:themeColor="text1"/>
          <w:lang w:val="es-MX"/>
        </w:rPr>
        <w:t xml:space="preserve"> y un crecimiento interanual de Q214.6%</w:t>
      </w:r>
      <w:r w:rsidRPr="00D75E5C">
        <w:rPr>
          <w:rFonts w:ascii="Times New Roman" w:hAnsi="Times New Roman" w:cs="Times New Roman"/>
          <w:color w:val="000000" w:themeColor="text1"/>
          <w:lang w:val="es-MX"/>
        </w:rPr>
        <w:t xml:space="preserve">, </w:t>
      </w:r>
      <w:r>
        <w:rPr>
          <w:rFonts w:ascii="Times New Roman" w:hAnsi="Times New Roman" w:cs="Times New Roman"/>
          <w:color w:val="000000" w:themeColor="text1"/>
          <w:lang w:val="es-MX"/>
        </w:rPr>
        <w:t xml:space="preserve">la </w:t>
      </w:r>
      <w:r w:rsidRPr="00D75E5C">
        <w:rPr>
          <w:rFonts w:ascii="Times New Roman" w:hAnsi="Times New Roman" w:cs="Times New Roman"/>
          <w:color w:val="000000" w:themeColor="text1"/>
          <w:lang w:val="es-MX"/>
        </w:rPr>
        <w:t xml:space="preserve">entidad que </w:t>
      </w:r>
      <w:r>
        <w:rPr>
          <w:rFonts w:ascii="Times New Roman" w:hAnsi="Times New Roman" w:cs="Times New Roman"/>
          <w:color w:val="000000" w:themeColor="text1"/>
          <w:lang w:val="es-MX"/>
        </w:rPr>
        <w:t>suma en este aumento es</w:t>
      </w:r>
      <w:r w:rsidRPr="00D75E5C">
        <w:rPr>
          <w:rFonts w:ascii="Times New Roman" w:hAnsi="Times New Roman" w:cs="Times New Roman"/>
          <w:color w:val="000000" w:themeColor="text1"/>
          <w:lang w:val="es-MX"/>
        </w:rPr>
        <w:t xml:space="preserve"> el Mi</w:t>
      </w:r>
      <w:r>
        <w:rPr>
          <w:rFonts w:ascii="Times New Roman" w:hAnsi="Times New Roman" w:cs="Times New Roman"/>
          <w:color w:val="000000" w:themeColor="text1"/>
          <w:lang w:val="es-MX"/>
        </w:rPr>
        <w:t xml:space="preserve">nisterio de Comunicaciones, por el mantenimiento a la red vial pavimentada, siendo la entidad que reporta el </w:t>
      </w:r>
      <w:r w:rsidRPr="00BD79AE">
        <w:rPr>
          <w:rFonts w:ascii="Times New Roman" w:hAnsi="Times New Roman" w:cs="Times New Roman"/>
          <w:lang w:val="es-MX"/>
        </w:rPr>
        <w:t>crecimiento interanual más importante (97.8%), solo después de Energía y Minas.</w:t>
      </w:r>
    </w:p>
    <w:p w14:paraId="4ABBFD73" w14:textId="77777777" w:rsidR="00ED02FF" w:rsidRPr="00BD79AE" w:rsidRDefault="00ED02FF" w:rsidP="00ED02FF">
      <w:pPr>
        <w:pStyle w:val="Sinespaciado"/>
        <w:jc w:val="both"/>
        <w:rPr>
          <w:rFonts w:ascii="Times New Roman" w:hAnsi="Times New Roman" w:cs="Times New Roman"/>
          <w:lang w:val="es-MX"/>
        </w:rPr>
      </w:pPr>
    </w:p>
    <w:p w14:paraId="28F6FFD1" w14:textId="77777777" w:rsidR="00ED02FF" w:rsidRPr="00BD79AE" w:rsidRDefault="00ED02FF" w:rsidP="00ED02FF">
      <w:pPr>
        <w:spacing w:line="240" w:lineRule="auto"/>
        <w:jc w:val="both"/>
        <w:rPr>
          <w:rFonts w:ascii="Times New Roman" w:hAnsi="Times New Roman" w:cs="Times New Roman"/>
        </w:rPr>
      </w:pPr>
      <w:r w:rsidRPr="00BD79AE">
        <w:rPr>
          <w:rFonts w:ascii="Times New Roman" w:hAnsi="Times New Roman" w:cs="Times New Roman"/>
        </w:rPr>
        <w:t>Por su parte, las remuneraciones reportan un aumento bastante moderado de Q96.4 millones (crecimiento interanual de 2.1%).</w:t>
      </w:r>
    </w:p>
    <w:p w14:paraId="26C0C301" w14:textId="77777777" w:rsidR="00AD7C37" w:rsidRDefault="00ED02FF" w:rsidP="00BD79AE">
      <w:pPr>
        <w:spacing w:after="0" w:line="240" w:lineRule="auto"/>
        <w:jc w:val="both"/>
        <w:rPr>
          <w:rFonts w:ascii="Times New Roman" w:hAnsi="Times New Roman" w:cs="Times New Roman"/>
        </w:rPr>
      </w:pPr>
      <w:r w:rsidRPr="00BD79AE">
        <w:rPr>
          <w:rFonts w:ascii="Times New Roman" w:hAnsi="Times New Roman" w:cs="Times New Roman"/>
        </w:rPr>
        <w:t>Por último, las prestaciones a la seguridad social reportan un crecimiento de 2.8%, equivalente a Q22.6 millones.</w:t>
      </w:r>
    </w:p>
    <w:p w14:paraId="4C05BB2E" w14:textId="77777777" w:rsidR="00BD79AE" w:rsidRPr="00BD79AE" w:rsidRDefault="00BD79AE" w:rsidP="00BD79AE">
      <w:pPr>
        <w:spacing w:after="0" w:line="240" w:lineRule="auto"/>
        <w:jc w:val="both"/>
        <w:rPr>
          <w:rFonts w:ascii="Times New Roman" w:hAnsi="Times New Roman" w:cs="Times New Roman"/>
        </w:rPr>
      </w:pPr>
    </w:p>
    <w:p w14:paraId="12EAA7EF" w14:textId="77777777" w:rsidR="00E02DD8" w:rsidRPr="00BD79AE" w:rsidRDefault="00E02DD8" w:rsidP="00E02DD8">
      <w:pPr>
        <w:pStyle w:val="Sinespaciado"/>
        <w:jc w:val="center"/>
        <w:rPr>
          <w:sz w:val="24"/>
        </w:rPr>
      </w:pPr>
      <w:r w:rsidRPr="00BD79AE">
        <w:rPr>
          <w:rFonts w:ascii="Times New Roman" w:hAnsi="Times New Roman" w:cs="Times New Roman"/>
          <w:b/>
          <w:sz w:val="24"/>
          <w:lang w:val="es-MX"/>
        </w:rPr>
        <w:t>Ejecución por rubro de Cuenta Económica</w:t>
      </w:r>
    </w:p>
    <w:p w14:paraId="4F393598" w14:textId="77777777" w:rsidR="00E02DD8" w:rsidRPr="00243C9E" w:rsidRDefault="00E02DD8" w:rsidP="00E02DD8">
      <w:pPr>
        <w:pStyle w:val="Sinespaciado"/>
        <w:jc w:val="center"/>
        <w:rPr>
          <w:rFonts w:ascii="Times New Roman" w:hAnsi="Times New Roman" w:cs="Times New Roman"/>
          <w:sz w:val="18"/>
          <w:szCs w:val="18"/>
          <w:lang w:val="es-MX"/>
        </w:rPr>
      </w:pPr>
      <w:r w:rsidRPr="00243C9E">
        <w:rPr>
          <w:rFonts w:ascii="Times New Roman" w:hAnsi="Times New Roman" w:cs="Times New Roman"/>
          <w:sz w:val="18"/>
          <w:szCs w:val="18"/>
          <w:lang w:val="es-MX"/>
        </w:rPr>
        <w:t>2022 – 2021</w:t>
      </w:r>
    </w:p>
    <w:p w14:paraId="60C9E3C8" w14:textId="77777777" w:rsidR="00E02DD8" w:rsidRPr="00243C9E" w:rsidRDefault="00E02DD8" w:rsidP="00E02DD8">
      <w:pPr>
        <w:pStyle w:val="Sinespaciado"/>
        <w:jc w:val="center"/>
        <w:rPr>
          <w:rFonts w:ascii="Times New Roman" w:hAnsi="Times New Roman" w:cs="Times New Roman"/>
          <w:sz w:val="18"/>
          <w:szCs w:val="18"/>
          <w:lang w:val="es-MX"/>
        </w:rPr>
      </w:pPr>
      <w:r w:rsidRPr="00243C9E">
        <w:rPr>
          <w:rFonts w:ascii="Times New Roman" w:hAnsi="Times New Roman" w:cs="Times New Roman"/>
          <w:sz w:val="18"/>
          <w:szCs w:val="18"/>
          <w:lang w:val="es-MX"/>
        </w:rPr>
        <w:t>Variación absoluta interanual</w:t>
      </w:r>
    </w:p>
    <w:p w14:paraId="3C344826" w14:textId="77777777" w:rsidR="00E02DD8" w:rsidRPr="00BD79AE" w:rsidRDefault="00C17FDF" w:rsidP="00E02DD8">
      <w:pPr>
        <w:pStyle w:val="Sinespaciado"/>
        <w:jc w:val="center"/>
        <w:rPr>
          <w:rFonts w:ascii="Times New Roman" w:hAnsi="Times New Roman" w:cs="Times New Roman"/>
          <w:sz w:val="18"/>
          <w:lang w:val="es-MX"/>
        </w:rPr>
      </w:pPr>
      <w:r w:rsidRPr="00BD79AE">
        <w:rPr>
          <w:rFonts w:ascii="Times New Roman" w:hAnsi="Times New Roman" w:cs="Times New Roman"/>
          <w:noProof/>
          <w:sz w:val="18"/>
          <w:shd w:val="clear" w:color="auto" w:fill="2F5496" w:themeFill="accent5" w:themeFillShade="BF"/>
          <w:lang w:eastAsia="es-GT"/>
        </w:rPr>
        <w:drawing>
          <wp:inline distT="0" distB="0" distL="0" distR="0" wp14:anchorId="190F61A8" wp14:editId="7E222E83">
            <wp:extent cx="2581275" cy="2286000"/>
            <wp:effectExtent l="0" t="0" r="0" b="0"/>
            <wp:docPr id="2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C0A123" w14:textId="77777777" w:rsidR="00E02DD8" w:rsidRPr="00BD79AE" w:rsidRDefault="00E02DD8" w:rsidP="00E02DD8">
      <w:pPr>
        <w:spacing w:after="0" w:line="240" w:lineRule="auto"/>
        <w:jc w:val="both"/>
        <w:rPr>
          <w:rFonts w:ascii="Times New Roman" w:hAnsi="Times New Roman" w:cs="Times New Roman"/>
          <w:sz w:val="16"/>
          <w:szCs w:val="16"/>
        </w:rPr>
      </w:pPr>
      <w:r w:rsidRPr="00BD79AE">
        <w:rPr>
          <w:rFonts w:ascii="Times New Roman" w:hAnsi="Times New Roman" w:cs="Times New Roman"/>
          <w:sz w:val="16"/>
          <w:szCs w:val="16"/>
        </w:rPr>
        <w:t>Fuente: Dirección de Análisis y Política Fiscal</w:t>
      </w:r>
      <w:r w:rsidR="00AD7C37" w:rsidRPr="00BD79AE">
        <w:rPr>
          <w:rFonts w:ascii="Times New Roman" w:hAnsi="Times New Roman" w:cs="Times New Roman"/>
          <w:sz w:val="16"/>
          <w:szCs w:val="16"/>
        </w:rPr>
        <w:t>.</w:t>
      </w:r>
    </w:p>
    <w:p w14:paraId="44F2928F" w14:textId="77777777" w:rsidR="00ED02FF" w:rsidRPr="00BD79AE" w:rsidRDefault="00ED02FF" w:rsidP="0067690E">
      <w:pPr>
        <w:pStyle w:val="Sinespaciado"/>
        <w:jc w:val="both"/>
        <w:rPr>
          <w:rFonts w:ascii="Times New Roman" w:hAnsi="Times New Roman" w:cs="Times New Roman"/>
          <w:lang w:val="es-MX"/>
        </w:rPr>
      </w:pPr>
    </w:p>
    <w:p w14:paraId="28ED3F6F" w14:textId="77777777" w:rsidR="00E02DD8" w:rsidRPr="00BD79AE" w:rsidRDefault="00BD79AE" w:rsidP="0067690E">
      <w:pPr>
        <w:pStyle w:val="Sinespaciado"/>
        <w:jc w:val="both"/>
        <w:rPr>
          <w:rFonts w:ascii="Times New Roman" w:hAnsi="Times New Roman" w:cs="Times New Roman"/>
          <w:lang w:val="es-MX"/>
        </w:rPr>
      </w:pPr>
      <w:r w:rsidRPr="00BD79AE">
        <w:rPr>
          <w:rFonts w:ascii="Times New Roman" w:hAnsi="Times New Roman" w:cs="Times New Roman"/>
          <w:lang w:val="es-MX"/>
        </w:rPr>
        <w:t>En cuanto al gasto total, el cual incluye amortizaciones de la deuda pública, se situó en Q13,697.6 millones, con un grado de ejecución de 12.9% y una variación interanual de 15.8%. Este grado de ejecución se encuentra por arriba de la ejecución promedio de los últimos 5 años (12.2%) y es superior a la reportada en cada uno de los años anteriores.</w:t>
      </w:r>
      <w:r w:rsidR="00E02DD8" w:rsidRPr="00BD79AE">
        <w:rPr>
          <w:rFonts w:ascii="Times New Roman" w:hAnsi="Times New Roman" w:cs="Times New Roman"/>
          <w:lang w:val="es-MX"/>
        </w:rPr>
        <w:t xml:space="preserve"> </w:t>
      </w:r>
    </w:p>
    <w:p w14:paraId="30A743BE" w14:textId="77777777" w:rsidR="0067690E" w:rsidRPr="00BD79AE" w:rsidRDefault="0067690E" w:rsidP="00BD79AE">
      <w:pPr>
        <w:spacing w:after="0" w:line="240" w:lineRule="auto"/>
        <w:rPr>
          <w:rFonts w:ascii="Times New Roman" w:hAnsi="Times New Roman" w:cs="Times New Roman"/>
          <w:b/>
          <w:lang w:val="es-MX"/>
        </w:rPr>
      </w:pPr>
    </w:p>
    <w:p w14:paraId="1BDE8F44" w14:textId="77777777" w:rsidR="00E02DD8" w:rsidRPr="00BD79AE" w:rsidRDefault="00E02DD8" w:rsidP="00E02DD8">
      <w:pPr>
        <w:spacing w:after="0" w:line="240" w:lineRule="auto"/>
        <w:jc w:val="center"/>
        <w:rPr>
          <w:rFonts w:ascii="Times New Roman" w:hAnsi="Times New Roman" w:cs="Times New Roman"/>
          <w:b/>
          <w:lang w:val="es-MX"/>
        </w:rPr>
      </w:pPr>
      <w:r w:rsidRPr="00BD79AE">
        <w:rPr>
          <w:rFonts w:ascii="Times New Roman" w:hAnsi="Times New Roman" w:cs="Times New Roman"/>
          <w:b/>
          <w:lang w:val="es-MX"/>
        </w:rPr>
        <w:t>Grado de Ejecución de los últimos 5 años</w:t>
      </w:r>
    </w:p>
    <w:p w14:paraId="442AE2DE" w14:textId="77777777" w:rsidR="00E02DD8" w:rsidRPr="00243C9E" w:rsidRDefault="0067690E" w:rsidP="00E02DD8">
      <w:pPr>
        <w:pStyle w:val="Sinespaciado"/>
        <w:jc w:val="center"/>
        <w:rPr>
          <w:rFonts w:ascii="Times New Roman" w:hAnsi="Times New Roman" w:cs="Times New Roman"/>
          <w:sz w:val="18"/>
          <w:szCs w:val="18"/>
          <w:lang w:val="es-MX"/>
        </w:rPr>
      </w:pPr>
      <w:r w:rsidRPr="00243C9E">
        <w:rPr>
          <w:rFonts w:ascii="Times New Roman" w:hAnsi="Times New Roman" w:cs="Times New Roman"/>
          <w:sz w:val="18"/>
          <w:szCs w:val="18"/>
          <w:lang w:val="es-MX"/>
        </w:rPr>
        <w:t>Al 28</w:t>
      </w:r>
      <w:r w:rsidR="00E02DD8" w:rsidRPr="00243C9E">
        <w:rPr>
          <w:rFonts w:ascii="Times New Roman" w:hAnsi="Times New Roman" w:cs="Times New Roman"/>
          <w:sz w:val="18"/>
          <w:szCs w:val="18"/>
          <w:lang w:val="es-MX"/>
        </w:rPr>
        <w:t xml:space="preserve"> de </w:t>
      </w:r>
      <w:r w:rsidRPr="00243C9E">
        <w:rPr>
          <w:rFonts w:ascii="Times New Roman" w:hAnsi="Times New Roman" w:cs="Times New Roman"/>
          <w:sz w:val="18"/>
          <w:szCs w:val="18"/>
          <w:lang w:val="es-MX"/>
        </w:rPr>
        <w:t>febr</w:t>
      </w:r>
      <w:r w:rsidR="00E02DD8" w:rsidRPr="00243C9E">
        <w:rPr>
          <w:rFonts w:ascii="Times New Roman" w:hAnsi="Times New Roman" w:cs="Times New Roman"/>
          <w:sz w:val="18"/>
          <w:szCs w:val="18"/>
          <w:lang w:val="es-MX"/>
        </w:rPr>
        <w:t>ero de cada año</w:t>
      </w:r>
    </w:p>
    <w:p w14:paraId="3C4E3D35" w14:textId="77777777" w:rsidR="00E02DD8" w:rsidRPr="00243C9E" w:rsidRDefault="0067690E" w:rsidP="00E02DD8">
      <w:pPr>
        <w:pStyle w:val="Sinespaciado"/>
        <w:jc w:val="center"/>
        <w:rPr>
          <w:rFonts w:ascii="Times New Roman" w:hAnsi="Times New Roman" w:cs="Times New Roman"/>
          <w:sz w:val="18"/>
          <w:szCs w:val="18"/>
          <w:lang w:val="es-MX"/>
        </w:rPr>
      </w:pPr>
      <w:r w:rsidRPr="00243C9E">
        <w:rPr>
          <w:rFonts w:ascii="Times New Roman" w:hAnsi="Times New Roman" w:cs="Times New Roman"/>
          <w:noProof/>
          <w:sz w:val="18"/>
          <w:szCs w:val="18"/>
          <w:lang w:eastAsia="es-GT"/>
        </w:rPr>
        <w:drawing>
          <wp:anchor distT="0" distB="0" distL="114300" distR="114300" simplePos="0" relativeHeight="251687936" behindDoc="0" locked="0" layoutInCell="1" allowOverlap="1" wp14:anchorId="005F588C" wp14:editId="64D49733">
            <wp:simplePos x="0" y="0"/>
            <wp:positionH relativeFrom="column">
              <wp:posOffset>-5080</wp:posOffset>
            </wp:positionH>
            <wp:positionV relativeFrom="paragraph">
              <wp:posOffset>163830</wp:posOffset>
            </wp:positionV>
            <wp:extent cx="2604770" cy="1457325"/>
            <wp:effectExtent l="0" t="0" r="5080" b="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E02DD8" w:rsidRPr="00243C9E">
        <w:rPr>
          <w:rFonts w:ascii="Times New Roman" w:hAnsi="Times New Roman" w:cs="Times New Roman"/>
          <w:sz w:val="18"/>
          <w:szCs w:val="18"/>
          <w:lang w:val="es-MX"/>
        </w:rPr>
        <w:t>Cifras en porcentajes</w:t>
      </w:r>
    </w:p>
    <w:p w14:paraId="208EFCF0" w14:textId="77777777" w:rsidR="00E02DD8" w:rsidRPr="00BD79AE" w:rsidRDefault="00E02DD8" w:rsidP="00E02DD8">
      <w:pPr>
        <w:spacing w:after="0" w:line="240" w:lineRule="auto"/>
        <w:jc w:val="both"/>
        <w:rPr>
          <w:rFonts w:ascii="Times New Roman" w:hAnsi="Times New Roman" w:cs="Times New Roman"/>
          <w:sz w:val="16"/>
        </w:rPr>
      </w:pPr>
      <w:r w:rsidRPr="00BD79AE">
        <w:rPr>
          <w:rFonts w:ascii="Times New Roman" w:hAnsi="Times New Roman" w:cs="Times New Roman"/>
          <w:sz w:val="16"/>
        </w:rPr>
        <w:t>Fuente: Dirección de Análisis y Política Fiscal</w:t>
      </w:r>
      <w:r w:rsidR="00AD7C37" w:rsidRPr="00BD79AE">
        <w:rPr>
          <w:rFonts w:ascii="Times New Roman" w:hAnsi="Times New Roman" w:cs="Times New Roman"/>
          <w:sz w:val="16"/>
        </w:rPr>
        <w:t>.</w:t>
      </w:r>
    </w:p>
    <w:p w14:paraId="288A3F22" w14:textId="77777777" w:rsidR="00E02DD8" w:rsidRPr="0055536A" w:rsidRDefault="00E02DD8" w:rsidP="00E02DD8">
      <w:pPr>
        <w:pStyle w:val="Sinespaciado"/>
        <w:jc w:val="both"/>
        <w:rPr>
          <w:rFonts w:ascii="Times New Roman" w:hAnsi="Times New Roman" w:cs="Times New Roman"/>
          <w:color w:val="FF0000"/>
          <w:sz w:val="18"/>
          <w:lang w:val="es-MX"/>
        </w:rPr>
      </w:pPr>
    </w:p>
    <w:p w14:paraId="5AA4BAD1" w14:textId="77777777" w:rsidR="00243C9E" w:rsidRPr="00CF4FB4" w:rsidRDefault="00243C9E" w:rsidP="00243C9E">
      <w:pPr>
        <w:pStyle w:val="Sinespaciado"/>
        <w:jc w:val="both"/>
        <w:rPr>
          <w:rFonts w:ascii="Times New Roman" w:hAnsi="Times New Roman" w:cs="Times New Roman"/>
        </w:rPr>
      </w:pPr>
      <w:r>
        <w:rPr>
          <w:rFonts w:ascii="Times New Roman" w:hAnsi="Times New Roman" w:cs="Times New Roman"/>
        </w:rPr>
        <w:t>A nivel del gasto público por entidades, las que muestran el mayor nivel de ejecución son: E</w:t>
      </w:r>
      <w:r w:rsidRPr="00D14B59">
        <w:rPr>
          <w:rFonts w:ascii="Times New Roman" w:hAnsi="Times New Roman" w:cs="Times New Roman"/>
        </w:rPr>
        <w:t>nergía y Minas (</w:t>
      </w:r>
      <w:r>
        <w:rPr>
          <w:rFonts w:ascii="Times New Roman" w:hAnsi="Times New Roman" w:cs="Times New Roman"/>
        </w:rPr>
        <w:t>50</w:t>
      </w:r>
      <w:r w:rsidRPr="00D14B59">
        <w:rPr>
          <w:rFonts w:ascii="Times New Roman" w:hAnsi="Times New Roman" w:cs="Times New Roman"/>
        </w:rPr>
        <w:t>.</w:t>
      </w:r>
      <w:r>
        <w:rPr>
          <w:rFonts w:ascii="Times New Roman" w:hAnsi="Times New Roman" w:cs="Times New Roman"/>
        </w:rPr>
        <w:t>5</w:t>
      </w:r>
      <w:r w:rsidRPr="00D14B59">
        <w:rPr>
          <w:rFonts w:ascii="Times New Roman" w:hAnsi="Times New Roman" w:cs="Times New Roman"/>
        </w:rPr>
        <w:t>%),</w:t>
      </w:r>
      <w:r>
        <w:rPr>
          <w:rFonts w:ascii="Times New Roman" w:hAnsi="Times New Roman" w:cs="Times New Roman"/>
        </w:rPr>
        <w:t xml:space="preserve"> </w:t>
      </w:r>
      <w:r w:rsidRPr="00D14B59">
        <w:rPr>
          <w:rFonts w:ascii="Times New Roman" w:hAnsi="Times New Roman" w:cs="Times New Roman"/>
        </w:rPr>
        <w:t>Educación (</w:t>
      </w:r>
      <w:r>
        <w:rPr>
          <w:rFonts w:ascii="Times New Roman" w:hAnsi="Times New Roman" w:cs="Times New Roman"/>
        </w:rPr>
        <w:t>16</w:t>
      </w:r>
      <w:r w:rsidRPr="00D14B59">
        <w:rPr>
          <w:rFonts w:ascii="Times New Roman" w:hAnsi="Times New Roman" w:cs="Times New Roman"/>
        </w:rPr>
        <w:t>.</w:t>
      </w:r>
      <w:r>
        <w:rPr>
          <w:rFonts w:ascii="Times New Roman" w:hAnsi="Times New Roman" w:cs="Times New Roman"/>
        </w:rPr>
        <w:t>5</w:t>
      </w:r>
      <w:r w:rsidRPr="00D14B59">
        <w:rPr>
          <w:rFonts w:ascii="Times New Roman" w:hAnsi="Times New Roman" w:cs="Times New Roman"/>
        </w:rPr>
        <w:t>%),</w:t>
      </w:r>
      <w:r w:rsidRPr="00D14B59">
        <w:t xml:space="preserve"> </w:t>
      </w:r>
      <w:r w:rsidRPr="00D14B59">
        <w:rPr>
          <w:rFonts w:ascii="Times New Roman" w:hAnsi="Times New Roman" w:cs="Times New Roman"/>
        </w:rPr>
        <w:t>P</w:t>
      </w:r>
      <w:r>
        <w:rPr>
          <w:rFonts w:ascii="Times New Roman" w:hAnsi="Times New Roman" w:cs="Times New Roman"/>
        </w:rPr>
        <w:t>GN (15.0%), P</w:t>
      </w:r>
      <w:r w:rsidRPr="00D14B59">
        <w:rPr>
          <w:rFonts w:ascii="Times New Roman" w:hAnsi="Times New Roman" w:cs="Times New Roman"/>
        </w:rPr>
        <w:t>residencia (</w:t>
      </w:r>
      <w:r>
        <w:rPr>
          <w:rFonts w:ascii="Times New Roman" w:hAnsi="Times New Roman" w:cs="Times New Roman"/>
        </w:rPr>
        <w:t>14.2</w:t>
      </w:r>
      <w:r w:rsidRPr="00D14B59">
        <w:rPr>
          <w:rFonts w:ascii="Times New Roman" w:hAnsi="Times New Roman" w:cs="Times New Roman"/>
        </w:rPr>
        <w:t>%)</w:t>
      </w:r>
      <w:r>
        <w:rPr>
          <w:rFonts w:ascii="Times New Roman" w:hAnsi="Times New Roman" w:cs="Times New Roman"/>
        </w:rPr>
        <w:t xml:space="preserve">, </w:t>
      </w:r>
      <w:r w:rsidRPr="00D14B59">
        <w:rPr>
          <w:rFonts w:ascii="Times New Roman" w:hAnsi="Times New Roman" w:cs="Times New Roman"/>
        </w:rPr>
        <w:t>Gobernación (</w:t>
      </w:r>
      <w:r>
        <w:rPr>
          <w:rFonts w:ascii="Times New Roman" w:hAnsi="Times New Roman" w:cs="Times New Roman"/>
        </w:rPr>
        <w:t>12</w:t>
      </w:r>
      <w:r w:rsidRPr="00D14B59">
        <w:rPr>
          <w:rFonts w:ascii="Times New Roman" w:hAnsi="Times New Roman" w:cs="Times New Roman"/>
        </w:rPr>
        <w:t>.</w:t>
      </w:r>
      <w:r>
        <w:rPr>
          <w:rFonts w:ascii="Times New Roman" w:hAnsi="Times New Roman" w:cs="Times New Roman"/>
        </w:rPr>
        <w:t xml:space="preserve">9%) y Obligaciones (12.9%) </w:t>
      </w:r>
      <w:r w:rsidRPr="00CF4FB4">
        <w:rPr>
          <w:rFonts w:ascii="Times New Roman" w:hAnsi="Times New Roman" w:cs="Times New Roman"/>
        </w:rPr>
        <w:lastRenderedPageBreak/>
        <w:t>todas estas entidades se encuentran por arriba de la ejecución institucional total (</w:t>
      </w:r>
      <w:r>
        <w:rPr>
          <w:rFonts w:ascii="Times New Roman" w:hAnsi="Times New Roman" w:cs="Times New Roman"/>
        </w:rPr>
        <w:t>12</w:t>
      </w:r>
      <w:r w:rsidRPr="00CF4FB4">
        <w:rPr>
          <w:rFonts w:ascii="Times New Roman" w:hAnsi="Times New Roman" w:cs="Times New Roman"/>
        </w:rPr>
        <w:t>.</w:t>
      </w:r>
      <w:r>
        <w:rPr>
          <w:rFonts w:ascii="Times New Roman" w:hAnsi="Times New Roman" w:cs="Times New Roman"/>
        </w:rPr>
        <w:t>9</w:t>
      </w:r>
      <w:r w:rsidRPr="00CF4FB4">
        <w:rPr>
          <w:rFonts w:ascii="Times New Roman" w:hAnsi="Times New Roman" w:cs="Times New Roman"/>
        </w:rPr>
        <w:t>%).</w:t>
      </w:r>
    </w:p>
    <w:p w14:paraId="7C9FB7FE" w14:textId="77777777" w:rsidR="00243C9E" w:rsidRPr="00094C53" w:rsidRDefault="00243C9E" w:rsidP="00243C9E">
      <w:pPr>
        <w:pStyle w:val="Sinespaciado"/>
        <w:jc w:val="both"/>
        <w:rPr>
          <w:rFonts w:ascii="Times New Roman" w:hAnsi="Times New Roman" w:cs="Times New Roman"/>
          <w:sz w:val="18"/>
        </w:rPr>
      </w:pPr>
    </w:p>
    <w:p w14:paraId="166283D6" w14:textId="77777777" w:rsidR="00243C9E" w:rsidRDefault="00243C9E" w:rsidP="00243C9E">
      <w:pPr>
        <w:pStyle w:val="Sinespaciado"/>
        <w:jc w:val="both"/>
        <w:rPr>
          <w:rFonts w:ascii="Times New Roman" w:hAnsi="Times New Roman" w:cs="Times New Roman"/>
        </w:rPr>
      </w:pPr>
      <w:r>
        <w:rPr>
          <w:rFonts w:ascii="Times New Roman" w:hAnsi="Times New Roman" w:cs="Times New Roman"/>
        </w:rPr>
        <w:t>Resalta el caso del Ministerio de Energía y Minas por el alto grado de ejecución mostrado, el cual responde al subsidio a las empresas que distribuyen gas propano, la empresa que ha recibido la mayor transferencia por este concepto es Zeta Gas con Q42.4 millones, y en menor monto Tropigas, Gas Único, Gas Metropolitano, entre otras.</w:t>
      </w:r>
      <w:r w:rsidR="008C352D">
        <w:rPr>
          <w:rFonts w:ascii="Times New Roman" w:hAnsi="Times New Roman" w:cs="Times New Roman"/>
        </w:rPr>
        <w:t xml:space="preserve">  </w:t>
      </w:r>
      <w:r>
        <w:rPr>
          <w:rFonts w:ascii="Times New Roman" w:hAnsi="Times New Roman" w:cs="Times New Roman"/>
        </w:rPr>
        <w:t>Hasta la fecha se ha realizado una ampliación en el presupuesto de Energía y Minas por Q108.7 millones, dado que cuando fue presentado y aprobado el Presupuesto del 2022 aún no se había considerado este apoyo temporal, hasta la fecha se reporta una ejecución de Q89.2 millones. E</w:t>
      </w:r>
      <w:r w:rsidRPr="00710C41">
        <w:rPr>
          <w:rFonts w:ascii="Times New Roman" w:hAnsi="Times New Roman" w:cs="Times New Roman"/>
        </w:rPr>
        <w:t>l apoyo</w:t>
      </w:r>
      <w:r>
        <w:rPr>
          <w:rFonts w:ascii="Times New Roman" w:hAnsi="Times New Roman" w:cs="Times New Roman"/>
        </w:rPr>
        <w:t xml:space="preserve"> fue diseñado para </w:t>
      </w:r>
      <w:r w:rsidRPr="00710C41">
        <w:rPr>
          <w:rFonts w:ascii="Times New Roman" w:hAnsi="Times New Roman" w:cs="Times New Roman"/>
        </w:rPr>
        <w:t>ser otorgado durante tres meses,</w:t>
      </w:r>
      <w:r>
        <w:rPr>
          <w:rFonts w:ascii="Times New Roman" w:hAnsi="Times New Roman" w:cs="Times New Roman"/>
        </w:rPr>
        <w:t xml:space="preserve"> concluyendo en febrero del 2022. </w:t>
      </w:r>
    </w:p>
    <w:p w14:paraId="5C686642" w14:textId="77777777" w:rsidR="00243C9E" w:rsidRDefault="00243C9E" w:rsidP="00243C9E">
      <w:pPr>
        <w:pStyle w:val="Sinespaciado"/>
        <w:jc w:val="both"/>
        <w:rPr>
          <w:rFonts w:ascii="Times New Roman" w:hAnsi="Times New Roman" w:cs="Times New Roman"/>
        </w:rPr>
      </w:pPr>
    </w:p>
    <w:p w14:paraId="2C27D0B0" w14:textId="77777777" w:rsidR="00243C9E" w:rsidRPr="00243C9E" w:rsidRDefault="00243C9E" w:rsidP="00243C9E">
      <w:pPr>
        <w:pStyle w:val="Sinespaciado"/>
        <w:jc w:val="both"/>
        <w:rPr>
          <w:rFonts w:ascii="Times New Roman" w:hAnsi="Times New Roman" w:cs="Times New Roman"/>
        </w:rPr>
      </w:pPr>
      <w:r>
        <w:rPr>
          <w:rFonts w:ascii="Times New Roman" w:hAnsi="Times New Roman" w:cs="Times New Roman"/>
        </w:rPr>
        <w:t xml:space="preserve">Existe la intención de </w:t>
      </w:r>
      <w:r w:rsidRPr="00F3000A">
        <w:rPr>
          <w:rFonts w:ascii="Times New Roman" w:hAnsi="Times New Roman" w:cs="Times New Roman"/>
        </w:rPr>
        <w:t>ampliar</w:t>
      </w:r>
      <w:r>
        <w:rPr>
          <w:rFonts w:ascii="Times New Roman" w:hAnsi="Times New Roman" w:cs="Times New Roman"/>
        </w:rPr>
        <w:t xml:space="preserve"> </w:t>
      </w:r>
      <w:r w:rsidRPr="00F3000A">
        <w:rPr>
          <w:rFonts w:ascii="Times New Roman" w:hAnsi="Times New Roman" w:cs="Times New Roman"/>
        </w:rPr>
        <w:t>el subsidio al gas propano por otros dos</w:t>
      </w:r>
      <w:r>
        <w:rPr>
          <w:rFonts w:ascii="Times New Roman" w:hAnsi="Times New Roman" w:cs="Times New Roman"/>
        </w:rPr>
        <w:t xml:space="preserve"> o tres</w:t>
      </w:r>
      <w:r w:rsidRPr="00F3000A">
        <w:rPr>
          <w:rFonts w:ascii="Times New Roman" w:hAnsi="Times New Roman" w:cs="Times New Roman"/>
        </w:rPr>
        <w:t xml:space="preserve"> meses </w:t>
      </w:r>
      <w:r>
        <w:rPr>
          <w:rFonts w:ascii="Times New Roman" w:hAnsi="Times New Roman" w:cs="Times New Roman"/>
        </w:rPr>
        <w:t xml:space="preserve">dada el alza en los precios internacionales del petróleo por las tensiones geopolíticas, con un impacto directo en los derivados siendo el gas uno de ellos, el subsidio podría mantenerse de la forma en la que venía operando, manteniéndose en los mismos términos, esta iniciativa está pendiente de aprobación en el </w:t>
      </w:r>
      <w:r w:rsidRPr="00243C9E">
        <w:rPr>
          <w:rFonts w:ascii="Times New Roman" w:hAnsi="Times New Roman" w:cs="Times New Roman"/>
        </w:rPr>
        <w:t>Congreso de la República.</w:t>
      </w:r>
    </w:p>
    <w:p w14:paraId="0E7DBA32" w14:textId="77777777" w:rsidR="008C352D" w:rsidRPr="00243C9E" w:rsidRDefault="008C352D" w:rsidP="00E02DD8">
      <w:pPr>
        <w:pStyle w:val="Sinespaciado"/>
        <w:jc w:val="both"/>
        <w:rPr>
          <w:rFonts w:ascii="Times New Roman" w:hAnsi="Times New Roman" w:cs="Times New Roman"/>
          <w:sz w:val="18"/>
        </w:rPr>
      </w:pPr>
    </w:p>
    <w:p w14:paraId="085CC3DE" w14:textId="77777777" w:rsidR="00E02DD8" w:rsidRPr="00243C9E" w:rsidRDefault="00E02DD8" w:rsidP="00E02DD8">
      <w:pPr>
        <w:spacing w:after="0" w:line="240" w:lineRule="auto"/>
        <w:jc w:val="center"/>
        <w:rPr>
          <w:rFonts w:ascii="Times New Roman" w:hAnsi="Times New Roman" w:cs="Times New Roman"/>
          <w:b/>
          <w:sz w:val="24"/>
          <w:lang w:val="es-MX"/>
        </w:rPr>
      </w:pPr>
      <w:r w:rsidRPr="00243C9E">
        <w:rPr>
          <w:rFonts w:ascii="Times New Roman" w:hAnsi="Times New Roman" w:cs="Times New Roman"/>
          <w:b/>
          <w:sz w:val="24"/>
          <w:lang w:val="es-MX"/>
        </w:rPr>
        <w:t>Grado de Ejecución por Entidad</w:t>
      </w:r>
    </w:p>
    <w:p w14:paraId="69D2DBDC" w14:textId="77777777" w:rsidR="00E02DD8" w:rsidRPr="00243C9E" w:rsidRDefault="0067690E" w:rsidP="00E02DD8">
      <w:pPr>
        <w:spacing w:after="0" w:line="240" w:lineRule="auto"/>
        <w:jc w:val="center"/>
        <w:rPr>
          <w:rFonts w:ascii="Times New Roman" w:hAnsi="Times New Roman" w:cs="Times New Roman"/>
          <w:sz w:val="18"/>
          <w:szCs w:val="18"/>
          <w:lang w:val="es-MX"/>
        </w:rPr>
      </w:pPr>
      <w:r w:rsidRPr="00243C9E">
        <w:rPr>
          <w:rFonts w:ascii="Times New Roman" w:hAnsi="Times New Roman" w:cs="Times New Roman"/>
          <w:sz w:val="18"/>
          <w:szCs w:val="18"/>
          <w:lang w:val="es-MX"/>
        </w:rPr>
        <w:t xml:space="preserve">Al 28 </w:t>
      </w:r>
      <w:r w:rsidR="00E02DD8" w:rsidRPr="00243C9E">
        <w:rPr>
          <w:rFonts w:ascii="Times New Roman" w:hAnsi="Times New Roman" w:cs="Times New Roman"/>
          <w:sz w:val="18"/>
          <w:szCs w:val="18"/>
          <w:lang w:val="es-MX"/>
        </w:rPr>
        <w:t xml:space="preserve">de </w:t>
      </w:r>
      <w:r w:rsidRPr="00243C9E">
        <w:rPr>
          <w:rFonts w:ascii="Times New Roman" w:hAnsi="Times New Roman" w:cs="Times New Roman"/>
          <w:sz w:val="18"/>
          <w:szCs w:val="18"/>
          <w:lang w:val="es-MX"/>
        </w:rPr>
        <w:t>febr</w:t>
      </w:r>
      <w:r w:rsidR="00E02DD8" w:rsidRPr="00243C9E">
        <w:rPr>
          <w:rFonts w:ascii="Times New Roman" w:hAnsi="Times New Roman" w:cs="Times New Roman"/>
          <w:sz w:val="18"/>
          <w:szCs w:val="18"/>
          <w:lang w:val="es-MX"/>
        </w:rPr>
        <w:t>er</w:t>
      </w:r>
      <w:r w:rsidR="006F4C78">
        <w:rPr>
          <w:rFonts w:ascii="Times New Roman" w:hAnsi="Times New Roman" w:cs="Times New Roman"/>
          <w:sz w:val="18"/>
          <w:szCs w:val="18"/>
          <w:lang w:val="es-MX"/>
        </w:rPr>
        <w:t>o del 2022</w:t>
      </w:r>
    </w:p>
    <w:p w14:paraId="59497A4F" w14:textId="77777777" w:rsidR="00E02DD8" w:rsidRPr="00243C9E" w:rsidRDefault="008C352D" w:rsidP="00E02DD8">
      <w:pPr>
        <w:spacing w:after="0" w:line="240" w:lineRule="auto"/>
        <w:jc w:val="center"/>
        <w:rPr>
          <w:rFonts w:ascii="Times New Roman" w:hAnsi="Times New Roman" w:cs="Times New Roman"/>
          <w:szCs w:val="18"/>
          <w:lang w:val="es-MX"/>
        </w:rPr>
      </w:pPr>
      <w:r w:rsidRPr="00243C9E">
        <w:rPr>
          <w:rFonts w:ascii="Times New Roman" w:hAnsi="Times New Roman" w:cs="Times New Roman"/>
          <w:noProof/>
          <w:sz w:val="18"/>
          <w:szCs w:val="18"/>
          <w:lang w:eastAsia="es-GT"/>
        </w:rPr>
        <w:drawing>
          <wp:anchor distT="0" distB="0" distL="114300" distR="114300" simplePos="0" relativeHeight="251689984" behindDoc="0" locked="0" layoutInCell="1" allowOverlap="1" wp14:anchorId="4AB95D0A" wp14:editId="443324DF">
            <wp:simplePos x="0" y="0"/>
            <wp:positionH relativeFrom="column">
              <wp:posOffset>-123190</wp:posOffset>
            </wp:positionH>
            <wp:positionV relativeFrom="paragraph">
              <wp:posOffset>168275</wp:posOffset>
            </wp:positionV>
            <wp:extent cx="2752725" cy="2432050"/>
            <wp:effectExtent l="0" t="0" r="0" b="6350"/>
            <wp:wrapSquare wrapText="bothSides"/>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E02DD8" w:rsidRPr="00243C9E">
        <w:rPr>
          <w:rFonts w:ascii="Times New Roman" w:hAnsi="Times New Roman" w:cs="Times New Roman"/>
          <w:szCs w:val="18"/>
          <w:lang w:val="es-MX"/>
        </w:rPr>
        <w:t>En porcentajes</w:t>
      </w:r>
    </w:p>
    <w:p w14:paraId="72E61E69" w14:textId="77777777" w:rsidR="00E02DD8" w:rsidRPr="00243C9E" w:rsidRDefault="00E02DD8" w:rsidP="00E02DD8">
      <w:pPr>
        <w:spacing w:after="0" w:line="240" w:lineRule="auto"/>
        <w:jc w:val="both"/>
        <w:rPr>
          <w:rFonts w:ascii="Times New Roman" w:hAnsi="Times New Roman" w:cs="Times New Roman"/>
          <w:sz w:val="16"/>
        </w:rPr>
      </w:pPr>
      <w:r w:rsidRPr="00243C9E">
        <w:rPr>
          <w:rFonts w:ascii="Times New Roman" w:hAnsi="Times New Roman" w:cs="Times New Roman"/>
          <w:sz w:val="16"/>
        </w:rPr>
        <w:t>Fuente: Dirección de Análisis y Política Fiscal</w:t>
      </w:r>
      <w:r w:rsidR="00AD7C37" w:rsidRPr="00243C9E">
        <w:rPr>
          <w:rFonts w:ascii="Times New Roman" w:hAnsi="Times New Roman" w:cs="Times New Roman"/>
          <w:sz w:val="16"/>
        </w:rPr>
        <w:t>.</w:t>
      </w:r>
    </w:p>
    <w:p w14:paraId="012989B3" w14:textId="77777777" w:rsidR="00DF6AE8" w:rsidRPr="0055536A" w:rsidRDefault="00DF6AE8" w:rsidP="00E02DD8">
      <w:pPr>
        <w:pStyle w:val="Sinespaciado"/>
        <w:jc w:val="both"/>
        <w:rPr>
          <w:rFonts w:ascii="Times New Roman" w:hAnsi="Times New Roman" w:cs="Times New Roman"/>
          <w:color w:val="FF0000"/>
          <w:sz w:val="18"/>
          <w:lang w:val="es-MX"/>
        </w:rPr>
      </w:pPr>
    </w:p>
    <w:p w14:paraId="31944CB4" w14:textId="77777777" w:rsidR="00243C9E" w:rsidRDefault="00243C9E" w:rsidP="00243C9E">
      <w:pPr>
        <w:pStyle w:val="Sinespaciado"/>
        <w:jc w:val="both"/>
        <w:rPr>
          <w:rFonts w:ascii="Times New Roman" w:hAnsi="Times New Roman" w:cs="Times New Roman"/>
          <w:lang w:val="es-MX"/>
        </w:rPr>
      </w:pPr>
      <w:r>
        <w:rPr>
          <w:rFonts w:ascii="Times New Roman" w:hAnsi="Times New Roman" w:cs="Times New Roman"/>
          <w:lang w:val="es-MX"/>
        </w:rPr>
        <w:t xml:space="preserve">Un componente importante del gasto es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este reporta un desempeño dinámico respecto a febrero del año previo, con un crecimiento interanual de 11.8%, equivalente a Q757.5 millones</w:t>
      </w:r>
      <w:r w:rsidRPr="00321A9C">
        <w:rPr>
          <w:rFonts w:ascii="Times New Roman" w:hAnsi="Times New Roman" w:cs="Times New Roman"/>
          <w:lang w:val="es-MX"/>
        </w:rPr>
        <w:t xml:space="preserve">. </w:t>
      </w:r>
    </w:p>
    <w:p w14:paraId="214F6378" w14:textId="77777777" w:rsidR="00243C9E" w:rsidRDefault="00243C9E" w:rsidP="00243C9E">
      <w:pPr>
        <w:pStyle w:val="Sinespaciado"/>
        <w:jc w:val="both"/>
        <w:rPr>
          <w:rFonts w:ascii="Times New Roman" w:hAnsi="Times New Roman" w:cs="Times New Roman"/>
          <w:lang w:val="es-MX"/>
        </w:rPr>
      </w:pPr>
    </w:p>
    <w:p w14:paraId="7DA7BBE8" w14:textId="77777777" w:rsidR="00243C9E" w:rsidRDefault="00243C9E" w:rsidP="00243C9E">
      <w:pPr>
        <w:pStyle w:val="Sinespaciado"/>
        <w:jc w:val="both"/>
        <w:rPr>
          <w:rFonts w:ascii="Times New Roman" w:hAnsi="Times New Roman" w:cs="Times New Roman"/>
          <w:lang w:val="es-MX"/>
        </w:rPr>
      </w:pPr>
      <w:r>
        <w:rPr>
          <w:rFonts w:ascii="Times New Roman" w:hAnsi="Times New Roman" w:cs="Times New Roman"/>
          <w:lang w:val="es-MX"/>
        </w:rPr>
        <w:t xml:space="preserve">A excepción de Vivienda y Seguridad Interna, el resto de las </w:t>
      </w:r>
      <w:r w:rsidRPr="002B60F7">
        <w:rPr>
          <w:rFonts w:ascii="Times New Roman" w:hAnsi="Times New Roman" w:cs="Times New Roman"/>
          <w:lang w:val="es-MX"/>
        </w:rPr>
        <w:t>finalidades del gasto social se encuentran cr</w:t>
      </w:r>
      <w:r>
        <w:rPr>
          <w:rFonts w:ascii="Times New Roman" w:hAnsi="Times New Roman" w:cs="Times New Roman"/>
          <w:lang w:val="es-MX"/>
        </w:rPr>
        <w:t>eciendo en términos interanuales.</w:t>
      </w:r>
    </w:p>
    <w:p w14:paraId="26E0BC84" w14:textId="77777777" w:rsidR="00243C9E" w:rsidRDefault="00243C9E" w:rsidP="00243C9E">
      <w:pPr>
        <w:pStyle w:val="Sinespaciado"/>
        <w:jc w:val="both"/>
        <w:rPr>
          <w:rFonts w:ascii="Times New Roman" w:hAnsi="Times New Roman" w:cs="Times New Roman"/>
          <w:lang w:val="es-MX"/>
        </w:rPr>
      </w:pPr>
    </w:p>
    <w:p w14:paraId="16ACCE2D" w14:textId="77777777" w:rsidR="00243C9E" w:rsidRDefault="00243C9E" w:rsidP="00243C9E">
      <w:pPr>
        <w:pStyle w:val="Sinespaciado"/>
        <w:jc w:val="both"/>
        <w:rPr>
          <w:rFonts w:ascii="Times New Roman" w:hAnsi="Times New Roman" w:cs="Times New Roman"/>
          <w:lang w:val="es-MX"/>
        </w:rPr>
      </w:pPr>
      <w:r>
        <w:rPr>
          <w:rFonts w:ascii="Times New Roman" w:hAnsi="Times New Roman" w:cs="Times New Roman"/>
          <w:lang w:val="es-MX"/>
        </w:rPr>
        <w:t>R</w:t>
      </w:r>
      <w:r w:rsidRPr="002B60F7">
        <w:rPr>
          <w:rFonts w:ascii="Times New Roman" w:hAnsi="Times New Roman" w:cs="Times New Roman"/>
          <w:lang w:val="es-MX"/>
        </w:rPr>
        <w:t xml:space="preserve">esalta el </w:t>
      </w:r>
      <w:r>
        <w:rPr>
          <w:rFonts w:ascii="Times New Roman" w:hAnsi="Times New Roman" w:cs="Times New Roman"/>
          <w:lang w:val="es-MX"/>
        </w:rPr>
        <w:t>aporte que se le entrega al Ministerio Público, el cual se encuentra creciendo en 126.8%, equivalente a Q237.1 millones, derivado que el presupuesto de dicha entidad creció de forma importante para el ejercicio 2022, le sigue el sector de Salud y Asistencia Social con un crecimiento de 29.0%, equivalente a Q376.4 millones, influenciado por las intervenciones en materia del COVID-19, entre otros aspectos.</w:t>
      </w:r>
    </w:p>
    <w:p w14:paraId="7E6E4CFD" w14:textId="77777777" w:rsidR="00243C9E" w:rsidRDefault="00243C9E" w:rsidP="00243C9E">
      <w:pPr>
        <w:pStyle w:val="Sinespaciado"/>
        <w:jc w:val="both"/>
        <w:rPr>
          <w:rFonts w:ascii="Times New Roman" w:hAnsi="Times New Roman" w:cs="Times New Roman"/>
          <w:lang w:val="es-MX"/>
        </w:rPr>
      </w:pPr>
    </w:p>
    <w:p w14:paraId="688C9266" w14:textId="77777777" w:rsidR="00E02DD8" w:rsidRPr="0055536A" w:rsidRDefault="00243C9E" w:rsidP="00243C9E">
      <w:pPr>
        <w:pStyle w:val="Sinespaciado"/>
        <w:jc w:val="both"/>
        <w:rPr>
          <w:rFonts w:ascii="Times New Roman" w:hAnsi="Times New Roman" w:cs="Times New Roman"/>
          <w:color w:val="FF0000"/>
          <w:lang w:val="es-MX"/>
        </w:rPr>
      </w:pPr>
      <w:r>
        <w:rPr>
          <w:rFonts w:ascii="Times New Roman" w:hAnsi="Times New Roman" w:cs="Times New Roman"/>
          <w:lang w:val="es-MX"/>
        </w:rPr>
        <w:t>Las otras finalidades del gasto social que están creciendo son el aporte al OJ y CC en 19.7%, equivalente a Q52.5 millones y la Educación, Ciencia y Cultura con un crecimiento de 9.1%, equivalente a Q324.8 millones.</w:t>
      </w:r>
      <w:r w:rsidR="00E02DD8" w:rsidRPr="0055536A">
        <w:rPr>
          <w:rFonts w:ascii="Times New Roman" w:hAnsi="Times New Roman" w:cs="Times New Roman"/>
          <w:color w:val="FF0000"/>
          <w:lang w:val="es-MX"/>
        </w:rPr>
        <w:t xml:space="preserve"> </w:t>
      </w:r>
    </w:p>
    <w:p w14:paraId="73D94312" w14:textId="77777777" w:rsidR="008C352D" w:rsidRPr="00243C9E" w:rsidRDefault="008C352D" w:rsidP="00E02DD8">
      <w:pPr>
        <w:pStyle w:val="Sinespaciado"/>
        <w:jc w:val="both"/>
        <w:rPr>
          <w:rFonts w:ascii="Times New Roman" w:hAnsi="Times New Roman" w:cs="Times New Roman"/>
          <w:sz w:val="18"/>
          <w:lang w:val="es-MX"/>
        </w:rPr>
      </w:pPr>
    </w:p>
    <w:p w14:paraId="70EEF895" w14:textId="77777777" w:rsidR="00E02DD8" w:rsidRPr="00243C9E" w:rsidRDefault="00E02DD8" w:rsidP="00E02DD8">
      <w:pPr>
        <w:pStyle w:val="Sinespaciado"/>
        <w:jc w:val="center"/>
        <w:rPr>
          <w:rFonts w:ascii="Times New Roman" w:hAnsi="Times New Roman" w:cs="Times New Roman"/>
          <w:b/>
          <w:sz w:val="23"/>
          <w:szCs w:val="23"/>
          <w:lang w:val="es-MX"/>
        </w:rPr>
      </w:pPr>
      <w:r w:rsidRPr="00243C9E">
        <w:rPr>
          <w:rFonts w:ascii="Times New Roman" w:hAnsi="Times New Roman" w:cs="Times New Roman"/>
          <w:b/>
          <w:sz w:val="23"/>
          <w:szCs w:val="23"/>
          <w:lang w:val="es-MX"/>
        </w:rPr>
        <w:t>Ejecución y crecimiento del Gasto Social</w:t>
      </w:r>
    </w:p>
    <w:p w14:paraId="1AC34D77" w14:textId="77777777" w:rsidR="00E02DD8" w:rsidRPr="00243C9E" w:rsidRDefault="0058660F" w:rsidP="00E02DD8">
      <w:pPr>
        <w:pStyle w:val="Sinespaciado"/>
        <w:jc w:val="center"/>
        <w:rPr>
          <w:rFonts w:ascii="Times New Roman" w:hAnsi="Times New Roman" w:cs="Times New Roman"/>
          <w:sz w:val="18"/>
          <w:szCs w:val="18"/>
          <w:lang w:val="es-MX"/>
        </w:rPr>
      </w:pPr>
      <w:r w:rsidRPr="00243C9E">
        <w:rPr>
          <w:rFonts w:ascii="Times New Roman" w:hAnsi="Times New Roman" w:cs="Times New Roman"/>
          <w:sz w:val="18"/>
          <w:szCs w:val="18"/>
          <w:lang w:val="es-MX"/>
        </w:rPr>
        <w:t>Al 28</w:t>
      </w:r>
      <w:r w:rsidR="00E02DD8" w:rsidRPr="00243C9E">
        <w:rPr>
          <w:rFonts w:ascii="Times New Roman" w:hAnsi="Times New Roman" w:cs="Times New Roman"/>
          <w:sz w:val="18"/>
          <w:szCs w:val="18"/>
          <w:lang w:val="es-MX"/>
        </w:rPr>
        <w:t xml:space="preserve"> de </w:t>
      </w:r>
      <w:r w:rsidRPr="00243C9E">
        <w:rPr>
          <w:rFonts w:ascii="Times New Roman" w:hAnsi="Times New Roman" w:cs="Times New Roman"/>
          <w:sz w:val="18"/>
          <w:szCs w:val="18"/>
          <w:lang w:val="es-MX"/>
        </w:rPr>
        <w:t>febr</w:t>
      </w:r>
      <w:r w:rsidR="00E02DD8" w:rsidRPr="00243C9E">
        <w:rPr>
          <w:rFonts w:ascii="Times New Roman" w:hAnsi="Times New Roman" w:cs="Times New Roman"/>
          <w:sz w:val="18"/>
          <w:szCs w:val="18"/>
          <w:lang w:val="es-MX"/>
        </w:rPr>
        <w:t>ero 2022</w:t>
      </w:r>
    </w:p>
    <w:p w14:paraId="517F7FE8" w14:textId="77777777" w:rsidR="00E02DD8" w:rsidRPr="00243C9E" w:rsidRDefault="0058660F" w:rsidP="00E02DD8">
      <w:pPr>
        <w:pStyle w:val="Sinespaciado"/>
        <w:jc w:val="center"/>
        <w:rPr>
          <w:rFonts w:ascii="Times New Roman" w:hAnsi="Times New Roman" w:cs="Times New Roman"/>
          <w:sz w:val="16"/>
          <w:szCs w:val="16"/>
          <w:lang w:val="es-MX"/>
        </w:rPr>
      </w:pPr>
      <w:r w:rsidRPr="00243C9E">
        <w:rPr>
          <w:noProof/>
          <w:sz w:val="20"/>
          <w:lang w:eastAsia="es-GT"/>
        </w:rPr>
        <w:drawing>
          <wp:anchor distT="0" distB="0" distL="114300" distR="114300" simplePos="0" relativeHeight="251694080" behindDoc="0" locked="0" layoutInCell="1" allowOverlap="1" wp14:anchorId="791A497D" wp14:editId="00822F62">
            <wp:simplePos x="0" y="0"/>
            <wp:positionH relativeFrom="column">
              <wp:posOffset>-82550</wp:posOffset>
            </wp:positionH>
            <wp:positionV relativeFrom="paragraph">
              <wp:posOffset>222885</wp:posOffset>
            </wp:positionV>
            <wp:extent cx="2889250" cy="1579245"/>
            <wp:effectExtent l="0" t="0" r="635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9250"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E02DD8" w:rsidRPr="00243C9E">
        <w:t xml:space="preserve"> </w:t>
      </w:r>
      <w:r w:rsidR="00E02DD8" w:rsidRPr="00243C9E">
        <w:rPr>
          <w:rFonts w:ascii="Times New Roman" w:hAnsi="Times New Roman" w:cs="Times New Roman"/>
          <w:sz w:val="16"/>
          <w:szCs w:val="16"/>
          <w:lang w:val="es-MX"/>
        </w:rPr>
        <w:t>Cifras en porcentajes y en millones de quetzales</w:t>
      </w:r>
    </w:p>
    <w:p w14:paraId="235AD188" w14:textId="77777777" w:rsidR="00E02DD8" w:rsidRDefault="00371E68" w:rsidP="00E02DD8">
      <w:pPr>
        <w:pStyle w:val="Sinespaciado"/>
        <w:rPr>
          <w:rFonts w:ascii="Times New Roman" w:hAnsi="Times New Roman" w:cs="Times New Roman"/>
          <w:sz w:val="16"/>
        </w:rPr>
      </w:pPr>
      <w:r w:rsidRPr="00243C9E">
        <w:rPr>
          <w:rFonts w:ascii="Times New Roman" w:hAnsi="Times New Roman" w:cs="Times New Roman"/>
          <w:sz w:val="16"/>
        </w:rPr>
        <w:t xml:space="preserve">    </w:t>
      </w:r>
      <w:r w:rsidR="00E02DD8" w:rsidRPr="00243C9E">
        <w:rPr>
          <w:rFonts w:ascii="Times New Roman" w:hAnsi="Times New Roman" w:cs="Times New Roman"/>
          <w:sz w:val="16"/>
        </w:rPr>
        <w:t>Fuente: Dirección de Análisis y Política Fiscal</w:t>
      </w:r>
      <w:r w:rsidR="00AD7C37" w:rsidRPr="00243C9E">
        <w:rPr>
          <w:rFonts w:ascii="Times New Roman" w:hAnsi="Times New Roman" w:cs="Times New Roman"/>
          <w:sz w:val="16"/>
        </w:rPr>
        <w:t>.</w:t>
      </w:r>
    </w:p>
    <w:p w14:paraId="6E25179C" w14:textId="77777777" w:rsidR="008C352D" w:rsidRDefault="008C352D" w:rsidP="00E02DD8">
      <w:pPr>
        <w:pStyle w:val="Sinespaciado"/>
        <w:rPr>
          <w:rFonts w:ascii="Times New Roman" w:hAnsi="Times New Roman" w:cs="Times New Roman"/>
          <w:sz w:val="16"/>
        </w:rPr>
      </w:pPr>
    </w:p>
    <w:p w14:paraId="2007A745" w14:textId="77777777" w:rsidR="008C352D" w:rsidRDefault="008C352D" w:rsidP="00E02DD8">
      <w:pPr>
        <w:pStyle w:val="Sinespaciado"/>
        <w:rPr>
          <w:rFonts w:ascii="Times New Roman" w:hAnsi="Times New Roman" w:cs="Times New Roman"/>
          <w:sz w:val="16"/>
        </w:rPr>
      </w:pPr>
    </w:p>
    <w:p w14:paraId="60A8D59C" w14:textId="77777777" w:rsidR="008C352D" w:rsidRDefault="008C352D" w:rsidP="00E02DD8">
      <w:pPr>
        <w:pStyle w:val="Sinespaciado"/>
        <w:rPr>
          <w:rFonts w:ascii="Times New Roman" w:hAnsi="Times New Roman" w:cs="Times New Roman"/>
          <w:sz w:val="16"/>
        </w:rPr>
      </w:pPr>
    </w:p>
    <w:p w14:paraId="4817AFD1" w14:textId="77777777" w:rsidR="008C352D" w:rsidRDefault="008C352D" w:rsidP="00E02DD8">
      <w:pPr>
        <w:pStyle w:val="Sinespaciado"/>
        <w:rPr>
          <w:rFonts w:ascii="Times New Roman" w:hAnsi="Times New Roman" w:cs="Times New Roman"/>
          <w:sz w:val="16"/>
        </w:rPr>
      </w:pPr>
    </w:p>
    <w:p w14:paraId="4FC0BF37" w14:textId="77777777" w:rsidR="008C352D" w:rsidRDefault="008C352D" w:rsidP="00E02DD8">
      <w:pPr>
        <w:pStyle w:val="Sinespaciado"/>
        <w:rPr>
          <w:rFonts w:ascii="Times New Roman" w:hAnsi="Times New Roman" w:cs="Times New Roman"/>
          <w:sz w:val="16"/>
        </w:rPr>
      </w:pPr>
    </w:p>
    <w:p w14:paraId="3074761A" w14:textId="77777777" w:rsidR="008C352D" w:rsidRDefault="008C352D" w:rsidP="00E02DD8">
      <w:pPr>
        <w:pStyle w:val="Sinespaciado"/>
        <w:rPr>
          <w:rFonts w:ascii="Times New Roman" w:hAnsi="Times New Roman" w:cs="Times New Roman"/>
          <w:sz w:val="16"/>
        </w:rPr>
      </w:pPr>
    </w:p>
    <w:p w14:paraId="7EE3841B" w14:textId="77777777" w:rsidR="008C352D" w:rsidRDefault="008C352D" w:rsidP="00E02DD8">
      <w:pPr>
        <w:pStyle w:val="Sinespaciado"/>
        <w:rPr>
          <w:rFonts w:ascii="Times New Roman" w:hAnsi="Times New Roman" w:cs="Times New Roman"/>
          <w:sz w:val="16"/>
        </w:rPr>
      </w:pPr>
    </w:p>
    <w:p w14:paraId="794FF6A4" w14:textId="77777777" w:rsidR="008C352D" w:rsidRDefault="008C352D" w:rsidP="00E02DD8">
      <w:pPr>
        <w:pStyle w:val="Sinespaciado"/>
        <w:rPr>
          <w:rFonts w:ascii="Times New Roman" w:hAnsi="Times New Roman" w:cs="Times New Roman"/>
          <w:sz w:val="16"/>
        </w:rPr>
      </w:pPr>
    </w:p>
    <w:p w14:paraId="0BB5F515" w14:textId="77777777" w:rsidR="008C352D" w:rsidRPr="00243C9E" w:rsidRDefault="008C352D" w:rsidP="00E02DD8">
      <w:pPr>
        <w:pStyle w:val="Sinespaciado"/>
        <w:rPr>
          <w:rFonts w:ascii="Times New Roman" w:hAnsi="Times New Roman" w:cs="Times New Roman"/>
          <w:sz w:val="16"/>
        </w:rPr>
        <w:sectPr w:rsidR="008C352D" w:rsidRPr="00243C9E" w:rsidSect="00F23E3F">
          <w:type w:val="continuous"/>
          <w:pgSz w:w="12240" w:h="15840"/>
          <w:pgMar w:top="1417" w:right="1701" w:bottom="1417" w:left="1701" w:header="708" w:footer="708" w:gutter="0"/>
          <w:cols w:num="2" w:space="708"/>
          <w:docGrid w:linePitch="360"/>
        </w:sectPr>
      </w:pPr>
    </w:p>
    <w:p w14:paraId="5E87D1B6" w14:textId="77777777" w:rsidR="00C76B98" w:rsidRPr="0055536A" w:rsidRDefault="00C76B98" w:rsidP="00C76B98">
      <w:pPr>
        <w:spacing w:after="0"/>
        <w:rPr>
          <w:rFonts w:ascii="Times New Roman" w:hAnsi="Times New Roman" w:cs="Times New Roman"/>
          <w:color w:val="FF0000"/>
          <w:sz w:val="16"/>
        </w:rPr>
        <w:sectPr w:rsidR="00C76B98" w:rsidRPr="0055536A" w:rsidSect="00960BE9">
          <w:headerReference w:type="default" r:id="rId25"/>
          <w:footerReference w:type="default" r:id="rId26"/>
          <w:type w:val="continuous"/>
          <w:pgSz w:w="12240" w:h="15840"/>
          <w:pgMar w:top="1417" w:right="1701" w:bottom="1417" w:left="1701" w:header="708" w:footer="708" w:gutter="0"/>
          <w:cols w:space="708"/>
          <w:docGrid w:linePitch="360"/>
        </w:sectPr>
      </w:pPr>
    </w:p>
    <w:p w14:paraId="1B851DF8" w14:textId="77777777" w:rsidR="00F23E3F" w:rsidRPr="007610B0" w:rsidRDefault="00C76B98"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7610B0">
        <w:rPr>
          <w:rFonts w:ascii="Times New Roman" w:hAnsi="Times New Roman" w:cs="Times New Roman"/>
          <w:b/>
          <w:color w:val="FFFFFF" w:themeColor="background1"/>
          <w:sz w:val="24"/>
          <w:szCs w:val="24"/>
          <w:lang w:val="es-MX"/>
        </w:rPr>
        <w:lastRenderedPageBreak/>
        <w:t>E</w:t>
      </w:r>
      <w:r w:rsidR="00E21B05" w:rsidRPr="007610B0">
        <w:rPr>
          <w:rFonts w:ascii="Times New Roman" w:hAnsi="Times New Roman" w:cs="Times New Roman"/>
          <w:b/>
          <w:color w:val="FFFFFF" w:themeColor="background1"/>
          <w:sz w:val="24"/>
          <w:szCs w:val="24"/>
          <w:lang w:val="es-MX"/>
        </w:rPr>
        <w:t>ventos de Colocación de</w:t>
      </w:r>
      <w:r w:rsidRPr="007610B0">
        <w:rPr>
          <w:rFonts w:ascii="Times New Roman" w:hAnsi="Times New Roman" w:cs="Times New Roman"/>
          <w:b/>
          <w:color w:val="FFFFFF" w:themeColor="background1"/>
          <w:sz w:val="24"/>
          <w:szCs w:val="24"/>
          <w:lang w:val="es-MX"/>
        </w:rPr>
        <w:t xml:space="preserve"> Bonos del Tesoro</w:t>
      </w:r>
      <w:r w:rsidR="00E21B05" w:rsidRPr="007610B0">
        <w:rPr>
          <w:rFonts w:ascii="Times New Roman" w:hAnsi="Times New Roman" w:cs="Times New Roman"/>
          <w:b/>
          <w:color w:val="FFFFFF" w:themeColor="background1"/>
          <w:sz w:val="24"/>
          <w:szCs w:val="24"/>
          <w:lang w:val="es-MX"/>
        </w:rPr>
        <w:t xml:space="preserve"> inició</w:t>
      </w:r>
      <w:r w:rsidRPr="007610B0">
        <w:rPr>
          <w:rFonts w:ascii="Times New Roman" w:hAnsi="Times New Roman" w:cs="Times New Roman"/>
          <w:b/>
          <w:color w:val="FFFFFF" w:themeColor="background1"/>
          <w:sz w:val="24"/>
          <w:szCs w:val="24"/>
          <w:lang w:val="es-MX"/>
        </w:rPr>
        <w:t xml:space="preserve"> en febrero</w:t>
      </w:r>
    </w:p>
    <w:p w14:paraId="5CDB6751" w14:textId="77777777" w:rsidR="00C76B98" w:rsidRPr="0055536A" w:rsidRDefault="00C76B98" w:rsidP="00E02DD8">
      <w:pPr>
        <w:pStyle w:val="Sinespaciado"/>
        <w:rPr>
          <w:rFonts w:ascii="Times New Roman" w:hAnsi="Times New Roman" w:cs="Times New Roman"/>
          <w:color w:val="FF0000"/>
          <w:sz w:val="18"/>
          <w:szCs w:val="18"/>
          <w:lang w:val="es-MX"/>
        </w:rPr>
      </w:pPr>
    </w:p>
    <w:p w14:paraId="68177F6A" w14:textId="77777777" w:rsidR="00C76B98" w:rsidRPr="007610B0" w:rsidRDefault="00C76B98" w:rsidP="00C76B98">
      <w:pPr>
        <w:spacing w:after="0"/>
        <w:rPr>
          <w:rFonts w:ascii="Times New Roman" w:hAnsi="Times New Roman" w:cs="Times New Roman"/>
        </w:rPr>
        <w:sectPr w:rsidR="00C76B98" w:rsidRPr="007610B0" w:rsidSect="00960BE9">
          <w:headerReference w:type="default" r:id="rId27"/>
          <w:footerReference w:type="default" r:id="rId28"/>
          <w:type w:val="continuous"/>
          <w:pgSz w:w="12240" w:h="15840"/>
          <w:pgMar w:top="1417" w:right="1701" w:bottom="1417" w:left="1701" w:header="708" w:footer="708" w:gutter="0"/>
          <w:cols w:space="708"/>
          <w:docGrid w:linePitch="360"/>
        </w:sectPr>
      </w:pPr>
    </w:p>
    <w:p w14:paraId="68800269" w14:textId="77777777" w:rsidR="00E21B05" w:rsidRPr="007610B0" w:rsidRDefault="00E21B05" w:rsidP="00E21B05">
      <w:pPr>
        <w:pStyle w:val="Sinespaciado"/>
        <w:spacing w:after="240"/>
        <w:ind w:right="95"/>
        <w:jc w:val="both"/>
        <w:rPr>
          <w:rFonts w:ascii="Times New Roman" w:hAnsi="Times New Roman" w:cs="Times New Roman"/>
        </w:rPr>
      </w:pPr>
      <w:r w:rsidRPr="007610B0">
        <w:rPr>
          <w:rFonts w:ascii="Times New Roman" w:hAnsi="Times New Roman" w:cs="Times New Roman"/>
        </w:rPr>
        <w:t>La Dirección de Crédito Público inició los eventos de colocaciones en febrero, en el primer evento no se adjudicó ningún monto y la demanda fue de Q48.3 millones.</w:t>
      </w:r>
    </w:p>
    <w:p w14:paraId="11E96E7C" w14:textId="77777777" w:rsidR="00C76B98" w:rsidRPr="007610B0" w:rsidRDefault="00E21B05" w:rsidP="007610B0">
      <w:pPr>
        <w:pStyle w:val="Sinespaciado"/>
        <w:spacing w:after="240"/>
        <w:ind w:right="95"/>
        <w:jc w:val="both"/>
        <w:rPr>
          <w:rFonts w:ascii="Times New Roman" w:hAnsi="Times New Roman" w:cs="Times New Roman"/>
        </w:rPr>
        <w:sectPr w:rsidR="00C76B98" w:rsidRPr="007610B0" w:rsidSect="00C76B98">
          <w:type w:val="continuous"/>
          <w:pgSz w:w="12240" w:h="15840"/>
          <w:pgMar w:top="1417" w:right="1701" w:bottom="1417" w:left="1701" w:header="708" w:footer="708" w:gutter="0"/>
          <w:cols w:num="2" w:space="708"/>
          <w:docGrid w:linePitch="360"/>
        </w:sectPr>
      </w:pPr>
      <w:r w:rsidRPr="007610B0">
        <w:rPr>
          <w:rFonts w:ascii="Times New Roman" w:hAnsi="Times New Roman" w:cs="Times New Roman"/>
        </w:rPr>
        <w:t xml:space="preserve">La demanda de títulos del gobierno se considera baja debido a que los inversionistas prevén un alza en la tasa de interés en el corto </w:t>
      </w:r>
      <w:r w:rsidRPr="007610B0">
        <w:rPr>
          <w:rFonts w:ascii="Times New Roman" w:hAnsi="Times New Roman" w:cs="Times New Roman"/>
        </w:rPr>
        <w:t>plazo. Además, el Banco de Guatemala estuvo realizando operaciones de colocación de OEM con plazo mayores a 1 año, lo cual de alguna manera redujo un poco la liquidez en el mercado. Sin embargo, se espera que las colocaciones aumenten en las próximas se</w:t>
      </w:r>
      <w:r w:rsidR="007610B0">
        <w:rPr>
          <w:rFonts w:ascii="Times New Roman" w:hAnsi="Times New Roman" w:cs="Times New Roman"/>
        </w:rPr>
        <w:t>manas, pero a un ritmo moderado.</w:t>
      </w:r>
    </w:p>
    <w:p w14:paraId="43403395" w14:textId="77777777" w:rsidR="00C76B98" w:rsidRPr="0055536A" w:rsidRDefault="00C76B98" w:rsidP="00C76B98">
      <w:pPr>
        <w:spacing w:after="0"/>
        <w:rPr>
          <w:rFonts w:ascii="Times New Roman" w:hAnsi="Times New Roman" w:cs="Times New Roman"/>
          <w:color w:val="FF0000"/>
          <w:sz w:val="6"/>
        </w:rPr>
        <w:sectPr w:rsidR="00C76B98" w:rsidRPr="0055536A" w:rsidSect="00960BE9">
          <w:headerReference w:type="default" r:id="rId29"/>
          <w:footerReference w:type="default" r:id="rId30"/>
          <w:type w:val="continuous"/>
          <w:pgSz w:w="12240" w:h="15840"/>
          <w:pgMar w:top="1417" w:right="1701" w:bottom="1417" w:left="1701" w:header="708" w:footer="708" w:gutter="0"/>
          <w:cols w:space="708"/>
          <w:docGrid w:linePitch="360"/>
        </w:sectPr>
      </w:pPr>
    </w:p>
    <w:p w14:paraId="1107BF3C" w14:textId="77777777" w:rsidR="008E00B7" w:rsidRPr="0055536A" w:rsidRDefault="008E00B7" w:rsidP="00C76B98">
      <w:pPr>
        <w:pStyle w:val="Sinespaciado"/>
        <w:rPr>
          <w:rFonts w:ascii="Times New Roman" w:hAnsi="Times New Roman" w:cs="Times New Roman"/>
          <w:color w:val="FF0000"/>
          <w:sz w:val="18"/>
          <w:szCs w:val="18"/>
        </w:rPr>
      </w:pPr>
    </w:p>
    <w:p w14:paraId="71402E0C" w14:textId="77777777" w:rsidR="008E00B7" w:rsidRPr="0055536A" w:rsidRDefault="008E00B7" w:rsidP="008E00B7">
      <w:pPr>
        <w:spacing w:after="0"/>
        <w:rPr>
          <w:rFonts w:ascii="Times New Roman" w:hAnsi="Times New Roman" w:cs="Times New Roman"/>
          <w:color w:val="FF0000"/>
          <w:sz w:val="14"/>
        </w:rPr>
        <w:sectPr w:rsidR="008E00B7" w:rsidRPr="0055536A" w:rsidSect="00960BE9">
          <w:headerReference w:type="default" r:id="rId31"/>
          <w:footerReference w:type="default" r:id="rId32"/>
          <w:type w:val="continuous"/>
          <w:pgSz w:w="12240" w:h="15840"/>
          <w:pgMar w:top="1417" w:right="1701" w:bottom="1417" w:left="1701" w:header="708" w:footer="708" w:gutter="0"/>
          <w:cols w:space="708"/>
          <w:docGrid w:linePitch="360"/>
        </w:sectPr>
      </w:pPr>
    </w:p>
    <w:p w14:paraId="4633669D" w14:textId="77777777" w:rsidR="008E00B7" w:rsidRPr="007610B0" w:rsidRDefault="008E00B7"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7610B0">
        <w:rPr>
          <w:rFonts w:ascii="Times New Roman" w:hAnsi="Times New Roman" w:cs="Times New Roman"/>
          <w:b/>
          <w:color w:val="FFFFFF" w:themeColor="background1"/>
          <w:sz w:val="24"/>
          <w:szCs w:val="24"/>
        </w:rPr>
        <w:t xml:space="preserve">Ejecución de gastos relacionados </w:t>
      </w:r>
      <w:r w:rsidR="004A0389" w:rsidRPr="007610B0">
        <w:rPr>
          <w:rFonts w:ascii="Times New Roman" w:hAnsi="Times New Roman" w:cs="Times New Roman"/>
          <w:b/>
          <w:color w:val="FFFFFF" w:themeColor="background1"/>
          <w:sz w:val="24"/>
          <w:szCs w:val="24"/>
        </w:rPr>
        <w:t>a emergencias y calamidades públicas</w:t>
      </w:r>
    </w:p>
    <w:p w14:paraId="3CF47060" w14:textId="77777777" w:rsidR="008E00B7" w:rsidRPr="0055536A" w:rsidRDefault="008E00B7" w:rsidP="00C76B98">
      <w:pPr>
        <w:pStyle w:val="Sinespaciado"/>
        <w:rPr>
          <w:rFonts w:ascii="Times New Roman" w:hAnsi="Times New Roman" w:cs="Times New Roman"/>
          <w:color w:val="FF0000"/>
          <w:sz w:val="18"/>
          <w:szCs w:val="18"/>
        </w:rPr>
      </w:pPr>
    </w:p>
    <w:p w14:paraId="0887D677" w14:textId="77777777" w:rsidR="008E00B7" w:rsidRPr="0055536A" w:rsidRDefault="008E00B7" w:rsidP="008E00B7">
      <w:pPr>
        <w:spacing w:after="0"/>
        <w:rPr>
          <w:rFonts w:ascii="Times New Roman" w:hAnsi="Times New Roman" w:cs="Times New Roman"/>
          <w:color w:val="FF0000"/>
        </w:rPr>
        <w:sectPr w:rsidR="008E00B7" w:rsidRPr="0055536A" w:rsidSect="00960BE9">
          <w:headerReference w:type="default" r:id="rId33"/>
          <w:footerReference w:type="default" r:id="rId34"/>
          <w:type w:val="continuous"/>
          <w:pgSz w:w="12240" w:h="15840"/>
          <w:pgMar w:top="1417" w:right="1701" w:bottom="1417" w:left="1701" w:header="708" w:footer="708" w:gutter="0"/>
          <w:cols w:space="708"/>
          <w:docGrid w:linePitch="360"/>
        </w:sectPr>
      </w:pPr>
    </w:p>
    <w:p w14:paraId="5E3B4090" w14:textId="77777777" w:rsidR="00D22BC7" w:rsidRPr="007610B0" w:rsidRDefault="004A0389" w:rsidP="00D22BC7">
      <w:pPr>
        <w:pStyle w:val="Sinespaciado"/>
        <w:jc w:val="both"/>
        <w:rPr>
          <w:rFonts w:ascii="Times New Roman" w:hAnsi="Times New Roman" w:cs="Times New Roman"/>
        </w:rPr>
      </w:pPr>
      <w:r w:rsidRPr="007610B0">
        <w:rPr>
          <w:rFonts w:ascii="Times New Roman" w:hAnsi="Times New Roman" w:cs="Times New Roman"/>
          <w:b/>
          <w:lang w:val="es-MX"/>
        </w:rPr>
        <w:t xml:space="preserve">Se le da </w:t>
      </w:r>
      <w:r w:rsidRPr="007610B0">
        <w:rPr>
          <w:rFonts w:ascii="Times New Roman" w:hAnsi="Times New Roman" w:cs="Times New Roman"/>
          <w:b/>
        </w:rPr>
        <w:t>seguimiento a la ejecución del gasto relacionado a la pandemia COVID-19, dado que fue creado el programa específico para su seguimiento,</w:t>
      </w:r>
      <w:r w:rsidRPr="007610B0">
        <w:rPr>
          <w:rFonts w:ascii="Times New Roman" w:hAnsi="Times New Roman" w:cs="Times New Roman"/>
        </w:rPr>
        <w:t xml:space="preserve"> durante el año se han ejecutado Q203.7 millones, correspondientes en su totalidad al Ministerio de Salud Pública y Asistencia Social.</w:t>
      </w:r>
      <w:r w:rsidR="00776700" w:rsidRPr="007610B0">
        <w:rPr>
          <w:rFonts w:ascii="Times New Roman" w:hAnsi="Times New Roman" w:cs="Times New Roman"/>
        </w:rPr>
        <w:t xml:space="preserve"> </w:t>
      </w:r>
    </w:p>
    <w:p w14:paraId="2228AA08" w14:textId="77777777" w:rsidR="00D22BC7" w:rsidRPr="007610B0" w:rsidRDefault="00D22BC7" w:rsidP="00D22BC7">
      <w:pPr>
        <w:pStyle w:val="Sinespaciado"/>
        <w:jc w:val="both"/>
        <w:rPr>
          <w:rFonts w:ascii="Times New Roman" w:hAnsi="Times New Roman" w:cs="Times New Roman"/>
        </w:rPr>
      </w:pPr>
    </w:p>
    <w:p w14:paraId="0D0FC6F5" w14:textId="77777777" w:rsidR="004A0389" w:rsidRPr="007610B0" w:rsidRDefault="004A0389" w:rsidP="004A0389">
      <w:pPr>
        <w:spacing w:after="0" w:line="240" w:lineRule="auto"/>
        <w:ind w:right="213"/>
        <w:jc w:val="both"/>
        <w:rPr>
          <w:rFonts w:ascii="Times New Roman" w:hAnsi="Times New Roman" w:cs="Times New Roman"/>
        </w:rPr>
      </w:pPr>
      <w:r w:rsidRPr="007610B0">
        <w:rPr>
          <w:rFonts w:ascii="Times New Roman" w:hAnsi="Times New Roman" w:cs="Times New Roman"/>
        </w:rPr>
        <w:t xml:space="preserve">Dentro de los gastos, se encuentran las personas vacunadas con esquema contra el COVID-19, gestión para la adquisición de la vacuna contra el COVID-19, personas con tratamiento de COVID-19 y personas beneficiadas con servicios de prevención de COVID-19. </w:t>
      </w:r>
    </w:p>
    <w:p w14:paraId="31505482" w14:textId="77777777" w:rsidR="004A0389" w:rsidRPr="007610B0" w:rsidRDefault="004A0389" w:rsidP="004A0389">
      <w:pPr>
        <w:spacing w:after="0" w:line="240" w:lineRule="auto"/>
        <w:ind w:right="213"/>
        <w:jc w:val="both"/>
        <w:rPr>
          <w:rFonts w:ascii="Times New Roman" w:hAnsi="Times New Roman" w:cs="Times New Roman"/>
        </w:rPr>
      </w:pPr>
    </w:p>
    <w:p w14:paraId="71C6DF35" w14:textId="77777777" w:rsidR="004A0389" w:rsidRPr="007610B0" w:rsidRDefault="004A0389" w:rsidP="004A0389">
      <w:pPr>
        <w:spacing w:after="0" w:line="240" w:lineRule="auto"/>
        <w:ind w:right="213"/>
        <w:jc w:val="both"/>
        <w:rPr>
          <w:rFonts w:ascii="Times New Roman" w:hAnsi="Times New Roman" w:cs="Times New Roman"/>
        </w:rPr>
      </w:pPr>
      <w:r w:rsidRPr="007610B0">
        <w:rPr>
          <w:rFonts w:ascii="Times New Roman" w:hAnsi="Times New Roman" w:cs="Times New Roman"/>
        </w:rPr>
        <w:t>En 2022 se han presupuestado Q1,000 millones en gestión para la adquisición de la vacuna contra la referida enfermedad.</w:t>
      </w:r>
    </w:p>
    <w:p w14:paraId="756DE83D" w14:textId="77777777" w:rsidR="004A0389" w:rsidRPr="007610B0" w:rsidRDefault="004A0389" w:rsidP="004A0389">
      <w:pPr>
        <w:spacing w:after="0" w:line="240" w:lineRule="auto"/>
        <w:ind w:right="213"/>
        <w:jc w:val="both"/>
        <w:rPr>
          <w:rFonts w:ascii="Times New Roman" w:hAnsi="Times New Roman" w:cs="Times New Roman"/>
        </w:rPr>
      </w:pPr>
    </w:p>
    <w:p w14:paraId="14737342" w14:textId="77777777" w:rsidR="004A0389" w:rsidRPr="007610B0" w:rsidRDefault="004A0389" w:rsidP="004A0389">
      <w:pPr>
        <w:pStyle w:val="Sinespaciado"/>
        <w:ind w:right="71"/>
        <w:jc w:val="both"/>
        <w:rPr>
          <w:rFonts w:ascii="Times New Roman" w:hAnsi="Times New Roman" w:cs="Times New Roman"/>
        </w:rPr>
      </w:pPr>
      <w:r w:rsidRPr="007610B0">
        <w:rPr>
          <w:rFonts w:ascii="Times New Roman" w:hAnsi="Times New Roman" w:cs="Times New Roman"/>
        </w:rPr>
        <w:t xml:space="preserve">Derivado de los esfuerzos antes mencionados, al cierre de febrero de acuerdo al tablero de seguimiento de COVID-19 del MSPAS, se han administrado alrededor de 14.9 millones de dosis, de las cuales 7.3 millones corresponden a primera dosis, 5.7 millones corresponden a segunda dosis y 1.9 millones corresponden a la dosis de refuerzo. </w:t>
      </w:r>
    </w:p>
    <w:p w14:paraId="2C1971A3" w14:textId="77777777" w:rsidR="004A0389" w:rsidRPr="007610B0" w:rsidRDefault="004A0389" w:rsidP="004A0389">
      <w:pPr>
        <w:pStyle w:val="Sinespaciado"/>
        <w:ind w:right="71"/>
        <w:jc w:val="both"/>
        <w:rPr>
          <w:rFonts w:ascii="Times New Roman" w:hAnsi="Times New Roman" w:cs="Times New Roman"/>
        </w:rPr>
      </w:pPr>
    </w:p>
    <w:p w14:paraId="672938B4" w14:textId="77777777" w:rsidR="004A0389" w:rsidRPr="007610B0" w:rsidRDefault="004A0389" w:rsidP="004A0389">
      <w:pPr>
        <w:pStyle w:val="Sinespaciado"/>
        <w:ind w:right="71"/>
        <w:jc w:val="both"/>
        <w:rPr>
          <w:rFonts w:ascii="Times New Roman" w:hAnsi="Times New Roman" w:cs="Times New Roman"/>
        </w:rPr>
      </w:pPr>
      <w:r w:rsidRPr="007610B0">
        <w:rPr>
          <w:rFonts w:ascii="Times New Roman" w:hAnsi="Times New Roman" w:cs="Times New Roman"/>
        </w:rPr>
        <w:t xml:space="preserve">De la primera dosis, el 39.7% corresponde a Moderna, 25.5% a Astrazeneca, 21.3% a Sputnik y 13.5% a Pfizer, lo cual corresponde a donaciones y compras hechas por el gobierno de Guatemala. </w:t>
      </w:r>
    </w:p>
    <w:p w14:paraId="33713DF6" w14:textId="77777777" w:rsidR="004A0389" w:rsidRPr="007610B0" w:rsidRDefault="004A0389" w:rsidP="004A0389">
      <w:pPr>
        <w:pStyle w:val="Sinespaciado"/>
        <w:ind w:right="71"/>
        <w:jc w:val="both"/>
        <w:rPr>
          <w:rFonts w:ascii="Times New Roman" w:hAnsi="Times New Roman" w:cs="Times New Roman"/>
        </w:rPr>
      </w:pPr>
    </w:p>
    <w:p w14:paraId="1A62E7C7" w14:textId="77777777" w:rsidR="00776700" w:rsidRPr="007610B0" w:rsidRDefault="004A0389" w:rsidP="004A0389">
      <w:pPr>
        <w:pStyle w:val="Sinespaciado"/>
        <w:jc w:val="both"/>
        <w:rPr>
          <w:rFonts w:ascii="Times New Roman" w:hAnsi="Times New Roman" w:cs="Times New Roman"/>
        </w:rPr>
      </w:pPr>
      <w:r w:rsidRPr="007610B0">
        <w:rPr>
          <w:rFonts w:ascii="Times New Roman" w:hAnsi="Times New Roman" w:cs="Times New Roman"/>
        </w:rPr>
        <w:t xml:space="preserve">Esto es relevante dado que en la vacunación se reflejan los esfuerzos del gobierno por </w:t>
      </w:r>
      <w:r w:rsidRPr="007610B0">
        <w:rPr>
          <w:rFonts w:ascii="Times New Roman" w:hAnsi="Times New Roman" w:cs="Times New Roman"/>
        </w:rPr>
        <w:t>asegurar la salud de los guatemaltecos ante los efectos de la pandemia COVID-19.</w:t>
      </w:r>
      <w:r w:rsidR="00776700" w:rsidRPr="007610B0">
        <w:rPr>
          <w:rFonts w:ascii="Times New Roman" w:hAnsi="Times New Roman" w:cs="Times New Roman"/>
        </w:rPr>
        <w:t xml:space="preserve"> </w:t>
      </w:r>
    </w:p>
    <w:p w14:paraId="5F6275DD" w14:textId="77777777" w:rsidR="00776700" w:rsidRPr="007610B0" w:rsidRDefault="00776700" w:rsidP="00776700">
      <w:pPr>
        <w:pStyle w:val="Sinespaciado"/>
        <w:ind w:right="213"/>
        <w:jc w:val="both"/>
        <w:rPr>
          <w:rFonts w:ascii="Times New Roman" w:hAnsi="Times New Roman" w:cs="Times New Roman"/>
          <w:sz w:val="12"/>
        </w:rPr>
      </w:pPr>
    </w:p>
    <w:p w14:paraId="5F507E71" w14:textId="77777777" w:rsidR="00776700" w:rsidRPr="007610B0" w:rsidRDefault="00776700" w:rsidP="00776700">
      <w:pPr>
        <w:pStyle w:val="Sinespaciado"/>
        <w:ind w:right="213"/>
        <w:jc w:val="center"/>
        <w:rPr>
          <w:rFonts w:ascii="Times New Roman" w:hAnsi="Times New Roman" w:cs="Times New Roman"/>
          <w:b/>
        </w:rPr>
      </w:pPr>
      <w:r w:rsidRPr="007610B0">
        <w:rPr>
          <w:rFonts w:ascii="Times New Roman" w:hAnsi="Times New Roman" w:cs="Times New Roman"/>
          <w:b/>
        </w:rPr>
        <w:t>Cantidad de dosis aplicadas y tipo de vacuna</w:t>
      </w:r>
    </w:p>
    <w:p w14:paraId="2E0FA91E" w14:textId="77777777" w:rsidR="00776700" w:rsidRPr="007610B0" w:rsidRDefault="004A0389" w:rsidP="00776700">
      <w:pPr>
        <w:pStyle w:val="Sinespaciado"/>
        <w:ind w:right="213"/>
        <w:jc w:val="center"/>
        <w:rPr>
          <w:rFonts w:ascii="Times New Roman" w:hAnsi="Times New Roman" w:cs="Times New Roman"/>
          <w:sz w:val="18"/>
        </w:rPr>
      </w:pPr>
      <w:r w:rsidRPr="007610B0">
        <w:rPr>
          <w:rFonts w:ascii="Times New Roman" w:hAnsi="Times New Roman" w:cs="Times New Roman"/>
          <w:noProof/>
          <w:sz w:val="18"/>
          <w:lang w:eastAsia="es-GT"/>
        </w:rPr>
        <w:drawing>
          <wp:anchor distT="0" distB="0" distL="114300" distR="114300" simplePos="0" relativeHeight="251698176" behindDoc="0" locked="0" layoutInCell="1" allowOverlap="1" wp14:anchorId="1D607688" wp14:editId="18AFEE2A">
            <wp:simplePos x="0" y="0"/>
            <wp:positionH relativeFrom="column">
              <wp:posOffset>3810</wp:posOffset>
            </wp:positionH>
            <wp:positionV relativeFrom="paragraph">
              <wp:posOffset>189230</wp:posOffset>
            </wp:positionV>
            <wp:extent cx="2773045" cy="2268220"/>
            <wp:effectExtent l="0" t="0" r="8255" b="0"/>
            <wp:wrapSquare wrapText="bothSides"/>
            <wp:docPr id="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776700" w:rsidRPr="007610B0">
        <w:rPr>
          <w:rFonts w:ascii="Times New Roman" w:hAnsi="Times New Roman" w:cs="Times New Roman"/>
          <w:sz w:val="18"/>
        </w:rPr>
        <w:t>Cifras en millones y porcentajes</w:t>
      </w:r>
    </w:p>
    <w:p w14:paraId="29D7A53D" w14:textId="77777777" w:rsidR="00776700" w:rsidRPr="007610B0" w:rsidRDefault="00776700" w:rsidP="00776700">
      <w:pPr>
        <w:pStyle w:val="Sinespaciado"/>
        <w:ind w:right="213"/>
        <w:jc w:val="both"/>
        <w:rPr>
          <w:rFonts w:ascii="Times New Roman" w:hAnsi="Times New Roman" w:cs="Times New Roman"/>
          <w:sz w:val="16"/>
        </w:rPr>
      </w:pPr>
      <w:r w:rsidRPr="007610B0">
        <w:rPr>
          <w:rFonts w:ascii="Times New Roman" w:hAnsi="Times New Roman" w:cs="Times New Roman"/>
          <w:sz w:val="16"/>
        </w:rPr>
        <w:t xml:space="preserve">Fuente: Ministerio de Salud Pública y Asistencia Social </w:t>
      </w:r>
    </w:p>
    <w:p w14:paraId="50EAD79F" w14:textId="77777777" w:rsidR="00776700" w:rsidRPr="007610B0" w:rsidRDefault="00776700" w:rsidP="00776700">
      <w:pPr>
        <w:spacing w:after="0" w:line="240" w:lineRule="auto"/>
        <w:ind w:right="213"/>
        <w:jc w:val="both"/>
        <w:rPr>
          <w:rFonts w:ascii="Times New Roman" w:hAnsi="Times New Roman" w:cs="Times New Roman"/>
        </w:rPr>
      </w:pPr>
    </w:p>
    <w:p w14:paraId="5C5ECD05" w14:textId="77777777" w:rsidR="00776700" w:rsidRPr="007610B0" w:rsidRDefault="004A0389" w:rsidP="00D22BC7">
      <w:pPr>
        <w:pStyle w:val="Sinespaciado"/>
        <w:ind w:right="-46"/>
        <w:jc w:val="both"/>
        <w:rPr>
          <w:rFonts w:ascii="Times New Roman" w:hAnsi="Times New Roman" w:cs="Times New Roman"/>
        </w:rPr>
      </w:pPr>
      <w:r w:rsidRPr="007610B0">
        <w:rPr>
          <w:rFonts w:ascii="Times New Roman" w:hAnsi="Times New Roman" w:cs="Times New Roman"/>
        </w:rPr>
        <w:t>Al analizar las cifras de personas vacunadas por grupo etario resalta que el mayor grupo de vacunados de primera, segunda dosis y refuerzo se encuentra en los mayores de 60 años, mientras que los menos vacunados son los de 12 a 17 años, y aun no pueden optar por la dosis de refuerzo. Es importante recordar que este grupo recibió la autorización para poderse vacunar en septiembre del 2021, por medio del Decreto 11-2021, aun así, se observa un avance importante en la vacunación de este grupo, con 43.4% de la población vacunada con primera dosis, mientras un 29.6% cuenta con segunda dosis.</w:t>
      </w:r>
    </w:p>
    <w:p w14:paraId="3BEC25FD" w14:textId="77777777" w:rsidR="004A0389" w:rsidRDefault="004A0389" w:rsidP="00D22BC7">
      <w:pPr>
        <w:pStyle w:val="Sinespaciado"/>
        <w:ind w:right="-46"/>
        <w:jc w:val="both"/>
        <w:rPr>
          <w:rFonts w:ascii="Times New Roman" w:hAnsi="Times New Roman" w:cs="Times New Roman"/>
        </w:rPr>
      </w:pPr>
    </w:p>
    <w:p w14:paraId="6D7A2756" w14:textId="77777777" w:rsidR="008C352D" w:rsidRDefault="008C352D" w:rsidP="00D22BC7">
      <w:pPr>
        <w:pStyle w:val="Sinespaciado"/>
        <w:ind w:right="-46"/>
        <w:jc w:val="both"/>
        <w:rPr>
          <w:rFonts w:ascii="Times New Roman" w:hAnsi="Times New Roman" w:cs="Times New Roman"/>
        </w:rPr>
      </w:pPr>
    </w:p>
    <w:p w14:paraId="0243F293" w14:textId="77777777" w:rsidR="008C352D" w:rsidRPr="007610B0" w:rsidRDefault="008C352D" w:rsidP="00D22BC7">
      <w:pPr>
        <w:pStyle w:val="Sinespaciado"/>
        <w:ind w:right="-46"/>
        <w:jc w:val="both"/>
        <w:rPr>
          <w:rFonts w:ascii="Times New Roman" w:hAnsi="Times New Roman" w:cs="Times New Roman"/>
        </w:rPr>
      </w:pPr>
    </w:p>
    <w:p w14:paraId="03BDAD46" w14:textId="77777777" w:rsidR="00DF6AE8" w:rsidRPr="007610B0" w:rsidRDefault="00DF6AE8" w:rsidP="00DF6AE8">
      <w:pPr>
        <w:pStyle w:val="Sinespaciado"/>
        <w:ind w:right="213"/>
        <w:jc w:val="center"/>
        <w:rPr>
          <w:rFonts w:ascii="Times New Roman" w:hAnsi="Times New Roman" w:cs="Times New Roman"/>
          <w:b/>
        </w:rPr>
      </w:pPr>
      <w:r w:rsidRPr="007610B0">
        <w:rPr>
          <w:rFonts w:ascii="Times New Roman" w:hAnsi="Times New Roman" w:cs="Times New Roman"/>
          <w:b/>
        </w:rPr>
        <w:t>Porcentaje de vacunados por grupo etario</w:t>
      </w:r>
    </w:p>
    <w:p w14:paraId="1EAD0EEE" w14:textId="77777777" w:rsidR="00DF6AE8" w:rsidRPr="007610B0" w:rsidRDefault="00854981" w:rsidP="00DF6AE8">
      <w:pPr>
        <w:pStyle w:val="Sinespaciado"/>
        <w:ind w:right="213"/>
        <w:jc w:val="center"/>
        <w:rPr>
          <w:rFonts w:ascii="Times New Roman" w:hAnsi="Times New Roman" w:cs="Times New Roman"/>
          <w:sz w:val="18"/>
        </w:rPr>
      </w:pPr>
      <w:r w:rsidRPr="007610B0">
        <w:rPr>
          <w:rFonts w:ascii="Times New Roman" w:hAnsi="Times New Roman" w:cs="Times New Roman"/>
          <w:b/>
          <w:noProof/>
          <w:lang w:eastAsia="es-GT"/>
        </w:rPr>
        <w:drawing>
          <wp:anchor distT="0" distB="0" distL="114300" distR="114300" simplePos="0" relativeHeight="251700224" behindDoc="0" locked="0" layoutInCell="1" allowOverlap="1" wp14:anchorId="30508D6C" wp14:editId="1D4E475C">
            <wp:simplePos x="0" y="0"/>
            <wp:positionH relativeFrom="column">
              <wp:posOffset>-1905</wp:posOffset>
            </wp:positionH>
            <wp:positionV relativeFrom="paragraph">
              <wp:posOffset>200912</wp:posOffset>
            </wp:positionV>
            <wp:extent cx="2766695" cy="2359660"/>
            <wp:effectExtent l="0" t="0" r="0" b="254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DF6AE8" w:rsidRPr="007610B0">
        <w:rPr>
          <w:rFonts w:ascii="Times New Roman" w:hAnsi="Times New Roman" w:cs="Times New Roman"/>
          <w:sz w:val="18"/>
        </w:rPr>
        <w:t>Cifras en porcentajes</w:t>
      </w:r>
    </w:p>
    <w:p w14:paraId="70228947" w14:textId="77777777" w:rsidR="00776700" w:rsidRPr="007610B0" w:rsidRDefault="00DF6AE8" w:rsidP="00776700">
      <w:pPr>
        <w:pStyle w:val="Sinespaciado"/>
        <w:ind w:right="213"/>
        <w:jc w:val="both"/>
        <w:rPr>
          <w:rFonts w:ascii="Times New Roman" w:hAnsi="Times New Roman" w:cs="Times New Roman"/>
          <w:sz w:val="16"/>
          <w:szCs w:val="16"/>
        </w:rPr>
      </w:pPr>
      <w:r w:rsidRPr="007610B0">
        <w:rPr>
          <w:rFonts w:ascii="Times New Roman" w:hAnsi="Times New Roman" w:cs="Times New Roman"/>
          <w:sz w:val="16"/>
          <w:szCs w:val="16"/>
        </w:rPr>
        <w:t>Fuente: Ministerio de Salud Pública y Asistencia Social.</w:t>
      </w:r>
    </w:p>
    <w:p w14:paraId="77F96F06" w14:textId="77777777" w:rsidR="00D22BC7" w:rsidRPr="007610B0" w:rsidRDefault="00D22BC7" w:rsidP="00776700">
      <w:pPr>
        <w:pStyle w:val="Sinespaciado"/>
        <w:ind w:right="213"/>
        <w:jc w:val="both"/>
        <w:rPr>
          <w:rFonts w:ascii="Times New Roman" w:hAnsi="Times New Roman" w:cs="Times New Roman"/>
        </w:rPr>
      </w:pPr>
    </w:p>
    <w:p w14:paraId="372535F0" w14:textId="77777777" w:rsidR="00854981" w:rsidRPr="007610B0" w:rsidRDefault="004A0389" w:rsidP="004A0389">
      <w:pPr>
        <w:pStyle w:val="Sinespaciado"/>
        <w:ind w:right="213"/>
        <w:jc w:val="both"/>
        <w:rPr>
          <w:rFonts w:ascii="Times New Roman" w:hAnsi="Times New Roman" w:cs="Times New Roman"/>
        </w:rPr>
      </w:pPr>
      <w:r w:rsidRPr="007610B0">
        <w:rPr>
          <w:rFonts w:ascii="Times New Roman" w:hAnsi="Times New Roman" w:cs="Times New Roman"/>
          <w:b/>
        </w:rPr>
        <w:t xml:space="preserve">Por su parte, también se le da seguimiento a la ejecución del gasto relacionado al Estado de Calamidad Pública por la depresión tropical ETA, </w:t>
      </w:r>
      <w:r w:rsidRPr="007610B0">
        <w:rPr>
          <w:rFonts w:ascii="Times New Roman" w:hAnsi="Times New Roman" w:cs="Times New Roman"/>
        </w:rPr>
        <w:t>durante el año se han ejecutado Q77.3 millones, correspondientes en su totalidad al Ministerio de Comunicaciones, Infraestructura y Vivienda.</w:t>
      </w:r>
    </w:p>
    <w:p w14:paraId="2992FC4D" w14:textId="77777777" w:rsidR="00854981" w:rsidRPr="007610B0" w:rsidRDefault="00854981" w:rsidP="004A0389">
      <w:pPr>
        <w:pStyle w:val="Sinespaciado"/>
        <w:ind w:right="213"/>
        <w:jc w:val="both"/>
        <w:rPr>
          <w:rFonts w:ascii="Times New Roman" w:hAnsi="Times New Roman" w:cs="Times New Roman"/>
        </w:rPr>
      </w:pPr>
    </w:p>
    <w:p w14:paraId="06E5CDB9" w14:textId="77777777" w:rsidR="00D22BC7" w:rsidRPr="0055536A" w:rsidRDefault="004A0389" w:rsidP="004A0389">
      <w:pPr>
        <w:pStyle w:val="Sinespaciado"/>
        <w:ind w:right="213"/>
        <w:jc w:val="both"/>
        <w:rPr>
          <w:rFonts w:ascii="Times New Roman" w:hAnsi="Times New Roman" w:cs="Times New Roman"/>
          <w:color w:val="FF0000"/>
        </w:rPr>
      </w:pPr>
      <w:r w:rsidRPr="007610B0">
        <w:rPr>
          <w:rFonts w:ascii="Times New Roman" w:hAnsi="Times New Roman" w:cs="Times New Roman"/>
        </w:rPr>
        <w:t>Se resalta que este subprograma no contaba con presupuesto inicial y debido a reprogramaciones que se llevaron a cabo en febrero actualmente cuenta con un presupuesto vigente de Q296.4 millones, el cual corresponde a intervenciones para el mantenimiento y reparación de bienes nacionales.</w:t>
      </w:r>
    </w:p>
    <w:p w14:paraId="3911EB14" w14:textId="77777777" w:rsidR="00DF6AE8" w:rsidRPr="0055536A" w:rsidRDefault="00DF6AE8" w:rsidP="00776700">
      <w:pPr>
        <w:pStyle w:val="Sinespaciado"/>
        <w:ind w:right="213"/>
        <w:jc w:val="both"/>
        <w:rPr>
          <w:rFonts w:ascii="Times New Roman" w:hAnsi="Times New Roman" w:cs="Times New Roman"/>
          <w:color w:val="FF0000"/>
          <w:sz w:val="14"/>
        </w:rPr>
      </w:pPr>
    </w:p>
    <w:p w14:paraId="7F7432EE" w14:textId="77777777" w:rsidR="00776700" w:rsidRPr="0055536A" w:rsidRDefault="00D22BC7" w:rsidP="00776700">
      <w:pPr>
        <w:pStyle w:val="Sinespaciado"/>
        <w:ind w:right="213"/>
        <w:rPr>
          <w:rFonts w:ascii="Times New Roman" w:hAnsi="Times New Roman" w:cs="Times New Roman"/>
          <w:color w:val="FF0000"/>
          <w:sz w:val="16"/>
        </w:rPr>
        <w:sectPr w:rsidR="00776700" w:rsidRPr="0055536A" w:rsidSect="008E00B7">
          <w:type w:val="continuous"/>
          <w:pgSz w:w="12240" w:h="15840"/>
          <w:pgMar w:top="1417" w:right="1701" w:bottom="1417" w:left="1701" w:header="708" w:footer="708" w:gutter="0"/>
          <w:cols w:num="2" w:space="708"/>
          <w:docGrid w:linePitch="360"/>
        </w:sectPr>
      </w:pPr>
      <w:r w:rsidRPr="0055536A">
        <w:rPr>
          <w:rFonts w:ascii="Times New Roman" w:hAnsi="Times New Roman" w:cs="Times New Roman"/>
          <w:color w:val="FF0000"/>
          <w:sz w:val="16"/>
        </w:rPr>
        <w:t>.</w:t>
      </w:r>
    </w:p>
    <w:p w14:paraId="27D2DE68" w14:textId="77777777" w:rsidR="00776700" w:rsidRPr="0055536A" w:rsidRDefault="00776700" w:rsidP="00776700">
      <w:pPr>
        <w:pStyle w:val="Sinespaciado"/>
        <w:ind w:right="213"/>
        <w:rPr>
          <w:rFonts w:ascii="Times New Roman" w:hAnsi="Times New Roman" w:cs="Times New Roman"/>
          <w:color w:val="FF0000"/>
          <w:sz w:val="16"/>
        </w:rPr>
      </w:pPr>
    </w:p>
    <w:p w14:paraId="5FAAFEB1" w14:textId="77777777" w:rsidR="00776700" w:rsidRPr="0055536A" w:rsidRDefault="00776700" w:rsidP="00776700">
      <w:pPr>
        <w:spacing w:after="0"/>
        <w:rPr>
          <w:rFonts w:ascii="Times New Roman" w:hAnsi="Times New Roman" w:cs="Times New Roman"/>
          <w:color w:val="FF0000"/>
        </w:rPr>
        <w:sectPr w:rsidR="00776700" w:rsidRPr="0055536A" w:rsidSect="00960BE9">
          <w:headerReference w:type="default" r:id="rId37"/>
          <w:footerReference w:type="default" r:id="rId38"/>
          <w:type w:val="continuous"/>
          <w:pgSz w:w="12240" w:h="15840"/>
          <w:pgMar w:top="1417" w:right="1701" w:bottom="1417" w:left="1701" w:header="708" w:footer="708" w:gutter="0"/>
          <w:cols w:space="708"/>
          <w:docGrid w:linePitch="360"/>
        </w:sectPr>
      </w:pPr>
    </w:p>
    <w:p w14:paraId="3DF9AE02" w14:textId="77777777" w:rsidR="008E00B7" w:rsidRPr="00D72CEE" w:rsidRDefault="00776700" w:rsidP="00013059">
      <w:pPr>
        <w:pStyle w:val="Sinespaciado"/>
        <w:shd w:val="clear" w:color="auto" w:fill="44546A" w:themeFill="text2"/>
        <w:ind w:right="-376" w:hanging="426"/>
        <w:jc w:val="center"/>
        <w:rPr>
          <w:rFonts w:ascii="Times New Roman" w:hAnsi="Times New Roman" w:cs="Times New Roman"/>
          <w:b/>
          <w:sz w:val="24"/>
          <w:szCs w:val="24"/>
        </w:rPr>
      </w:pPr>
      <w:r w:rsidRPr="007610B0">
        <w:rPr>
          <w:rFonts w:ascii="Times New Roman" w:hAnsi="Times New Roman" w:cs="Times New Roman"/>
          <w:b/>
          <w:color w:val="FFFFFF" w:themeColor="background1"/>
          <w:sz w:val="24"/>
          <w:szCs w:val="24"/>
        </w:rPr>
        <w:t>Ambientes macroeconómicos (externo e interno)</w:t>
      </w:r>
    </w:p>
    <w:p w14:paraId="2E95572C" w14:textId="77777777" w:rsidR="00776700" w:rsidRPr="00D72CEE" w:rsidRDefault="00776700" w:rsidP="00C76B98">
      <w:pPr>
        <w:pStyle w:val="Sinespaciado"/>
        <w:rPr>
          <w:rFonts w:ascii="Times New Roman" w:hAnsi="Times New Roman" w:cs="Times New Roman"/>
          <w:sz w:val="18"/>
          <w:szCs w:val="18"/>
        </w:rPr>
      </w:pPr>
    </w:p>
    <w:p w14:paraId="323E01A9" w14:textId="77777777" w:rsidR="00776700" w:rsidRPr="00D72CEE" w:rsidRDefault="00776700" w:rsidP="00776700">
      <w:pPr>
        <w:spacing w:after="0"/>
        <w:rPr>
          <w:rFonts w:ascii="Times New Roman" w:hAnsi="Times New Roman" w:cs="Times New Roman"/>
        </w:rPr>
        <w:sectPr w:rsidR="00776700" w:rsidRPr="00D72CEE" w:rsidSect="00960BE9">
          <w:headerReference w:type="default" r:id="rId39"/>
          <w:footerReference w:type="default" r:id="rId40"/>
          <w:type w:val="continuous"/>
          <w:pgSz w:w="12240" w:h="15840"/>
          <w:pgMar w:top="1417" w:right="1701" w:bottom="1417" w:left="1701" w:header="708" w:footer="708" w:gutter="0"/>
          <w:cols w:space="708"/>
          <w:docGrid w:linePitch="360"/>
        </w:sectPr>
      </w:pPr>
    </w:p>
    <w:p w14:paraId="0FD27F99" w14:textId="77777777" w:rsidR="00C56D80" w:rsidRPr="00D72CEE" w:rsidRDefault="00C56D80" w:rsidP="0049255C">
      <w:pPr>
        <w:pStyle w:val="Textodeglobo"/>
        <w:jc w:val="both"/>
        <w:rPr>
          <w:rFonts w:ascii="Times New Roman" w:hAnsi="Times New Roman" w:cs="Times New Roman"/>
          <w:sz w:val="22"/>
          <w:szCs w:val="22"/>
        </w:rPr>
      </w:pPr>
      <w:r w:rsidRPr="00D72CEE">
        <w:rPr>
          <w:rFonts w:ascii="Times New Roman" w:hAnsi="Times New Roman" w:cs="Times New Roman"/>
          <w:sz w:val="22"/>
          <w:szCs w:val="22"/>
        </w:rPr>
        <w:t xml:space="preserve">En el ámbito económico externo, </w:t>
      </w:r>
      <w:r w:rsidR="00A05516" w:rsidRPr="00D72CEE">
        <w:rPr>
          <w:rFonts w:ascii="Times New Roman" w:hAnsi="Times New Roman" w:cs="Times New Roman"/>
          <w:sz w:val="22"/>
          <w:szCs w:val="22"/>
        </w:rPr>
        <w:t xml:space="preserve">en febrero la economía mundial aun con dificultades sanitarias provocadas por la </w:t>
      </w:r>
      <w:r w:rsidR="0023120C" w:rsidRPr="00D72CEE">
        <w:rPr>
          <w:rFonts w:ascii="Times New Roman" w:hAnsi="Times New Roman" w:cs="Times New Roman"/>
          <w:sz w:val="22"/>
          <w:szCs w:val="22"/>
        </w:rPr>
        <w:t>continuidad</w:t>
      </w:r>
      <w:r w:rsidR="00A05516" w:rsidRPr="00D72CEE">
        <w:rPr>
          <w:rFonts w:ascii="Times New Roman" w:hAnsi="Times New Roman" w:cs="Times New Roman"/>
          <w:sz w:val="22"/>
          <w:szCs w:val="22"/>
        </w:rPr>
        <w:t xml:space="preserve"> de la variante Ómicron y su especial protagonismo en los últimos meses, el panorama luce con gran incertidumbre debido </w:t>
      </w:r>
      <w:r w:rsidR="0023120C" w:rsidRPr="00D72CEE">
        <w:rPr>
          <w:rFonts w:ascii="Times New Roman" w:hAnsi="Times New Roman" w:cs="Times New Roman"/>
          <w:sz w:val="22"/>
          <w:szCs w:val="22"/>
        </w:rPr>
        <w:t>al conflicto armado en Ucrania. A medida que las rápidas sanciones occidentales aislaron a Rusia, colapsaron su moneda y sus activos financieros, provocando un aumento de gran dimensión en los precios de la energía y los alimentos principalmente.</w:t>
      </w:r>
    </w:p>
    <w:p w14:paraId="1975C3D6" w14:textId="77777777" w:rsidR="0023120C" w:rsidRPr="00D72CEE" w:rsidRDefault="0023120C" w:rsidP="0049255C">
      <w:pPr>
        <w:pStyle w:val="Textodeglobo"/>
        <w:jc w:val="both"/>
        <w:rPr>
          <w:rFonts w:ascii="Times New Roman" w:hAnsi="Times New Roman" w:cs="Times New Roman"/>
          <w:sz w:val="22"/>
          <w:szCs w:val="22"/>
        </w:rPr>
      </w:pPr>
    </w:p>
    <w:p w14:paraId="55E6A582" w14:textId="77777777" w:rsidR="0023120C" w:rsidRPr="00D72CEE" w:rsidRDefault="0023120C" w:rsidP="0023120C">
      <w:pPr>
        <w:pStyle w:val="Textodeglobo"/>
        <w:jc w:val="both"/>
        <w:rPr>
          <w:rFonts w:ascii="Times New Roman" w:hAnsi="Times New Roman" w:cs="Times New Roman"/>
          <w:sz w:val="22"/>
          <w:szCs w:val="22"/>
        </w:rPr>
      </w:pPr>
      <w:r w:rsidRPr="00D72CEE">
        <w:rPr>
          <w:rFonts w:ascii="Times New Roman" w:hAnsi="Times New Roman" w:cs="Times New Roman"/>
          <w:sz w:val="22"/>
          <w:szCs w:val="22"/>
        </w:rPr>
        <w:t xml:space="preserve"> La invasión de Ucrania por parte del presidente ruso Vladimir Putin ha recibido una respuesta sin precedentes de Estados Unidos, Reino Unido, la Unión Europea, Canadá, Japón, Australia y otros países. Incluso Suiza, famosa por su neutralidad y secreto bancario, se ha comprometido a imponer sanciones a Rusia.  Las sanciones anunciadas recientemente han impedido que los dos bancos más grandes de Rusia, Sberbank y VTB, negocien en dólares estadounidenses. Occidente también eliminó siete bancos rusos de SWIFT, un servicio global que conecta a las instituciones financieras y facilita pagos rápidos y seguros.  El conflicto ya</w:t>
      </w:r>
      <w:r w:rsidR="00252096" w:rsidRPr="00D72CEE">
        <w:rPr>
          <w:rFonts w:ascii="Times New Roman" w:hAnsi="Times New Roman" w:cs="Times New Roman"/>
          <w:sz w:val="22"/>
          <w:szCs w:val="22"/>
        </w:rPr>
        <w:t xml:space="preserve"> ocasionó </w:t>
      </w:r>
      <w:r w:rsidR="00252096" w:rsidRPr="00D72CEE">
        <w:rPr>
          <w:rFonts w:ascii="Times New Roman" w:hAnsi="Times New Roman" w:cs="Times New Roman"/>
          <w:sz w:val="22"/>
          <w:szCs w:val="22"/>
        </w:rPr>
        <w:t>que</w:t>
      </w:r>
      <w:r w:rsidRPr="00D72CEE">
        <w:rPr>
          <w:rFonts w:ascii="Times New Roman" w:hAnsi="Times New Roman" w:cs="Times New Roman"/>
          <w:sz w:val="22"/>
          <w:szCs w:val="22"/>
        </w:rPr>
        <w:t xml:space="preserve"> los precios del petróleo </w:t>
      </w:r>
      <w:r w:rsidR="00252096" w:rsidRPr="00D72CEE">
        <w:rPr>
          <w:rFonts w:ascii="Times New Roman" w:hAnsi="Times New Roman" w:cs="Times New Roman"/>
          <w:sz w:val="22"/>
          <w:szCs w:val="22"/>
        </w:rPr>
        <w:t>se eleven a su precio más alto en</w:t>
      </w:r>
      <w:r w:rsidRPr="00D72CEE">
        <w:rPr>
          <w:rFonts w:ascii="Times New Roman" w:hAnsi="Times New Roman" w:cs="Times New Roman"/>
          <w:sz w:val="22"/>
          <w:szCs w:val="22"/>
        </w:rPr>
        <w:t xml:space="preserve"> los últimos siete años.</w:t>
      </w:r>
    </w:p>
    <w:p w14:paraId="0C6851FC" w14:textId="77777777" w:rsidR="00C56D80" w:rsidRPr="00D72CEE" w:rsidRDefault="00C56D80" w:rsidP="00C56D80">
      <w:pPr>
        <w:pStyle w:val="Textodeglobo"/>
        <w:jc w:val="both"/>
        <w:rPr>
          <w:rFonts w:ascii="Times New Roman" w:hAnsi="Times New Roman" w:cs="Times New Roman"/>
          <w:sz w:val="22"/>
          <w:szCs w:val="22"/>
        </w:rPr>
      </w:pPr>
    </w:p>
    <w:p w14:paraId="191DD74A" w14:textId="77777777" w:rsidR="00C56D80" w:rsidRPr="00D72CEE" w:rsidRDefault="00E13AB2" w:rsidP="00252096">
      <w:pPr>
        <w:pStyle w:val="Textodeglobo"/>
        <w:jc w:val="both"/>
        <w:rPr>
          <w:rFonts w:ascii="Times New Roman" w:hAnsi="Times New Roman" w:cs="Times New Roman"/>
          <w:sz w:val="22"/>
          <w:szCs w:val="22"/>
        </w:rPr>
      </w:pPr>
      <w:r w:rsidRPr="00D72CEE">
        <w:rPr>
          <w:rFonts w:ascii="Times New Roman" w:hAnsi="Times New Roman" w:cs="Times New Roman"/>
          <w:sz w:val="22"/>
          <w:szCs w:val="22"/>
        </w:rPr>
        <w:t xml:space="preserve">En Estados Unidos, </w:t>
      </w:r>
      <w:r w:rsidR="00252096" w:rsidRPr="00D72CEE">
        <w:rPr>
          <w:rFonts w:ascii="Times New Roman" w:hAnsi="Times New Roman" w:cs="Times New Roman"/>
          <w:sz w:val="22"/>
          <w:szCs w:val="22"/>
        </w:rPr>
        <w:t>el presidente de la Reserva Federal, Jerome Powell, indicó que propondrá un aumento de las tasas de referencia de un cuarto de punto porcentual en la próxima reunión del comité monetario del organismo a mediados de marzo. La Fed ha previsto tres subidas de los tipos de interés a lo largo de 2022, esperando bajar la inflación al 2.6% en 2022, 2.3% en 2023 y 2.1% en 2024, después de alcanzar el 7.5 % en el inicio del 2022, la tasa más alta desde 1982.</w:t>
      </w:r>
    </w:p>
    <w:p w14:paraId="28D8E1D7" w14:textId="77777777" w:rsidR="00C56D80" w:rsidRPr="00D72CEE" w:rsidRDefault="00C56D80" w:rsidP="00C56D80">
      <w:pPr>
        <w:pStyle w:val="Textodeglobo"/>
        <w:jc w:val="both"/>
        <w:rPr>
          <w:rFonts w:ascii="Times New Roman" w:hAnsi="Times New Roman" w:cs="Times New Roman"/>
          <w:szCs w:val="22"/>
        </w:rPr>
      </w:pPr>
    </w:p>
    <w:p w14:paraId="235CB22D" w14:textId="77777777" w:rsidR="00252096" w:rsidRPr="00D72CEE" w:rsidRDefault="00252096" w:rsidP="00C56D80">
      <w:pPr>
        <w:pStyle w:val="Textodeglobo"/>
        <w:jc w:val="both"/>
        <w:rPr>
          <w:rFonts w:ascii="Times New Roman" w:hAnsi="Times New Roman" w:cs="Times New Roman"/>
          <w:sz w:val="22"/>
          <w:szCs w:val="22"/>
        </w:rPr>
      </w:pPr>
      <w:r w:rsidRPr="00D72CEE">
        <w:rPr>
          <w:rFonts w:ascii="Times New Roman" w:hAnsi="Times New Roman" w:cs="Times New Roman"/>
          <w:sz w:val="22"/>
          <w:szCs w:val="22"/>
        </w:rPr>
        <w:t>El desempleo estadounidense durante febrero registró una sensible caída y se situó en el 3.8%. Entre los hispanos, el Departamento de Trabajo registró una baja de 0.5% con respecto al mes anterior y se ubicó en febrero en el 4.4%. La caída de la tasa del 4% de enero al 3.8% en febrero refleja que la economía gana impulso con el retroceso de la pandemia de coronavirus y la caída de las infecciones por las nuevas variantes.</w:t>
      </w:r>
    </w:p>
    <w:p w14:paraId="362C1D3F" w14:textId="77777777" w:rsidR="00252096" w:rsidRPr="00D72CEE" w:rsidRDefault="00252096" w:rsidP="00C56D80">
      <w:pPr>
        <w:pStyle w:val="Textodeglobo"/>
        <w:jc w:val="both"/>
        <w:rPr>
          <w:rFonts w:ascii="Times New Roman" w:hAnsi="Times New Roman" w:cs="Times New Roman"/>
          <w:sz w:val="22"/>
          <w:szCs w:val="22"/>
        </w:rPr>
      </w:pPr>
    </w:p>
    <w:p w14:paraId="556ADCDE" w14:textId="77777777" w:rsidR="00C56D80" w:rsidRPr="00D72CEE" w:rsidRDefault="00C56D80" w:rsidP="00252096">
      <w:pPr>
        <w:pStyle w:val="Textodeglobo"/>
        <w:jc w:val="both"/>
        <w:rPr>
          <w:rFonts w:ascii="Times New Roman" w:hAnsi="Times New Roman" w:cs="Times New Roman"/>
          <w:sz w:val="22"/>
          <w:szCs w:val="22"/>
        </w:rPr>
      </w:pPr>
      <w:r w:rsidRPr="00D72CEE">
        <w:rPr>
          <w:rFonts w:ascii="Times New Roman" w:hAnsi="Times New Roman" w:cs="Times New Roman"/>
          <w:sz w:val="22"/>
          <w:szCs w:val="22"/>
        </w:rPr>
        <w:t xml:space="preserve">En la zona euro, </w:t>
      </w:r>
      <w:r w:rsidR="00252096" w:rsidRPr="00D72CEE">
        <w:rPr>
          <w:rFonts w:ascii="Times New Roman" w:hAnsi="Times New Roman" w:cs="Times New Roman"/>
          <w:sz w:val="22"/>
          <w:szCs w:val="22"/>
        </w:rPr>
        <w:t xml:space="preserve">el crecimiento económico recuperó un fuerte impulso de crecimiento antes de la invasión de Ucrania. Según el </w:t>
      </w:r>
      <w:r w:rsidR="00252096" w:rsidRPr="00D72CEE">
        <w:rPr>
          <w:rFonts w:ascii="Times New Roman" w:hAnsi="Times New Roman" w:cs="Times New Roman"/>
          <w:sz w:val="22"/>
          <w:szCs w:val="22"/>
        </w:rPr>
        <w:lastRenderedPageBreak/>
        <w:t xml:space="preserve">índice PMI, las expansiones del sector manufacturero y del sector servicios fueron igualmente sólidas en febrero, mientras la inflación alcanzó un nuevo récord.  Después de caer hasta su mínima de once meses en enero, el Índice PMI Compuesto de Actividad Total de la zona euro, elaborado por la consultora Markit, ajustado estacionalmente, subió de 52.3 registrado en enero a 55.5 en febrero.  La inflación ha dado un salto en febrero, el IPC armonizado ha subido hasta el 5.8% respecto al mismo mes del año anterior, según Eurostat, </w:t>
      </w:r>
      <w:r w:rsidR="00260D42" w:rsidRPr="00D72CEE">
        <w:rPr>
          <w:rFonts w:ascii="Times New Roman" w:hAnsi="Times New Roman" w:cs="Times New Roman"/>
          <w:sz w:val="22"/>
          <w:szCs w:val="22"/>
        </w:rPr>
        <w:t xml:space="preserve">debido a </w:t>
      </w:r>
      <w:r w:rsidR="00252096" w:rsidRPr="00D72CEE">
        <w:rPr>
          <w:rFonts w:ascii="Times New Roman" w:hAnsi="Times New Roman" w:cs="Times New Roman"/>
          <w:sz w:val="22"/>
          <w:szCs w:val="22"/>
        </w:rPr>
        <w:t>la guerra en Ucrania que añade mucha presión sobre el mercado del gas y unos precios de la energía ya muy estresados</w:t>
      </w:r>
      <w:r w:rsidR="00260D42" w:rsidRPr="00D72CEE">
        <w:rPr>
          <w:rFonts w:ascii="Times New Roman" w:hAnsi="Times New Roman" w:cs="Times New Roman"/>
          <w:sz w:val="22"/>
          <w:szCs w:val="22"/>
        </w:rPr>
        <w:t>.</w:t>
      </w:r>
    </w:p>
    <w:p w14:paraId="7FA80876" w14:textId="77777777" w:rsidR="00C56D80" w:rsidRPr="00D72CEE" w:rsidRDefault="00C56D80" w:rsidP="00C56D80">
      <w:pPr>
        <w:pStyle w:val="Textodeglobo"/>
        <w:jc w:val="both"/>
        <w:rPr>
          <w:rFonts w:ascii="Times New Roman" w:hAnsi="Times New Roman" w:cs="Times New Roman"/>
          <w:szCs w:val="22"/>
        </w:rPr>
      </w:pPr>
    </w:p>
    <w:p w14:paraId="6C599292" w14:textId="77777777" w:rsidR="00D508C0" w:rsidRPr="00D72CEE" w:rsidRDefault="00D508C0" w:rsidP="00D508C0">
      <w:pPr>
        <w:spacing w:after="0" w:line="240" w:lineRule="auto"/>
        <w:jc w:val="both"/>
        <w:rPr>
          <w:rFonts w:ascii="Times New Roman" w:hAnsi="Times New Roman" w:cs="Times New Roman"/>
          <w:lang w:val="es-MX"/>
        </w:rPr>
      </w:pPr>
      <w:r w:rsidRPr="00D72CEE">
        <w:rPr>
          <w:rFonts w:ascii="Times New Roman" w:hAnsi="Times New Roman" w:cs="Times New Roman"/>
          <w:lang w:val="es-MX"/>
        </w:rPr>
        <w:t xml:space="preserve">En Japón se destaca la decisión de vender 7.5 millones de barriles de petróleo de sus reservas nacionales en medio de un acuerdo con otros miembros de la Agencia Internacional de Energía (AIE). Dicha decisión tiene como objetivo enviar el mensaje de que no habrá una escasez de suministros en medio de la situación bélica entre Rusia y Ucrania, según confirmó el ministro japonés de Economía, Comercio e Industria, </w:t>
      </w:r>
      <w:proofErr w:type="spellStart"/>
      <w:r w:rsidRPr="00D72CEE">
        <w:rPr>
          <w:rFonts w:ascii="Times New Roman" w:hAnsi="Times New Roman" w:cs="Times New Roman"/>
          <w:lang w:val="es-MX"/>
        </w:rPr>
        <w:t>Koichi</w:t>
      </w:r>
      <w:proofErr w:type="spellEnd"/>
      <w:r w:rsidRPr="00D72CEE">
        <w:rPr>
          <w:rFonts w:ascii="Times New Roman" w:hAnsi="Times New Roman" w:cs="Times New Roman"/>
          <w:lang w:val="es-MX"/>
        </w:rPr>
        <w:t xml:space="preserve"> </w:t>
      </w:r>
      <w:proofErr w:type="spellStart"/>
      <w:r w:rsidRPr="00D72CEE">
        <w:rPr>
          <w:rFonts w:ascii="Times New Roman" w:hAnsi="Times New Roman" w:cs="Times New Roman"/>
          <w:lang w:val="es-MX"/>
        </w:rPr>
        <w:t>Hagiuda</w:t>
      </w:r>
      <w:proofErr w:type="spellEnd"/>
      <w:r w:rsidRPr="00D72CEE">
        <w:rPr>
          <w:rFonts w:ascii="Times New Roman" w:hAnsi="Times New Roman" w:cs="Times New Roman"/>
          <w:lang w:val="es-MX"/>
        </w:rPr>
        <w:t xml:space="preserve">, a la agencia Reuters. Entre tanto, Estados Unidos también sacará a la venta al menos la mitad del volumen acordado, informó el presidente Joe Biden.  </w:t>
      </w:r>
    </w:p>
    <w:p w14:paraId="4358E70C" w14:textId="77777777" w:rsidR="00C56D80" w:rsidRPr="00D72CEE" w:rsidRDefault="00C56D80" w:rsidP="00C56D80">
      <w:pPr>
        <w:spacing w:after="0" w:line="240" w:lineRule="auto"/>
        <w:jc w:val="both"/>
        <w:rPr>
          <w:rFonts w:ascii="Times New Roman" w:hAnsi="Times New Roman" w:cs="Times New Roman"/>
          <w:lang w:val="es-MX"/>
        </w:rPr>
      </w:pPr>
    </w:p>
    <w:p w14:paraId="44A48283" w14:textId="77777777" w:rsidR="00C56D80" w:rsidRPr="00D72CEE" w:rsidRDefault="00C56D80" w:rsidP="00C56D80">
      <w:pPr>
        <w:spacing w:after="0" w:line="240" w:lineRule="auto"/>
        <w:jc w:val="both"/>
        <w:rPr>
          <w:rFonts w:ascii="Times New Roman" w:hAnsi="Times New Roman" w:cs="Times New Roman"/>
          <w:lang w:val="es-MX"/>
        </w:rPr>
      </w:pPr>
      <w:r w:rsidRPr="00D72CEE">
        <w:rPr>
          <w:rFonts w:ascii="Times New Roman" w:hAnsi="Times New Roman" w:cs="Times New Roman"/>
          <w:lang w:val="es-MX"/>
        </w:rPr>
        <w:t>En Latinoamérica y el Caribe, la CEPAL en su más reciente actualización de proyecciones indicó que la</w:t>
      </w:r>
      <w:r w:rsidR="001C01B8" w:rsidRPr="00D72CEE">
        <w:rPr>
          <w:rFonts w:ascii="Times New Roman" w:hAnsi="Times New Roman" w:cs="Times New Roman"/>
          <w:lang w:val="es-MX"/>
        </w:rPr>
        <w:t xml:space="preserve"> región crecerá en promedio un 2.1</w:t>
      </w:r>
      <w:r w:rsidRPr="00D72CEE">
        <w:rPr>
          <w:rFonts w:ascii="Times New Roman" w:hAnsi="Times New Roman" w:cs="Times New Roman"/>
          <w:lang w:val="es-MX"/>
        </w:rPr>
        <w:t>%,</w:t>
      </w:r>
      <w:r w:rsidR="001C01B8" w:rsidRPr="00D72CEE">
        <w:rPr>
          <w:rFonts w:ascii="Times New Roman" w:hAnsi="Times New Roman" w:cs="Times New Roman"/>
          <w:lang w:val="es-MX"/>
        </w:rPr>
        <w:t xml:space="preserve"> luego de crecer 6.2% en promedio en el 2021.</w:t>
      </w:r>
      <w:r w:rsidRPr="00D72CEE">
        <w:rPr>
          <w:rFonts w:ascii="Times New Roman" w:hAnsi="Times New Roman" w:cs="Times New Roman"/>
          <w:lang w:val="es-MX"/>
        </w:rPr>
        <w:t xml:space="preserve"> </w:t>
      </w:r>
      <w:r w:rsidR="000F2612" w:rsidRPr="00D72CEE">
        <w:rPr>
          <w:rFonts w:ascii="Times New Roman" w:hAnsi="Times New Roman" w:cs="Times New Roman"/>
          <w:lang w:val="es-MX"/>
        </w:rPr>
        <w:t xml:space="preserve">Esta desaceleración sucede en un contexto de importantes asimetrías entre los </w:t>
      </w:r>
      <w:r w:rsidR="000F2612" w:rsidRPr="00D72CEE">
        <w:rPr>
          <w:rFonts w:ascii="Times New Roman" w:hAnsi="Times New Roman" w:cs="Times New Roman"/>
          <w:lang w:val="es-MX"/>
        </w:rPr>
        <w:t>países desarrollados, emergentes y en desarrollo sobre la capacidad de implementar políticas fiscales, sociales, monetarias, de salud y vacunación para una recuperación sostenible de la crisis desatada por la pandemia.  El crecimiento esperado refleja una alta heterogeneidad entre países y subregiones: El Caribe crecerá 6.1%</w:t>
      </w:r>
      <w:r w:rsidR="00FE7BEC" w:rsidRPr="00D72CEE">
        <w:rPr>
          <w:rFonts w:ascii="Times New Roman" w:hAnsi="Times New Roman" w:cs="Times New Roman"/>
          <w:lang w:val="es-MX"/>
        </w:rPr>
        <w:t>,</w:t>
      </w:r>
      <w:r w:rsidR="000F2612" w:rsidRPr="00D72CEE">
        <w:rPr>
          <w:rFonts w:ascii="Times New Roman" w:hAnsi="Times New Roman" w:cs="Times New Roman"/>
          <w:lang w:val="es-MX"/>
        </w:rPr>
        <w:t xml:space="preserve"> América Central crecerá 4.5%, mientras que América del Sur lo hará en 1.4%. </w:t>
      </w:r>
    </w:p>
    <w:p w14:paraId="762FBC8B" w14:textId="77777777" w:rsidR="00C56D80" w:rsidRPr="00D72CEE" w:rsidRDefault="00C56D80" w:rsidP="00C56D80">
      <w:pPr>
        <w:pStyle w:val="Sinespaciado"/>
        <w:jc w:val="both"/>
        <w:rPr>
          <w:rFonts w:ascii="Times New Roman" w:eastAsia="Times New Roman" w:hAnsi="Times New Roman" w:cs="Times New Roman"/>
          <w:lang w:val="es-MX"/>
        </w:rPr>
      </w:pPr>
    </w:p>
    <w:p w14:paraId="20612259" w14:textId="77777777" w:rsidR="00C56D80" w:rsidRDefault="00CE01A9" w:rsidP="00C56D80">
      <w:pPr>
        <w:pStyle w:val="Sinespaciado"/>
        <w:jc w:val="both"/>
        <w:rPr>
          <w:rFonts w:ascii="Times New Roman" w:hAnsi="Times New Roman" w:cs="Times New Roman"/>
          <w:lang w:val="es-MX"/>
        </w:rPr>
      </w:pPr>
      <w:r w:rsidRPr="00D72CEE">
        <w:rPr>
          <w:rFonts w:ascii="Times New Roman" w:hAnsi="Times New Roman" w:cs="Times New Roman"/>
          <w:lang w:val="es-MX"/>
        </w:rPr>
        <w:t xml:space="preserve">En el ámbito interno, </w:t>
      </w:r>
      <w:r w:rsidR="00993DD2" w:rsidRPr="00D72CEE">
        <w:rPr>
          <w:rFonts w:ascii="Times New Roman" w:hAnsi="Times New Roman" w:cs="Times New Roman"/>
          <w:lang w:val="es-MX"/>
        </w:rPr>
        <w:t>el Banco de Guatemala publicó que el envío de remesas al país registró un crecimiento</w:t>
      </w:r>
      <w:r w:rsidR="00C1011D" w:rsidRPr="00D72CEE">
        <w:rPr>
          <w:rFonts w:ascii="Times New Roman" w:hAnsi="Times New Roman" w:cs="Times New Roman"/>
          <w:lang w:val="es-MX"/>
        </w:rPr>
        <w:t xml:space="preserve"> acumulado</w:t>
      </w:r>
      <w:r w:rsidR="00993DD2" w:rsidRPr="00D72CEE">
        <w:rPr>
          <w:rFonts w:ascii="Times New Roman" w:hAnsi="Times New Roman" w:cs="Times New Roman"/>
          <w:lang w:val="es-MX"/>
        </w:rPr>
        <w:t xml:space="preserve"> de 32.1%</w:t>
      </w:r>
      <w:r w:rsidR="00C1011D" w:rsidRPr="00D72CEE">
        <w:rPr>
          <w:rFonts w:ascii="Times New Roman" w:hAnsi="Times New Roman" w:cs="Times New Roman"/>
          <w:lang w:val="es-MX"/>
        </w:rPr>
        <w:t xml:space="preserve"> </w:t>
      </w:r>
      <w:r w:rsidR="00993DD2" w:rsidRPr="00D72CEE">
        <w:rPr>
          <w:rFonts w:ascii="Times New Roman" w:hAnsi="Times New Roman" w:cs="Times New Roman"/>
          <w:lang w:val="es-MX"/>
        </w:rPr>
        <w:t>en febrero, con respecto al año anterior</w:t>
      </w:r>
      <w:r w:rsidR="00C1011D" w:rsidRPr="00D72CEE">
        <w:rPr>
          <w:rFonts w:ascii="Times New Roman" w:hAnsi="Times New Roman" w:cs="Times New Roman"/>
          <w:lang w:val="es-MX"/>
        </w:rPr>
        <w:t>, lo que se traduce en US$1,262.7 millones.  Dicho aumento se atribuye a la reducción del desempleo de latinos en Estados Unidos y al avance de la reactivación económica en el mundo. El destino de las remesas se centra en servicios de diferentes ramas de la actividad económica, como inversión, ahorro, consumo final e intermedio.  Para 2022, el banco estima que las remesas podrían crecer entre 9.5% y 12.5%, lo que significaría alrededor de US $17 mil millones.</w:t>
      </w:r>
    </w:p>
    <w:p w14:paraId="496F81EE" w14:textId="77777777" w:rsidR="00D72CEE" w:rsidRDefault="00D72CEE" w:rsidP="00C56D80">
      <w:pPr>
        <w:pStyle w:val="Sinespaciado"/>
        <w:jc w:val="both"/>
        <w:rPr>
          <w:rFonts w:ascii="Times New Roman" w:hAnsi="Times New Roman" w:cs="Times New Roman"/>
          <w:lang w:val="es-MX"/>
        </w:rPr>
      </w:pPr>
    </w:p>
    <w:p w14:paraId="55D859E2" w14:textId="77777777" w:rsidR="00854981" w:rsidRPr="008C352D" w:rsidRDefault="00D72CEE" w:rsidP="008C352D">
      <w:pPr>
        <w:pStyle w:val="Sinespaciado"/>
        <w:jc w:val="both"/>
        <w:rPr>
          <w:rFonts w:ascii="Times New Roman" w:eastAsia="Times New Roman" w:hAnsi="Times New Roman" w:cs="Times New Roman"/>
          <w:sz w:val="16"/>
        </w:rPr>
      </w:pPr>
      <w:r>
        <w:rPr>
          <w:rFonts w:ascii="Times New Roman" w:hAnsi="Times New Roman" w:cs="Times New Roman"/>
          <w:lang w:val="es-MX"/>
        </w:rPr>
        <w:t>E</w:t>
      </w:r>
      <w:r w:rsidRPr="004873C7">
        <w:rPr>
          <w:rFonts w:ascii="Times New Roman" w:hAnsi="Times New Roman" w:cs="Times New Roman"/>
          <w:lang w:val="es-MX"/>
        </w:rPr>
        <w:t>l nivel del Índice de Confianza de la Ac</w:t>
      </w:r>
      <w:r>
        <w:rPr>
          <w:rFonts w:ascii="Times New Roman" w:hAnsi="Times New Roman" w:cs="Times New Roman"/>
          <w:lang w:val="es-MX"/>
        </w:rPr>
        <w:t>tividad Económica se situó en 74.75 puntos, inferior en 6.70</w:t>
      </w:r>
      <w:r w:rsidRPr="004873C7">
        <w:rPr>
          <w:rFonts w:ascii="Times New Roman" w:hAnsi="Times New Roman" w:cs="Times New Roman"/>
          <w:lang w:val="es-MX"/>
        </w:rPr>
        <w:t xml:space="preserve">% con respecto al registrado en </w:t>
      </w:r>
      <w:r>
        <w:rPr>
          <w:rFonts w:ascii="Times New Roman" w:hAnsi="Times New Roman" w:cs="Times New Roman"/>
          <w:lang w:val="es-MX"/>
        </w:rPr>
        <w:t>enero 2022 y aumentó en 30.70% respecto al registrado en febrero 2021 (57.19</w:t>
      </w:r>
      <w:r w:rsidRPr="004873C7">
        <w:rPr>
          <w:rFonts w:ascii="Times New Roman" w:hAnsi="Times New Roman" w:cs="Times New Roman"/>
          <w:lang w:val="es-MX"/>
        </w:rPr>
        <w:t xml:space="preserve"> puntos).   Así mismo, se esper</w:t>
      </w:r>
      <w:r>
        <w:rPr>
          <w:rFonts w:ascii="Times New Roman" w:hAnsi="Times New Roman" w:cs="Times New Roman"/>
          <w:lang w:val="es-MX"/>
        </w:rPr>
        <w:t>a un ritmo inflacionario de 3.62</w:t>
      </w:r>
      <w:r w:rsidRPr="004873C7">
        <w:rPr>
          <w:rFonts w:ascii="Times New Roman" w:hAnsi="Times New Roman" w:cs="Times New Roman"/>
          <w:lang w:val="es-MX"/>
        </w:rPr>
        <w:t xml:space="preserve">% para </w:t>
      </w:r>
      <w:r>
        <w:rPr>
          <w:rFonts w:ascii="Times New Roman" w:hAnsi="Times New Roman" w:cs="Times New Roman"/>
          <w:lang w:val="es-MX"/>
        </w:rPr>
        <w:t>febrero, 3.66</w:t>
      </w:r>
      <w:r w:rsidRPr="004873C7">
        <w:rPr>
          <w:rFonts w:ascii="Times New Roman" w:hAnsi="Times New Roman" w:cs="Times New Roman"/>
          <w:lang w:val="es-MX"/>
        </w:rPr>
        <w:t xml:space="preserve">% en </w:t>
      </w:r>
      <w:r>
        <w:rPr>
          <w:rFonts w:ascii="Times New Roman" w:hAnsi="Times New Roman" w:cs="Times New Roman"/>
          <w:lang w:val="es-MX"/>
        </w:rPr>
        <w:t>marzo y 3.80</w:t>
      </w:r>
      <w:r w:rsidRPr="004873C7">
        <w:rPr>
          <w:rFonts w:ascii="Times New Roman" w:hAnsi="Times New Roman" w:cs="Times New Roman"/>
          <w:lang w:val="es-MX"/>
        </w:rPr>
        <w:t xml:space="preserve">% para </w:t>
      </w:r>
      <w:r>
        <w:rPr>
          <w:rFonts w:ascii="Times New Roman" w:hAnsi="Times New Roman" w:cs="Times New Roman"/>
          <w:lang w:val="es-MX"/>
        </w:rPr>
        <w:t>abril</w:t>
      </w:r>
      <w:r w:rsidRPr="004873C7">
        <w:rPr>
          <w:rFonts w:ascii="Times New Roman" w:hAnsi="Times New Roman" w:cs="Times New Roman"/>
          <w:lang w:val="es-MX"/>
        </w:rPr>
        <w:t xml:space="preserve"> 2022; en un horizonte de 12 y 24 meses se esperaría un r</w:t>
      </w:r>
      <w:r>
        <w:rPr>
          <w:rFonts w:ascii="Times New Roman" w:hAnsi="Times New Roman" w:cs="Times New Roman"/>
          <w:lang w:val="es-MX"/>
        </w:rPr>
        <w:t>itmo de 3.84% y 3.</w:t>
      </w:r>
      <w:r w:rsidRPr="004873C7">
        <w:rPr>
          <w:rFonts w:ascii="Times New Roman" w:hAnsi="Times New Roman" w:cs="Times New Roman"/>
          <w:lang w:val="es-MX"/>
        </w:rPr>
        <w:t>9</w:t>
      </w:r>
      <w:r>
        <w:rPr>
          <w:rFonts w:ascii="Times New Roman" w:hAnsi="Times New Roman" w:cs="Times New Roman"/>
          <w:lang w:val="es-MX"/>
        </w:rPr>
        <w:t>2</w:t>
      </w:r>
      <w:r w:rsidRPr="004873C7">
        <w:rPr>
          <w:rFonts w:ascii="Times New Roman" w:hAnsi="Times New Roman" w:cs="Times New Roman"/>
          <w:lang w:val="es-MX"/>
        </w:rPr>
        <w:t>% respectivamente.</w:t>
      </w:r>
    </w:p>
    <w:p w14:paraId="67FD0572" w14:textId="77777777" w:rsidR="000F2612" w:rsidRPr="0055536A" w:rsidRDefault="000F2612" w:rsidP="00C56D80">
      <w:pPr>
        <w:pStyle w:val="Sinespaciado"/>
        <w:rPr>
          <w:rFonts w:ascii="Times New Roman" w:hAnsi="Times New Roman" w:cs="Times New Roman"/>
          <w:color w:val="FF0000"/>
          <w:sz w:val="14"/>
        </w:rPr>
      </w:pPr>
    </w:p>
    <w:p w14:paraId="70C6D827" w14:textId="77777777" w:rsidR="000F2612" w:rsidRPr="0055536A" w:rsidRDefault="000F2612" w:rsidP="00C56D80">
      <w:pPr>
        <w:pStyle w:val="Sinespaciado"/>
        <w:rPr>
          <w:rFonts w:ascii="Times New Roman" w:hAnsi="Times New Roman" w:cs="Times New Roman"/>
          <w:color w:val="FF0000"/>
          <w:sz w:val="14"/>
        </w:rPr>
        <w:sectPr w:rsidR="000F2612" w:rsidRPr="0055536A" w:rsidSect="00776700">
          <w:type w:val="continuous"/>
          <w:pgSz w:w="12240" w:h="15840"/>
          <w:pgMar w:top="1417" w:right="1701" w:bottom="1417" w:left="1701" w:header="708" w:footer="708" w:gutter="0"/>
          <w:cols w:num="2" w:space="708"/>
          <w:docGrid w:linePitch="360"/>
        </w:sectPr>
      </w:pPr>
    </w:p>
    <w:p w14:paraId="175F4608" w14:textId="77777777" w:rsidR="00776700" w:rsidRPr="0055536A" w:rsidRDefault="00776700" w:rsidP="00C56D80">
      <w:pPr>
        <w:pStyle w:val="Sinespaciado"/>
        <w:rPr>
          <w:rFonts w:ascii="Times New Roman" w:hAnsi="Times New Roman" w:cs="Times New Roman"/>
          <w:color w:val="FF0000"/>
          <w:sz w:val="18"/>
          <w:szCs w:val="18"/>
        </w:rPr>
      </w:pPr>
    </w:p>
    <w:p w14:paraId="3D0E701B" w14:textId="77777777" w:rsidR="00854981" w:rsidRDefault="00854981" w:rsidP="00C56D80">
      <w:pPr>
        <w:spacing w:after="0"/>
        <w:rPr>
          <w:rFonts w:ascii="Times New Roman" w:hAnsi="Times New Roman" w:cs="Times New Roman"/>
          <w:color w:val="FF0000"/>
        </w:rPr>
      </w:pPr>
    </w:p>
    <w:p w14:paraId="6DEF956C" w14:textId="77777777" w:rsidR="008C352D" w:rsidRDefault="008C352D" w:rsidP="00C56D80">
      <w:pPr>
        <w:spacing w:after="0"/>
        <w:rPr>
          <w:rFonts w:ascii="Times New Roman" w:hAnsi="Times New Roman" w:cs="Times New Roman"/>
          <w:color w:val="FF0000"/>
        </w:rPr>
      </w:pPr>
    </w:p>
    <w:p w14:paraId="1B44335E" w14:textId="77777777" w:rsidR="008C352D" w:rsidRDefault="008C352D" w:rsidP="00C56D80">
      <w:pPr>
        <w:spacing w:after="0"/>
        <w:rPr>
          <w:rFonts w:ascii="Times New Roman" w:hAnsi="Times New Roman" w:cs="Times New Roman"/>
          <w:color w:val="FF0000"/>
        </w:rPr>
      </w:pPr>
    </w:p>
    <w:p w14:paraId="22735C9D" w14:textId="77777777" w:rsidR="008C352D" w:rsidRDefault="008C352D" w:rsidP="00C56D80">
      <w:pPr>
        <w:spacing w:after="0"/>
        <w:rPr>
          <w:rFonts w:ascii="Times New Roman" w:hAnsi="Times New Roman" w:cs="Times New Roman"/>
          <w:color w:val="FF0000"/>
        </w:rPr>
      </w:pPr>
    </w:p>
    <w:p w14:paraId="3EB4C71B" w14:textId="77777777" w:rsidR="008C352D" w:rsidRDefault="008C352D" w:rsidP="00C56D80">
      <w:pPr>
        <w:spacing w:after="0"/>
        <w:rPr>
          <w:rFonts w:ascii="Times New Roman" w:hAnsi="Times New Roman" w:cs="Times New Roman"/>
          <w:color w:val="FF0000"/>
        </w:rPr>
      </w:pPr>
    </w:p>
    <w:p w14:paraId="38472901" w14:textId="77777777" w:rsidR="008C352D" w:rsidRDefault="008C352D" w:rsidP="00C56D80">
      <w:pPr>
        <w:spacing w:after="0"/>
        <w:rPr>
          <w:rFonts w:ascii="Times New Roman" w:hAnsi="Times New Roman" w:cs="Times New Roman"/>
          <w:color w:val="FF0000"/>
        </w:rPr>
      </w:pPr>
    </w:p>
    <w:p w14:paraId="1CFCEF2C" w14:textId="77777777" w:rsidR="008C352D" w:rsidRDefault="008C352D" w:rsidP="00C56D80">
      <w:pPr>
        <w:spacing w:after="0"/>
        <w:rPr>
          <w:rFonts w:ascii="Times New Roman" w:hAnsi="Times New Roman" w:cs="Times New Roman"/>
          <w:color w:val="FF0000"/>
        </w:rPr>
      </w:pPr>
    </w:p>
    <w:p w14:paraId="2E701C5D" w14:textId="77777777" w:rsidR="008C352D" w:rsidRDefault="008C352D" w:rsidP="00C56D80">
      <w:pPr>
        <w:spacing w:after="0"/>
        <w:rPr>
          <w:rFonts w:ascii="Times New Roman" w:hAnsi="Times New Roman" w:cs="Times New Roman"/>
          <w:color w:val="FF0000"/>
        </w:rPr>
      </w:pPr>
    </w:p>
    <w:p w14:paraId="1DFCEA2A" w14:textId="77777777" w:rsidR="008C352D" w:rsidRDefault="008C352D" w:rsidP="00C56D80">
      <w:pPr>
        <w:spacing w:after="0"/>
        <w:rPr>
          <w:rFonts w:ascii="Times New Roman" w:hAnsi="Times New Roman" w:cs="Times New Roman"/>
          <w:color w:val="FF0000"/>
        </w:rPr>
      </w:pPr>
    </w:p>
    <w:p w14:paraId="0AB00096" w14:textId="77777777" w:rsidR="008C352D" w:rsidRDefault="008C352D" w:rsidP="00C56D80">
      <w:pPr>
        <w:spacing w:after="0"/>
        <w:rPr>
          <w:rFonts w:ascii="Times New Roman" w:hAnsi="Times New Roman" w:cs="Times New Roman"/>
          <w:color w:val="FF0000"/>
        </w:rPr>
      </w:pPr>
    </w:p>
    <w:p w14:paraId="1D133E3B" w14:textId="77777777" w:rsidR="008C352D" w:rsidRDefault="008C352D" w:rsidP="00C56D80">
      <w:pPr>
        <w:spacing w:after="0"/>
        <w:rPr>
          <w:rFonts w:ascii="Times New Roman" w:hAnsi="Times New Roman" w:cs="Times New Roman"/>
          <w:color w:val="FF0000"/>
        </w:rPr>
      </w:pPr>
    </w:p>
    <w:p w14:paraId="064718B5" w14:textId="77777777" w:rsidR="008C352D" w:rsidRPr="0055536A" w:rsidRDefault="008C352D" w:rsidP="00C56D80">
      <w:pPr>
        <w:spacing w:after="0"/>
        <w:rPr>
          <w:rFonts w:ascii="Times New Roman" w:hAnsi="Times New Roman" w:cs="Times New Roman"/>
          <w:color w:val="FF0000"/>
        </w:rPr>
      </w:pPr>
    </w:p>
    <w:p w14:paraId="708B7EDD" w14:textId="77777777" w:rsidR="00854981" w:rsidRPr="0055536A" w:rsidRDefault="00854981" w:rsidP="00C56D80">
      <w:pPr>
        <w:spacing w:after="0"/>
        <w:rPr>
          <w:rFonts w:ascii="Times New Roman" w:hAnsi="Times New Roman" w:cs="Times New Roman"/>
          <w:color w:val="FF0000"/>
        </w:rPr>
      </w:pPr>
    </w:p>
    <w:p w14:paraId="328EDD72" w14:textId="77777777" w:rsidR="00854981" w:rsidRPr="0055536A" w:rsidRDefault="00854981" w:rsidP="00C56D80">
      <w:pPr>
        <w:spacing w:after="0"/>
        <w:rPr>
          <w:rFonts w:ascii="Times New Roman" w:hAnsi="Times New Roman" w:cs="Times New Roman"/>
          <w:color w:val="FF0000"/>
        </w:rPr>
        <w:sectPr w:rsidR="00854981" w:rsidRPr="0055536A" w:rsidSect="00960BE9">
          <w:headerReference w:type="default" r:id="rId41"/>
          <w:footerReference w:type="default" r:id="rId42"/>
          <w:type w:val="continuous"/>
          <w:pgSz w:w="12240" w:h="15840"/>
          <w:pgMar w:top="1417" w:right="1701" w:bottom="1417" w:left="1701" w:header="708" w:footer="708" w:gutter="0"/>
          <w:cols w:space="708"/>
          <w:docGrid w:linePitch="360"/>
        </w:sectPr>
      </w:pPr>
    </w:p>
    <w:p w14:paraId="2DD22D51" w14:textId="77777777" w:rsidR="00C56D80" w:rsidRPr="00867061" w:rsidRDefault="00867061"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867061">
        <w:rPr>
          <w:rFonts w:ascii="Times New Roman" w:hAnsi="Times New Roman" w:cs="Times New Roman"/>
          <w:b/>
          <w:color w:val="FFFFFF" w:themeColor="background1"/>
          <w:sz w:val="24"/>
          <w:szCs w:val="24"/>
        </w:rPr>
        <w:t>Anexo</w:t>
      </w:r>
    </w:p>
    <w:p w14:paraId="73213A2A" w14:textId="77777777" w:rsidR="00C56D80" w:rsidRPr="0055536A" w:rsidRDefault="00C56D80" w:rsidP="00C56D80">
      <w:pPr>
        <w:pStyle w:val="Sinespaciado"/>
        <w:rPr>
          <w:rFonts w:ascii="Times New Roman" w:hAnsi="Times New Roman" w:cs="Times New Roman"/>
          <w:color w:val="FF0000"/>
          <w:sz w:val="18"/>
          <w:szCs w:val="18"/>
        </w:rPr>
      </w:pPr>
    </w:p>
    <w:p w14:paraId="5CC150DF" w14:textId="77777777" w:rsidR="00C56D80" w:rsidRPr="0055536A" w:rsidRDefault="00C56D80" w:rsidP="00C56D80">
      <w:pPr>
        <w:spacing w:after="0"/>
        <w:rPr>
          <w:rFonts w:ascii="Times New Roman" w:hAnsi="Times New Roman" w:cs="Times New Roman"/>
          <w:color w:val="FF0000"/>
        </w:rPr>
        <w:sectPr w:rsidR="00C56D80" w:rsidRPr="0055536A" w:rsidSect="00960BE9">
          <w:headerReference w:type="default" r:id="rId43"/>
          <w:footerReference w:type="default" r:id="rId44"/>
          <w:type w:val="continuous"/>
          <w:pgSz w:w="12240" w:h="15840"/>
          <w:pgMar w:top="1417" w:right="1701" w:bottom="1417" w:left="1701" w:header="708" w:footer="708" w:gutter="0"/>
          <w:cols w:space="708"/>
          <w:docGrid w:linePitch="360"/>
        </w:sectPr>
      </w:pPr>
    </w:p>
    <w:p w14:paraId="7F485F56" w14:textId="77777777" w:rsidR="006906B8" w:rsidRPr="0055536A" w:rsidRDefault="006906B8" w:rsidP="00C56D80">
      <w:pPr>
        <w:pStyle w:val="Sinespaciado"/>
        <w:rPr>
          <w:rFonts w:ascii="Times New Roman" w:hAnsi="Times New Roman" w:cs="Times New Roman"/>
          <w:color w:val="FF0000"/>
          <w:sz w:val="18"/>
          <w:szCs w:val="18"/>
        </w:rPr>
      </w:pPr>
    </w:p>
    <w:p w14:paraId="167E6EC4" w14:textId="77777777" w:rsidR="006906B8" w:rsidRPr="0055536A" w:rsidRDefault="006906B8" w:rsidP="00C56D80">
      <w:pPr>
        <w:pStyle w:val="Sinespaciado"/>
        <w:rPr>
          <w:rFonts w:ascii="Times New Roman" w:hAnsi="Times New Roman" w:cs="Times New Roman"/>
          <w:color w:val="FF0000"/>
          <w:sz w:val="18"/>
          <w:szCs w:val="18"/>
        </w:rPr>
      </w:pPr>
    </w:p>
    <w:p w14:paraId="0B6C06E2" w14:textId="77777777" w:rsidR="006906B8" w:rsidRPr="0055536A" w:rsidRDefault="00867061" w:rsidP="00C56D80">
      <w:pPr>
        <w:pStyle w:val="Sinespaciado"/>
        <w:rPr>
          <w:rFonts w:ascii="Times New Roman" w:hAnsi="Times New Roman" w:cs="Times New Roman"/>
          <w:color w:val="FF0000"/>
          <w:sz w:val="18"/>
          <w:szCs w:val="18"/>
        </w:rPr>
      </w:pPr>
      <w:r w:rsidRPr="00867061">
        <w:rPr>
          <w:noProof/>
          <w:lang w:eastAsia="es-GT"/>
        </w:rPr>
        <w:drawing>
          <wp:inline distT="0" distB="0" distL="0" distR="0" wp14:anchorId="5F144B75" wp14:editId="289F9E16">
            <wp:extent cx="5612130" cy="4462003"/>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130" cy="4462003"/>
                    </a:xfrm>
                    <a:prstGeom prst="rect">
                      <a:avLst/>
                    </a:prstGeom>
                    <a:noFill/>
                    <a:ln>
                      <a:noFill/>
                    </a:ln>
                  </pic:spPr>
                </pic:pic>
              </a:graphicData>
            </a:graphic>
          </wp:inline>
        </w:drawing>
      </w:r>
    </w:p>
    <w:p w14:paraId="4A50CFFC" w14:textId="77777777" w:rsidR="006906B8" w:rsidRPr="0055536A" w:rsidRDefault="006906B8" w:rsidP="00C56D80">
      <w:pPr>
        <w:pStyle w:val="Sinespaciado"/>
        <w:rPr>
          <w:rFonts w:ascii="Times New Roman" w:hAnsi="Times New Roman" w:cs="Times New Roman"/>
          <w:color w:val="FF0000"/>
          <w:sz w:val="18"/>
          <w:szCs w:val="18"/>
        </w:rPr>
      </w:pPr>
    </w:p>
    <w:p w14:paraId="1947E61E" w14:textId="77777777" w:rsidR="006906B8" w:rsidRPr="0055536A" w:rsidRDefault="006906B8" w:rsidP="00C56D80">
      <w:pPr>
        <w:pStyle w:val="Sinespaciado"/>
        <w:rPr>
          <w:rFonts w:ascii="Times New Roman" w:hAnsi="Times New Roman" w:cs="Times New Roman"/>
          <w:color w:val="FF0000"/>
          <w:sz w:val="18"/>
          <w:szCs w:val="18"/>
        </w:rPr>
      </w:pPr>
    </w:p>
    <w:p w14:paraId="7653D221" w14:textId="77777777" w:rsidR="006906B8" w:rsidRPr="0055536A" w:rsidRDefault="006906B8" w:rsidP="00C56D80">
      <w:pPr>
        <w:pStyle w:val="Sinespaciado"/>
        <w:rPr>
          <w:rFonts w:ascii="Times New Roman" w:hAnsi="Times New Roman" w:cs="Times New Roman"/>
          <w:color w:val="FF0000"/>
          <w:sz w:val="18"/>
          <w:szCs w:val="18"/>
        </w:rPr>
      </w:pPr>
    </w:p>
    <w:p w14:paraId="08B135E6" w14:textId="77777777" w:rsidR="006906B8" w:rsidRPr="0055536A" w:rsidRDefault="006906B8" w:rsidP="00C56D80">
      <w:pPr>
        <w:pStyle w:val="Sinespaciado"/>
        <w:rPr>
          <w:rFonts w:ascii="Times New Roman" w:hAnsi="Times New Roman" w:cs="Times New Roman"/>
          <w:color w:val="FF0000"/>
          <w:sz w:val="18"/>
          <w:szCs w:val="18"/>
        </w:rPr>
      </w:pPr>
    </w:p>
    <w:p w14:paraId="116D806A" w14:textId="77777777" w:rsidR="006906B8" w:rsidRPr="0055536A" w:rsidRDefault="006906B8" w:rsidP="00C56D80">
      <w:pPr>
        <w:pStyle w:val="Sinespaciado"/>
        <w:rPr>
          <w:rFonts w:ascii="Times New Roman" w:hAnsi="Times New Roman" w:cs="Times New Roman"/>
          <w:color w:val="FF0000"/>
          <w:sz w:val="18"/>
          <w:szCs w:val="18"/>
        </w:rPr>
      </w:pPr>
    </w:p>
    <w:p w14:paraId="30E41D67" w14:textId="77777777" w:rsidR="006906B8" w:rsidRPr="0055536A" w:rsidRDefault="006906B8" w:rsidP="00C56D80">
      <w:pPr>
        <w:pStyle w:val="Sinespaciado"/>
        <w:rPr>
          <w:rFonts w:ascii="Times New Roman" w:hAnsi="Times New Roman" w:cs="Times New Roman"/>
          <w:color w:val="FF0000"/>
          <w:sz w:val="18"/>
          <w:szCs w:val="18"/>
        </w:rPr>
      </w:pPr>
    </w:p>
    <w:p w14:paraId="3A48C96B" w14:textId="77777777" w:rsidR="006906B8" w:rsidRPr="0055536A" w:rsidRDefault="006906B8" w:rsidP="00C56D80">
      <w:pPr>
        <w:pStyle w:val="Sinespaciado"/>
        <w:rPr>
          <w:rFonts w:ascii="Times New Roman" w:hAnsi="Times New Roman" w:cs="Times New Roman"/>
          <w:color w:val="FF0000"/>
          <w:sz w:val="18"/>
          <w:szCs w:val="18"/>
        </w:rPr>
      </w:pPr>
    </w:p>
    <w:p w14:paraId="1563CEE9" w14:textId="77777777" w:rsidR="006906B8" w:rsidRPr="0055536A" w:rsidRDefault="006906B8" w:rsidP="00C56D80">
      <w:pPr>
        <w:pStyle w:val="Sinespaciado"/>
        <w:rPr>
          <w:rFonts w:ascii="Times New Roman" w:hAnsi="Times New Roman" w:cs="Times New Roman"/>
          <w:color w:val="FF0000"/>
          <w:sz w:val="18"/>
          <w:szCs w:val="18"/>
        </w:rPr>
      </w:pPr>
    </w:p>
    <w:p w14:paraId="31058D99" w14:textId="77777777" w:rsidR="006906B8" w:rsidRPr="0055536A" w:rsidRDefault="006906B8" w:rsidP="00C56D80">
      <w:pPr>
        <w:pStyle w:val="Sinespaciado"/>
        <w:rPr>
          <w:rFonts w:ascii="Times New Roman" w:hAnsi="Times New Roman" w:cs="Times New Roman"/>
          <w:color w:val="FF0000"/>
          <w:sz w:val="18"/>
          <w:szCs w:val="18"/>
        </w:rPr>
      </w:pPr>
    </w:p>
    <w:p w14:paraId="3D15EEF7" w14:textId="77777777" w:rsidR="006906B8" w:rsidRPr="0055536A" w:rsidRDefault="006906B8" w:rsidP="00C56D80">
      <w:pPr>
        <w:pStyle w:val="Sinespaciado"/>
        <w:rPr>
          <w:rFonts w:ascii="Times New Roman" w:hAnsi="Times New Roman" w:cs="Times New Roman"/>
          <w:color w:val="FF0000"/>
          <w:sz w:val="18"/>
          <w:szCs w:val="18"/>
        </w:rPr>
      </w:pPr>
    </w:p>
    <w:p w14:paraId="0D7D3F0B" w14:textId="77777777" w:rsidR="006906B8" w:rsidRPr="0055536A" w:rsidRDefault="006906B8" w:rsidP="00C56D80">
      <w:pPr>
        <w:pStyle w:val="Sinespaciado"/>
        <w:rPr>
          <w:rFonts w:ascii="Times New Roman" w:hAnsi="Times New Roman" w:cs="Times New Roman"/>
          <w:color w:val="FF0000"/>
          <w:sz w:val="18"/>
          <w:szCs w:val="18"/>
        </w:rPr>
      </w:pPr>
    </w:p>
    <w:p w14:paraId="18E83D26" w14:textId="77777777" w:rsidR="006906B8" w:rsidRPr="0055536A" w:rsidRDefault="006906B8" w:rsidP="00C56D80">
      <w:pPr>
        <w:pStyle w:val="Sinespaciado"/>
        <w:rPr>
          <w:rFonts w:ascii="Times New Roman" w:hAnsi="Times New Roman" w:cs="Times New Roman"/>
          <w:color w:val="FF0000"/>
          <w:sz w:val="18"/>
          <w:szCs w:val="18"/>
        </w:rPr>
      </w:pPr>
    </w:p>
    <w:p w14:paraId="207E9E78" w14:textId="77777777" w:rsidR="006906B8" w:rsidRPr="0055536A" w:rsidRDefault="006906B8" w:rsidP="00C56D80">
      <w:pPr>
        <w:pStyle w:val="Sinespaciado"/>
        <w:rPr>
          <w:rFonts w:ascii="Times New Roman" w:hAnsi="Times New Roman" w:cs="Times New Roman"/>
          <w:color w:val="FF0000"/>
          <w:sz w:val="18"/>
          <w:szCs w:val="18"/>
        </w:rPr>
      </w:pPr>
    </w:p>
    <w:p w14:paraId="349215E5" w14:textId="77777777" w:rsidR="006906B8" w:rsidRPr="0055536A" w:rsidRDefault="006906B8" w:rsidP="00C56D80">
      <w:pPr>
        <w:pStyle w:val="Sinespaciado"/>
        <w:rPr>
          <w:rFonts w:ascii="Times New Roman" w:hAnsi="Times New Roman" w:cs="Times New Roman"/>
          <w:color w:val="FF0000"/>
          <w:sz w:val="18"/>
          <w:szCs w:val="18"/>
        </w:rPr>
      </w:pPr>
    </w:p>
    <w:p w14:paraId="635EC3C9" w14:textId="77777777" w:rsidR="006906B8" w:rsidRPr="0055536A" w:rsidRDefault="006906B8" w:rsidP="00C56D80">
      <w:pPr>
        <w:pStyle w:val="Sinespaciado"/>
        <w:rPr>
          <w:rFonts w:ascii="Times New Roman" w:hAnsi="Times New Roman" w:cs="Times New Roman"/>
          <w:color w:val="FF0000"/>
          <w:sz w:val="18"/>
          <w:szCs w:val="18"/>
        </w:rPr>
      </w:pPr>
    </w:p>
    <w:p w14:paraId="4589EECE" w14:textId="77777777" w:rsidR="006906B8" w:rsidRPr="0055536A" w:rsidRDefault="006906B8" w:rsidP="00C56D80">
      <w:pPr>
        <w:pStyle w:val="Sinespaciado"/>
        <w:rPr>
          <w:rFonts w:ascii="Times New Roman" w:hAnsi="Times New Roman" w:cs="Times New Roman"/>
          <w:color w:val="FF0000"/>
          <w:sz w:val="18"/>
          <w:szCs w:val="18"/>
        </w:rPr>
      </w:pPr>
    </w:p>
    <w:p w14:paraId="579B272E" w14:textId="77777777" w:rsidR="006906B8" w:rsidRPr="0055536A" w:rsidRDefault="006906B8" w:rsidP="00C56D80">
      <w:pPr>
        <w:pStyle w:val="Sinespaciado"/>
        <w:rPr>
          <w:rFonts w:ascii="Times New Roman" w:hAnsi="Times New Roman" w:cs="Times New Roman"/>
          <w:color w:val="FF0000"/>
          <w:sz w:val="18"/>
          <w:szCs w:val="18"/>
        </w:rPr>
      </w:pPr>
    </w:p>
    <w:p w14:paraId="763B0173" w14:textId="77777777" w:rsidR="006906B8" w:rsidRPr="0055536A" w:rsidRDefault="006906B8" w:rsidP="00C56D80">
      <w:pPr>
        <w:pStyle w:val="Sinespaciado"/>
        <w:rPr>
          <w:rFonts w:ascii="Times New Roman" w:hAnsi="Times New Roman" w:cs="Times New Roman"/>
          <w:color w:val="FF0000"/>
          <w:sz w:val="18"/>
          <w:szCs w:val="18"/>
        </w:rPr>
      </w:pPr>
    </w:p>
    <w:p w14:paraId="50B38EA4" w14:textId="77777777" w:rsidR="006906B8" w:rsidRPr="0055536A" w:rsidRDefault="006906B8" w:rsidP="00C56D80">
      <w:pPr>
        <w:pStyle w:val="Sinespaciado"/>
        <w:rPr>
          <w:rFonts w:ascii="Times New Roman" w:hAnsi="Times New Roman" w:cs="Times New Roman"/>
          <w:color w:val="FF0000"/>
          <w:sz w:val="18"/>
          <w:szCs w:val="18"/>
        </w:rPr>
      </w:pPr>
    </w:p>
    <w:p w14:paraId="1373F8C8" w14:textId="77777777" w:rsidR="00D72CEE" w:rsidRPr="0055536A" w:rsidRDefault="00D72CEE">
      <w:pPr>
        <w:pStyle w:val="Sinespaciado"/>
        <w:rPr>
          <w:rFonts w:ascii="Times New Roman" w:hAnsi="Times New Roman" w:cs="Times New Roman"/>
          <w:color w:val="FF0000"/>
          <w:sz w:val="18"/>
          <w:szCs w:val="18"/>
        </w:rPr>
      </w:pPr>
    </w:p>
    <w:sectPr w:rsidR="00D72CEE" w:rsidRPr="0055536A"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72167" w14:textId="77777777" w:rsidR="00253598" w:rsidRDefault="00253598" w:rsidP="008030B6">
      <w:pPr>
        <w:spacing w:after="0" w:line="240" w:lineRule="auto"/>
      </w:pPr>
      <w:r>
        <w:separator/>
      </w:r>
    </w:p>
  </w:endnote>
  <w:endnote w:type="continuationSeparator" w:id="0">
    <w:p w14:paraId="0A46E145" w14:textId="77777777" w:rsidR="00253598" w:rsidRDefault="00253598"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98512229"/>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573A9B9B" w14:textId="77777777" w:rsidR="0094241B" w:rsidRPr="006906B8" w:rsidRDefault="0094241B" w:rsidP="00DF6AE8">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6F4C78">
          <w:rPr>
            <w:rFonts w:asciiTheme="majorHAnsi" w:hAnsiTheme="majorHAnsi" w:cs="Arial"/>
            <w:noProof/>
            <w:color w:val="323E4F" w:themeColor="text2" w:themeShade="BF"/>
            <w:sz w:val="20"/>
            <w:szCs w:val="20"/>
            <w:lang w:val="es-MX"/>
          </w:rPr>
          <w:t>1</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E7065B1" w14:textId="77777777" w:rsidR="0094241B" w:rsidRDefault="0094241B">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63D73203" w14:textId="77777777" w:rsidR="0094241B" w:rsidRPr="006906B8" w:rsidRDefault="0094241B">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6F4C78">
          <w:rPr>
            <w:rFonts w:asciiTheme="majorHAnsi" w:hAnsiTheme="majorHAnsi" w:cs="Arial"/>
            <w:noProof/>
            <w:color w:val="323E4F" w:themeColor="text2" w:themeShade="BF"/>
            <w:sz w:val="20"/>
            <w:szCs w:val="20"/>
            <w:lang w:val="es-MX"/>
          </w:rPr>
          <w:t>7</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51A67B93" w14:textId="77777777" w:rsidR="0094241B" w:rsidRDefault="0094241B">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64031163"/>
      <w:docPartObj>
        <w:docPartGallery w:val="Page Numbers (Bottom of Page)"/>
        <w:docPartUnique/>
      </w:docPartObj>
    </w:sdtPr>
    <w:sdtEndPr>
      <w:rPr>
        <w:rFonts w:asciiTheme="majorHAnsi" w:hAnsiTheme="majorHAnsi" w:cs="Times New Roman"/>
        <w:b/>
        <w:color w:val="5B9BD5" w:themeColor="accent1"/>
        <w:sz w:val="20"/>
      </w:rPr>
    </w:sdtEndPr>
    <w:sdtContent>
      <w:p w14:paraId="264AEAB4" w14:textId="77777777" w:rsidR="0094241B" w:rsidRPr="008030B6" w:rsidRDefault="0094241B">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7610B0" w:rsidRPr="007610B0">
          <w:rPr>
            <w:rFonts w:asciiTheme="majorHAnsi" w:hAnsiTheme="majorHAnsi" w:cs="Times New Roman"/>
            <w:b/>
            <w:noProof/>
            <w:color w:val="5B9BD5" w:themeColor="accent1"/>
            <w:sz w:val="20"/>
            <w:lang w:val="es-ES"/>
          </w:rPr>
          <w:t>9</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31ACA38" w14:textId="77777777" w:rsidR="0094241B" w:rsidRDefault="0094241B">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23712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56E744E" w14:textId="77777777" w:rsidR="0094241B" w:rsidRPr="006906B8" w:rsidRDefault="0094241B">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6F4C78">
          <w:rPr>
            <w:rFonts w:asciiTheme="majorHAnsi" w:hAnsiTheme="majorHAnsi" w:cs="Arial"/>
            <w:noProof/>
            <w:color w:val="323E4F" w:themeColor="text2" w:themeShade="BF"/>
            <w:sz w:val="20"/>
            <w:szCs w:val="20"/>
            <w:lang w:val="es-MX"/>
          </w:rPr>
          <w:t>8</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970948C" w14:textId="77777777" w:rsidR="0094241B" w:rsidRDefault="0094241B">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2932366"/>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44D417D" w14:textId="77777777" w:rsidR="0094241B" w:rsidRPr="006906B8" w:rsidRDefault="0094241B">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6F4C78">
          <w:rPr>
            <w:rFonts w:asciiTheme="majorHAnsi" w:hAnsiTheme="majorHAnsi" w:cs="Arial"/>
            <w:noProof/>
            <w:color w:val="323E4F" w:themeColor="text2" w:themeShade="BF"/>
            <w:sz w:val="20"/>
            <w:szCs w:val="20"/>
            <w:lang w:val="es-MX"/>
          </w:rPr>
          <w:t>9</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22D5F9FB" w14:textId="77777777" w:rsidR="0094241B" w:rsidRDefault="0094241B">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5829304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4F23C80" w14:textId="77777777" w:rsidR="0094241B" w:rsidRPr="006906B8" w:rsidRDefault="0094241B">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8C352D">
          <w:rPr>
            <w:rFonts w:asciiTheme="majorHAnsi" w:hAnsiTheme="majorHAnsi" w:cs="Arial"/>
            <w:noProof/>
            <w:color w:val="323E4F" w:themeColor="text2" w:themeShade="BF"/>
            <w:sz w:val="20"/>
            <w:szCs w:val="20"/>
            <w:lang w:val="es-MX"/>
          </w:rPr>
          <w:t>10</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C07C38D" w14:textId="77777777" w:rsidR="0094241B" w:rsidRDefault="0094241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0F74610F" w14:textId="77777777" w:rsidR="0094241B" w:rsidRPr="008030B6" w:rsidRDefault="0094241B">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7EBC36F7" w14:textId="77777777" w:rsidR="0094241B" w:rsidRDefault="0094241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66E3D4E8" w14:textId="77777777" w:rsidR="0094241B" w:rsidRPr="006906B8" w:rsidRDefault="0094241B">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6F4C78">
          <w:rPr>
            <w:rFonts w:asciiTheme="majorHAnsi" w:hAnsiTheme="majorHAnsi" w:cs="Arial"/>
            <w:noProof/>
            <w:color w:val="323E4F" w:themeColor="text2" w:themeShade="BF"/>
            <w:sz w:val="20"/>
            <w:szCs w:val="20"/>
            <w:lang w:val="es-MX"/>
          </w:rPr>
          <w:t>3</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4D6BBD9E" w14:textId="77777777" w:rsidR="0094241B" w:rsidRDefault="0094241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132059525"/>
      <w:docPartObj>
        <w:docPartGallery w:val="Page Numbers (Bottom of Page)"/>
        <w:docPartUnique/>
      </w:docPartObj>
    </w:sdtPr>
    <w:sdtEndPr>
      <w:rPr>
        <w:rFonts w:asciiTheme="majorHAnsi" w:hAnsiTheme="majorHAnsi" w:cs="Times New Roman"/>
        <w:b/>
        <w:color w:val="5B9BD5" w:themeColor="accent1"/>
        <w:sz w:val="20"/>
      </w:rPr>
    </w:sdtEndPr>
    <w:sdtContent>
      <w:p w14:paraId="0CC4F1BB" w14:textId="77777777" w:rsidR="0094241B" w:rsidRPr="008030B6" w:rsidRDefault="0094241B">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390C6B" w:rsidRPr="00390C6B">
          <w:rPr>
            <w:rFonts w:asciiTheme="majorHAnsi" w:hAnsiTheme="majorHAnsi" w:cs="Times New Roman"/>
            <w:b/>
            <w:noProof/>
            <w:color w:val="5B9BD5" w:themeColor="accent1"/>
            <w:sz w:val="20"/>
            <w:lang w:val="es-ES"/>
          </w:rPr>
          <w:t>4</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7A7A51B8" w14:textId="77777777" w:rsidR="0094241B" w:rsidRDefault="0094241B">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18706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5B646731" w14:textId="77777777" w:rsidR="0094241B" w:rsidRPr="006906B8" w:rsidRDefault="0094241B">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6F4C78">
          <w:rPr>
            <w:rFonts w:asciiTheme="majorHAnsi" w:hAnsiTheme="majorHAnsi" w:cs="Arial"/>
            <w:noProof/>
            <w:color w:val="323E4F" w:themeColor="text2" w:themeShade="BF"/>
            <w:sz w:val="20"/>
            <w:szCs w:val="20"/>
            <w:lang w:val="es-MX"/>
          </w:rPr>
          <w:t>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5D7A8C7" w14:textId="77777777" w:rsidR="0094241B" w:rsidRDefault="0094241B">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34323413"/>
      <w:docPartObj>
        <w:docPartGallery w:val="Page Numbers (Bottom of Page)"/>
        <w:docPartUnique/>
      </w:docPartObj>
    </w:sdtPr>
    <w:sdtEndPr>
      <w:rPr>
        <w:rFonts w:asciiTheme="majorHAnsi" w:hAnsiTheme="majorHAnsi" w:cs="Times New Roman"/>
        <w:b/>
        <w:color w:val="5B9BD5" w:themeColor="accent1"/>
        <w:sz w:val="20"/>
      </w:rPr>
    </w:sdtEndPr>
    <w:sdtContent>
      <w:p w14:paraId="63E2107A" w14:textId="77777777" w:rsidR="0094241B" w:rsidRPr="008030B6" w:rsidRDefault="0094241B">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F23E3F">
          <w:rPr>
            <w:rFonts w:asciiTheme="majorHAnsi" w:hAnsiTheme="majorHAnsi" w:cs="Times New Roman"/>
            <w:b/>
            <w:noProof/>
            <w:color w:val="5B9BD5" w:themeColor="accent1"/>
            <w:sz w:val="20"/>
            <w:lang w:val="es-ES"/>
          </w:rPr>
          <w:t>3</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729EF2AE" w14:textId="77777777" w:rsidR="0094241B" w:rsidRDefault="0094241B">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07414611"/>
      <w:docPartObj>
        <w:docPartGallery w:val="Page Numbers (Bottom of Page)"/>
        <w:docPartUnique/>
      </w:docPartObj>
    </w:sdtPr>
    <w:sdtEndPr>
      <w:rPr>
        <w:rFonts w:asciiTheme="majorHAnsi" w:hAnsiTheme="majorHAnsi" w:cs="Times New Roman"/>
        <w:b/>
        <w:color w:val="5B9BD5" w:themeColor="accent1"/>
        <w:sz w:val="20"/>
      </w:rPr>
    </w:sdtEndPr>
    <w:sdtContent>
      <w:p w14:paraId="490E6EE1" w14:textId="77777777" w:rsidR="0094241B" w:rsidRPr="008030B6" w:rsidRDefault="0094241B">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6F4C78" w:rsidRPr="006F4C78">
          <w:rPr>
            <w:rFonts w:asciiTheme="majorHAnsi" w:hAnsiTheme="majorHAnsi" w:cs="Times New Roman"/>
            <w:b/>
            <w:noProof/>
            <w:color w:val="5B9BD5" w:themeColor="accent1"/>
            <w:sz w:val="20"/>
            <w:lang w:val="es-ES"/>
          </w:rPr>
          <w:t>6</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49C084BB" w14:textId="77777777" w:rsidR="0094241B" w:rsidRDefault="0094241B">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0487578"/>
      <w:docPartObj>
        <w:docPartGallery w:val="Page Numbers (Bottom of Page)"/>
        <w:docPartUnique/>
      </w:docPartObj>
    </w:sdtPr>
    <w:sdtEndPr>
      <w:rPr>
        <w:rFonts w:asciiTheme="majorHAnsi" w:hAnsiTheme="majorHAnsi" w:cs="Times New Roman"/>
        <w:b/>
        <w:color w:val="5B9BD5" w:themeColor="accent1"/>
        <w:sz w:val="20"/>
      </w:rPr>
    </w:sdtEndPr>
    <w:sdtContent>
      <w:p w14:paraId="30E204C9" w14:textId="77777777" w:rsidR="0094241B" w:rsidRPr="008030B6" w:rsidRDefault="0094241B">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F23E3F">
          <w:rPr>
            <w:rFonts w:asciiTheme="majorHAnsi" w:hAnsiTheme="majorHAnsi" w:cs="Times New Roman"/>
            <w:b/>
            <w:noProof/>
            <w:color w:val="5B9BD5" w:themeColor="accent1"/>
            <w:sz w:val="20"/>
            <w:lang w:val="es-ES"/>
          </w:rPr>
          <w:t>3</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69DE58ED" w14:textId="77777777" w:rsidR="0094241B" w:rsidRDefault="0094241B">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48222389"/>
      <w:docPartObj>
        <w:docPartGallery w:val="Page Numbers (Bottom of Page)"/>
        <w:docPartUnique/>
      </w:docPartObj>
    </w:sdtPr>
    <w:sdtEndPr>
      <w:rPr>
        <w:rFonts w:asciiTheme="majorHAnsi" w:hAnsiTheme="majorHAnsi" w:cs="Times New Roman"/>
        <w:b/>
        <w:color w:val="5B9BD5" w:themeColor="accent1"/>
        <w:sz w:val="20"/>
      </w:rPr>
    </w:sdtEndPr>
    <w:sdtContent>
      <w:p w14:paraId="587D51E8" w14:textId="77777777" w:rsidR="0094241B" w:rsidRPr="008030B6" w:rsidRDefault="0094241B">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F23E3F">
          <w:rPr>
            <w:rFonts w:asciiTheme="majorHAnsi" w:hAnsiTheme="majorHAnsi" w:cs="Times New Roman"/>
            <w:b/>
            <w:noProof/>
            <w:color w:val="5B9BD5" w:themeColor="accent1"/>
            <w:sz w:val="20"/>
            <w:lang w:val="es-ES"/>
          </w:rPr>
          <w:t>3</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ABC148F" w14:textId="77777777" w:rsidR="0094241B" w:rsidRDefault="009424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AFF79" w14:textId="77777777" w:rsidR="00253598" w:rsidRDefault="00253598" w:rsidP="008030B6">
      <w:pPr>
        <w:spacing w:after="0" w:line="240" w:lineRule="auto"/>
      </w:pPr>
      <w:r>
        <w:separator/>
      </w:r>
    </w:p>
  </w:footnote>
  <w:footnote w:type="continuationSeparator" w:id="0">
    <w:p w14:paraId="4B73C3A1" w14:textId="77777777" w:rsidR="00253598" w:rsidRDefault="00253598"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0840" w14:textId="77777777" w:rsidR="0094241B" w:rsidRDefault="0094241B"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89984" behindDoc="0" locked="0" layoutInCell="1" allowOverlap="1" wp14:anchorId="152CEBA0" wp14:editId="77580BD9">
              <wp:simplePos x="0" y="0"/>
              <wp:positionH relativeFrom="column">
                <wp:posOffset>662940</wp:posOffset>
              </wp:positionH>
              <wp:positionV relativeFrom="paragraph">
                <wp:posOffset>-401955</wp:posOffset>
              </wp:positionV>
              <wp:extent cx="2600325" cy="781050"/>
              <wp:effectExtent l="0" t="0" r="9525" b="0"/>
              <wp:wrapSquare wrapText="bothSides"/>
              <wp:docPr id="224" name="Cuadro de texto 224"/>
              <wp:cNvGraphicFramePr/>
              <a:graphic xmlns:a="http://schemas.openxmlformats.org/drawingml/2006/main">
                <a:graphicData uri="http://schemas.microsoft.com/office/word/2010/wordprocessingShape">
                  <wps:wsp>
                    <wps:cNvSpPr txBox="1"/>
                    <wps:spPr>
                      <a:xfrm>
                        <a:off x="0" y="0"/>
                        <a:ext cx="2600325" cy="781050"/>
                      </a:xfrm>
                      <a:prstGeom prst="rect">
                        <a:avLst/>
                      </a:prstGeom>
                      <a:solidFill>
                        <a:schemeClr val="bg1"/>
                      </a:solidFill>
                      <a:ln w="6350">
                        <a:noFill/>
                      </a:ln>
                    </wps:spPr>
                    <wps:txbx>
                      <w:txbxContent>
                        <w:p w14:paraId="0C5DB829"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026EAFC6"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6B59FF37"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6A0DB56"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140B7AD7" w14:textId="77777777" w:rsidR="0094241B" w:rsidRPr="00F45C80" w:rsidRDefault="0094241B"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febrero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C886E" id="_x0000_t202" coordsize="21600,21600" o:spt="202" path="m,l,21600r21600,l21600,xe">
              <v:stroke joinstyle="miter"/>
              <v:path gradientshapeok="t" o:connecttype="rect"/>
            </v:shapetype>
            <v:shape id="Cuadro de texto 224" o:spid="_x0000_s1029" type="#_x0000_t202" style="position:absolute;left:0;text-align:left;margin-left:52.2pt;margin-top:-31.65pt;width:204.75pt;height: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" fillcolor="white [3212]" stroked="f" strokeweight=".5pt">
              <v:textbox>
                <w:txbxContent>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94241B" w:rsidRPr="00F45C80" w:rsidRDefault="0094241B"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febrero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59264" behindDoc="1" locked="0" layoutInCell="1" allowOverlap="1" wp14:anchorId="07CB82EA" wp14:editId="256A00E2">
          <wp:simplePos x="0" y="0"/>
          <wp:positionH relativeFrom="column">
            <wp:posOffset>-1076325</wp:posOffset>
          </wp:positionH>
          <wp:positionV relativeFrom="paragraph">
            <wp:posOffset>-734060</wp:posOffset>
          </wp:positionV>
          <wp:extent cx="3093621" cy="1283913"/>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3EB3D38" w14:textId="77777777" w:rsidR="0094241B" w:rsidRPr="006906B8" w:rsidRDefault="0094241B">
    <w:pPr>
      <w:pStyle w:val="Encabezado"/>
      <w:rPr>
        <w:sz w:val="20"/>
        <w:szCs w:val="20"/>
        <w:lang w:val="es-MX"/>
      </w:rPr>
    </w:pPr>
    <w:r>
      <w:rPr>
        <w:rFonts w:ascii="Arial Black" w:hAnsi="Arial Black" w:cs="Times New Roman"/>
        <w:b/>
        <w:color w:val="5B9BD5" w:themeColor="accent1"/>
        <w:lang w:val="es-MX"/>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84971" w14:textId="77777777" w:rsidR="0094241B" w:rsidRDefault="0094241B"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8176" behindDoc="0" locked="0" layoutInCell="1" allowOverlap="1" wp14:anchorId="29FCF148" wp14:editId="67C115DE">
              <wp:simplePos x="0" y="0"/>
              <wp:positionH relativeFrom="column">
                <wp:posOffset>679450</wp:posOffset>
              </wp:positionH>
              <wp:positionV relativeFrom="paragraph">
                <wp:posOffset>-389255</wp:posOffset>
              </wp:positionV>
              <wp:extent cx="2673985" cy="781050"/>
              <wp:effectExtent l="0" t="0" r="0" b="0"/>
              <wp:wrapSquare wrapText="bothSides"/>
              <wp:docPr id="231" name="Cuadro de texto 231"/>
              <wp:cNvGraphicFramePr/>
              <a:graphic xmlns:a="http://schemas.openxmlformats.org/drawingml/2006/main">
                <a:graphicData uri="http://schemas.microsoft.com/office/word/2010/wordprocessingShape">
                  <wps:wsp>
                    <wps:cNvSpPr txBox="1"/>
                    <wps:spPr>
                      <a:xfrm>
                        <a:off x="0" y="0"/>
                        <a:ext cx="2673985" cy="781050"/>
                      </a:xfrm>
                      <a:prstGeom prst="rect">
                        <a:avLst/>
                      </a:prstGeom>
                      <a:solidFill>
                        <a:schemeClr val="bg1"/>
                      </a:solidFill>
                      <a:ln w="6350">
                        <a:noFill/>
                      </a:ln>
                    </wps:spPr>
                    <wps:txbx>
                      <w:txbxContent>
                        <w:p w14:paraId="2D15E9DE"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3CB9B6E6"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BAA79CF"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60FD564"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87A12F9" w14:textId="77777777" w:rsidR="0094241B" w:rsidRPr="00F45C80" w:rsidRDefault="0094241B"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febrero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9E516" id="_x0000_t202" coordsize="21600,21600" o:spt="202" path="m,l,21600r21600,l21600,xe">
              <v:stroke joinstyle="miter"/>
              <v:path gradientshapeok="t" o:connecttype="rect"/>
            </v:shapetype>
            <v:shape id="Cuadro de texto 231" o:spid="_x0000_s1033" type="#_x0000_t202" style="position:absolute;left:0;text-align:left;margin-left:53.5pt;margin-top:-30.65pt;width:210.55pt;height: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" fillcolor="white [3212]" stroked="f" strokeweight=".5pt">
              <v:textbox>
                <w:txbxContent>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94241B" w:rsidRPr="00F45C80" w:rsidRDefault="0094241B"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febrero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9744" behindDoc="1" locked="0" layoutInCell="1" allowOverlap="1" wp14:anchorId="7570E71F" wp14:editId="075F8BAC">
          <wp:simplePos x="0" y="0"/>
          <wp:positionH relativeFrom="column">
            <wp:posOffset>-1076325</wp:posOffset>
          </wp:positionH>
          <wp:positionV relativeFrom="paragraph">
            <wp:posOffset>-734060</wp:posOffset>
          </wp:positionV>
          <wp:extent cx="3093621" cy="1283913"/>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2A624D4" w14:textId="77777777" w:rsidR="0094241B" w:rsidRPr="006906B8" w:rsidRDefault="0094241B" w:rsidP="00F45C80">
    <w:pPr>
      <w:pStyle w:val="Encabezado"/>
      <w:tabs>
        <w:tab w:val="left" w:pos="1134"/>
      </w:tabs>
      <w:rPr>
        <w:rFonts w:asciiTheme="majorHAnsi" w:hAnsiTheme="majorHAnsi" w:cs="Arial"/>
        <w:color w:val="323E4F" w:themeColor="text2" w:themeShade="BF"/>
        <w:sz w:val="20"/>
        <w:szCs w:val="20"/>
        <w:lang w:val="es-MX"/>
      </w:rPr>
    </w:pPr>
    <w:r>
      <w:rPr>
        <w:rFonts w:ascii="Arial Black" w:hAnsi="Arial Black" w:cs="Times New Roman"/>
        <w:b/>
        <w:color w:val="5B9BD5" w:themeColor="accent1"/>
        <w:lang w:val="es-MX"/>
      </w:rPr>
      <w:t xml:space="preserve">                 </w:t>
    </w:r>
  </w:p>
  <w:p w14:paraId="7ADFBC5E" w14:textId="77777777" w:rsidR="0094241B" w:rsidRPr="008030B6" w:rsidRDefault="0094241B" w:rsidP="006906B8">
    <w:pPr>
      <w:pStyle w:val="Encabezado"/>
      <w:tabs>
        <w:tab w:val="left" w:pos="1276"/>
      </w:tabs>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548F6" w14:textId="77777777" w:rsidR="0094241B" w:rsidRDefault="0094241B"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81792" behindDoc="1" locked="0" layoutInCell="1" allowOverlap="1" wp14:anchorId="777DFF40" wp14:editId="37B63C2D">
          <wp:simplePos x="0" y="0"/>
          <wp:positionH relativeFrom="column">
            <wp:posOffset>-1076325</wp:posOffset>
          </wp:positionH>
          <wp:positionV relativeFrom="paragraph">
            <wp:posOffset>-734060</wp:posOffset>
          </wp:positionV>
          <wp:extent cx="3093621" cy="1283913"/>
          <wp:effectExtent l="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5FCEAE4" w14:textId="77777777" w:rsidR="0094241B" w:rsidRPr="008030B6" w:rsidRDefault="0094241B"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02CC31D4" w14:textId="77777777" w:rsidR="0094241B" w:rsidRPr="008030B6" w:rsidRDefault="0094241B"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6EA05560" w14:textId="77777777" w:rsidR="0094241B" w:rsidRPr="008030B6" w:rsidRDefault="0094241B">
    <w:pPr>
      <w:pStyle w:val="Encabezado"/>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8B946" w14:textId="77777777" w:rsidR="0094241B" w:rsidRDefault="0094241B"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0224" behindDoc="0" locked="0" layoutInCell="1" allowOverlap="1" wp14:anchorId="652F62FC" wp14:editId="65F5592D">
              <wp:simplePos x="0" y="0"/>
              <wp:positionH relativeFrom="column">
                <wp:posOffset>672465</wp:posOffset>
              </wp:positionH>
              <wp:positionV relativeFrom="paragraph">
                <wp:posOffset>-373380</wp:posOffset>
              </wp:positionV>
              <wp:extent cx="2647950" cy="781050"/>
              <wp:effectExtent l="0" t="0" r="0" b="0"/>
              <wp:wrapSquare wrapText="bothSides"/>
              <wp:docPr id="232" name="Cuadro de texto 232"/>
              <wp:cNvGraphicFramePr/>
              <a:graphic xmlns:a="http://schemas.openxmlformats.org/drawingml/2006/main">
                <a:graphicData uri="http://schemas.microsoft.com/office/word/2010/wordprocessingShape">
                  <wps:wsp>
                    <wps:cNvSpPr txBox="1"/>
                    <wps:spPr>
                      <a:xfrm>
                        <a:off x="0" y="0"/>
                        <a:ext cx="2647950" cy="781050"/>
                      </a:xfrm>
                      <a:prstGeom prst="rect">
                        <a:avLst/>
                      </a:prstGeom>
                      <a:solidFill>
                        <a:schemeClr val="bg1"/>
                      </a:solidFill>
                      <a:ln w="6350">
                        <a:noFill/>
                      </a:ln>
                    </wps:spPr>
                    <wps:txbx>
                      <w:txbxContent>
                        <w:p w14:paraId="19BFD386"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F227572"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8009858"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9E11A3E"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BB8B827" w14:textId="77777777" w:rsidR="0094241B" w:rsidRPr="00F45C80" w:rsidRDefault="0094241B"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FINANZAS PÚBLICAS, </w:t>
                          </w:r>
                          <w:r>
                            <w:rPr>
                              <w:rFonts w:asciiTheme="majorHAnsi" w:hAnsiTheme="majorHAnsi" w:cs="Arial"/>
                              <w:color w:val="323E4F" w:themeColor="text2" w:themeShade="BF"/>
                              <w:sz w:val="18"/>
                              <w:szCs w:val="20"/>
                              <w:lang w:val="es-MX"/>
                            </w:rPr>
                            <w:t>febrero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83161" id="_x0000_t202" coordsize="21600,21600" o:spt="202" path="m,l,21600r21600,l21600,xe">
              <v:stroke joinstyle="miter"/>
              <v:path gradientshapeok="t" o:connecttype="rect"/>
            </v:shapetype>
            <v:shape id="Cuadro de texto 232" o:spid="_x0000_s1034" type="#_x0000_t202" style="position:absolute;left:0;text-align:left;margin-left:52.95pt;margin-top:-29.4pt;width:208.5pt;height: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" fillcolor="white [3212]" stroked="f" strokeweight=".5pt">
              <v:textbox>
                <w:txbxContent>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94241B" w:rsidRPr="00F45C80" w:rsidRDefault="0094241B"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FINANZAS PÚBLICAS, </w:t>
                    </w:r>
                    <w:r>
                      <w:rPr>
                        <w:rFonts w:asciiTheme="majorHAnsi" w:hAnsiTheme="majorHAnsi" w:cs="Arial"/>
                        <w:color w:val="323E4F" w:themeColor="text2" w:themeShade="BF"/>
                        <w:sz w:val="18"/>
                        <w:szCs w:val="20"/>
                        <w:lang w:val="es-MX"/>
                      </w:rPr>
                      <w:t>febrero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3840" behindDoc="1" locked="0" layoutInCell="1" allowOverlap="1" wp14:anchorId="106B0850" wp14:editId="752AAD4A">
          <wp:simplePos x="0" y="0"/>
          <wp:positionH relativeFrom="column">
            <wp:posOffset>-1076325</wp:posOffset>
          </wp:positionH>
          <wp:positionV relativeFrom="paragraph">
            <wp:posOffset>-734060</wp:posOffset>
          </wp:positionV>
          <wp:extent cx="3093621" cy="1283913"/>
          <wp:effectExtent l="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1B186FF3" w14:textId="77777777" w:rsidR="0094241B" w:rsidRPr="006906B8" w:rsidRDefault="0094241B" w:rsidP="00F45C80">
    <w:pPr>
      <w:pStyle w:val="Encabezado"/>
      <w:tabs>
        <w:tab w:val="left" w:pos="1134"/>
      </w:tabs>
      <w:rPr>
        <w:rFonts w:asciiTheme="majorHAnsi" w:hAnsiTheme="majorHAnsi" w:cs="Arial"/>
        <w:color w:val="323E4F" w:themeColor="text2" w:themeShade="BF"/>
        <w:sz w:val="20"/>
        <w:szCs w:val="20"/>
        <w:lang w:val="es-MX"/>
      </w:rPr>
    </w:pPr>
    <w:r>
      <w:rPr>
        <w:rFonts w:ascii="Arial Black" w:hAnsi="Arial Black" w:cs="Times New Roman"/>
        <w:b/>
        <w:color w:val="5B9BD5" w:themeColor="accent1"/>
        <w:lang w:val="es-MX"/>
      </w:rPr>
      <w:t xml:space="preserve">                 </w:t>
    </w:r>
  </w:p>
  <w:p w14:paraId="138B75A0" w14:textId="77777777" w:rsidR="0094241B" w:rsidRPr="008030B6" w:rsidRDefault="0094241B" w:rsidP="006906B8">
    <w:pPr>
      <w:pStyle w:val="Encabezado"/>
      <w:tabs>
        <w:tab w:val="left" w:pos="1276"/>
      </w:tabs>
      <w:rPr>
        <w:lang w:val="es-MX"/>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61099" w14:textId="77777777" w:rsidR="0094241B" w:rsidRDefault="0094241B"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6368" behindDoc="0" locked="0" layoutInCell="1" allowOverlap="1" wp14:anchorId="0146F3FC" wp14:editId="1A0AC704">
              <wp:simplePos x="0" y="0"/>
              <wp:positionH relativeFrom="column">
                <wp:posOffset>698740</wp:posOffset>
              </wp:positionH>
              <wp:positionV relativeFrom="paragraph">
                <wp:posOffset>-337365</wp:posOffset>
              </wp:positionV>
              <wp:extent cx="2800350" cy="781050"/>
              <wp:effectExtent l="0" t="0" r="0" b="0"/>
              <wp:wrapSquare wrapText="bothSides"/>
              <wp:docPr id="246" name="Cuadro de texto 246"/>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0734D1A9" w14:textId="77777777" w:rsidR="0094241B" w:rsidRPr="00F45C80" w:rsidRDefault="0094241B"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05BFED0" w14:textId="77777777" w:rsidR="0094241B" w:rsidRPr="00F45C80" w:rsidRDefault="0094241B"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44B30CE" w14:textId="77777777" w:rsidR="0094241B" w:rsidRPr="00F45C80" w:rsidRDefault="0094241B"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39C0E00" w14:textId="77777777" w:rsidR="0094241B" w:rsidRPr="00F45C80" w:rsidRDefault="0094241B"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4D1F48F" w14:textId="77777777" w:rsidR="0094241B" w:rsidRPr="00F45C80" w:rsidRDefault="0094241B"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febrero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3C56D" id="_x0000_t202" coordsize="21600,21600" o:spt="202" path="m,l,21600r21600,l21600,xe">
              <v:stroke joinstyle="miter"/>
              <v:path gradientshapeok="t" o:connecttype="rect"/>
            </v:shapetype>
            <v:shape id="Cuadro de texto 246" o:spid="_x0000_s1035" type="#_x0000_t202" style="position:absolute;left:0;text-align:left;margin-left:55pt;margin-top:-26.55pt;width:220.5pt;height:6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" fillcolor="white [3212]" stroked="f" strokeweight=".5pt">
              <v:textbox>
                <w:txbxContent>
                  <w:p w:rsidR="0094241B" w:rsidRPr="00F45C80" w:rsidRDefault="0094241B"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94241B" w:rsidRPr="00F45C80" w:rsidRDefault="0094241B"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94241B" w:rsidRPr="00F45C80" w:rsidRDefault="0094241B"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94241B" w:rsidRPr="00F45C80" w:rsidRDefault="0094241B"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94241B" w:rsidRPr="00F45C80" w:rsidRDefault="0094241B"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febrero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5888" behindDoc="1" locked="0" layoutInCell="1" allowOverlap="1" wp14:anchorId="2A81AE56" wp14:editId="4C09DBF7">
          <wp:simplePos x="0" y="0"/>
          <wp:positionH relativeFrom="column">
            <wp:posOffset>-1076325</wp:posOffset>
          </wp:positionH>
          <wp:positionV relativeFrom="paragraph">
            <wp:posOffset>-734060</wp:posOffset>
          </wp:positionV>
          <wp:extent cx="3093621" cy="1283913"/>
          <wp:effectExtent l="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097A536" w14:textId="77777777" w:rsidR="0094241B" w:rsidRPr="006906B8" w:rsidRDefault="0094241B" w:rsidP="002C0967">
    <w:pPr>
      <w:pStyle w:val="Encabezado"/>
      <w:tabs>
        <w:tab w:val="left" w:pos="1134"/>
      </w:tabs>
      <w:rPr>
        <w:rFonts w:asciiTheme="majorHAnsi" w:hAnsiTheme="majorHAnsi" w:cs="Arial"/>
        <w:color w:val="323E4F" w:themeColor="text2" w:themeShade="BF"/>
        <w:sz w:val="20"/>
        <w:szCs w:val="20"/>
        <w:lang w:val="es-MX"/>
      </w:rPr>
    </w:pPr>
    <w:r>
      <w:rPr>
        <w:rFonts w:ascii="Arial Black" w:hAnsi="Arial Black" w:cs="Times New Roman"/>
        <w:b/>
        <w:color w:val="5B9BD5" w:themeColor="accent1"/>
        <w:lang w:val="es-MX"/>
      </w:rPr>
      <w:t xml:space="preserve">                 </w:t>
    </w:r>
  </w:p>
  <w:p w14:paraId="54A9C41C" w14:textId="77777777" w:rsidR="0094241B" w:rsidRPr="008030B6" w:rsidRDefault="0094241B" w:rsidP="006906B8">
    <w:pPr>
      <w:pStyle w:val="Encabezado"/>
      <w:tabs>
        <w:tab w:val="left" w:pos="1276"/>
      </w:tabs>
      <w:rPr>
        <w:lang w:val="es-MX"/>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9D3D" w14:textId="77777777" w:rsidR="0094241B" w:rsidRDefault="0094241B"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2272" behindDoc="0" locked="0" layoutInCell="1" allowOverlap="1" wp14:anchorId="31487633" wp14:editId="43EB4E0E">
              <wp:simplePos x="0" y="0"/>
              <wp:positionH relativeFrom="column">
                <wp:posOffset>681990</wp:posOffset>
              </wp:positionH>
              <wp:positionV relativeFrom="paragraph">
                <wp:posOffset>-354330</wp:posOffset>
              </wp:positionV>
              <wp:extent cx="2705100" cy="781050"/>
              <wp:effectExtent l="0" t="0" r="0" b="0"/>
              <wp:wrapSquare wrapText="bothSides"/>
              <wp:docPr id="233" name="Cuadro de texto 233"/>
              <wp:cNvGraphicFramePr/>
              <a:graphic xmlns:a="http://schemas.openxmlformats.org/drawingml/2006/main">
                <a:graphicData uri="http://schemas.microsoft.com/office/word/2010/wordprocessingShape">
                  <wps:wsp>
                    <wps:cNvSpPr txBox="1"/>
                    <wps:spPr>
                      <a:xfrm>
                        <a:off x="0" y="0"/>
                        <a:ext cx="2705100" cy="781050"/>
                      </a:xfrm>
                      <a:prstGeom prst="rect">
                        <a:avLst/>
                      </a:prstGeom>
                      <a:solidFill>
                        <a:schemeClr val="bg1"/>
                      </a:solidFill>
                      <a:ln w="6350">
                        <a:noFill/>
                      </a:ln>
                    </wps:spPr>
                    <wps:txbx>
                      <w:txbxContent>
                        <w:p w14:paraId="3478A6CC"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3A39F94"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072D9E7A"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C255A26"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40006DF9" w14:textId="77777777" w:rsidR="0094241B" w:rsidRPr="00F45C80" w:rsidRDefault="0094241B"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febrero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239CF" id="_x0000_t202" coordsize="21600,21600" o:spt="202" path="m,l,21600r21600,l21600,xe">
              <v:stroke joinstyle="miter"/>
              <v:path gradientshapeok="t" o:connecttype="rect"/>
            </v:shapetype>
            <v:shape id="Cuadro de texto 233" o:spid="_x0000_s1036" type="#_x0000_t202" style="position:absolute;left:0;text-align:left;margin-left:53.7pt;margin-top:-27.9pt;width:213pt;height: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" fillcolor="white [3212]" stroked="f" strokeweight=".5pt">
              <v:textbox>
                <w:txbxContent>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94241B" w:rsidRPr="00F45C80" w:rsidRDefault="0094241B"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febrero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7936" behindDoc="1" locked="0" layoutInCell="1" allowOverlap="1" wp14:anchorId="351E4C86" wp14:editId="666A778F">
          <wp:simplePos x="0" y="0"/>
          <wp:positionH relativeFrom="column">
            <wp:posOffset>-1076325</wp:posOffset>
          </wp:positionH>
          <wp:positionV relativeFrom="paragraph">
            <wp:posOffset>-734060</wp:posOffset>
          </wp:positionV>
          <wp:extent cx="3093621" cy="1283913"/>
          <wp:effectExtent l="0" t="0" r="0" b="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197EEE93" w14:textId="77777777" w:rsidR="0094241B" w:rsidRPr="006906B8" w:rsidRDefault="0094241B" w:rsidP="00F45C80">
    <w:pPr>
      <w:pStyle w:val="Encabezado"/>
      <w:tabs>
        <w:tab w:val="left" w:pos="1134"/>
      </w:tabs>
      <w:rPr>
        <w:rFonts w:asciiTheme="majorHAnsi" w:hAnsiTheme="majorHAnsi" w:cs="Arial"/>
        <w:color w:val="323E4F" w:themeColor="text2" w:themeShade="BF"/>
        <w:sz w:val="20"/>
        <w:szCs w:val="20"/>
        <w:lang w:val="es-MX"/>
      </w:rPr>
    </w:pPr>
    <w:r>
      <w:rPr>
        <w:rFonts w:ascii="Arial Black" w:hAnsi="Arial Black" w:cs="Times New Roman"/>
        <w:b/>
        <w:color w:val="5B9BD5" w:themeColor="accent1"/>
        <w:lang w:val="es-MX"/>
      </w:rPr>
      <w:t xml:space="preserve">                 </w:t>
    </w:r>
  </w:p>
  <w:p w14:paraId="359346D5" w14:textId="77777777" w:rsidR="0094241B" w:rsidRPr="008030B6" w:rsidRDefault="0094241B"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83FD" w14:textId="77777777" w:rsidR="0094241B" w:rsidRDefault="0094241B"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1312" behindDoc="1" locked="0" layoutInCell="1" allowOverlap="1" wp14:anchorId="6EB0A894" wp14:editId="0A4024BD">
          <wp:simplePos x="0" y="0"/>
          <wp:positionH relativeFrom="column">
            <wp:posOffset>-1076325</wp:posOffset>
          </wp:positionH>
          <wp:positionV relativeFrom="paragraph">
            <wp:posOffset>-734060</wp:posOffset>
          </wp:positionV>
          <wp:extent cx="3093621" cy="1283913"/>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C49823D" w14:textId="77777777" w:rsidR="0094241B" w:rsidRPr="008030B6" w:rsidRDefault="0094241B"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7B16256A" w14:textId="77777777" w:rsidR="0094241B" w:rsidRPr="008030B6" w:rsidRDefault="0094241B"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1BA649BF" w14:textId="77777777" w:rsidR="0094241B" w:rsidRPr="008030B6" w:rsidRDefault="0094241B">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08AE" w14:textId="77777777" w:rsidR="0094241B" w:rsidRDefault="0094241B"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2032" behindDoc="0" locked="0" layoutInCell="1" allowOverlap="1" wp14:anchorId="59CE1A96" wp14:editId="52DEC19C">
              <wp:simplePos x="0" y="0"/>
              <wp:positionH relativeFrom="column">
                <wp:posOffset>662940</wp:posOffset>
              </wp:positionH>
              <wp:positionV relativeFrom="paragraph">
                <wp:posOffset>-392430</wp:posOffset>
              </wp:positionV>
              <wp:extent cx="2657475" cy="781050"/>
              <wp:effectExtent l="0" t="0" r="9525" b="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657475" cy="781050"/>
                      </a:xfrm>
                      <a:prstGeom prst="rect">
                        <a:avLst/>
                      </a:prstGeom>
                      <a:solidFill>
                        <a:schemeClr val="bg1"/>
                      </a:solidFill>
                      <a:ln w="6350">
                        <a:noFill/>
                      </a:ln>
                    </wps:spPr>
                    <wps:txbx>
                      <w:txbxContent>
                        <w:p w14:paraId="622EC601"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376F086E"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9A3254D"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2DABD6F"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CA22995" w14:textId="77777777" w:rsidR="0094241B" w:rsidRPr="00F45C80" w:rsidRDefault="0094241B"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febrero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8DB7D" id="_x0000_t202" coordsize="21600,21600" o:spt="202" path="m,l,21600r21600,l21600,xe">
              <v:stroke joinstyle="miter"/>
              <v:path gradientshapeok="t" o:connecttype="rect"/>
            </v:shapetype>
            <v:shape id="Cuadro de texto 226" o:spid="_x0000_s1030" type="#_x0000_t202" style="position:absolute;left:0;text-align:left;margin-left:52.2pt;margin-top:-30.9pt;width:209.25pt;height: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" fillcolor="white [3212]" stroked="f" strokeweight=".5pt">
              <v:textbox>
                <w:txbxContent>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94241B" w:rsidRPr="00F45C80" w:rsidRDefault="0094241B"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febrero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3360" behindDoc="1" locked="0" layoutInCell="1" allowOverlap="1" wp14:anchorId="46B664B3" wp14:editId="5E41F780">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7A7C64A" w14:textId="77777777" w:rsidR="0094241B" w:rsidRPr="006906B8" w:rsidRDefault="0094241B" w:rsidP="00F45C80">
    <w:pPr>
      <w:pStyle w:val="Encabezado"/>
      <w:tabs>
        <w:tab w:val="left" w:pos="1134"/>
      </w:tabs>
      <w:rPr>
        <w:rFonts w:asciiTheme="majorHAnsi" w:hAnsiTheme="majorHAnsi" w:cs="Arial"/>
        <w:color w:val="323E4F" w:themeColor="text2" w:themeShade="BF"/>
        <w:sz w:val="20"/>
        <w:szCs w:val="20"/>
        <w:lang w:val="es-MX"/>
      </w:rPr>
    </w:pPr>
    <w:r>
      <w:rPr>
        <w:rFonts w:ascii="Arial Black" w:hAnsi="Arial Black" w:cs="Times New Roman"/>
        <w:b/>
        <w:color w:val="5B9BD5" w:themeColor="accent1"/>
        <w:lang w:val="es-MX"/>
      </w:rPr>
      <w:t xml:space="preserve">                 </w:t>
    </w:r>
  </w:p>
  <w:p w14:paraId="6A6EDEDF" w14:textId="77777777" w:rsidR="0094241B" w:rsidRPr="008030B6" w:rsidRDefault="0094241B"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8816" w14:textId="77777777" w:rsidR="0094241B" w:rsidRDefault="0094241B"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5408" behindDoc="1" locked="0" layoutInCell="1" allowOverlap="1" wp14:anchorId="23C0C67D" wp14:editId="358B6CD9">
          <wp:simplePos x="0" y="0"/>
          <wp:positionH relativeFrom="column">
            <wp:posOffset>-1076325</wp:posOffset>
          </wp:positionH>
          <wp:positionV relativeFrom="paragraph">
            <wp:posOffset>-734060</wp:posOffset>
          </wp:positionV>
          <wp:extent cx="3093621" cy="1283913"/>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3DE3989F" w14:textId="77777777" w:rsidR="0094241B" w:rsidRPr="008030B6" w:rsidRDefault="0094241B"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5F62E36D" w14:textId="77777777" w:rsidR="0094241B" w:rsidRPr="008030B6" w:rsidRDefault="0094241B"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6FBBBA5D" w14:textId="77777777" w:rsidR="0094241B" w:rsidRPr="008030B6" w:rsidRDefault="0094241B">
    <w:pPr>
      <w:pStyle w:val="Encabezado"/>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0CFE1" w14:textId="77777777" w:rsidR="0094241B" w:rsidRDefault="0094241B"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4080" behindDoc="0" locked="0" layoutInCell="1" allowOverlap="1" wp14:anchorId="40DB8697" wp14:editId="40C72CD1">
              <wp:simplePos x="0" y="0"/>
              <wp:positionH relativeFrom="column">
                <wp:posOffset>662940</wp:posOffset>
              </wp:positionH>
              <wp:positionV relativeFrom="paragraph">
                <wp:posOffset>-363855</wp:posOffset>
              </wp:positionV>
              <wp:extent cx="2800350" cy="781050"/>
              <wp:effectExtent l="0" t="0" r="0" b="0"/>
              <wp:wrapSquare wrapText="bothSides"/>
              <wp:docPr id="229" name="Cuadro de texto 229"/>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3D242466"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E954163"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EFA2EC2"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EE0A05E" w14:textId="77777777"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1A751276" w14:textId="77777777" w:rsidR="0094241B" w:rsidRPr="00F45C80" w:rsidRDefault="0094241B"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febrero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BA312" id="_x0000_t202" coordsize="21600,21600" o:spt="202" path="m,l,21600r21600,l21600,xe">
              <v:stroke joinstyle="miter"/>
              <v:path gradientshapeok="t" o:connecttype="rect"/>
            </v:shapetype>
            <v:shape id="Cuadro de texto 229" o:spid="_x0000_s1031" type="#_x0000_t202" style="position:absolute;left:0;text-align:left;margin-left:52.2pt;margin-top:-28.65pt;width:220.5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" fillcolor="white [3212]" stroked="f" strokeweight=".5pt">
              <v:textbox>
                <w:txbxContent>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94241B" w:rsidRPr="00F45C80" w:rsidRDefault="0094241B"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94241B" w:rsidRPr="00F45C80" w:rsidRDefault="0094241B"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febrero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7456" behindDoc="1" locked="0" layoutInCell="1" allowOverlap="1" wp14:anchorId="340F1F39" wp14:editId="432DAA9E">
          <wp:simplePos x="0" y="0"/>
          <wp:positionH relativeFrom="column">
            <wp:posOffset>-1076325</wp:posOffset>
          </wp:positionH>
          <wp:positionV relativeFrom="paragraph">
            <wp:posOffset>-734060</wp:posOffset>
          </wp:positionV>
          <wp:extent cx="3093621" cy="1283913"/>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823D224" w14:textId="77777777" w:rsidR="0094241B" w:rsidRPr="006906B8" w:rsidRDefault="0094241B" w:rsidP="00F45C80">
    <w:pPr>
      <w:pStyle w:val="Encabezado"/>
      <w:tabs>
        <w:tab w:val="left" w:pos="1134"/>
      </w:tabs>
      <w:rPr>
        <w:rFonts w:asciiTheme="majorHAnsi" w:hAnsiTheme="majorHAnsi" w:cs="Arial"/>
        <w:color w:val="323E4F" w:themeColor="text2" w:themeShade="BF"/>
        <w:sz w:val="20"/>
        <w:szCs w:val="20"/>
        <w:lang w:val="es-MX"/>
      </w:rPr>
    </w:pPr>
    <w:r>
      <w:rPr>
        <w:rFonts w:ascii="Arial Black" w:hAnsi="Arial Black" w:cs="Times New Roman"/>
        <w:b/>
        <w:color w:val="5B9BD5" w:themeColor="accent1"/>
        <w:lang w:val="es-MX"/>
      </w:rPr>
      <w:t xml:space="preserve">                 </w:t>
    </w:r>
  </w:p>
  <w:p w14:paraId="01417C09" w14:textId="77777777" w:rsidR="0094241B" w:rsidRPr="008030B6" w:rsidRDefault="0094241B" w:rsidP="006906B8">
    <w:pPr>
      <w:pStyle w:val="Encabezado"/>
      <w:tabs>
        <w:tab w:val="left" w:pos="1276"/>
      </w:tabs>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E9FEE" w14:textId="77777777" w:rsidR="0094241B" w:rsidRDefault="0094241B"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9504" behindDoc="1" locked="0" layoutInCell="1" allowOverlap="1" wp14:anchorId="49F7523B" wp14:editId="301A6B50">
          <wp:simplePos x="0" y="0"/>
          <wp:positionH relativeFrom="column">
            <wp:posOffset>-1076325</wp:posOffset>
          </wp:positionH>
          <wp:positionV relativeFrom="paragraph">
            <wp:posOffset>-734060</wp:posOffset>
          </wp:positionV>
          <wp:extent cx="3093621" cy="1283913"/>
          <wp:effectExtent l="0" t="0" r="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373A2BA7" w14:textId="77777777" w:rsidR="0094241B" w:rsidRPr="008030B6" w:rsidRDefault="0094241B"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4DA9765D" w14:textId="77777777" w:rsidR="0094241B" w:rsidRPr="008030B6" w:rsidRDefault="0094241B"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92EBFAC" w14:textId="77777777" w:rsidR="0094241B" w:rsidRPr="008030B6" w:rsidRDefault="0094241B">
    <w:pPr>
      <w:pStyle w:val="Encabezado"/>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D960" w14:textId="77777777" w:rsidR="0094241B" w:rsidRDefault="0094241B"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4320" behindDoc="0" locked="0" layoutInCell="1" allowOverlap="1" wp14:anchorId="0093B9A7" wp14:editId="3E45EA20">
              <wp:simplePos x="0" y="0"/>
              <wp:positionH relativeFrom="column">
                <wp:posOffset>687393</wp:posOffset>
              </wp:positionH>
              <wp:positionV relativeFrom="paragraph">
                <wp:posOffset>-351910</wp:posOffset>
              </wp:positionV>
              <wp:extent cx="2800350" cy="781050"/>
              <wp:effectExtent l="0" t="0" r="0" b="0"/>
              <wp:wrapSquare wrapText="bothSides"/>
              <wp:docPr id="245" name="Cuadro de texto 245"/>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1E6289EA" w14:textId="77777777" w:rsidR="0094241B" w:rsidRPr="00F45C80" w:rsidRDefault="0094241B"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5518A3C" w14:textId="77777777" w:rsidR="0094241B" w:rsidRPr="00F45C80" w:rsidRDefault="0094241B"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6430EA6C" w14:textId="77777777" w:rsidR="0094241B" w:rsidRPr="00F45C80" w:rsidRDefault="0094241B"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39E2E24" w14:textId="77777777" w:rsidR="0094241B" w:rsidRPr="00F45C80" w:rsidRDefault="0094241B"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65CED0D" w14:textId="77777777" w:rsidR="0094241B" w:rsidRPr="00F45C80" w:rsidRDefault="0094241B"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febrero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6D873" id="_x0000_t202" coordsize="21600,21600" o:spt="202" path="m,l,21600r21600,l21600,xe">
              <v:stroke joinstyle="miter"/>
              <v:path gradientshapeok="t" o:connecttype="rect"/>
            </v:shapetype>
            <v:shape id="Cuadro de texto 245" o:spid="_x0000_s1032" type="#_x0000_t202" style="position:absolute;left:0;text-align:left;margin-left:54.15pt;margin-top:-27.7pt;width:220.5pt;height: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" fillcolor="white [3212]" stroked="f" strokeweight=".5pt">
              <v:textbox>
                <w:txbxContent>
                  <w:p w:rsidR="0094241B" w:rsidRPr="00F45C80" w:rsidRDefault="0094241B"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94241B" w:rsidRPr="00F45C80" w:rsidRDefault="0094241B"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94241B" w:rsidRPr="00F45C80" w:rsidRDefault="0094241B"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94241B" w:rsidRPr="00F45C80" w:rsidRDefault="0094241B"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94241B" w:rsidRPr="00F45C80" w:rsidRDefault="0094241B"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febrero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1552" behindDoc="1" locked="0" layoutInCell="1" allowOverlap="1" wp14:anchorId="1B3398C8" wp14:editId="2578F6B7">
          <wp:simplePos x="0" y="0"/>
          <wp:positionH relativeFrom="column">
            <wp:posOffset>-1076325</wp:posOffset>
          </wp:positionH>
          <wp:positionV relativeFrom="paragraph">
            <wp:posOffset>-734060</wp:posOffset>
          </wp:positionV>
          <wp:extent cx="3093621" cy="1283913"/>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B5C0FB1" w14:textId="77777777" w:rsidR="0094241B" w:rsidRDefault="0094241B"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75D2CEA4" w14:textId="77777777" w:rsidR="0094241B" w:rsidRPr="002C0967" w:rsidRDefault="0094241B" w:rsidP="002C0967">
    <w:pPr>
      <w:pStyle w:val="Encabezado"/>
      <w:tabs>
        <w:tab w:val="left" w:pos="1276"/>
      </w:tabs>
      <w:rPr>
        <w:rFonts w:asciiTheme="majorHAnsi" w:hAnsiTheme="majorHAnsi" w:cs="Arial"/>
        <w:b/>
        <w:color w:val="5B9BD5" w:themeColor="accent1"/>
        <w:sz w:val="10"/>
        <w:lang w:val="es-MX"/>
      </w:rPr>
    </w:pPr>
  </w:p>
  <w:p w14:paraId="334E6583" w14:textId="77777777" w:rsidR="0094241B" w:rsidRPr="008030B6" w:rsidRDefault="0094241B">
    <w:pPr>
      <w:pStyle w:val="Encabezado"/>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F8C3C" w14:textId="77777777" w:rsidR="0094241B" w:rsidRDefault="0094241B"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3600" behindDoc="1" locked="0" layoutInCell="1" allowOverlap="1" wp14:anchorId="2C9D9DF4" wp14:editId="35C15A74">
          <wp:simplePos x="0" y="0"/>
          <wp:positionH relativeFrom="column">
            <wp:posOffset>-1076325</wp:posOffset>
          </wp:positionH>
          <wp:positionV relativeFrom="paragraph">
            <wp:posOffset>-734060</wp:posOffset>
          </wp:positionV>
          <wp:extent cx="3093621" cy="1283913"/>
          <wp:effectExtent l="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28399DC" w14:textId="77777777" w:rsidR="0094241B" w:rsidRPr="008030B6" w:rsidRDefault="0094241B"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DB2725F" w14:textId="77777777" w:rsidR="0094241B" w:rsidRPr="008030B6" w:rsidRDefault="0094241B"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1DAA477" w14:textId="77777777" w:rsidR="0094241B" w:rsidRPr="008030B6" w:rsidRDefault="0094241B">
    <w:pPr>
      <w:pStyle w:val="Encabezado"/>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6AB2" w14:textId="77777777" w:rsidR="0094241B" w:rsidRDefault="0094241B"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7696" behindDoc="1" locked="0" layoutInCell="1" allowOverlap="1" wp14:anchorId="55B7F28D" wp14:editId="0CE0DFF8">
          <wp:simplePos x="0" y="0"/>
          <wp:positionH relativeFrom="column">
            <wp:posOffset>-1076325</wp:posOffset>
          </wp:positionH>
          <wp:positionV relativeFrom="paragraph">
            <wp:posOffset>-734060</wp:posOffset>
          </wp:positionV>
          <wp:extent cx="3093621" cy="1283913"/>
          <wp:effectExtent l="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899E5F6" w14:textId="77777777" w:rsidR="0094241B" w:rsidRPr="008030B6" w:rsidRDefault="0094241B"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5317EA27" w14:textId="77777777" w:rsidR="0094241B" w:rsidRPr="008030B6" w:rsidRDefault="0094241B"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577EC790" w14:textId="77777777" w:rsidR="0094241B" w:rsidRPr="008030B6" w:rsidRDefault="0094241B">
    <w:pPr>
      <w:pStyle w:val="Encabezado"/>
      <w:rPr>
        <w:lang w:val="es-MX"/>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B6"/>
    <w:rsid w:val="00002966"/>
    <w:rsid w:val="000075D4"/>
    <w:rsid w:val="00013059"/>
    <w:rsid w:val="000150E7"/>
    <w:rsid w:val="000E4207"/>
    <w:rsid w:val="000F2612"/>
    <w:rsid w:val="000F5487"/>
    <w:rsid w:val="001C01B8"/>
    <w:rsid w:val="001D4E55"/>
    <w:rsid w:val="0023120C"/>
    <w:rsid w:val="00243C9E"/>
    <w:rsid w:val="00252096"/>
    <w:rsid w:val="00253598"/>
    <w:rsid w:val="00260D42"/>
    <w:rsid w:val="002C0967"/>
    <w:rsid w:val="00371E68"/>
    <w:rsid w:val="00390C6B"/>
    <w:rsid w:val="003A48F5"/>
    <w:rsid w:val="00441227"/>
    <w:rsid w:val="0049255C"/>
    <w:rsid w:val="00492F01"/>
    <w:rsid w:val="004A0389"/>
    <w:rsid w:val="00515677"/>
    <w:rsid w:val="005419C5"/>
    <w:rsid w:val="0055103F"/>
    <w:rsid w:val="0055536A"/>
    <w:rsid w:val="0058660F"/>
    <w:rsid w:val="005B5C01"/>
    <w:rsid w:val="00612263"/>
    <w:rsid w:val="00672F97"/>
    <w:rsid w:val="0067690E"/>
    <w:rsid w:val="006906B8"/>
    <w:rsid w:val="006F4C78"/>
    <w:rsid w:val="007063EC"/>
    <w:rsid w:val="0075021C"/>
    <w:rsid w:val="007610B0"/>
    <w:rsid w:val="0076345F"/>
    <w:rsid w:val="00776700"/>
    <w:rsid w:val="007B344C"/>
    <w:rsid w:val="007C1DEB"/>
    <w:rsid w:val="008030B6"/>
    <w:rsid w:val="00854981"/>
    <w:rsid w:val="00867061"/>
    <w:rsid w:val="008B1626"/>
    <w:rsid w:val="008B221F"/>
    <w:rsid w:val="008C352D"/>
    <w:rsid w:val="008E00B7"/>
    <w:rsid w:val="008F6F4F"/>
    <w:rsid w:val="009169FC"/>
    <w:rsid w:val="009400B1"/>
    <w:rsid w:val="0094241B"/>
    <w:rsid w:val="00960BE9"/>
    <w:rsid w:val="00991CB3"/>
    <w:rsid w:val="00993DD2"/>
    <w:rsid w:val="009A198C"/>
    <w:rsid w:val="00A01418"/>
    <w:rsid w:val="00A05516"/>
    <w:rsid w:val="00A51F8E"/>
    <w:rsid w:val="00AD7C37"/>
    <w:rsid w:val="00AE122B"/>
    <w:rsid w:val="00AE12E5"/>
    <w:rsid w:val="00B6454C"/>
    <w:rsid w:val="00B87B86"/>
    <w:rsid w:val="00BA23E7"/>
    <w:rsid w:val="00BA3966"/>
    <w:rsid w:val="00BD79AE"/>
    <w:rsid w:val="00C1011D"/>
    <w:rsid w:val="00C17FDF"/>
    <w:rsid w:val="00C24781"/>
    <w:rsid w:val="00C56D80"/>
    <w:rsid w:val="00C66E5B"/>
    <w:rsid w:val="00C76B98"/>
    <w:rsid w:val="00CC39FE"/>
    <w:rsid w:val="00CE01A9"/>
    <w:rsid w:val="00D06D9C"/>
    <w:rsid w:val="00D12478"/>
    <w:rsid w:val="00D22BC7"/>
    <w:rsid w:val="00D508C0"/>
    <w:rsid w:val="00D72CEE"/>
    <w:rsid w:val="00DF6AE8"/>
    <w:rsid w:val="00E02DD8"/>
    <w:rsid w:val="00E13AB2"/>
    <w:rsid w:val="00E21B05"/>
    <w:rsid w:val="00E46C09"/>
    <w:rsid w:val="00E57A67"/>
    <w:rsid w:val="00ED02FF"/>
    <w:rsid w:val="00EE3B08"/>
    <w:rsid w:val="00F23E3F"/>
    <w:rsid w:val="00F45C80"/>
    <w:rsid w:val="00F743E8"/>
    <w:rsid w:val="00F75D29"/>
    <w:rsid w:val="00FC23EC"/>
    <w:rsid w:val="00FC7C13"/>
    <w:rsid w:val="00FE70FA"/>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D9BA7"/>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6.xml"/><Relationship Id="rId39"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chart" Target="charts/chart5.xml"/><Relationship Id="rId34" Type="http://schemas.openxmlformats.org/officeDocument/2006/relationships/footer" Target="footer10.xml"/><Relationship Id="rId42" Type="http://schemas.openxmlformats.org/officeDocument/2006/relationships/footer" Target="footer13.xm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1.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chart" Target="charts/chart4.xml"/><Relationship Id="rId29" Type="http://schemas.openxmlformats.org/officeDocument/2006/relationships/header" Target="header8.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2.emf"/><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footer" Target="footer7.xml"/><Relationship Id="rId36" Type="http://schemas.openxmlformats.org/officeDocument/2006/relationships/chart" Target="charts/chart9.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9.xml"/><Relationship Id="rId44"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chart" Target="charts/chart8.xml"/><Relationship Id="rId43" Type="http://schemas.openxmlformats.org/officeDocument/2006/relationships/header" Target="header1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'Reporte Diario'!$L$62</c:f>
              <c:strCache>
                <c:ptCount val="1"/>
                <c:pt idx="0">
                  <c:v>Déficit</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D25F-4A5B-9779-9A929521504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2019</c:v>
                </c:pt>
                <c:pt idx="1">
                  <c:v>2020</c:v>
                </c:pt>
                <c:pt idx="2">
                  <c:v>2021</c:v>
                </c:pt>
                <c:pt idx="3">
                  <c:v>2022</c:v>
                </c:pt>
              </c:numCache>
            </c:numRef>
          </c:cat>
          <c:val>
            <c:numRef>
              <c:f>'Reporte Diario'!$M$62:$P$62</c:f>
              <c:numCache>
                <c:formatCode>_-* #,##0.0_-;\-* #,##0.0_-;_-* "-"??_-;_-@_-</c:formatCode>
                <c:ptCount val="4"/>
                <c:pt idx="0">
                  <c:v>-88.237444049998885</c:v>
                </c:pt>
                <c:pt idx="1">
                  <c:v>922.33674110999891</c:v>
                </c:pt>
                <c:pt idx="2">
                  <c:v>1027.5281857600003</c:v>
                </c:pt>
                <c:pt idx="3">
                  <c:v>526.16859616999864</c:v>
                </c:pt>
              </c:numCache>
            </c:numRef>
          </c:val>
          <c:extLst>
            <c:ext xmlns:c16="http://schemas.microsoft.com/office/drawing/2014/chart" uri="{C3380CC4-5D6E-409C-BE32-E72D297353CC}">
              <c16:uniqueId val="{00000002-D25F-4A5B-9779-9A9295215049}"/>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110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13244207783379"/>
          <c:y val="3.2832626690894401E-2"/>
          <c:w val="0.82586755792216615"/>
          <c:h val="0.80385105707940341"/>
        </c:manualLayout>
      </c:layout>
      <c:barChart>
        <c:barDir val="col"/>
        <c:grouping val="clustered"/>
        <c:varyColors val="0"/>
        <c:ser>
          <c:idx val="0"/>
          <c:order val="0"/>
          <c:tx>
            <c:strRef>
              <c:f>Hoja1!$B$1</c:f>
              <c:strCache>
                <c:ptCount val="1"/>
                <c:pt idx="0">
                  <c:v>Meta</c:v>
                </c:pt>
              </c:strCache>
            </c:strRef>
          </c:tx>
          <c:spPr>
            <a:solidFill>
              <a:schemeClr val="accent1">
                <a:lumMod val="75000"/>
              </a:schemeClr>
            </a:solidFill>
            <a:ln>
              <a:noFill/>
            </a:ln>
            <a:effectLst>
              <a:outerShdw blurRad="50800" dist="38100" dir="5400000" algn="t"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ene</c:v>
                </c:pt>
                <c:pt idx="1">
                  <c:v>feb</c:v>
                </c:pt>
              </c:strCache>
            </c:strRef>
          </c:cat>
          <c:val>
            <c:numRef>
              <c:f>Hoja1!$B$2:$B$3</c:f>
              <c:numCache>
                <c:formatCode>#,##0.0</c:formatCode>
                <c:ptCount val="2"/>
                <c:pt idx="0">
                  <c:v>7222.3223719597581</c:v>
                </c:pt>
                <c:pt idx="1">
                  <c:v>11942.614447021226</c:v>
                </c:pt>
              </c:numCache>
            </c:numRef>
          </c:val>
          <c:extLst>
            <c:ext xmlns:c16="http://schemas.microsoft.com/office/drawing/2014/chart" uri="{C3380CC4-5D6E-409C-BE32-E72D297353CC}">
              <c16:uniqueId val="{00000000-D0AB-4C1E-A643-B52AC3D4A7E5}"/>
            </c:ext>
          </c:extLst>
        </c:ser>
        <c:dLbls>
          <c:showLegendKey val="0"/>
          <c:showVal val="0"/>
          <c:showCatName val="0"/>
          <c:showSerName val="0"/>
          <c:showPercent val="0"/>
          <c:showBubbleSize val="0"/>
        </c:dLbls>
        <c:gapWidth val="30"/>
        <c:overlap val="-27"/>
        <c:axId val="643078032"/>
        <c:axId val="643078360"/>
      </c:barChart>
      <c:lineChart>
        <c:grouping val="standard"/>
        <c:varyColors val="0"/>
        <c:ser>
          <c:idx val="1"/>
          <c:order val="1"/>
          <c:tx>
            <c:strRef>
              <c:f>Hoja1!$C$1</c:f>
              <c:strCache>
                <c:ptCount val="1"/>
                <c:pt idx="0">
                  <c:v>Observado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Lbl>
              <c:idx val="0"/>
              <c:layout>
                <c:manualLayout>
                  <c:x val="-0.16881594372801875"/>
                  <c:y val="-6.2827225130890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AB-4C1E-A643-B52AC3D4A7E5}"/>
                </c:ext>
              </c:extLst>
            </c:dLbl>
            <c:dLbl>
              <c:idx val="1"/>
              <c:layout>
                <c:manualLayout>
                  <c:x val="-0.19695193434935529"/>
                  <c:y val="-6.2827225130890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AB-4C1E-A643-B52AC3D4A7E5}"/>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ene</c:v>
                </c:pt>
                <c:pt idx="1">
                  <c:v>feb</c:v>
                </c:pt>
              </c:strCache>
            </c:strRef>
          </c:cat>
          <c:val>
            <c:numRef>
              <c:f>Hoja1!$C$2:$C$3</c:f>
              <c:numCache>
                <c:formatCode>#,##0.0</c:formatCode>
                <c:ptCount val="2"/>
                <c:pt idx="0">
                  <c:v>7765.7392854899999</c:v>
                </c:pt>
                <c:pt idx="1">
                  <c:v>12990.309711430002</c:v>
                </c:pt>
              </c:numCache>
            </c:numRef>
          </c:val>
          <c:smooth val="0"/>
          <c:extLst>
            <c:ext xmlns:c16="http://schemas.microsoft.com/office/drawing/2014/chart" uri="{C3380CC4-5D6E-409C-BE32-E72D297353CC}">
              <c16:uniqueId val="{00000003-D0AB-4C1E-A643-B52AC3D4A7E5}"/>
            </c:ext>
          </c:extLst>
        </c:ser>
        <c:dLbls>
          <c:showLegendKey val="0"/>
          <c:showVal val="0"/>
          <c:showCatName val="0"/>
          <c:showSerName val="0"/>
          <c:showPercent val="0"/>
          <c:showBubbleSize val="0"/>
        </c:dLbls>
        <c:marker val="1"/>
        <c:smooth val="0"/>
        <c:axId val="643078032"/>
        <c:axId val="643078360"/>
      </c:lineChart>
      <c:catAx>
        <c:axId val="6430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360"/>
        <c:crosses val="autoZero"/>
        <c:auto val="1"/>
        <c:lblAlgn val="ctr"/>
        <c:lblOffset val="100"/>
        <c:noMultiLvlLbl val="0"/>
      </c:catAx>
      <c:valAx>
        <c:axId val="643078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032"/>
        <c:crosses val="autoZero"/>
        <c:crossBetween val="between"/>
      </c:valAx>
      <c:spPr>
        <a:noFill/>
        <a:ln>
          <a:noFill/>
        </a:ln>
        <a:effectLst/>
      </c:spPr>
    </c:plotArea>
    <c:legend>
      <c:legendPos val="b"/>
      <c:layout>
        <c:manualLayout>
          <c:xMode val="edge"/>
          <c:yMode val="edge"/>
          <c:x val="0.31337290341638124"/>
          <c:y val="0.9121919445933131"/>
          <c:w val="0.48579778641386123"/>
          <c:h val="8.7808055406686736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06649556832003"/>
          <c:y val="2.3583513747838829E-2"/>
          <c:w val="0.80441713078548105"/>
          <c:h val="0.94924023099816968"/>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8.3376495898101876E-3"/>
                  <c:y val="-1.20192307692307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30-48F4-9790-C7AA6810CDD8}"/>
                </c:ext>
              </c:extLst>
            </c:dLbl>
            <c:dLbl>
              <c:idx val="1"/>
              <c:layout>
                <c:manualLayout>
                  <c:x val="-0.21486887309817981"/>
                  <c:y val="3.98887038158690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30-48F4-9790-C7AA6810CDD8}"/>
                </c:ext>
              </c:extLst>
            </c:dLbl>
            <c:dLbl>
              <c:idx val="2"/>
              <c:layout>
                <c:manualLayout>
                  <c:x val="-0.18259375006062162"/>
                  <c:y val="6.477277029073288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30-48F4-9790-C7AA6810CDD8}"/>
                </c:ext>
              </c:extLst>
            </c:dLbl>
            <c:dLbl>
              <c:idx val="3"/>
              <c:layout>
                <c:manualLayout>
                  <c:x val="-0.11397283765249974"/>
                  <c:y val="-0.2463000643549365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30-48F4-9790-C7AA6810CDD8}"/>
                </c:ext>
              </c:extLst>
            </c:dLbl>
            <c:dLbl>
              <c:idx val="4"/>
              <c:layout>
                <c:manualLayout>
                  <c:x val="-9.4585959460167263E-2"/>
                  <c:y val="-0.114978375610325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30-48F4-9790-C7AA6810CDD8}"/>
                </c:ext>
              </c:extLst>
            </c:dLbl>
            <c:dLbl>
              <c:idx val="5"/>
              <c:layout>
                <c:manualLayout>
                  <c:x val="-2.1610380742318517E-3"/>
                  <c:y val="6.6794745608721881E-2"/>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930-48F4-9790-C7AA6810CDD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868.0297423700008</c:v>
                </c:pt>
                <c:pt idx="1">
                  <c:v>177.63826245999994</c:v>
                </c:pt>
                <c:pt idx="2">
                  <c:v>21.309779260000028</c:v>
                </c:pt>
                <c:pt idx="3">
                  <c:v>-13.967157919999408</c:v>
                </c:pt>
                <c:pt idx="4">
                  <c:v>357.09938556999896</c:v>
                </c:pt>
                <c:pt idx="5">
                  <c:v>-44.384036469999955</c:v>
                </c:pt>
              </c:numCache>
            </c:numRef>
          </c:val>
          <c:smooth val="1"/>
          <c:extLst>
            <c:ext xmlns:c16="http://schemas.microsoft.com/office/drawing/2014/chart" uri="{C3380CC4-5D6E-409C-BE32-E72D297353CC}">
              <c16:uniqueId val="{00000006-A930-48F4-9790-C7AA6810CDD8}"/>
            </c:ext>
          </c:extLst>
        </c:ser>
        <c:ser>
          <c:idx val="1"/>
          <c:order val="1"/>
          <c:tx>
            <c:strRef>
              <c:f>Hoja1!$C$1</c:f>
              <c:strCache>
                <c:ptCount val="1"/>
                <c:pt idx="0">
                  <c:v>2022-Pres</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0.17918303449319395"/>
                  <c:y val="8.386016050878258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30-48F4-9790-C7AA6810CDD8}"/>
                </c:ext>
              </c:extLst>
            </c:dLbl>
            <c:dLbl>
              <c:idx val="1"/>
              <c:layout>
                <c:manualLayout>
                  <c:x val="-5.1449001247349621E-2"/>
                  <c:y val="-0.1161535622350090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30-48F4-9790-C7AA6810CDD8}"/>
                </c:ext>
              </c:extLst>
            </c:dLbl>
            <c:dLbl>
              <c:idx val="2"/>
              <c:layout>
                <c:manualLayout>
                  <c:x val="-5.9449885837441055E-2"/>
                  <c:y val="-9.372823288915808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30-48F4-9790-C7AA6810CDD8}"/>
                </c:ext>
              </c:extLst>
            </c:dLbl>
            <c:dLbl>
              <c:idx val="3"/>
              <c:layout>
                <c:manualLayout>
                  <c:x val="9.5325811650933383E-3"/>
                  <c:y val="0.1255990789959918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930-48F4-9790-C7AA6810CDD8}"/>
                </c:ext>
              </c:extLst>
            </c:dLbl>
            <c:dLbl>
              <c:idx val="4"/>
              <c:layout>
                <c:manualLayout>
                  <c:x val="-0.11332840601133284"/>
                  <c:y val="-6.434452604482132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930-48F4-9790-C7AA6810CDD8}"/>
                </c:ext>
              </c:extLst>
            </c:dLbl>
            <c:dLbl>
              <c:idx val="5"/>
              <c:layout>
                <c:manualLayout>
                  <c:x val="-4.1889996566393728E-3"/>
                  <c:y val="-0.1163087711992731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930-48F4-9790-C7AA6810CDD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814.18564035000009</c:v>
                </c:pt>
                <c:pt idx="1">
                  <c:v>169.36910880877431</c:v>
                </c:pt>
                <c:pt idx="2">
                  <c:v>34.061318510000433</c:v>
                </c:pt>
                <c:pt idx="3">
                  <c:v>-123.7965730599999</c:v>
                </c:pt>
                <c:pt idx="4">
                  <c:v>60.515703999999005</c:v>
                </c:pt>
                <c:pt idx="5">
                  <c:v>93.360065800000029</c:v>
                </c:pt>
              </c:numCache>
            </c:numRef>
          </c:val>
          <c:smooth val="1"/>
          <c:extLst>
            <c:ext xmlns:c16="http://schemas.microsoft.com/office/drawing/2014/chart" uri="{C3380CC4-5D6E-409C-BE32-E72D297353CC}">
              <c16:uniqueId val="{0000000D-A930-48F4-9790-C7AA6810CDD8}"/>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891428205620639"/>
          <c:y val="3.7288007268322231E-2"/>
          <c:w val="0.60594304869319271"/>
          <c:h val="9.5344677468201092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52367019503562E-2"/>
          <c:y val="2.0471470641031241E-2"/>
          <c:w val="0.90205628106458469"/>
          <c:h val="0.75062772325873062"/>
        </c:manualLayout>
      </c:layout>
      <c:barChart>
        <c:barDir val="col"/>
        <c:grouping val="clustered"/>
        <c:varyColors val="0"/>
        <c:ser>
          <c:idx val="1"/>
          <c:order val="1"/>
          <c:tx>
            <c:strRef>
              <c:f>Sheet1!$C$1</c:f>
              <c:strCache>
                <c:ptCount val="1"/>
                <c:pt idx="0">
                  <c:v>2022</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D6-47E8-9611-CD2280EDABCF}"/>
                </c:ext>
              </c:extLst>
            </c:dLbl>
            <c:dLbl>
              <c:idx val="1"/>
              <c:layout>
                <c:manualLayout>
                  <c:x val="0"/>
                  <c:y val="4.4705415012453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D6-47E8-9611-CD2280EDABCF}"/>
                </c:ext>
              </c:extLst>
            </c:dLbl>
            <c:dLbl>
              <c:idx val="2"/>
              <c:layout>
                <c:manualLayout>
                  <c:x val="0"/>
                  <c:y val="8.0687832848694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D6-47E8-9611-CD2280EDABCF}"/>
                </c:ext>
              </c:extLst>
            </c:dLbl>
            <c:dLbl>
              <c:idx val="3"/>
              <c:layout>
                <c:manualLayout>
                  <c:x val="3.9468507099136252E-17"/>
                  <c:y val="1.94988074623451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D6-47E8-9611-CD2280EDABCF}"/>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D6-47E8-9611-CD2280EDABCF}"/>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D6-47E8-9611-CD2280EDABCF}"/>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D6-47E8-9611-CD2280EDABCF}"/>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D6-47E8-9611-CD2280EDABCF}"/>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D6-47E8-9611-CD2280EDABCF}"/>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2D6-47E8-9611-CD2280EDABCF}"/>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9.5136409548139795</c:v>
                </c:pt>
                <c:pt idx="1">
                  <c:v>17.328752165433642</c:v>
                </c:pt>
              </c:numCache>
            </c:numRef>
          </c:val>
          <c:extLst>
            <c:ext xmlns:c16="http://schemas.microsoft.com/office/drawing/2014/chart" uri="{C3380CC4-5D6E-409C-BE32-E72D297353CC}">
              <c16:uniqueId val="{0000000A-22D6-47E8-9611-CD2280EDABCF}"/>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2021</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2"/>
              <c:layout>
                <c:manualLayout>
                  <c:x val="-5.6805321873209733E-2"/>
                  <c:y val="3.7547343404341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2D6-47E8-9611-CD2280EDABCF}"/>
                </c:ext>
              </c:extLst>
            </c:dLbl>
            <c:dLbl>
              <c:idx val="4"/>
              <c:layout>
                <c:manualLayout>
                  <c:x val="-1.5492491944359607E-2"/>
                  <c:y val="-1.4641696897194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2D6-47E8-9611-CD2280EDABCF}"/>
                </c:ext>
              </c:extLst>
            </c:dLbl>
            <c:dLbl>
              <c:idx val="5"/>
              <c:layout>
                <c:manualLayout>
                  <c:x val="-3.8444064127054117E-2"/>
                  <c:y val="-4.9434390431552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2D6-47E8-9611-CD2280EDABCF}"/>
                </c:ext>
              </c:extLst>
            </c:dLbl>
            <c:dLbl>
              <c:idx val="6"/>
              <c:layout>
                <c:manualLayout>
                  <c:x val="-4.3034378563593108E-2"/>
                  <c:y val="-5.5233172687278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2D6-47E8-9611-CD2280EDABCF}"/>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2D6-47E8-9611-CD2280EDABC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3.7189413058487304</c:v>
                </c:pt>
                <c:pt idx="1">
                  <c:v>6.1267370575853732</c:v>
                </c:pt>
                <c:pt idx="2">
                  <c:v>1.9518107242856928</c:v>
                </c:pt>
                <c:pt idx="3">
                  <c:v>11.31040113518587</c:v>
                </c:pt>
                <c:pt idx="4">
                  <c:v>6.3930371872600773</c:v>
                </c:pt>
                <c:pt idx="5">
                  <c:v>0.38854905082506264</c:v>
                </c:pt>
                <c:pt idx="6">
                  <c:v>1.4992457432228861</c:v>
                </c:pt>
                <c:pt idx="7">
                  <c:v>-1.4193223500163015</c:v>
                </c:pt>
                <c:pt idx="8">
                  <c:v>-4.3420352501965027</c:v>
                </c:pt>
                <c:pt idx="9">
                  <c:v>-5.6943807513343216</c:v>
                </c:pt>
                <c:pt idx="10">
                  <c:v>-3.3547814445017821</c:v>
                </c:pt>
                <c:pt idx="11">
                  <c:v>-3.7028426386675619</c:v>
                </c:pt>
              </c:numCache>
            </c:numRef>
          </c:val>
          <c:smooth val="0"/>
          <c:extLst>
            <c:ext xmlns:c16="http://schemas.microsoft.com/office/drawing/2014/chart" uri="{C3380CC4-5D6E-409C-BE32-E72D297353CC}">
              <c16:uniqueId val="{00000010-22D6-47E8-9611-CD2280EDABCF}"/>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2"/>
          <c:min val="-10"/>
        </c:scaling>
        <c:delete val="0"/>
        <c:axPos val="l"/>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61369901633537494"/>
          <c:y val="0.14206788228015424"/>
          <c:w val="0.25118035882908402"/>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5668845822316493"/>
          <c:h val="0.9363849689937902"/>
        </c:manualLayout>
      </c:layout>
      <c:barChart>
        <c:barDir val="bar"/>
        <c:grouping val="clustered"/>
        <c:varyColors val="0"/>
        <c:ser>
          <c:idx val="0"/>
          <c:order val="0"/>
          <c:tx>
            <c:strRef>
              <c:f>Sheet1!$B$1</c:f>
              <c:strCache>
                <c:ptCount val="1"/>
                <c:pt idx="0">
                  <c:v>2021</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3.7146354029999151E-3"/>
                  <c:y val="7.5023774202137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37-4CD3-96F1-0011F89D7244}"/>
                </c:ext>
              </c:extLst>
            </c:dLbl>
            <c:dLbl>
              <c:idx val="1"/>
              <c:layout>
                <c:manualLayout>
                  <c:x val="-1.2868873025510584E-2"/>
                  <c:y val="1.041272014911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37-4CD3-96F1-0011F89D7244}"/>
                </c:ext>
              </c:extLst>
            </c:dLbl>
            <c:dLbl>
              <c:idx val="3"/>
              <c:layout>
                <c:manualLayout>
                  <c:x val="-3.9996850393700786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37-4CD3-96F1-0011F89D7244}"/>
                </c:ext>
              </c:extLst>
            </c:dLbl>
            <c:dLbl>
              <c:idx val="5"/>
              <c:layout>
                <c:manualLayout>
                  <c:x val="-1.4067995310668316E-2"/>
                  <c:y val="-4.04704669923814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37-4CD3-96F1-0011F89D7244}"/>
                </c:ext>
              </c:extLst>
            </c:dLbl>
            <c:dLbl>
              <c:idx val="6"/>
              <c:layout>
                <c:manualLayout>
                  <c:x val="-4.6893317702227429E-3"/>
                  <c:y val="1.324503311258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37-4CD3-96F1-0011F89D7244}"/>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37-4CD3-96F1-0011F89D724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Remuneraciones </c:v>
                </c:pt>
                <c:pt idx="2">
                  <c:v>Inversión Real Directa</c:v>
                </c:pt>
                <c:pt idx="3">
                  <c:v>Trans. De Capital</c:v>
                </c:pt>
                <c:pt idx="4">
                  <c:v>Intereses </c:v>
                </c:pt>
                <c:pt idx="5">
                  <c:v>Bienes y servicios </c:v>
                </c:pt>
                <c:pt idx="6">
                  <c:v>Trans. Corrientes</c:v>
                </c:pt>
              </c:strCache>
            </c:strRef>
          </c:cat>
          <c:val>
            <c:numRef>
              <c:f>Sheet1!$B$2:$B$8</c:f>
              <c:numCache>
                <c:formatCode>#,##0.0</c:formatCode>
                <c:ptCount val="7"/>
                <c:pt idx="0">
                  <c:v>47.87665775999983</c:v>
                </c:pt>
                <c:pt idx="1">
                  <c:v>177.54611112000021</c:v>
                </c:pt>
                <c:pt idx="2">
                  <c:v>87.132018729999999</c:v>
                </c:pt>
                <c:pt idx="3">
                  <c:v>-67.171580500000118</c:v>
                </c:pt>
                <c:pt idx="4">
                  <c:v>203.21708325000009</c:v>
                </c:pt>
                <c:pt idx="5">
                  <c:v>173.69232412000008</c:v>
                </c:pt>
                <c:pt idx="6">
                  <c:v>15.362728190000325</c:v>
                </c:pt>
              </c:numCache>
            </c:numRef>
          </c:val>
          <c:extLst>
            <c:ext xmlns:c16="http://schemas.microsoft.com/office/drawing/2014/chart" uri="{C3380CC4-5D6E-409C-BE32-E72D297353CC}">
              <c16:uniqueId val="{00000006-B437-4CD3-96F1-0011F89D7244}"/>
            </c:ext>
          </c:extLst>
        </c:ser>
        <c:ser>
          <c:idx val="1"/>
          <c:order val="1"/>
          <c:tx>
            <c:strRef>
              <c:f>Sheet1!$C$1</c:f>
              <c:strCache>
                <c:ptCount val="1"/>
                <c:pt idx="0">
                  <c:v>2022</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37-4CD3-96F1-0011F89D7244}"/>
                </c:ext>
              </c:extLst>
            </c:dLbl>
            <c:dLbl>
              <c:idx val="1"/>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37-4CD3-96F1-0011F89D7244}"/>
                </c:ext>
              </c:extLst>
            </c:dLbl>
            <c:dLbl>
              <c:idx val="2"/>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37-4CD3-96F1-0011F89D7244}"/>
                </c:ext>
              </c:extLst>
            </c:dLbl>
            <c:dLbl>
              <c:idx val="4"/>
              <c:layout>
                <c:manualLayout>
                  <c:x val="0"/>
                  <c:y val="-9.5602294455066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437-4CD3-96F1-0011F89D7244}"/>
                </c:ext>
              </c:extLst>
            </c:dLbl>
            <c:dLbl>
              <c:idx val="6"/>
              <c:layout>
                <c:manualLayout>
                  <c:x val="0"/>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437-4CD3-96F1-0011F89D7244}"/>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437-4CD3-96F1-0011F89D724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Remuneraciones </c:v>
                </c:pt>
                <c:pt idx="2">
                  <c:v>Inversión Real Directa</c:v>
                </c:pt>
                <c:pt idx="3">
                  <c:v>Trans. De Capital</c:v>
                </c:pt>
                <c:pt idx="4">
                  <c:v>Intereses </c:v>
                </c:pt>
                <c:pt idx="5">
                  <c:v>Bienes y servicios </c:v>
                </c:pt>
                <c:pt idx="6">
                  <c:v>Trans. Corrientes</c:v>
                </c:pt>
              </c:strCache>
            </c:strRef>
          </c:cat>
          <c:val>
            <c:numRef>
              <c:f>Sheet1!$C$2:$C$8</c:f>
              <c:numCache>
                <c:formatCode>#,##0.0</c:formatCode>
                <c:ptCount val="7"/>
                <c:pt idx="0">
                  <c:v>22.594826140000009</c:v>
                </c:pt>
                <c:pt idx="1">
                  <c:v>96.449065580000024</c:v>
                </c:pt>
                <c:pt idx="2">
                  <c:v>197.34568796000002</c:v>
                </c:pt>
                <c:pt idx="3">
                  <c:v>209.76995942999997</c:v>
                </c:pt>
                <c:pt idx="4">
                  <c:v>217.96873693999987</c:v>
                </c:pt>
                <c:pt idx="5">
                  <c:v>459.50276209000003</c:v>
                </c:pt>
                <c:pt idx="6">
                  <c:v>736.40710822999972</c:v>
                </c:pt>
              </c:numCache>
            </c:numRef>
          </c:val>
          <c:extLst>
            <c:ext xmlns:c16="http://schemas.microsoft.com/office/drawing/2014/chart" uri="{C3380CC4-5D6E-409C-BE32-E72D297353CC}">
              <c16:uniqueId val="{0000000D-B437-4CD3-96F1-0011F89D7244}"/>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1000"/>
          <c:min val="-25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250"/>
      </c:valAx>
      <c:spPr>
        <a:pattFill prst="pct5">
          <a:fgClr>
            <a:schemeClr val="bg1">
              <a:lumMod val="85000"/>
            </a:schemeClr>
          </a:fgClr>
          <a:bgClr>
            <a:schemeClr val="bg1"/>
          </a:bgClr>
        </a:pattFill>
        <a:ln>
          <a:noFill/>
        </a:ln>
        <a:effectLst/>
      </c:spPr>
    </c:plotArea>
    <c:legend>
      <c:legendPos val="b"/>
      <c:layout>
        <c:manualLayout>
          <c:xMode val="edge"/>
          <c:yMode val="edge"/>
          <c:x val="0.74714046353061958"/>
          <c:y val="0.73420052322310558"/>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363100771720747E-2"/>
          <c:w val="0.90422443251375917"/>
          <c:h val="0.88490914133436227"/>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6257-422C-82EE-8240810BEBB0}"/>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6257-422C-82EE-8240810BEBB0}"/>
              </c:ext>
            </c:extLst>
          </c:dPt>
          <c:dLbls>
            <c:dLbl>
              <c:idx val="2"/>
              <c:layout>
                <c:manualLayout>
                  <c:x val="0"/>
                  <c:y val="9.13391574228403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57-422C-82EE-8240810BEBB0}"/>
                </c:ext>
              </c:extLst>
            </c:dLbl>
            <c:dLbl>
              <c:idx val="3"/>
              <c:layout>
                <c:manualLayout>
                  <c:x val="4.6009233072995216E-3"/>
                  <c:y val="9.45652048968331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57-422C-82EE-8240810BEBB0}"/>
                </c:ext>
              </c:extLst>
            </c:dLbl>
            <c:dLbl>
              <c:idx val="4"/>
              <c:layout>
                <c:manualLayout>
                  <c:x val="0"/>
                  <c:y val="0.1174777873631113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57-422C-82EE-8240810BEBB0}"/>
                </c:ext>
              </c:extLst>
            </c:dLbl>
            <c:dLbl>
              <c:idx val="5"/>
              <c:layout>
                <c:manualLayout>
                  <c:x val="0"/>
                  <c:y val="0.1245490161601397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57-422C-82EE-8240810BEBB0}"/>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6257-422C-82EE-8240810BEBB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c:formatCode>
                <c:ptCount val="6"/>
                <c:pt idx="0">
                  <c:v>12.073536009931894</c:v>
                </c:pt>
                <c:pt idx="1">
                  <c:v>12.191685472631811</c:v>
                </c:pt>
                <c:pt idx="2">
                  <c:v>12.744117144763967</c:v>
                </c:pt>
                <c:pt idx="3">
                  <c:v>12.768514323538055</c:v>
                </c:pt>
                <c:pt idx="4">
                  <c:v>11.003133700007421</c:v>
                </c:pt>
                <c:pt idx="5">
                  <c:v>12.894310759621904</c:v>
                </c:pt>
              </c:numCache>
            </c:numRef>
          </c:val>
          <c:extLst>
            <c:ext xmlns:c16="http://schemas.microsoft.com/office/drawing/2014/chart" uri="{C3380CC4-5D6E-409C-BE32-E72D297353CC}">
              <c16:uniqueId val="{00000007-6257-422C-82EE-8240810BEBB0}"/>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37729771160308434"/>
                  <c:y val="-7.9611184550836253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28619165667433361"/>
                      <c:h val="0.15151902782219379"/>
                    </c:manualLayout>
                  </c15:layout>
                </c:ext>
                <c:ext xmlns:c16="http://schemas.microsoft.com/office/drawing/2014/chart" uri="{C3380CC4-5D6E-409C-BE32-E72D297353CC}">
                  <c16:uniqueId val="{00000008-6257-422C-82EE-8240810BEB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0.0</c:formatCode>
                <c:ptCount val="6"/>
                <c:pt idx="0">
                  <c:v>12.15619733017463</c:v>
                </c:pt>
                <c:pt idx="1">
                  <c:v>12.15619733017463</c:v>
                </c:pt>
                <c:pt idx="2">
                  <c:v>12.15619733017463</c:v>
                </c:pt>
                <c:pt idx="3">
                  <c:v>12.15619733017463</c:v>
                </c:pt>
                <c:pt idx="4">
                  <c:v>12.15619733017463</c:v>
                </c:pt>
              </c:numCache>
            </c:numRef>
          </c:val>
          <c:smooth val="0"/>
          <c:extLst>
            <c:ext xmlns:c16="http://schemas.microsoft.com/office/drawing/2014/chart" uri="{C3380CC4-5D6E-409C-BE32-E72D297353CC}">
              <c16:uniqueId val="{00000009-6257-422C-82EE-8240810BEBB0}"/>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13.5"/>
          <c:min val="7"/>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1.8216503424876768E-2"/>
          <c:w val="0.67595450840542404"/>
          <c:h val="0.93331000291630217"/>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DD0C-472C-A5BB-AAF7192AA58F}"/>
              </c:ext>
            </c:extLst>
          </c:dPt>
          <c:dPt>
            <c:idx val="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DD0C-472C-A5BB-AAF7192AA58F}"/>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DD0C-472C-A5BB-AAF7192AA58F}"/>
              </c:ext>
            </c:extLst>
          </c:dPt>
          <c:dPt>
            <c:idx val="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DD0C-472C-A5BB-AAF7192AA58F}"/>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DD0C-472C-A5BB-AAF7192AA58F}"/>
              </c:ext>
            </c:extLst>
          </c:dPt>
          <c:dPt>
            <c:idx val="11"/>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B-DD0C-472C-A5BB-AAF7192AA58F}"/>
              </c:ext>
            </c:extLst>
          </c:dPt>
          <c:dPt>
            <c:idx val="12"/>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D-DD0C-472C-A5BB-AAF7192AA58F}"/>
              </c:ext>
            </c:extLst>
          </c:dPt>
          <c:dPt>
            <c:idx val="13"/>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0F-DD0C-472C-A5BB-AAF7192AA58F}"/>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DD0C-472C-A5BB-AAF7192AA58F}"/>
              </c:ext>
            </c:extLst>
          </c:dPt>
          <c:dLbls>
            <c:dLbl>
              <c:idx val="19"/>
              <c:layout>
                <c:manualLayout>
                  <c:x val="-1.0556811886403472E-2"/>
                  <c:y val="-2.529404187023839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D0C-472C-A5BB-AAF7192AA58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Desarrollo</c:v>
                </c:pt>
                <c:pt idx="1">
                  <c:v>Ambiente </c:v>
                </c:pt>
                <c:pt idx="2">
                  <c:v>Agricultura</c:v>
                </c:pt>
                <c:pt idx="3">
                  <c:v>Economía</c:v>
                </c:pt>
                <c:pt idx="4">
                  <c:v>Comunicaciones</c:v>
                </c:pt>
                <c:pt idx="5">
                  <c:v>Cultura</c:v>
                </c:pt>
                <c:pt idx="6">
                  <c:v>Salud Pública </c:v>
                </c:pt>
                <c:pt idx="7">
                  <c:v>Defensa </c:v>
                </c:pt>
                <c:pt idx="8">
                  <c:v>MINREX</c:v>
                </c:pt>
                <c:pt idx="9">
                  <c:v>Secretarías</c:v>
                </c:pt>
                <c:pt idx="10">
                  <c:v>Deuda Pública</c:v>
                </c:pt>
                <c:pt idx="11">
                  <c:v>Finanzas</c:v>
                </c:pt>
                <c:pt idx="12">
                  <c:v>Trabajo </c:v>
                </c:pt>
                <c:pt idx="13">
                  <c:v>Total</c:v>
                </c:pt>
                <c:pt idx="14">
                  <c:v>Obligaciones </c:v>
                </c:pt>
                <c:pt idx="15">
                  <c:v>Gobernación</c:v>
                </c:pt>
                <c:pt idx="16">
                  <c:v>Presidencia</c:v>
                </c:pt>
                <c:pt idx="17">
                  <c:v>PGN</c:v>
                </c:pt>
                <c:pt idx="18">
                  <c:v>Educación </c:v>
                </c:pt>
                <c:pt idx="19">
                  <c:v>Energía</c:v>
                </c:pt>
              </c:strCache>
            </c:strRef>
          </c:cat>
          <c:val>
            <c:numRef>
              <c:f>Hoja1!$B$2:$B$21</c:f>
              <c:numCache>
                <c:formatCode>0.0</c:formatCode>
                <c:ptCount val="20"/>
                <c:pt idx="0">
                  <c:v>4.9480459435594426</c:v>
                </c:pt>
                <c:pt idx="1">
                  <c:v>7.1126662285606672</c:v>
                </c:pt>
                <c:pt idx="2">
                  <c:v>8.3122941927092615</c:v>
                </c:pt>
                <c:pt idx="3">
                  <c:v>8.3413923301570829</c:v>
                </c:pt>
                <c:pt idx="4">
                  <c:v>9.7287471988589918</c:v>
                </c:pt>
                <c:pt idx="5">
                  <c:v>9.9850909403424826</c:v>
                </c:pt>
                <c:pt idx="6">
                  <c:v>10.658410395744326</c:v>
                </c:pt>
                <c:pt idx="7">
                  <c:v>11.592926221985273</c:v>
                </c:pt>
                <c:pt idx="8">
                  <c:v>11.654186143180258</c:v>
                </c:pt>
                <c:pt idx="9">
                  <c:v>11.730396433096574</c:v>
                </c:pt>
                <c:pt idx="10">
                  <c:v>12.434831853840125</c:v>
                </c:pt>
                <c:pt idx="11">
                  <c:v>12.541478908348999</c:v>
                </c:pt>
                <c:pt idx="12">
                  <c:v>12.75084435836556</c:v>
                </c:pt>
                <c:pt idx="13">
                  <c:v>12.894310759621904</c:v>
                </c:pt>
                <c:pt idx="14">
                  <c:v>12.896472916462882</c:v>
                </c:pt>
                <c:pt idx="15">
                  <c:v>12.932937371315495</c:v>
                </c:pt>
                <c:pt idx="16">
                  <c:v>14.225960351219513</c:v>
                </c:pt>
                <c:pt idx="17">
                  <c:v>15.008766726666668</c:v>
                </c:pt>
                <c:pt idx="18">
                  <c:v>16.470522804783162</c:v>
                </c:pt>
                <c:pt idx="19">
                  <c:v>50.461659346345385</c:v>
                </c:pt>
              </c:numCache>
            </c:numRef>
          </c:val>
          <c:extLst>
            <c:ext xmlns:c16="http://schemas.microsoft.com/office/drawing/2014/chart" uri="{C3380CC4-5D6E-409C-BE32-E72D297353CC}">
              <c16:uniqueId val="{00000013-DD0C-472C-A5BB-AAF7192AA58F}"/>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55"/>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10"/>
        <c:min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322189999150465E-4"/>
          <c:y val="5.3060050186034442E-2"/>
          <c:w val="0.97017979770072604"/>
          <c:h val="0.87543800614666767"/>
        </c:manualLayout>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2B-4195-A328-5F4C874B82B1}"/>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912B-4195-A328-5F4C874B82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2B-4195-A328-5F4C874B82B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2B-4195-A328-5F4C874B82B1}"/>
              </c:ext>
            </c:extLst>
          </c:dPt>
          <c:dPt>
            <c:idx val="4"/>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9-912B-4195-A328-5F4C874B82B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12B-4195-A328-5F4C874B82B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12B-4195-A328-5F4C874B82B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12B-4195-A328-5F4C874B82B1}"/>
              </c:ext>
            </c:extLst>
          </c:dPt>
          <c:dLbls>
            <c:dLbl>
              <c:idx val="0"/>
              <c:layout>
                <c:manualLayout>
                  <c:x val="3.5916474489234761E-2"/>
                  <c:y val="-0.11647930147345444"/>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DC7BDA1-E372-4970-8527-358DD59F94FF}" type="CATEGORYNAME">
                      <a:rPr lang="en-US" sz="900">
                        <a:solidFill>
                          <a:schemeClr val="bg1"/>
                        </a:solidFill>
                        <a:latin typeface="Times New Roman" panose="02020603050405020304" pitchFamily="18" charset="0"/>
                        <a:cs typeface="Times New Roman" panose="02020603050405020304" pitchFamily="18" charset="0"/>
                      </a:rPr>
                      <a:pPr>
                        <a:defRPr b="1">
                          <a:solidFill>
                            <a:schemeClr val="bg1"/>
                          </a:solidFill>
                          <a:latin typeface="Times New Roman" panose="02020603050405020304" pitchFamily="18" charset="0"/>
                          <a:cs typeface="Times New Roman" panose="02020603050405020304" pitchFamily="18" charset="0"/>
                        </a:defRPr>
                      </a:pPr>
                      <a:t>[NOMBRE DE CATEGORÍA]</a:t>
                    </a:fld>
                    <a:r>
                      <a:rPr lang="en-US" sz="900" baseline="0">
                        <a:solidFill>
                          <a:schemeClr val="bg1"/>
                        </a:solidFill>
                        <a:latin typeface="Times New Roman" panose="02020603050405020304" pitchFamily="18" charset="0"/>
                        <a:cs typeface="Times New Roman" panose="02020603050405020304" pitchFamily="18" charset="0"/>
                      </a:rPr>
                      <a:t>; </a:t>
                    </a:r>
                    <a:fld id="{A62E6584-E5F5-4B14-9482-26CC836CD6EA}" type="VALUE">
                      <a:rPr lang="en-US" sz="900" baseline="0">
                        <a:solidFill>
                          <a:schemeClr val="bg1"/>
                        </a:solidFill>
                        <a:latin typeface="Times New Roman" panose="02020603050405020304" pitchFamily="18" charset="0"/>
                        <a:cs typeface="Times New Roman" panose="02020603050405020304" pitchFamily="18" charset="0"/>
                      </a:rPr>
                      <a:pPr>
                        <a:defRPr b="1">
                          <a:solidFill>
                            <a:schemeClr val="bg1"/>
                          </a:solidFill>
                          <a:latin typeface="Times New Roman" panose="02020603050405020304" pitchFamily="18" charset="0"/>
                          <a:cs typeface="Times New Roman" panose="02020603050405020304" pitchFamily="18" charset="0"/>
                        </a:defRPr>
                      </a:pPr>
                      <a:t>[VALOR]</a:t>
                    </a:fld>
                    <a:r>
                      <a:rPr lang="en-US" sz="900" baseline="0">
                        <a:solidFill>
                          <a:schemeClr val="bg1"/>
                        </a:solidFill>
                        <a:latin typeface="Times New Roman" panose="02020603050405020304" pitchFamily="18" charset="0"/>
                        <a:cs typeface="Times New Roman" panose="02020603050405020304" pitchFamily="18" charset="0"/>
                      </a:rPr>
                      <a:t>; </a:t>
                    </a:r>
                  </a:p>
                  <a:p>
                    <a:pPr>
                      <a:defRPr b="1">
                        <a:solidFill>
                          <a:schemeClr val="bg1"/>
                        </a:solidFill>
                        <a:latin typeface="Times New Roman" panose="02020603050405020304" pitchFamily="18" charset="0"/>
                        <a:cs typeface="Times New Roman" panose="02020603050405020304" pitchFamily="18" charset="0"/>
                      </a:defRPr>
                    </a:pPr>
                    <a:fld id="{02571D6F-CC88-483A-8998-5228F8499A85}" type="PERCENTAGE">
                      <a:rPr lang="en-US" sz="900" baseline="0">
                        <a:solidFill>
                          <a:schemeClr val="bg1"/>
                        </a:solidFill>
                        <a:latin typeface="Times New Roman" panose="02020603050405020304" pitchFamily="18" charset="0"/>
                        <a:cs typeface="Times New Roman" panose="02020603050405020304" pitchFamily="18" charset="0"/>
                      </a:rPr>
                      <a:pPr>
                        <a:defRPr b="1">
                          <a:solidFill>
                            <a:schemeClr val="bg1"/>
                          </a:solidFill>
                          <a:latin typeface="Times New Roman" panose="02020603050405020304" pitchFamily="18" charset="0"/>
                          <a:cs typeface="Times New Roman" panose="02020603050405020304" pitchFamily="18" charset="0"/>
                        </a:defRPr>
                      </a:pPr>
                      <a:t>[PORCENTAJE]</a:t>
                    </a:fld>
                    <a:endParaRPr lang="es-GT"/>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7862266857962692"/>
                      <c:h val="0.44146685472496466"/>
                    </c:manualLayout>
                  </c15:layout>
                  <c15:dlblFieldTable/>
                  <c15:showDataLabelsRange val="0"/>
                </c:ext>
                <c:ext xmlns:c16="http://schemas.microsoft.com/office/drawing/2014/chart" uri="{C3380CC4-5D6E-409C-BE32-E72D297353CC}">
                  <c16:uniqueId val="{00000001-912B-4195-A328-5F4C874B82B1}"/>
                </c:ext>
              </c:extLst>
            </c:dLbl>
            <c:dLbl>
              <c:idx val="1"/>
              <c:layout>
                <c:manualLayout>
                  <c:x val="0.13252327315279774"/>
                  <c:y val="6.6004001975000651E-3"/>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2134188229906113"/>
                      <c:h val="0.23234323432343232"/>
                    </c:manualLayout>
                  </c15:layout>
                </c:ext>
                <c:ext xmlns:c16="http://schemas.microsoft.com/office/drawing/2014/chart" uri="{C3380CC4-5D6E-409C-BE32-E72D297353CC}">
                  <c16:uniqueId val="{00000003-912B-4195-A328-5F4C874B82B1}"/>
                </c:ext>
              </c:extLst>
            </c:dLbl>
            <c:dLbl>
              <c:idx val="2"/>
              <c:layout>
                <c:manualLayout>
                  <c:x val="-5.8594793809692958E-2"/>
                  <c:y val="3.8655440347184324E-3"/>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E464A87-2203-40B8-BAE9-BF48B5BA28B8}" type="CATEGORYNAME">
                      <a:rPr lang="en-US" sz="800">
                        <a:solidFill>
                          <a:sysClr val="windowText" lastClr="000000"/>
                        </a:solidFill>
                        <a:latin typeface="Times New Roman" panose="02020603050405020304" pitchFamily="18" charset="0"/>
                        <a:cs typeface="Times New Roman" panose="02020603050405020304" pitchFamily="18" charset="0"/>
                      </a:rPr>
                      <a:pPr>
                        <a:defRPr sz="800" b="1">
                          <a:solidFill>
                            <a:sysClr val="windowText" lastClr="000000"/>
                          </a:solidFill>
                          <a:latin typeface="Times New Roman" panose="02020603050405020304" pitchFamily="18" charset="0"/>
                          <a:cs typeface="Times New Roman" panose="02020603050405020304" pitchFamily="18" charset="0"/>
                        </a:defRPr>
                      </a:pPr>
                      <a:t>[NOMBRE DE CATEGORÍA]</a:t>
                    </a:fld>
                    <a:r>
                      <a:rPr lang="en-US" sz="800" baseline="0">
                        <a:solidFill>
                          <a:sysClr val="windowText" lastClr="000000"/>
                        </a:solidFill>
                        <a:latin typeface="Times New Roman" panose="02020603050405020304" pitchFamily="18" charset="0"/>
                        <a:cs typeface="Times New Roman" panose="02020603050405020304" pitchFamily="18" charset="0"/>
                      </a:rPr>
                      <a:t>; </a:t>
                    </a:r>
                  </a:p>
                  <a:p>
                    <a:pPr>
                      <a:defRPr sz="800" b="1">
                        <a:solidFill>
                          <a:sysClr val="windowText" lastClr="000000"/>
                        </a:solidFill>
                        <a:latin typeface="Times New Roman" panose="02020603050405020304" pitchFamily="18" charset="0"/>
                        <a:cs typeface="Times New Roman" panose="02020603050405020304" pitchFamily="18" charset="0"/>
                      </a:defRPr>
                    </a:pPr>
                    <a:fld id="{07979994-A173-4E9F-BB7C-04A202E50AC3}" type="VALUE">
                      <a:rPr lang="en-US" sz="800" baseline="0">
                        <a:solidFill>
                          <a:sysClr val="windowText" lastClr="000000"/>
                        </a:solidFill>
                        <a:latin typeface="Times New Roman" panose="02020603050405020304" pitchFamily="18" charset="0"/>
                        <a:cs typeface="Times New Roman" panose="02020603050405020304" pitchFamily="18" charset="0"/>
                      </a:rPr>
                      <a:pPr>
                        <a:defRPr sz="800" b="1">
                          <a:solidFill>
                            <a:sysClr val="windowText" lastClr="000000"/>
                          </a:solidFill>
                          <a:latin typeface="Times New Roman" panose="02020603050405020304" pitchFamily="18" charset="0"/>
                          <a:cs typeface="Times New Roman" panose="02020603050405020304" pitchFamily="18" charset="0"/>
                        </a:defRPr>
                      </a:pPr>
                      <a:t>[VALOR]</a:t>
                    </a:fld>
                    <a:r>
                      <a:rPr lang="en-US" sz="800" baseline="0">
                        <a:solidFill>
                          <a:sysClr val="windowText" lastClr="000000"/>
                        </a:solidFill>
                        <a:latin typeface="Times New Roman" panose="02020603050405020304" pitchFamily="18" charset="0"/>
                        <a:cs typeface="Times New Roman" panose="02020603050405020304" pitchFamily="18" charset="0"/>
                      </a:rPr>
                      <a:t>; </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3834597362446258"/>
                      <c:h val="0.25041344358495599"/>
                    </c:manualLayout>
                  </c15:layout>
                  <c15:dlblFieldTable/>
                  <c15:showDataLabelsRange val="0"/>
                </c:ext>
                <c:ext xmlns:c16="http://schemas.microsoft.com/office/drawing/2014/chart" uri="{C3380CC4-5D6E-409C-BE32-E72D297353CC}">
                  <c16:uniqueId val="{00000005-912B-4195-A328-5F4C874B82B1}"/>
                </c:ext>
              </c:extLst>
            </c:dLbl>
            <c:dLbl>
              <c:idx val="3"/>
              <c:layout>
                <c:manualLayout>
                  <c:x val="-2.4770239345093092E-2"/>
                  <c:y val="6.1952303988009605E-3"/>
                </c:manualLayout>
              </c:layout>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1049586285112568"/>
                      <c:h val="0.32881785816376913"/>
                    </c:manualLayout>
                  </c15:layout>
                </c:ext>
                <c:ext xmlns:c16="http://schemas.microsoft.com/office/drawing/2014/chart" uri="{C3380CC4-5D6E-409C-BE32-E72D297353CC}">
                  <c16:uniqueId val="{00000007-912B-4195-A328-5F4C874B82B1}"/>
                </c:ext>
              </c:extLst>
            </c:dLbl>
            <c:dLbl>
              <c:idx val="4"/>
              <c:layout>
                <c:manualLayout>
                  <c:x val="-2.3716708527990075E-2"/>
                  <c:y val="-5.7871370501980041E-3"/>
                </c:manualLayout>
              </c:layout>
              <c:spPr>
                <a:solidFill>
                  <a:schemeClr val="accent2">
                    <a:lumMod val="75000"/>
                  </a:schemeClr>
                </a:solid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680510053028345"/>
                      <c:h val="0.19181154335906028"/>
                    </c:manualLayout>
                  </c15:layout>
                </c:ext>
                <c:ext xmlns:c16="http://schemas.microsoft.com/office/drawing/2014/chart" uri="{C3380CC4-5D6E-409C-BE32-E72D297353CC}">
                  <c16:uniqueId val="{00000009-912B-4195-A328-5F4C874B82B1}"/>
                </c:ext>
              </c:extLst>
            </c:dLbl>
            <c:dLbl>
              <c:idx val="5"/>
              <c:layout>
                <c:manualLayout>
                  <c:x val="-3.3961764053594599E-2"/>
                  <c:y val="-1.3866583508744576E-3"/>
                </c:manualLayout>
              </c:layout>
              <c:spPr>
                <a:solidFill>
                  <a:schemeClr val="accent2">
                    <a:lumMod val="60000"/>
                    <a:lumOff val="40000"/>
                  </a:schemeClr>
                </a:solid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997814676646066"/>
                      <c:h val="0.1456069228970141"/>
                    </c:manualLayout>
                  </c15:layout>
                </c:ext>
                <c:ext xmlns:c16="http://schemas.microsoft.com/office/drawing/2014/chart" uri="{C3380CC4-5D6E-409C-BE32-E72D297353CC}">
                  <c16:uniqueId val="{0000000B-912B-4195-A328-5F4C874B82B1}"/>
                </c:ext>
              </c:extLst>
            </c:dLbl>
            <c:dLbl>
              <c:idx val="6"/>
              <c:layout>
                <c:manualLayout>
                  <c:x val="-3.2329082290406479E-2"/>
                  <c:y val="6.8552012681582994E-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0621933650553812"/>
                      <c:h val="0.18129882279566537"/>
                    </c:manualLayout>
                  </c15:layout>
                </c:ext>
                <c:ext xmlns:c16="http://schemas.microsoft.com/office/drawing/2014/chart" uri="{C3380CC4-5D6E-409C-BE32-E72D297353CC}">
                  <c16:uniqueId val="{0000000D-912B-4195-A328-5F4C874B82B1}"/>
                </c:ext>
              </c:extLst>
            </c:dLbl>
            <c:dLbl>
              <c:idx val="7"/>
              <c:delete val="1"/>
              <c:extLst>
                <c:ext xmlns:c15="http://schemas.microsoft.com/office/drawing/2012/chart" uri="{CE6537A1-D6FC-4f65-9D91-7224C49458BB}"/>
                <c:ext xmlns:c16="http://schemas.microsoft.com/office/drawing/2014/chart" uri="{C3380CC4-5D6E-409C-BE32-E72D297353CC}">
                  <c16:uniqueId val="{0000000F-912B-4195-A328-5F4C874B82B1}"/>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2da Dosis </c:v>
                </c:pt>
                <c:pt idx="1">
                  <c:v>Dosis de Refuerzo</c:v>
                </c:pt>
                <c:pt idx="3">
                  <c:v>Moderna</c:v>
                </c:pt>
                <c:pt idx="4">
                  <c:v>Astrazeneca</c:v>
                </c:pt>
                <c:pt idx="5">
                  <c:v>Sputnik</c:v>
                </c:pt>
                <c:pt idx="6">
                  <c:v>Pfizer</c:v>
                </c:pt>
              </c:strCache>
            </c:strRef>
          </c:cat>
          <c:val>
            <c:numRef>
              <c:f>Sheet1!$B$2:$B$8</c:f>
              <c:numCache>
                <c:formatCode>#,##0</c:formatCode>
                <c:ptCount val="7"/>
                <c:pt idx="0">
                  <c:v>5704489</c:v>
                </c:pt>
                <c:pt idx="1">
                  <c:v>1885334</c:v>
                </c:pt>
                <c:pt idx="3">
                  <c:v>2884479</c:v>
                </c:pt>
                <c:pt idx="4">
                  <c:v>1855248</c:v>
                </c:pt>
                <c:pt idx="5">
                  <c:v>1545075</c:v>
                </c:pt>
                <c:pt idx="6">
                  <c:v>981843</c:v>
                </c:pt>
              </c:numCache>
            </c:numRef>
          </c:val>
          <c:extLst>
            <c:ext xmlns:c16="http://schemas.microsoft.com/office/drawing/2014/chart" uri="{C3380CC4-5D6E-409C-BE32-E72D297353CC}">
              <c16:uniqueId val="{00000010-912B-4195-A328-5F4C874B82B1}"/>
            </c:ext>
          </c:extLst>
        </c:ser>
        <c:dLbls>
          <c:showLegendKey val="0"/>
          <c:showVal val="0"/>
          <c:showCatName val="0"/>
          <c:showSerName val="0"/>
          <c:showPercent val="0"/>
          <c:showBubbleSize val="0"/>
          <c:showLeaderLines val="1"/>
        </c:dLbls>
        <c:gapWidth val="34"/>
        <c:splitType val="pos"/>
        <c:splitPos val="4"/>
        <c:secondPieSize val="83"/>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493458801927932E-2"/>
          <c:y val="5.8355437665782495E-2"/>
          <c:w val="0.9182201146132839"/>
          <c:h val="0.73733035359969923"/>
        </c:manualLayout>
      </c:layout>
      <c:barChart>
        <c:barDir val="col"/>
        <c:grouping val="stacked"/>
        <c:varyColors val="0"/>
        <c:ser>
          <c:idx val="0"/>
          <c:order val="0"/>
          <c:tx>
            <c:strRef>
              <c:f>Sheet1!$B$1</c:f>
              <c:strCache>
                <c:ptCount val="1"/>
                <c:pt idx="0">
                  <c:v>Primera Dosis</c:v>
                </c:pt>
              </c:strCache>
            </c:strRef>
          </c:tx>
          <c:spPr>
            <a:solidFill>
              <a:srgbClr val="2680A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12 a 17 años</c:v>
                </c:pt>
                <c:pt idx="1">
                  <c:v>18 a 29 años</c:v>
                </c:pt>
                <c:pt idx="2">
                  <c:v>30 a 39 años</c:v>
                </c:pt>
                <c:pt idx="3">
                  <c:v>40 a 49 años</c:v>
                </c:pt>
                <c:pt idx="4">
                  <c:v>50 a 59 años</c:v>
                </c:pt>
                <c:pt idx="5">
                  <c:v>60 a 69 años</c:v>
                </c:pt>
                <c:pt idx="6">
                  <c:v>70 años y más</c:v>
                </c:pt>
              </c:strCache>
            </c:strRef>
          </c:cat>
          <c:val>
            <c:numRef>
              <c:f>Sheet1!$B$2:$B$8</c:f>
              <c:numCache>
                <c:formatCode>General</c:formatCode>
                <c:ptCount val="7"/>
                <c:pt idx="0">
                  <c:v>43.37</c:v>
                </c:pt>
                <c:pt idx="1">
                  <c:v>55.24</c:v>
                </c:pt>
                <c:pt idx="2">
                  <c:v>59.31</c:v>
                </c:pt>
                <c:pt idx="3">
                  <c:v>65.11</c:v>
                </c:pt>
                <c:pt idx="4">
                  <c:v>68.150000000000006</c:v>
                </c:pt>
                <c:pt idx="5">
                  <c:v>71.13</c:v>
                </c:pt>
                <c:pt idx="6">
                  <c:v>57.38</c:v>
                </c:pt>
              </c:numCache>
            </c:numRef>
          </c:val>
          <c:extLst>
            <c:ext xmlns:c16="http://schemas.microsoft.com/office/drawing/2014/chart" uri="{C3380CC4-5D6E-409C-BE32-E72D297353CC}">
              <c16:uniqueId val="{00000000-D481-4CA3-8FC2-BD323566C07D}"/>
            </c:ext>
          </c:extLst>
        </c:ser>
        <c:ser>
          <c:idx val="1"/>
          <c:order val="1"/>
          <c:tx>
            <c:strRef>
              <c:f>Sheet1!$C$1</c:f>
              <c:strCache>
                <c:ptCount val="1"/>
                <c:pt idx="0">
                  <c:v>Segunda Dosis</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12 a 17 años</c:v>
                </c:pt>
                <c:pt idx="1">
                  <c:v>18 a 29 años</c:v>
                </c:pt>
                <c:pt idx="2">
                  <c:v>30 a 39 años</c:v>
                </c:pt>
                <c:pt idx="3">
                  <c:v>40 a 49 años</c:v>
                </c:pt>
                <c:pt idx="4">
                  <c:v>50 a 59 años</c:v>
                </c:pt>
                <c:pt idx="5">
                  <c:v>60 a 69 años</c:v>
                </c:pt>
                <c:pt idx="6">
                  <c:v>70 años y más</c:v>
                </c:pt>
              </c:strCache>
            </c:strRef>
          </c:cat>
          <c:val>
            <c:numRef>
              <c:f>Sheet1!$C$2:$C$8</c:f>
              <c:numCache>
                <c:formatCode>General</c:formatCode>
                <c:ptCount val="7"/>
                <c:pt idx="0">
                  <c:v>29.61</c:v>
                </c:pt>
                <c:pt idx="1">
                  <c:v>39.950000000000003</c:v>
                </c:pt>
                <c:pt idx="2">
                  <c:v>47.23</c:v>
                </c:pt>
                <c:pt idx="3">
                  <c:v>54.64</c:v>
                </c:pt>
                <c:pt idx="4">
                  <c:v>59.11</c:v>
                </c:pt>
                <c:pt idx="5" formatCode="0.0">
                  <c:v>63.44</c:v>
                </c:pt>
                <c:pt idx="6">
                  <c:v>51.55</c:v>
                </c:pt>
              </c:numCache>
            </c:numRef>
          </c:val>
          <c:extLst>
            <c:ext xmlns:c16="http://schemas.microsoft.com/office/drawing/2014/chart" uri="{C3380CC4-5D6E-409C-BE32-E72D297353CC}">
              <c16:uniqueId val="{00000001-D481-4CA3-8FC2-BD323566C07D}"/>
            </c:ext>
          </c:extLst>
        </c:ser>
        <c:ser>
          <c:idx val="2"/>
          <c:order val="2"/>
          <c:tx>
            <c:strRef>
              <c:f>Sheet1!$D$1</c:f>
              <c:strCache>
                <c:ptCount val="1"/>
                <c:pt idx="0">
                  <c:v>Refuerzo</c:v>
                </c:pt>
              </c:strCache>
            </c:strRef>
          </c:tx>
          <c:spPr>
            <a:solidFill>
              <a:srgbClr val="60346E"/>
            </a:solid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12 a 17 años</c:v>
                </c:pt>
                <c:pt idx="1">
                  <c:v>18 a 29 años</c:v>
                </c:pt>
                <c:pt idx="2">
                  <c:v>30 a 39 años</c:v>
                </c:pt>
                <c:pt idx="3">
                  <c:v>40 a 49 años</c:v>
                </c:pt>
                <c:pt idx="4">
                  <c:v>50 a 59 años</c:v>
                </c:pt>
                <c:pt idx="5">
                  <c:v>60 a 69 años</c:v>
                </c:pt>
                <c:pt idx="6">
                  <c:v>70 años y más</c:v>
                </c:pt>
              </c:strCache>
            </c:strRef>
          </c:cat>
          <c:val>
            <c:numRef>
              <c:f>Sheet1!$D$2:$D$8</c:f>
              <c:numCache>
                <c:formatCode>General</c:formatCode>
                <c:ptCount val="7"/>
                <c:pt idx="1">
                  <c:v>10.34</c:v>
                </c:pt>
                <c:pt idx="2">
                  <c:v>16.46</c:v>
                </c:pt>
                <c:pt idx="3">
                  <c:v>21.78</c:v>
                </c:pt>
                <c:pt idx="4">
                  <c:v>26.78</c:v>
                </c:pt>
                <c:pt idx="5">
                  <c:v>33.1</c:v>
                </c:pt>
                <c:pt idx="6">
                  <c:v>29.08</c:v>
                </c:pt>
              </c:numCache>
            </c:numRef>
          </c:val>
          <c:extLst>
            <c:ext xmlns:c16="http://schemas.microsoft.com/office/drawing/2014/chart" uri="{C3380CC4-5D6E-409C-BE32-E72D297353CC}">
              <c16:uniqueId val="{00000002-D481-4CA3-8FC2-BD323566C07D}"/>
            </c:ext>
          </c:extLst>
        </c:ser>
        <c:dLbls>
          <c:showLegendKey val="0"/>
          <c:showVal val="0"/>
          <c:showCatName val="0"/>
          <c:showSerName val="0"/>
          <c:showPercent val="0"/>
          <c:showBubbleSize val="0"/>
        </c:dLbls>
        <c:gapWidth val="55"/>
        <c:overlap val="100"/>
        <c:axId val="455930288"/>
        <c:axId val="455927008"/>
      </c:barChart>
      <c:catAx>
        <c:axId val="45593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crossAx val="455927008"/>
        <c:crosses val="autoZero"/>
        <c:auto val="1"/>
        <c:lblAlgn val="ctr"/>
        <c:lblOffset val="100"/>
        <c:noMultiLvlLbl val="0"/>
      </c:catAx>
      <c:valAx>
        <c:axId val="455927008"/>
        <c:scaling>
          <c:orientation val="minMax"/>
          <c:max val="170"/>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55930288"/>
        <c:crosses val="autoZero"/>
        <c:crossBetween val="between"/>
      </c:valAx>
      <c:spPr>
        <a:noFill/>
        <a:ln>
          <a:noFill/>
        </a:ln>
        <a:effectLst/>
      </c:spPr>
    </c:plotArea>
    <c:legend>
      <c:legendPos val="r"/>
      <c:layout>
        <c:manualLayout>
          <c:xMode val="edge"/>
          <c:yMode val="edge"/>
          <c:x val="6.9011943853587041E-2"/>
          <c:y val="0.91645388076490419"/>
          <c:w val="0.86213333959832938"/>
          <c:h val="8.311907440141411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0.35264</cdr:x>
      <cdr:y>0.36964</cdr:y>
    </cdr:from>
    <cdr:to>
      <cdr:x>0.63659</cdr:x>
      <cdr:y>0.67987</cdr:y>
    </cdr:to>
    <cdr:sp macro="" textlink="">
      <cdr:nvSpPr>
        <cdr:cNvPr id="2" name="Text Box 1"/>
        <cdr:cNvSpPr txBox="1"/>
      </cdr:nvSpPr>
      <cdr:spPr>
        <a:xfrm xmlns:a="http://schemas.openxmlformats.org/drawingml/2006/main">
          <a:off x="977900" y="711200"/>
          <a:ext cx="787400" cy="596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GT" sz="900" b="1">
              <a:solidFill>
                <a:schemeClr val="bg1"/>
              </a:solidFill>
              <a:latin typeface="Times New Roman" panose="02020603050405020304" pitchFamily="18" charset="0"/>
              <a:cs typeface="Times New Roman" panose="02020603050405020304" pitchFamily="18" charset="0"/>
            </a:rPr>
            <a:t>1era</a:t>
          </a:r>
          <a:r>
            <a:rPr lang="es-GT" sz="900" b="1" baseline="0">
              <a:solidFill>
                <a:schemeClr val="bg1"/>
              </a:solidFill>
              <a:latin typeface="Times New Roman" panose="02020603050405020304" pitchFamily="18" charset="0"/>
              <a:cs typeface="Times New Roman" panose="02020603050405020304" pitchFamily="18" charset="0"/>
            </a:rPr>
            <a:t> Dosis;</a:t>
          </a:r>
          <a:endParaRPr lang="es-GT" sz="900" b="1">
            <a:solidFill>
              <a:schemeClr val="bg1"/>
            </a:solidFill>
            <a:latin typeface="Times New Roman" panose="02020603050405020304" pitchFamily="18" charset="0"/>
            <a:cs typeface="Times New Roman" panose="02020603050405020304" pitchFamily="18" charset="0"/>
          </a:endParaRPr>
        </a:p>
        <a:p xmlns:a="http://schemas.openxmlformats.org/drawingml/2006/main">
          <a:r>
            <a:rPr lang="es-GT" sz="900" b="1">
              <a:solidFill>
                <a:schemeClr val="bg1"/>
              </a:solidFill>
              <a:latin typeface="Times New Roman" panose="02020603050405020304" pitchFamily="18" charset="0"/>
              <a:cs typeface="Times New Roman" panose="02020603050405020304" pitchFamily="18" charset="0"/>
            </a:rPr>
            <a:t>6,933,348;</a:t>
          </a:r>
        </a:p>
        <a:p xmlns:a="http://schemas.openxmlformats.org/drawingml/2006/main">
          <a:pPr algn="ctr"/>
          <a:r>
            <a:rPr lang="es-GT" sz="900" b="1">
              <a:solidFill>
                <a:schemeClr val="bg1"/>
              </a:solidFill>
              <a:latin typeface="Times New Roman" panose="02020603050405020304" pitchFamily="18" charset="0"/>
              <a:cs typeface="Times New Roman" panose="02020603050405020304" pitchFamily="18" charset="0"/>
            </a:rPr>
            <a:t>52%</a:t>
          </a:r>
        </a:p>
        <a:p xmlns:a="http://schemas.openxmlformats.org/drawingml/2006/main">
          <a:endParaRPr lang="es-GT" sz="900" b="1">
            <a:solidFill>
              <a:schemeClr val="bg1"/>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6EEB8-1003-4FDF-8007-0B191FA98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3420</Words>
  <Characters>18813</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Enrique De León Meneses</dc:creator>
  <cp:keywords/>
  <dc:description/>
  <cp:lastModifiedBy>Myriam Adelaida Galvez García</cp:lastModifiedBy>
  <cp:revision>2</cp:revision>
  <cp:lastPrinted>2022-02-04T21:28:00Z</cp:lastPrinted>
  <dcterms:created xsi:type="dcterms:W3CDTF">2022-07-15T15:57:00Z</dcterms:created>
  <dcterms:modified xsi:type="dcterms:W3CDTF">2022-07-15T15:57:00Z</dcterms:modified>
</cp:coreProperties>
</file>