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651" w:rsidRPr="00FA711C" w:rsidRDefault="00443689" w:rsidP="008F312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7D4651" w:rsidRPr="00FA711C" w:rsidSect="00754057">
          <w:headerReference w:type="default" r:id="rId8"/>
          <w:footerReference w:type="default" r:id="rId9"/>
          <w:pgSz w:w="12240" w:h="15840" w:code="1"/>
          <w:pgMar w:top="1418" w:right="1418" w:bottom="1418" w:left="1418" w:header="709" w:footer="709" w:gutter="0"/>
          <w:cols w:space="708"/>
          <w:docGrid w:linePitch="360"/>
        </w:sectPr>
      </w:pPr>
      <w:r w:rsidRPr="00FA711C">
        <w:rPr>
          <w:rFonts w:ascii="Times New Roman" w:hAnsi="Times New Roman" w:cs="Times New Roman"/>
          <w:b/>
          <w:lang w:val="es-MX"/>
        </w:rPr>
        <w:t>Febr</w:t>
      </w:r>
      <w:r w:rsidR="00E37543" w:rsidRPr="00FA711C">
        <w:rPr>
          <w:rFonts w:ascii="Times New Roman" w:hAnsi="Times New Roman" w:cs="Times New Roman"/>
          <w:b/>
          <w:lang w:val="es-MX"/>
        </w:rPr>
        <w:t>ero</w:t>
      </w:r>
      <w:r w:rsidR="003D7EBA" w:rsidRPr="00FA711C">
        <w:rPr>
          <w:rFonts w:ascii="Times New Roman" w:hAnsi="Times New Roman" w:cs="Times New Roman"/>
          <w:b/>
          <w:lang w:val="es-MX"/>
        </w:rPr>
        <w:t xml:space="preserve"> </w:t>
      </w:r>
      <w:r w:rsidR="00E37543" w:rsidRPr="00FA711C">
        <w:rPr>
          <w:rFonts w:ascii="Times New Roman" w:hAnsi="Times New Roman" w:cs="Times New Roman"/>
          <w:b/>
          <w:lang w:val="es-MX"/>
        </w:rPr>
        <w:t>reporta</w:t>
      </w:r>
      <w:r w:rsidRPr="00FA711C">
        <w:rPr>
          <w:rFonts w:ascii="Times New Roman" w:hAnsi="Times New Roman" w:cs="Times New Roman"/>
          <w:b/>
          <w:lang w:val="es-MX"/>
        </w:rPr>
        <w:t xml:space="preserve"> nuevamente</w:t>
      </w:r>
      <w:r w:rsidR="00E37543" w:rsidRPr="00FA711C">
        <w:rPr>
          <w:rFonts w:ascii="Times New Roman" w:hAnsi="Times New Roman" w:cs="Times New Roman"/>
          <w:b/>
          <w:lang w:val="es-MX"/>
        </w:rPr>
        <w:t xml:space="preserve"> superávit </w:t>
      </w:r>
      <w:r w:rsidR="004B799B" w:rsidRPr="00FA711C">
        <w:rPr>
          <w:rFonts w:ascii="Times New Roman" w:hAnsi="Times New Roman" w:cs="Times New Roman"/>
          <w:b/>
          <w:lang w:val="es-MX"/>
        </w:rPr>
        <w:t>fiscal</w:t>
      </w:r>
    </w:p>
    <w:p w:rsidR="007D4651" w:rsidRPr="00FA711C" w:rsidRDefault="007D4651" w:rsidP="007D4651">
      <w:pPr>
        <w:pStyle w:val="Sinespaciado"/>
        <w:rPr>
          <w:rFonts w:ascii="Times New Roman" w:hAnsi="Times New Roman" w:cs="Times New Roman"/>
          <w:b/>
          <w:color w:val="FF0000"/>
          <w:sz w:val="6"/>
          <w:lang w:val="es-MX"/>
        </w:rPr>
      </w:pPr>
    </w:p>
    <w:p w:rsidR="007D4651" w:rsidRPr="00FA711C" w:rsidRDefault="007D4651" w:rsidP="007D4651">
      <w:pPr>
        <w:pStyle w:val="Sinespaciado"/>
        <w:jc w:val="center"/>
        <w:rPr>
          <w:rFonts w:ascii="Times New Roman" w:hAnsi="Times New Roman" w:cs="Times New Roman"/>
          <w:b/>
          <w:color w:val="FF0000"/>
          <w:sz w:val="16"/>
          <w:lang w:val="es-MX"/>
        </w:rPr>
      </w:pPr>
    </w:p>
    <w:p w:rsidR="009C4027" w:rsidRPr="00FA711C" w:rsidRDefault="009C4027" w:rsidP="007D4651">
      <w:pPr>
        <w:pStyle w:val="Sinespaciado"/>
        <w:jc w:val="center"/>
        <w:rPr>
          <w:rFonts w:ascii="Times New Roman" w:hAnsi="Times New Roman" w:cs="Times New Roman"/>
          <w:b/>
          <w:color w:val="FF0000"/>
          <w:lang w:val="es-MX"/>
        </w:rPr>
        <w:sectPr w:rsidR="009C4027" w:rsidRPr="00FA711C" w:rsidSect="004E358C">
          <w:type w:val="continuous"/>
          <w:pgSz w:w="12240" w:h="15840"/>
          <w:pgMar w:top="1417" w:right="1701" w:bottom="1417" w:left="1701" w:header="708" w:footer="708" w:gutter="0"/>
          <w:cols w:space="708"/>
          <w:docGrid w:linePitch="360"/>
        </w:sectPr>
      </w:pPr>
    </w:p>
    <w:p w:rsidR="00443689" w:rsidRPr="00FA711C" w:rsidRDefault="00443689" w:rsidP="00443689">
      <w:pPr>
        <w:pStyle w:val="Sinespaciado"/>
        <w:ind w:left="284"/>
        <w:jc w:val="both"/>
        <w:rPr>
          <w:rFonts w:ascii="Times New Roman" w:hAnsi="Times New Roman" w:cs="Times New Roman"/>
          <w:lang w:val="es-MX"/>
        </w:rPr>
      </w:pPr>
      <w:r w:rsidRPr="00FA711C">
        <w:rPr>
          <w:rFonts w:ascii="Times New Roman" w:hAnsi="Times New Roman" w:cs="Times New Roman"/>
          <w:lang w:val="es-MX"/>
        </w:rPr>
        <w:lastRenderedPageBreak/>
        <w:t xml:space="preserve">El resultado presupuestario del gobierno central muestra un </w:t>
      </w:r>
      <w:r w:rsidR="00FA711C" w:rsidRPr="00FA711C">
        <w:rPr>
          <w:rFonts w:ascii="Times New Roman" w:hAnsi="Times New Roman" w:cs="Times New Roman"/>
          <w:lang w:val="es-MX"/>
        </w:rPr>
        <w:t>superávit</w:t>
      </w:r>
      <w:r w:rsidRPr="00FA711C">
        <w:rPr>
          <w:rFonts w:ascii="Times New Roman" w:hAnsi="Times New Roman" w:cs="Times New Roman"/>
          <w:lang w:val="es-MX"/>
        </w:rPr>
        <w:t xml:space="preserve"> fiscal que se sitúa </w:t>
      </w:r>
      <w:r w:rsidR="00653D92">
        <w:rPr>
          <w:rFonts w:ascii="Times New Roman" w:hAnsi="Times New Roman" w:cs="Times New Roman"/>
          <w:lang w:val="es-MX"/>
        </w:rPr>
        <w:t>al 28 de febrero de 2021 en Q979.9</w:t>
      </w:r>
      <w:r w:rsidRPr="00FA711C">
        <w:rPr>
          <w:rFonts w:ascii="Times New Roman" w:hAnsi="Times New Roman" w:cs="Times New Roman"/>
          <w:lang w:val="es-MX"/>
        </w:rPr>
        <w:t xml:space="preserve"> millones. En los años anteriores (2020 y 2018), febrero también daba cuenta de un superávit fiscal, exceptuando el 2019, cuando se reportó un déficit fiscal. </w:t>
      </w:r>
    </w:p>
    <w:p w:rsidR="00443689" w:rsidRPr="00FA711C" w:rsidRDefault="00443689" w:rsidP="00443689">
      <w:pPr>
        <w:pStyle w:val="Sinespaciado"/>
        <w:ind w:left="284"/>
        <w:jc w:val="both"/>
        <w:rPr>
          <w:rFonts w:ascii="Times New Roman" w:hAnsi="Times New Roman" w:cs="Times New Roman"/>
          <w:lang w:val="es-MX"/>
        </w:rPr>
      </w:pPr>
    </w:p>
    <w:p w:rsidR="00443689" w:rsidRPr="00FA711C" w:rsidRDefault="00443689" w:rsidP="00443689">
      <w:pPr>
        <w:pStyle w:val="Sinespaciado"/>
        <w:ind w:left="284"/>
        <w:jc w:val="both"/>
        <w:rPr>
          <w:rFonts w:ascii="Times New Roman" w:hAnsi="Times New Roman" w:cs="Times New Roman"/>
          <w:lang w:val="es-MX"/>
        </w:rPr>
      </w:pPr>
      <w:r w:rsidRPr="00FA711C">
        <w:rPr>
          <w:rFonts w:ascii="Times New Roman" w:hAnsi="Times New Roman" w:cs="Times New Roman"/>
          <w:lang w:val="es-MX"/>
        </w:rPr>
        <w:t>Dada la dinámica entre los ingresos y los gastos, este superávit fiscal es muy similar al observado en 2020, por una parte, los ingresos tributarios continúan mostrado un buen dinamismo, por segundo mes consecutivo se supera la meta de recaudac</w:t>
      </w:r>
      <w:r w:rsidR="00653D92">
        <w:rPr>
          <w:rFonts w:ascii="Times New Roman" w:hAnsi="Times New Roman" w:cs="Times New Roman"/>
          <w:lang w:val="es-MX"/>
        </w:rPr>
        <w:t>ión prevista para el mes en Q190.4</w:t>
      </w:r>
      <w:r w:rsidRPr="00FA711C">
        <w:rPr>
          <w:rFonts w:ascii="Times New Roman" w:hAnsi="Times New Roman" w:cs="Times New Roman"/>
          <w:lang w:val="es-MX"/>
        </w:rPr>
        <w:t xml:space="preserve"> millones, lo cual da cuenta de </w:t>
      </w:r>
      <w:r w:rsidRPr="00FA711C">
        <w:rPr>
          <w:rFonts w:ascii="Times New Roman" w:hAnsi="Times New Roman" w:cs="Times New Roman"/>
          <w:lang w:val="es-MX"/>
        </w:rPr>
        <w:lastRenderedPageBreak/>
        <w:t xml:space="preserve">un mejor desempeño en las acciones de la Administración Tributaria. </w:t>
      </w:r>
    </w:p>
    <w:p w:rsidR="00443689" w:rsidRPr="00FA711C" w:rsidRDefault="00443689" w:rsidP="00443689">
      <w:pPr>
        <w:pStyle w:val="Sinespaciado"/>
        <w:jc w:val="both"/>
        <w:rPr>
          <w:rFonts w:ascii="Times New Roman" w:hAnsi="Times New Roman" w:cs="Times New Roman"/>
          <w:lang w:val="es-MX"/>
        </w:rPr>
      </w:pPr>
    </w:p>
    <w:p w:rsidR="00F54627" w:rsidRPr="00FA711C" w:rsidRDefault="00443689" w:rsidP="00443689">
      <w:pPr>
        <w:pStyle w:val="Sinespaciado"/>
        <w:ind w:left="284"/>
        <w:jc w:val="both"/>
        <w:rPr>
          <w:rFonts w:ascii="Times New Roman" w:hAnsi="Times New Roman" w:cs="Times New Roman"/>
          <w:b/>
          <w:sz w:val="4"/>
          <w:lang w:val="es-MX"/>
        </w:rPr>
      </w:pPr>
      <w:r w:rsidRPr="00FA711C">
        <w:rPr>
          <w:rFonts w:ascii="Times New Roman" w:hAnsi="Times New Roman" w:cs="Times New Roman"/>
          <w:lang w:val="es-MX"/>
        </w:rPr>
        <w:t>Mientras que el gasto público muestra un crecimiento interanual moderado, dado que las entidades continúan realizando los ajustes presupuestarios para viabilizar la ejecución como consecuencia de no haber sido aprobado el proyecto de presupuesto para el ejercicio fiscal 2021, esta situación afecta la ejecución dado que se requiere de un proceso de readecuaciones en los presupuestos institucionales para que la ejecución tenga congruencia con la planificación original.</w:t>
      </w:r>
      <w:r w:rsidR="00E829E3" w:rsidRPr="00FA711C">
        <w:rPr>
          <w:rFonts w:ascii="Times New Roman" w:hAnsi="Times New Roman" w:cs="Times New Roman"/>
          <w:lang w:val="es-MX"/>
        </w:rPr>
        <w:t xml:space="preserve"> </w:t>
      </w:r>
    </w:p>
    <w:p w:rsidR="00E37543" w:rsidRPr="00FA711C" w:rsidRDefault="00E37543" w:rsidP="00E829E3">
      <w:pPr>
        <w:pStyle w:val="Sinespaciado"/>
        <w:rPr>
          <w:rFonts w:ascii="Times New Roman" w:hAnsi="Times New Roman" w:cs="Times New Roman"/>
          <w:b/>
          <w:color w:val="FF0000"/>
          <w:lang w:val="es-MX"/>
        </w:rPr>
        <w:sectPr w:rsidR="00E37543" w:rsidRPr="00FA711C" w:rsidSect="007D4651">
          <w:type w:val="continuous"/>
          <w:pgSz w:w="12240" w:h="15840" w:code="1"/>
          <w:pgMar w:top="1418" w:right="1418" w:bottom="1418" w:left="1418" w:header="709" w:footer="709" w:gutter="0"/>
          <w:cols w:num="2" w:space="708"/>
          <w:docGrid w:linePitch="360"/>
        </w:sectPr>
      </w:pPr>
    </w:p>
    <w:p w:rsidR="00E829E3" w:rsidRPr="00FA711C" w:rsidRDefault="00E829E3" w:rsidP="006F5EA0">
      <w:pPr>
        <w:pStyle w:val="Sinespaciado"/>
        <w:jc w:val="center"/>
        <w:rPr>
          <w:rFonts w:ascii="Times New Roman" w:hAnsi="Times New Roman" w:cs="Times New Roman"/>
          <w:b/>
          <w:sz w:val="24"/>
          <w:lang w:val="es-MX"/>
        </w:rPr>
      </w:pPr>
    </w:p>
    <w:p w:rsidR="006F5EA0" w:rsidRPr="00FA711C" w:rsidRDefault="00950874" w:rsidP="006F5EA0">
      <w:pPr>
        <w:pStyle w:val="Sinespaciado"/>
        <w:jc w:val="center"/>
        <w:rPr>
          <w:rFonts w:ascii="Times New Roman" w:hAnsi="Times New Roman" w:cs="Times New Roman"/>
          <w:b/>
          <w:sz w:val="24"/>
          <w:lang w:val="es-MX"/>
        </w:rPr>
      </w:pPr>
      <w:r w:rsidRPr="00FA711C">
        <w:rPr>
          <w:rFonts w:ascii="Times New Roman" w:hAnsi="Times New Roman" w:cs="Times New Roman"/>
          <w:b/>
          <w:sz w:val="24"/>
          <w:lang w:val="es-MX"/>
        </w:rPr>
        <w:t>Resultado Presupuestario</w:t>
      </w:r>
    </w:p>
    <w:p w:rsidR="00E829E3" w:rsidRPr="00FA711C" w:rsidRDefault="00E829E3" w:rsidP="006F5EA0">
      <w:pPr>
        <w:pStyle w:val="Sinespaciado"/>
        <w:jc w:val="center"/>
        <w:rPr>
          <w:rFonts w:ascii="Times New Roman" w:hAnsi="Times New Roman" w:cs="Times New Roman"/>
          <w:sz w:val="20"/>
          <w:lang w:val="es-MX"/>
        </w:rPr>
      </w:pPr>
      <w:r w:rsidRPr="00FA711C">
        <w:rPr>
          <w:rFonts w:ascii="Times New Roman" w:hAnsi="Times New Roman" w:cs="Times New Roman"/>
          <w:sz w:val="20"/>
          <w:lang w:val="es-MX"/>
        </w:rPr>
        <w:t>Cifras en millones de quetzales</w:t>
      </w:r>
      <w:r w:rsidR="006F5EA0" w:rsidRPr="00FA711C">
        <w:rPr>
          <w:rFonts w:ascii="Times New Roman" w:hAnsi="Times New Roman" w:cs="Times New Roman"/>
          <w:sz w:val="20"/>
          <w:lang w:val="es-MX"/>
        </w:rPr>
        <w:t xml:space="preserve">      </w:t>
      </w:r>
    </w:p>
    <w:p w:rsidR="00950874" w:rsidRPr="00FA711C" w:rsidRDefault="00E829E3" w:rsidP="006F5EA0">
      <w:pPr>
        <w:pStyle w:val="Sinespaciado"/>
        <w:jc w:val="center"/>
        <w:rPr>
          <w:rFonts w:ascii="Times New Roman" w:hAnsi="Times New Roman" w:cs="Times New Roman"/>
          <w:sz w:val="18"/>
          <w:lang w:val="es-MX"/>
        </w:rPr>
      </w:pPr>
      <w:r w:rsidRPr="00FA711C">
        <w:rPr>
          <w:rFonts w:ascii="Times New Roman" w:hAnsi="Times New Roman" w:cs="Times New Roman"/>
          <w:sz w:val="20"/>
          <w:lang w:val="es-MX"/>
        </w:rPr>
        <w:t xml:space="preserve">     </w:t>
      </w:r>
      <w:r w:rsidR="006F5EA0" w:rsidRPr="00FA711C">
        <w:rPr>
          <w:rFonts w:ascii="Times New Roman" w:hAnsi="Times New Roman" w:cs="Times New Roman"/>
          <w:sz w:val="20"/>
          <w:lang w:val="es-MX"/>
        </w:rPr>
        <w:t xml:space="preserve"> </w:t>
      </w:r>
      <w:r w:rsidR="00443689" w:rsidRPr="00FA711C">
        <w:rPr>
          <w:rFonts w:ascii="Times New Roman" w:hAnsi="Times New Roman" w:cs="Times New Roman"/>
          <w:sz w:val="20"/>
          <w:lang w:val="es-MX"/>
        </w:rPr>
        <w:t>Al 28</w:t>
      </w:r>
      <w:r w:rsidR="006F5EA0" w:rsidRPr="00FA711C">
        <w:rPr>
          <w:rFonts w:ascii="Times New Roman" w:hAnsi="Times New Roman" w:cs="Times New Roman"/>
          <w:sz w:val="20"/>
          <w:lang w:val="es-MX"/>
        </w:rPr>
        <w:t xml:space="preserve"> de </w:t>
      </w:r>
      <w:r w:rsidR="00443689" w:rsidRPr="00FA711C">
        <w:rPr>
          <w:rFonts w:ascii="Times New Roman" w:hAnsi="Times New Roman" w:cs="Times New Roman"/>
          <w:sz w:val="20"/>
          <w:lang w:val="es-MX"/>
        </w:rPr>
        <w:t>febre</w:t>
      </w:r>
      <w:r w:rsidR="00E37543" w:rsidRPr="00FA711C">
        <w:rPr>
          <w:rFonts w:ascii="Times New Roman" w:hAnsi="Times New Roman" w:cs="Times New Roman"/>
          <w:sz w:val="20"/>
          <w:lang w:val="es-MX"/>
        </w:rPr>
        <w:t>ro</w:t>
      </w:r>
      <w:r w:rsidR="006F5EA0" w:rsidRPr="00FA711C">
        <w:rPr>
          <w:rFonts w:ascii="Times New Roman" w:hAnsi="Times New Roman" w:cs="Times New Roman"/>
          <w:sz w:val="20"/>
          <w:lang w:val="es-MX"/>
        </w:rPr>
        <w:t xml:space="preserve"> de cada año</w:t>
      </w:r>
      <w:r w:rsidR="00F27024" w:rsidRPr="00FA711C">
        <w:rPr>
          <w:rFonts w:ascii="Times New Roman" w:hAnsi="Times New Roman" w:cs="Times New Roman"/>
          <w:b/>
          <w:lang w:val="es-MX"/>
        </w:rPr>
        <w:tab/>
      </w:r>
    </w:p>
    <w:p w:rsidR="005C4C97" w:rsidRPr="00FA711C" w:rsidRDefault="00653D92" w:rsidP="005F470C">
      <w:pPr>
        <w:pStyle w:val="Sinespaciado"/>
        <w:jc w:val="center"/>
        <w:rPr>
          <w:noProof/>
          <w:lang w:val="es-MX" w:eastAsia="es-GT"/>
        </w:rPr>
      </w:pPr>
      <w:r>
        <w:rPr>
          <w:noProof/>
          <w:lang w:eastAsia="es-GT"/>
        </w:rPr>
        <w:drawing>
          <wp:inline distT="0" distB="0" distL="0" distR="0" wp14:anchorId="21C1F6F5" wp14:editId="292BD418">
            <wp:extent cx="5822899" cy="2772461"/>
            <wp:effectExtent l="0" t="0" r="6985" b="889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C4C97" w:rsidRPr="00FA711C" w:rsidRDefault="007F443F" w:rsidP="005F470C">
      <w:pPr>
        <w:pStyle w:val="Sinespaciado"/>
        <w:jc w:val="both"/>
        <w:rPr>
          <w:rFonts w:ascii="Times New Roman" w:hAnsi="Times New Roman" w:cs="Times New Roman"/>
          <w:sz w:val="16"/>
        </w:rPr>
      </w:pPr>
      <w:r w:rsidRPr="00FA711C">
        <w:rPr>
          <w:rFonts w:ascii="Times New Roman" w:hAnsi="Times New Roman" w:cs="Times New Roman"/>
          <w:sz w:val="16"/>
        </w:rPr>
        <w:t xml:space="preserve">          </w:t>
      </w:r>
      <w:r w:rsidR="00157C3A" w:rsidRPr="00FA711C">
        <w:rPr>
          <w:rFonts w:ascii="Times New Roman" w:hAnsi="Times New Roman" w:cs="Times New Roman"/>
          <w:sz w:val="16"/>
        </w:rPr>
        <w:t>F</w:t>
      </w:r>
      <w:r w:rsidR="007D4651" w:rsidRPr="00FA711C">
        <w:rPr>
          <w:rFonts w:ascii="Times New Roman" w:hAnsi="Times New Roman" w:cs="Times New Roman"/>
          <w:sz w:val="16"/>
        </w:rPr>
        <w:t>uente: Dirección de Análisis y Política fiscal</w:t>
      </w:r>
    </w:p>
    <w:p w:rsidR="00443689" w:rsidRDefault="00443689" w:rsidP="007D4651">
      <w:pPr>
        <w:spacing w:after="0" w:line="240" w:lineRule="auto"/>
        <w:rPr>
          <w:rFonts w:ascii="Times New Roman" w:hAnsi="Times New Roman" w:cs="Times New Roman"/>
          <w:color w:val="FF0000"/>
          <w:sz w:val="14"/>
          <w:lang w:val="es-MX"/>
        </w:rPr>
      </w:pPr>
    </w:p>
    <w:p w:rsidR="004900AE" w:rsidRDefault="004900AE" w:rsidP="007D4651">
      <w:pPr>
        <w:spacing w:after="0" w:line="240" w:lineRule="auto"/>
        <w:rPr>
          <w:rFonts w:ascii="Times New Roman" w:hAnsi="Times New Roman" w:cs="Times New Roman"/>
          <w:color w:val="FF0000"/>
          <w:sz w:val="14"/>
          <w:lang w:val="es-MX"/>
        </w:rPr>
      </w:pPr>
    </w:p>
    <w:p w:rsidR="004900AE" w:rsidRDefault="004900AE" w:rsidP="007D4651">
      <w:pPr>
        <w:spacing w:after="0" w:line="240" w:lineRule="auto"/>
        <w:rPr>
          <w:rFonts w:ascii="Times New Roman" w:hAnsi="Times New Roman" w:cs="Times New Roman"/>
          <w:color w:val="FF0000"/>
          <w:sz w:val="14"/>
          <w:lang w:val="es-MX"/>
        </w:rPr>
      </w:pPr>
    </w:p>
    <w:p w:rsidR="004900AE" w:rsidRDefault="004900AE" w:rsidP="007D4651">
      <w:pPr>
        <w:spacing w:after="0" w:line="240" w:lineRule="auto"/>
        <w:rPr>
          <w:rFonts w:ascii="Times New Roman" w:hAnsi="Times New Roman" w:cs="Times New Roman"/>
          <w:color w:val="FF0000"/>
          <w:sz w:val="14"/>
          <w:lang w:val="es-MX"/>
        </w:rPr>
      </w:pPr>
    </w:p>
    <w:p w:rsidR="004900AE" w:rsidRDefault="004900AE" w:rsidP="007D4651">
      <w:pPr>
        <w:spacing w:after="0" w:line="240" w:lineRule="auto"/>
        <w:rPr>
          <w:rFonts w:ascii="Times New Roman" w:hAnsi="Times New Roman" w:cs="Times New Roman"/>
          <w:color w:val="FF0000"/>
          <w:sz w:val="14"/>
          <w:lang w:val="es-MX"/>
        </w:rPr>
      </w:pPr>
    </w:p>
    <w:p w:rsidR="004900AE" w:rsidRDefault="004900AE" w:rsidP="007D4651">
      <w:pPr>
        <w:spacing w:after="0" w:line="240" w:lineRule="auto"/>
        <w:rPr>
          <w:rFonts w:ascii="Times New Roman" w:hAnsi="Times New Roman" w:cs="Times New Roman"/>
          <w:color w:val="FF0000"/>
          <w:sz w:val="14"/>
          <w:lang w:val="es-MX"/>
        </w:rPr>
      </w:pPr>
    </w:p>
    <w:p w:rsidR="004900AE" w:rsidRDefault="004900AE" w:rsidP="007D4651">
      <w:pPr>
        <w:spacing w:after="0" w:line="240" w:lineRule="auto"/>
        <w:rPr>
          <w:rFonts w:ascii="Times New Roman" w:hAnsi="Times New Roman" w:cs="Times New Roman"/>
          <w:color w:val="FF0000"/>
          <w:sz w:val="14"/>
          <w:lang w:val="es-MX"/>
        </w:rPr>
      </w:pPr>
    </w:p>
    <w:p w:rsidR="004900AE" w:rsidRDefault="004900AE" w:rsidP="007D4651">
      <w:pPr>
        <w:spacing w:after="0" w:line="240" w:lineRule="auto"/>
        <w:rPr>
          <w:rFonts w:ascii="Times New Roman" w:hAnsi="Times New Roman" w:cs="Times New Roman"/>
          <w:color w:val="FF0000"/>
          <w:sz w:val="14"/>
          <w:lang w:val="es-MX"/>
        </w:rPr>
      </w:pPr>
    </w:p>
    <w:p w:rsidR="004900AE" w:rsidRPr="00FA711C" w:rsidRDefault="004900AE" w:rsidP="007D4651">
      <w:pPr>
        <w:spacing w:after="0" w:line="240" w:lineRule="auto"/>
        <w:rPr>
          <w:rFonts w:ascii="Times New Roman" w:hAnsi="Times New Roman" w:cs="Times New Roman"/>
          <w:color w:val="FF0000"/>
          <w:sz w:val="14"/>
          <w:lang w:val="es-MX"/>
        </w:rPr>
      </w:pPr>
    </w:p>
    <w:p w:rsidR="00F54627" w:rsidRPr="00FA711C" w:rsidRDefault="00F54627" w:rsidP="007D4651">
      <w:pPr>
        <w:spacing w:after="0" w:line="240" w:lineRule="auto"/>
        <w:rPr>
          <w:rFonts w:ascii="Times New Roman" w:hAnsi="Times New Roman" w:cs="Times New Roman"/>
          <w:color w:val="FF0000"/>
          <w:lang w:val="es-MX"/>
        </w:rPr>
        <w:sectPr w:rsidR="00F54627" w:rsidRPr="00FA711C" w:rsidSect="007D4651">
          <w:type w:val="continuous"/>
          <w:pgSz w:w="12240" w:h="15840" w:code="1"/>
          <w:pgMar w:top="1418" w:right="1418" w:bottom="1418" w:left="1418" w:header="709" w:footer="709" w:gutter="0"/>
          <w:cols w:space="708"/>
          <w:docGrid w:linePitch="360"/>
        </w:sectPr>
      </w:pPr>
    </w:p>
    <w:p w:rsidR="00E16925" w:rsidRPr="004900AE" w:rsidRDefault="00080B88" w:rsidP="0085741B">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E16925" w:rsidRPr="004900AE" w:rsidSect="00E16925">
          <w:headerReference w:type="default" r:id="rId11"/>
          <w:footerReference w:type="default" r:id="rId12"/>
          <w:type w:val="continuous"/>
          <w:pgSz w:w="12240" w:h="15840" w:code="1"/>
          <w:pgMar w:top="1418" w:right="1418" w:bottom="1418" w:left="1418" w:header="709" w:footer="709" w:gutter="0"/>
          <w:cols w:space="708"/>
          <w:docGrid w:linePitch="360"/>
        </w:sectPr>
      </w:pPr>
      <w:r w:rsidRPr="00DC6761">
        <w:rPr>
          <w:rFonts w:ascii="Times New Roman" w:hAnsi="Times New Roman" w:cs="Times New Roman"/>
          <w:b/>
          <w:lang w:val="es-MX"/>
        </w:rPr>
        <w:lastRenderedPageBreak/>
        <w:t>La meta de presupuesto</w:t>
      </w:r>
      <w:r w:rsidR="00DC6761" w:rsidRPr="00DC6761">
        <w:rPr>
          <w:rFonts w:ascii="Times New Roman" w:hAnsi="Times New Roman" w:cs="Times New Roman"/>
          <w:b/>
          <w:lang w:val="es-MX"/>
        </w:rPr>
        <w:t>, en los ing</w:t>
      </w:r>
      <w:r w:rsidR="00DC6761" w:rsidRPr="004900AE">
        <w:rPr>
          <w:rFonts w:ascii="Times New Roman" w:hAnsi="Times New Roman" w:cs="Times New Roman"/>
          <w:b/>
          <w:lang w:val="es-MX"/>
        </w:rPr>
        <w:t>resos tributarios,</w:t>
      </w:r>
      <w:r w:rsidRPr="004900AE">
        <w:rPr>
          <w:rFonts w:ascii="Times New Roman" w:hAnsi="Times New Roman" w:cs="Times New Roman"/>
          <w:b/>
          <w:lang w:val="es-MX"/>
        </w:rPr>
        <w:t xml:space="preserve"> se superó</w:t>
      </w:r>
    </w:p>
    <w:p w:rsidR="00E16925" w:rsidRPr="004900AE" w:rsidRDefault="00E16925" w:rsidP="00E16925">
      <w:pPr>
        <w:pStyle w:val="Sinespaciado"/>
        <w:rPr>
          <w:rFonts w:ascii="Times New Roman" w:hAnsi="Times New Roman" w:cs="Times New Roman"/>
          <w:b/>
          <w:sz w:val="8"/>
          <w:lang w:val="es-MX"/>
        </w:rPr>
      </w:pPr>
    </w:p>
    <w:p w:rsidR="00E16925" w:rsidRPr="004900AE" w:rsidRDefault="00E16925" w:rsidP="00E16925">
      <w:pPr>
        <w:pStyle w:val="Sinespaciado"/>
        <w:jc w:val="center"/>
        <w:rPr>
          <w:rFonts w:ascii="Times New Roman" w:hAnsi="Times New Roman" w:cs="Times New Roman"/>
          <w:b/>
          <w:sz w:val="18"/>
          <w:lang w:val="es-MX"/>
        </w:rPr>
      </w:pPr>
    </w:p>
    <w:p w:rsidR="00343A5D" w:rsidRPr="004900AE" w:rsidRDefault="00343A5D" w:rsidP="00F25E21">
      <w:pPr>
        <w:pStyle w:val="Sinespaciado"/>
        <w:rPr>
          <w:rFonts w:ascii="Times New Roman" w:hAnsi="Times New Roman" w:cs="Times New Roman"/>
          <w:b/>
          <w:sz w:val="20"/>
          <w:lang w:val="es-MX"/>
        </w:rPr>
        <w:sectPr w:rsidR="00343A5D" w:rsidRPr="004900AE" w:rsidSect="004E358C">
          <w:type w:val="continuous"/>
          <w:pgSz w:w="12240" w:h="15840"/>
          <w:pgMar w:top="1417" w:right="1701" w:bottom="1417" w:left="1701" w:header="708" w:footer="708" w:gutter="0"/>
          <w:cols w:space="708"/>
          <w:docGrid w:linePitch="360"/>
        </w:sectPr>
      </w:pPr>
    </w:p>
    <w:p w:rsidR="00F54627" w:rsidRPr="004900AE" w:rsidRDefault="00080B88" w:rsidP="00F54627">
      <w:pPr>
        <w:spacing w:after="0" w:line="240" w:lineRule="auto"/>
        <w:jc w:val="both"/>
        <w:rPr>
          <w:rFonts w:ascii="Times New Roman" w:hAnsi="Times New Roman" w:cs="Times New Roman"/>
        </w:rPr>
      </w:pPr>
      <w:r w:rsidRPr="004900AE">
        <w:rPr>
          <w:rFonts w:ascii="Times New Roman" w:hAnsi="Times New Roman" w:cs="Times New Roman"/>
        </w:rPr>
        <w:lastRenderedPageBreak/>
        <w:t>Por segundo mes consecutivo la meta presupuestaria de recaudación tributaria mensual se superó, al 28 de febrero la brech</w:t>
      </w:r>
      <w:r w:rsidR="00DC6761" w:rsidRPr="004900AE">
        <w:rPr>
          <w:rFonts w:ascii="Times New Roman" w:hAnsi="Times New Roman" w:cs="Times New Roman"/>
        </w:rPr>
        <w:t xml:space="preserve">a tributaria es positiva en Q217.7 </w:t>
      </w:r>
      <w:r w:rsidRPr="004900AE">
        <w:rPr>
          <w:rFonts w:ascii="Times New Roman" w:hAnsi="Times New Roman" w:cs="Times New Roman"/>
        </w:rPr>
        <w:t>millones.</w:t>
      </w:r>
    </w:p>
    <w:p w:rsidR="00275F3F" w:rsidRPr="004900AE" w:rsidRDefault="00275F3F" w:rsidP="00F54627">
      <w:pPr>
        <w:spacing w:after="0" w:line="240" w:lineRule="auto"/>
        <w:jc w:val="both"/>
        <w:rPr>
          <w:rFonts w:ascii="Times New Roman" w:hAnsi="Times New Roman" w:cs="Times New Roman"/>
        </w:rPr>
      </w:pPr>
    </w:p>
    <w:p w:rsidR="00F25E21" w:rsidRPr="004900AE" w:rsidRDefault="00F25E21" w:rsidP="00F25E21">
      <w:pPr>
        <w:spacing w:after="0" w:line="240" w:lineRule="auto"/>
        <w:jc w:val="center"/>
        <w:rPr>
          <w:rFonts w:ascii="Times New Roman" w:hAnsi="Times New Roman" w:cs="Times New Roman"/>
          <w:b/>
        </w:rPr>
      </w:pPr>
      <w:r w:rsidRPr="004900AE">
        <w:rPr>
          <w:rFonts w:ascii="Times New Roman" w:hAnsi="Times New Roman" w:cs="Times New Roman"/>
          <w:b/>
        </w:rPr>
        <w:t>Recaudación Tributaria</w:t>
      </w:r>
    </w:p>
    <w:p w:rsidR="00F25E21" w:rsidRPr="004900AE" w:rsidRDefault="00F25E21" w:rsidP="00F25E21">
      <w:pPr>
        <w:spacing w:after="0" w:line="240" w:lineRule="auto"/>
        <w:jc w:val="center"/>
        <w:rPr>
          <w:rFonts w:ascii="Times New Roman" w:hAnsi="Times New Roman" w:cs="Times New Roman"/>
          <w:sz w:val="20"/>
        </w:rPr>
      </w:pPr>
      <w:r w:rsidRPr="004900AE">
        <w:rPr>
          <w:rFonts w:ascii="Times New Roman" w:hAnsi="Times New Roman" w:cs="Times New Roman"/>
          <w:sz w:val="20"/>
        </w:rPr>
        <w:t>Millones de quetzales</w:t>
      </w:r>
    </w:p>
    <w:p w:rsidR="001A6038" w:rsidRPr="004900AE" w:rsidRDefault="00DC6761" w:rsidP="007965A9">
      <w:pPr>
        <w:spacing w:after="0" w:line="240" w:lineRule="auto"/>
        <w:jc w:val="both"/>
        <w:rPr>
          <w:rFonts w:ascii="Times New Roman" w:hAnsi="Times New Roman" w:cs="Times New Roman"/>
        </w:rPr>
      </w:pPr>
      <w:r w:rsidRPr="004900AE">
        <w:rPr>
          <w:rFonts w:ascii="Times New Roman" w:hAnsi="Times New Roman" w:cs="Times New Roman"/>
          <w:b/>
          <w:noProof/>
          <w:sz w:val="20"/>
          <w:lang w:eastAsia="es-GT"/>
        </w:rPr>
        <w:drawing>
          <wp:inline distT="0" distB="0" distL="0" distR="0" wp14:anchorId="59373AAB" wp14:editId="36D28D89">
            <wp:extent cx="2625725" cy="1645920"/>
            <wp:effectExtent l="0" t="0" r="317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25E21" w:rsidRPr="004900AE">
        <w:rPr>
          <w:rFonts w:ascii="Times New Roman" w:hAnsi="Times New Roman" w:cs="Times New Roman"/>
          <w:sz w:val="16"/>
        </w:rPr>
        <w:t>Fuente: Ministerio de Finanzas Públicas</w:t>
      </w:r>
      <w:r w:rsidR="00080B88" w:rsidRPr="004900AE">
        <w:rPr>
          <w:rFonts w:ascii="Times New Roman" w:hAnsi="Times New Roman" w:cs="Times New Roman"/>
          <w:sz w:val="16"/>
        </w:rPr>
        <w:t>.</w:t>
      </w:r>
    </w:p>
    <w:p w:rsidR="007965A9" w:rsidRPr="004900AE" w:rsidRDefault="007965A9" w:rsidP="007965A9">
      <w:pPr>
        <w:spacing w:after="0" w:line="240" w:lineRule="auto"/>
        <w:jc w:val="both"/>
        <w:rPr>
          <w:rFonts w:ascii="Times New Roman" w:hAnsi="Times New Roman" w:cs="Times New Roman"/>
        </w:rPr>
      </w:pPr>
    </w:p>
    <w:p w:rsidR="004900AE" w:rsidRPr="004900AE" w:rsidRDefault="00080B88" w:rsidP="00F25E21">
      <w:pPr>
        <w:spacing w:line="240" w:lineRule="auto"/>
        <w:jc w:val="both"/>
        <w:rPr>
          <w:rFonts w:ascii="Times New Roman" w:hAnsi="Times New Roman" w:cs="Times New Roman"/>
        </w:rPr>
      </w:pPr>
      <w:r w:rsidRPr="004900AE">
        <w:rPr>
          <w:rFonts w:ascii="Times New Roman" w:hAnsi="Times New Roman" w:cs="Times New Roman"/>
        </w:rPr>
        <w:t>La recaudación acumulada de manera interanual most</w:t>
      </w:r>
      <w:r w:rsidR="004900AE" w:rsidRPr="004900AE">
        <w:rPr>
          <w:rFonts w:ascii="Times New Roman" w:hAnsi="Times New Roman" w:cs="Times New Roman"/>
        </w:rPr>
        <w:t>ró un crecimiento de 7.2% (Q 776.2</w:t>
      </w:r>
      <w:r w:rsidRPr="004900AE">
        <w:rPr>
          <w:rFonts w:ascii="Times New Roman" w:hAnsi="Times New Roman" w:cs="Times New Roman"/>
        </w:rPr>
        <w:t xml:space="preserve"> millones), dicho crecimiento fue menor al observado en 2020, impuestos que permitieron el cumplimiento de la meta de presupuesto son: el sobre la renta -ISR- que creció 6.3% (Q 164.6 millones) y el impuesto al valor agregado total -IVA- que de ig</w:t>
      </w:r>
      <w:r w:rsidR="004900AE" w:rsidRPr="004900AE">
        <w:rPr>
          <w:rFonts w:ascii="Times New Roman" w:hAnsi="Times New Roman" w:cs="Times New Roman"/>
        </w:rPr>
        <w:t>ual manera creció 10.8% (Q 558.2</w:t>
      </w:r>
      <w:r w:rsidRPr="004900AE">
        <w:rPr>
          <w:rFonts w:ascii="Times New Roman" w:hAnsi="Times New Roman" w:cs="Times New Roman"/>
        </w:rPr>
        <w:t xml:space="preserve"> millones) respecto a lo </w:t>
      </w:r>
      <w:r w:rsidR="004900AE" w:rsidRPr="004900AE">
        <w:rPr>
          <w:rFonts w:ascii="Times New Roman" w:hAnsi="Times New Roman" w:cs="Times New Roman"/>
        </w:rPr>
        <w:t>observado en 2020</w:t>
      </w:r>
    </w:p>
    <w:p w:rsidR="00F25E21" w:rsidRPr="004900AE" w:rsidRDefault="00F25E21" w:rsidP="00F25E21">
      <w:pPr>
        <w:spacing w:after="0" w:line="240" w:lineRule="auto"/>
        <w:jc w:val="center"/>
        <w:rPr>
          <w:rFonts w:ascii="Times New Roman" w:hAnsi="Times New Roman" w:cs="Times New Roman"/>
          <w:b/>
        </w:rPr>
      </w:pPr>
      <w:r w:rsidRPr="004900AE">
        <w:rPr>
          <w:rFonts w:ascii="Times New Roman" w:hAnsi="Times New Roman" w:cs="Times New Roman"/>
          <w:b/>
        </w:rPr>
        <w:t>Variación interanual de la recaudación</w:t>
      </w:r>
    </w:p>
    <w:p w:rsidR="00F25E21" w:rsidRPr="004900AE" w:rsidRDefault="00F54627" w:rsidP="00F25E21">
      <w:pPr>
        <w:spacing w:after="0" w:line="240" w:lineRule="auto"/>
        <w:jc w:val="center"/>
        <w:rPr>
          <w:rFonts w:ascii="Times New Roman" w:hAnsi="Times New Roman" w:cs="Times New Roman"/>
          <w:b/>
        </w:rPr>
      </w:pPr>
      <w:r w:rsidRPr="004900AE">
        <w:rPr>
          <w:rFonts w:ascii="Times New Roman" w:hAnsi="Times New Roman" w:cs="Times New Roman"/>
          <w:b/>
        </w:rPr>
        <w:t>2012-2021</w:t>
      </w:r>
    </w:p>
    <w:p w:rsidR="00F25E21" w:rsidRPr="004900AE" w:rsidRDefault="00F25E21" w:rsidP="00F25E21">
      <w:pPr>
        <w:spacing w:after="0" w:line="240" w:lineRule="auto"/>
        <w:jc w:val="center"/>
        <w:rPr>
          <w:rFonts w:ascii="Times New Roman" w:hAnsi="Times New Roman" w:cs="Times New Roman"/>
          <w:sz w:val="20"/>
        </w:rPr>
      </w:pPr>
      <w:r w:rsidRPr="004900AE">
        <w:rPr>
          <w:rFonts w:ascii="Times New Roman" w:hAnsi="Times New Roman" w:cs="Times New Roman"/>
          <w:sz w:val="20"/>
        </w:rPr>
        <w:t>Porcentajes</w:t>
      </w:r>
    </w:p>
    <w:p w:rsidR="00F25E21" w:rsidRPr="004900AE" w:rsidRDefault="004900AE" w:rsidP="00F25E21">
      <w:pPr>
        <w:spacing w:after="0" w:line="240" w:lineRule="auto"/>
        <w:jc w:val="both"/>
        <w:rPr>
          <w:rFonts w:ascii="Times New Roman" w:hAnsi="Times New Roman" w:cs="Times New Roman"/>
        </w:rPr>
      </w:pPr>
      <w:r w:rsidRPr="004900AE">
        <w:rPr>
          <w:noProof/>
          <w:lang w:eastAsia="es-GT"/>
        </w:rPr>
        <w:drawing>
          <wp:inline distT="0" distB="0" distL="0" distR="0" wp14:anchorId="468C8B53" wp14:editId="18C9BEBB">
            <wp:extent cx="2727960" cy="1580084"/>
            <wp:effectExtent l="0" t="0" r="0" b="1270"/>
            <wp:docPr id="236" name="Gráfico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25E21" w:rsidRPr="004900AE" w:rsidRDefault="00F25E21" w:rsidP="00F54627">
      <w:pPr>
        <w:spacing w:after="0" w:line="240" w:lineRule="auto"/>
        <w:jc w:val="both"/>
        <w:rPr>
          <w:rFonts w:ascii="Times New Roman" w:hAnsi="Times New Roman" w:cs="Times New Roman"/>
          <w:sz w:val="16"/>
        </w:rPr>
      </w:pPr>
      <w:r w:rsidRPr="004900AE">
        <w:rPr>
          <w:rFonts w:ascii="Times New Roman" w:hAnsi="Times New Roman" w:cs="Times New Roman"/>
          <w:sz w:val="16"/>
        </w:rPr>
        <w:t>Fuente: Ministerio de Finanzas Públicas</w:t>
      </w:r>
      <w:r w:rsidR="00080B88" w:rsidRPr="004900AE">
        <w:rPr>
          <w:rFonts w:ascii="Times New Roman" w:hAnsi="Times New Roman" w:cs="Times New Roman"/>
          <w:sz w:val="16"/>
        </w:rPr>
        <w:t>.</w:t>
      </w:r>
    </w:p>
    <w:p w:rsidR="004900AE" w:rsidRPr="004900AE" w:rsidRDefault="004900AE" w:rsidP="00F54627">
      <w:pPr>
        <w:spacing w:after="0" w:line="240" w:lineRule="auto"/>
        <w:jc w:val="both"/>
        <w:rPr>
          <w:rFonts w:ascii="Times New Roman" w:hAnsi="Times New Roman" w:cs="Times New Roman"/>
          <w:sz w:val="16"/>
        </w:rPr>
      </w:pPr>
    </w:p>
    <w:p w:rsidR="00F25E21" w:rsidRPr="004900AE" w:rsidRDefault="00F25E21" w:rsidP="00080B88">
      <w:pPr>
        <w:spacing w:after="0" w:line="240" w:lineRule="auto"/>
        <w:jc w:val="both"/>
        <w:rPr>
          <w:rFonts w:ascii="Times New Roman" w:hAnsi="Times New Roman" w:cs="Times New Roman"/>
          <w:b/>
        </w:rPr>
      </w:pPr>
      <w:r w:rsidRPr="004900AE">
        <w:rPr>
          <w:rFonts w:ascii="Times New Roman" w:hAnsi="Times New Roman" w:cs="Times New Roman"/>
          <w:b/>
        </w:rPr>
        <w:t>El Impuesto a la renta y el ISO</w:t>
      </w:r>
    </w:p>
    <w:p w:rsidR="00080B88" w:rsidRPr="004900AE" w:rsidRDefault="00080B88" w:rsidP="00080B88">
      <w:pPr>
        <w:spacing w:after="0" w:line="240" w:lineRule="auto"/>
        <w:jc w:val="both"/>
        <w:rPr>
          <w:rFonts w:ascii="Times New Roman" w:hAnsi="Times New Roman" w:cs="Times New Roman"/>
          <w:b/>
        </w:rPr>
      </w:pPr>
    </w:p>
    <w:p w:rsidR="00F25E21" w:rsidRPr="004900AE" w:rsidRDefault="00080B88" w:rsidP="00080B88">
      <w:pPr>
        <w:spacing w:after="0" w:line="240" w:lineRule="auto"/>
        <w:jc w:val="both"/>
        <w:rPr>
          <w:rFonts w:ascii="Times New Roman" w:hAnsi="Times New Roman" w:cs="Times New Roman"/>
        </w:rPr>
      </w:pPr>
      <w:r w:rsidRPr="004900AE">
        <w:rPr>
          <w:rFonts w:ascii="Times New Roman" w:hAnsi="Times New Roman" w:cs="Times New Roman"/>
        </w:rPr>
        <w:t>El ISR de febrero superó lo recaudado en 2020 por Q 47.2 millones</w:t>
      </w:r>
      <w:r w:rsidR="004900AE" w:rsidRPr="004900AE">
        <w:rPr>
          <w:rFonts w:ascii="Times New Roman" w:hAnsi="Times New Roman" w:cs="Times New Roman"/>
        </w:rPr>
        <w:t>, el ISO de febrero creció en 48.6% (Q 17.7</w:t>
      </w:r>
      <w:r w:rsidRPr="004900AE">
        <w:rPr>
          <w:rFonts w:ascii="Times New Roman" w:hAnsi="Times New Roman" w:cs="Times New Roman"/>
        </w:rPr>
        <w:t xml:space="preserve"> millones), con relación a la meta de presupuesto</w:t>
      </w:r>
      <w:r w:rsidR="004900AE" w:rsidRPr="004900AE">
        <w:rPr>
          <w:rFonts w:ascii="Times New Roman" w:hAnsi="Times New Roman" w:cs="Times New Roman"/>
        </w:rPr>
        <w:t xml:space="preserve"> se observa que la superó en Q45.8</w:t>
      </w:r>
      <w:r w:rsidRPr="004900AE">
        <w:rPr>
          <w:rFonts w:ascii="Times New Roman" w:hAnsi="Times New Roman" w:cs="Times New Roman"/>
        </w:rPr>
        <w:t xml:space="preserve"> millones.</w:t>
      </w:r>
    </w:p>
    <w:p w:rsidR="00F54627" w:rsidRPr="004900AE" w:rsidRDefault="00F54627" w:rsidP="00F54627">
      <w:pPr>
        <w:spacing w:after="0" w:line="240" w:lineRule="auto"/>
        <w:jc w:val="both"/>
        <w:rPr>
          <w:rFonts w:ascii="Times New Roman" w:hAnsi="Times New Roman" w:cs="Times New Roman"/>
        </w:rPr>
      </w:pPr>
    </w:p>
    <w:p w:rsidR="00F25E21" w:rsidRPr="004900AE" w:rsidRDefault="00F25E21" w:rsidP="00080B88">
      <w:pPr>
        <w:spacing w:after="0" w:line="240" w:lineRule="auto"/>
        <w:jc w:val="both"/>
        <w:rPr>
          <w:rFonts w:ascii="Times New Roman" w:hAnsi="Times New Roman" w:cs="Times New Roman"/>
          <w:b/>
        </w:rPr>
      </w:pPr>
      <w:r w:rsidRPr="004900AE">
        <w:rPr>
          <w:rFonts w:ascii="Times New Roman" w:hAnsi="Times New Roman" w:cs="Times New Roman"/>
          <w:b/>
        </w:rPr>
        <w:t>El impuesto al valor agregado</w:t>
      </w:r>
    </w:p>
    <w:p w:rsidR="00080B88" w:rsidRPr="004900AE" w:rsidRDefault="00080B88" w:rsidP="00080B88">
      <w:pPr>
        <w:spacing w:after="0" w:line="240" w:lineRule="auto"/>
        <w:jc w:val="both"/>
        <w:rPr>
          <w:rFonts w:ascii="Times New Roman" w:hAnsi="Times New Roman" w:cs="Times New Roman"/>
          <w:b/>
        </w:rPr>
      </w:pPr>
    </w:p>
    <w:p w:rsidR="00F25E21" w:rsidRPr="004900AE" w:rsidRDefault="00080B88" w:rsidP="00080B88">
      <w:pPr>
        <w:spacing w:after="0" w:line="240" w:lineRule="auto"/>
        <w:jc w:val="both"/>
        <w:rPr>
          <w:rFonts w:ascii="Times New Roman" w:hAnsi="Times New Roman" w:cs="Times New Roman"/>
        </w:rPr>
      </w:pPr>
      <w:r w:rsidRPr="004900AE">
        <w:rPr>
          <w:rFonts w:ascii="Times New Roman" w:hAnsi="Times New Roman" w:cs="Times New Roman"/>
        </w:rPr>
        <w:t xml:space="preserve">Este impuesto en </w:t>
      </w:r>
      <w:r w:rsidR="004900AE" w:rsidRPr="004900AE">
        <w:rPr>
          <w:rFonts w:ascii="Times New Roman" w:hAnsi="Times New Roman" w:cs="Times New Roman"/>
        </w:rPr>
        <w:t>febrero creció en 14.8% (Q 343.8</w:t>
      </w:r>
      <w:r w:rsidRPr="004900AE">
        <w:rPr>
          <w:rFonts w:ascii="Times New Roman" w:hAnsi="Times New Roman" w:cs="Times New Roman"/>
        </w:rPr>
        <w:t xml:space="preserve"> millones) de manera interanual, el IVA asociado al consumo </w:t>
      </w:r>
      <w:r w:rsidR="004900AE" w:rsidRPr="004900AE">
        <w:rPr>
          <w:rFonts w:ascii="Times New Roman" w:hAnsi="Times New Roman" w:cs="Times New Roman"/>
        </w:rPr>
        <w:t>interno creció en 12.5% (Q 145.4</w:t>
      </w:r>
      <w:r w:rsidRPr="004900AE">
        <w:rPr>
          <w:rFonts w:ascii="Times New Roman" w:hAnsi="Times New Roman" w:cs="Times New Roman"/>
        </w:rPr>
        <w:t xml:space="preserve"> millones) y el IVA asociado al comercio exterior 17</w:t>
      </w:r>
      <w:r w:rsidR="004900AE" w:rsidRPr="004900AE">
        <w:rPr>
          <w:rFonts w:ascii="Times New Roman" w:hAnsi="Times New Roman" w:cs="Times New Roman"/>
        </w:rPr>
        <w:t>.0% (Q 198.4</w:t>
      </w:r>
      <w:r w:rsidRPr="004900AE">
        <w:rPr>
          <w:rFonts w:ascii="Times New Roman" w:hAnsi="Times New Roman" w:cs="Times New Roman"/>
        </w:rPr>
        <w:t xml:space="preserve"> millones), estos dos impuestos supera</w:t>
      </w:r>
      <w:r w:rsidR="004900AE" w:rsidRPr="004900AE">
        <w:rPr>
          <w:rFonts w:ascii="Times New Roman" w:hAnsi="Times New Roman" w:cs="Times New Roman"/>
        </w:rPr>
        <w:t>ron la meta de presupuesto en 55.0</w:t>
      </w:r>
      <w:r w:rsidRPr="004900AE">
        <w:rPr>
          <w:rFonts w:ascii="Times New Roman" w:hAnsi="Times New Roman" w:cs="Times New Roman"/>
        </w:rPr>
        <w:t xml:space="preserve"> millones.</w:t>
      </w:r>
    </w:p>
    <w:p w:rsidR="00F54627" w:rsidRPr="004900AE" w:rsidRDefault="00F54627" w:rsidP="00F54627">
      <w:pPr>
        <w:spacing w:after="0" w:line="240" w:lineRule="auto"/>
        <w:jc w:val="both"/>
        <w:rPr>
          <w:rFonts w:ascii="Times New Roman" w:hAnsi="Times New Roman" w:cs="Times New Roman"/>
        </w:rPr>
      </w:pPr>
    </w:p>
    <w:p w:rsidR="00F25E21" w:rsidRPr="004900AE" w:rsidRDefault="00F25E21" w:rsidP="00080B88">
      <w:pPr>
        <w:spacing w:after="0" w:line="240" w:lineRule="auto"/>
        <w:jc w:val="both"/>
        <w:rPr>
          <w:rFonts w:ascii="Times New Roman" w:hAnsi="Times New Roman" w:cs="Times New Roman"/>
          <w:b/>
          <w:bCs/>
        </w:rPr>
      </w:pPr>
      <w:r w:rsidRPr="004900AE">
        <w:rPr>
          <w:rFonts w:ascii="Times New Roman" w:hAnsi="Times New Roman" w:cs="Times New Roman"/>
          <w:b/>
          <w:bCs/>
        </w:rPr>
        <w:t>Los demás impuestos</w:t>
      </w:r>
    </w:p>
    <w:p w:rsidR="004900AE" w:rsidRPr="004900AE" w:rsidRDefault="004900AE" w:rsidP="00080B88">
      <w:pPr>
        <w:spacing w:after="0" w:line="240" w:lineRule="auto"/>
        <w:jc w:val="both"/>
        <w:rPr>
          <w:rFonts w:ascii="Times New Roman" w:hAnsi="Times New Roman" w:cs="Times New Roman"/>
          <w:b/>
          <w:bCs/>
        </w:rPr>
      </w:pPr>
    </w:p>
    <w:p w:rsidR="004900AE" w:rsidRDefault="00080B88" w:rsidP="00F54627">
      <w:pPr>
        <w:spacing w:after="0" w:line="240" w:lineRule="auto"/>
        <w:jc w:val="both"/>
        <w:rPr>
          <w:rFonts w:ascii="Times New Roman" w:hAnsi="Times New Roman" w:cs="Times New Roman"/>
        </w:rPr>
      </w:pPr>
      <w:r w:rsidRPr="004900AE">
        <w:rPr>
          <w:rFonts w:ascii="Times New Roman" w:hAnsi="Times New Roman" w:cs="Times New Roman"/>
        </w:rPr>
        <w:t>De los demás impuestos, en febrero únicamente el impuesto a los timbres fiscales, el de tabaco y los no administrados por SAT (Regalías y Salidas del País) no alcanzaron la meta establecida.</w:t>
      </w:r>
    </w:p>
    <w:p w:rsidR="004900AE" w:rsidRDefault="004900AE" w:rsidP="00F54627">
      <w:pPr>
        <w:spacing w:after="0" w:line="240" w:lineRule="auto"/>
        <w:jc w:val="both"/>
        <w:rPr>
          <w:rFonts w:ascii="Times New Roman" w:hAnsi="Times New Roman" w:cs="Times New Roman"/>
        </w:rPr>
      </w:pPr>
    </w:p>
    <w:p w:rsidR="004900AE" w:rsidRDefault="004900AE" w:rsidP="00F54627">
      <w:pPr>
        <w:spacing w:after="0" w:line="240" w:lineRule="auto"/>
        <w:jc w:val="both"/>
        <w:rPr>
          <w:rFonts w:ascii="Times New Roman" w:hAnsi="Times New Roman" w:cs="Times New Roman"/>
        </w:rPr>
      </w:pPr>
    </w:p>
    <w:p w:rsidR="004900AE" w:rsidRDefault="004900AE" w:rsidP="00F54627">
      <w:pPr>
        <w:spacing w:after="0" w:line="240" w:lineRule="auto"/>
        <w:jc w:val="both"/>
        <w:rPr>
          <w:rFonts w:ascii="Times New Roman" w:hAnsi="Times New Roman" w:cs="Times New Roman"/>
        </w:rPr>
      </w:pPr>
    </w:p>
    <w:p w:rsidR="004900AE" w:rsidRDefault="004900AE" w:rsidP="00F54627">
      <w:pPr>
        <w:spacing w:after="0" w:line="240" w:lineRule="auto"/>
        <w:jc w:val="both"/>
        <w:rPr>
          <w:rFonts w:ascii="Times New Roman" w:hAnsi="Times New Roman" w:cs="Times New Roman"/>
        </w:rPr>
      </w:pPr>
    </w:p>
    <w:p w:rsidR="004900AE" w:rsidRDefault="004900AE" w:rsidP="00F54627">
      <w:pPr>
        <w:spacing w:after="0" w:line="240" w:lineRule="auto"/>
        <w:jc w:val="both"/>
        <w:rPr>
          <w:rFonts w:ascii="Times New Roman" w:hAnsi="Times New Roman" w:cs="Times New Roman"/>
        </w:rPr>
      </w:pPr>
    </w:p>
    <w:p w:rsidR="004900AE" w:rsidRDefault="004900AE" w:rsidP="00F54627">
      <w:pPr>
        <w:spacing w:after="0" w:line="240" w:lineRule="auto"/>
        <w:jc w:val="both"/>
        <w:rPr>
          <w:rFonts w:ascii="Times New Roman" w:hAnsi="Times New Roman" w:cs="Times New Roman"/>
        </w:rPr>
      </w:pPr>
    </w:p>
    <w:p w:rsidR="004900AE" w:rsidRDefault="004900AE" w:rsidP="00F54627">
      <w:pPr>
        <w:spacing w:after="0" w:line="240" w:lineRule="auto"/>
        <w:jc w:val="both"/>
        <w:rPr>
          <w:rFonts w:ascii="Times New Roman" w:hAnsi="Times New Roman" w:cs="Times New Roman"/>
        </w:rPr>
      </w:pPr>
    </w:p>
    <w:p w:rsidR="004900AE" w:rsidRDefault="004900AE" w:rsidP="00F54627">
      <w:pPr>
        <w:spacing w:after="0" w:line="240" w:lineRule="auto"/>
        <w:jc w:val="both"/>
        <w:rPr>
          <w:rFonts w:ascii="Times New Roman" w:hAnsi="Times New Roman" w:cs="Times New Roman"/>
        </w:rPr>
      </w:pPr>
    </w:p>
    <w:p w:rsidR="004900AE" w:rsidRDefault="004900AE" w:rsidP="00F54627">
      <w:pPr>
        <w:spacing w:after="0" w:line="240" w:lineRule="auto"/>
        <w:jc w:val="both"/>
        <w:rPr>
          <w:rFonts w:ascii="Times New Roman" w:hAnsi="Times New Roman" w:cs="Times New Roman"/>
        </w:rPr>
      </w:pPr>
    </w:p>
    <w:p w:rsidR="004900AE" w:rsidRDefault="004900AE" w:rsidP="00F54627">
      <w:pPr>
        <w:spacing w:after="0" w:line="240" w:lineRule="auto"/>
        <w:jc w:val="both"/>
        <w:rPr>
          <w:rFonts w:ascii="Times New Roman" w:hAnsi="Times New Roman" w:cs="Times New Roman"/>
        </w:rPr>
      </w:pPr>
    </w:p>
    <w:p w:rsidR="004900AE" w:rsidRDefault="004900AE" w:rsidP="00F54627">
      <w:pPr>
        <w:spacing w:after="0" w:line="240" w:lineRule="auto"/>
        <w:jc w:val="both"/>
        <w:rPr>
          <w:rFonts w:ascii="Times New Roman" w:hAnsi="Times New Roman" w:cs="Times New Roman"/>
        </w:rPr>
      </w:pPr>
    </w:p>
    <w:p w:rsidR="004900AE" w:rsidRDefault="004900AE" w:rsidP="00F54627">
      <w:pPr>
        <w:spacing w:after="0" w:line="240" w:lineRule="auto"/>
        <w:jc w:val="both"/>
        <w:rPr>
          <w:rFonts w:ascii="Times New Roman" w:hAnsi="Times New Roman" w:cs="Times New Roman"/>
        </w:rPr>
      </w:pPr>
    </w:p>
    <w:p w:rsidR="004900AE" w:rsidRDefault="004900AE" w:rsidP="00F54627">
      <w:pPr>
        <w:spacing w:after="0" w:line="240" w:lineRule="auto"/>
        <w:jc w:val="both"/>
        <w:rPr>
          <w:rFonts w:ascii="Times New Roman" w:hAnsi="Times New Roman" w:cs="Times New Roman"/>
        </w:rPr>
      </w:pPr>
    </w:p>
    <w:p w:rsidR="004900AE" w:rsidRDefault="004900AE" w:rsidP="00F54627">
      <w:pPr>
        <w:spacing w:after="0" w:line="240" w:lineRule="auto"/>
        <w:jc w:val="both"/>
        <w:rPr>
          <w:rFonts w:ascii="Times New Roman" w:hAnsi="Times New Roman" w:cs="Times New Roman"/>
        </w:rPr>
      </w:pPr>
    </w:p>
    <w:p w:rsidR="004900AE" w:rsidRDefault="004900AE" w:rsidP="00F54627">
      <w:pPr>
        <w:spacing w:after="0" w:line="240" w:lineRule="auto"/>
        <w:jc w:val="both"/>
        <w:rPr>
          <w:rFonts w:ascii="Times New Roman" w:hAnsi="Times New Roman" w:cs="Times New Roman"/>
        </w:rPr>
      </w:pPr>
    </w:p>
    <w:p w:rsidR="004900AE" w:rsidRDefault="004900AE" w:rsidP="00F54627">
      <w:pPr>
        <w:spacing w:after="0" w:line="240" w:lineRule="auto"/>
        <w:jc w:val="both"/>
        <w:rPr>
          <w:rFonts w:ascii="Times New Roman" w:hAnsi="Times New Roman" w:cs="Times New Roman"/>
        </w:rPr>
      </w:pPr>
    </w:p>
    <w:p w:rsidR="004900AE" w:rsidRPr="004900AE" w:rsidRDefault="004900AE" w:rsidP="00F54627">
      <w:pPr>
        <w:spacing w:after="0" w:line="240" w:lineRule="auto"/>
        <w:jc w:val="both"/>
        <w:rPr>
          <w:rFonts w:ascii="Times New Roman" w:hAnsi="Times New Roman" w:cs="Times New Roman"/>
        </w:rPr>
      </w:pPr>
    </w:p>
    <w:p w:rsidR="004900AE" w:rsidRPr="00FA711C" w:rsidRDefault="004900AE" w:rsidP="00F54627">
      <w:pPr>
        <w:spacing w:after="0" w:line="240" w:lineRule="auto"/>
        <w:jc w:val="both"/>
        <w:rPr>
          <w:rFonts w:ascii="Times New Roman" w:hAnsi="Times New Roman" w:cs="Times New Roman"/>
          <w:color w:val="FF0000"/>
        </w:rPr>
        <w:sectPr w:rsidR="004900AE" w:rsidRPr="00FA711C" w:rsidSect="0092653C">
          <w:type w:val="continuous"/>
          <w:pgSz w:w="12240" w:h="15840"/>
          <w:pgMar w:top="1417" w:right="1701" w:bottom="1417" w:left="1701" w:header="720" w:footer="720" w:gutter="0"/>
          <w:cols w:num="2" w:space="720"/>
          <w:docGrid w:linePitch="360"/>
        </w:sectPr>
      </w:pPr>
    </w:p>
    <w:p w:rsidR="001A6038" w:rsidRPr="00FA711C" w:rsidRDefault="001A6038" w:rsidP="00674EAE">
      <w:pPr>
        <w:pStyle w:val="Sinespaciado"/>
        <w:jc w:val="both"/>
        <w:rPr>
          <w:rFonts w:ascii="Times New Roman" w:hAnsi="Times New Roman" w:cs="Times New Roman"/>
          <w:color w:val="FF0000"/>
          <w:szCs w:val="18"/>
          <w:lang w:val="es-MX"/>
        </w:rPr>
        <w:sectPr w:rsidR="001A6038" w:rsidRPr="00FA711C" w:rsidSect="005A03A9">
          <w:headerReference w:type="default" r:id="rId15"/>
          <w:footerReference w:type="default" r:id="rId16"/>
          <w:type w:val="continuous"/>
          <w:pgSz w:w="12240" w:h="15840"/>
          <w:pgMar w:top="1417" w:right="1701" w:bottom="1417" w:left="1701" w:header="708" w:footer="708" w:gutter="0"/>
          <w:cols w:num="2" w:space="708"/>
          <w:docGrid w:linePitch="360"/>
        </w:sectPr>
      </w:pPr>
    </w:p>
    <w:p w:rsidR="00FA3B81" w:rsidRPr="00FA711C" w:rsidRDefault="00924740"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A3B81" w:rsidRPr="00FA711C" w:rsidSect="00FA3B81">
          <w:headerReference w:type="default" r:id="rId17"/>
          <w:footerReference w:type="default" r:id="rId18"/>
          <w:type w:val="continuous"/>
          <w:pgSz w:w="12240" w:h="15840" w:code="1"/>
          <w:pgMar w:top="1418" w:right="1418" w:bottom="1418" w:left="1418" w:header="709" w:footer="709" w:gutter="0"/>
          <w:cols w:space="708"/>
          <w:docGrid w:linePitch="360"/>
        </w:sectPr>
      </w:pPr>
      <w:r w:rsidRPr="00FA711C">
        <w:rPr>
          <w:rFonts w:ascii="Times New Roman" w:hAnsi="Times New Roman" w:cs="Times New Roman"/>
          <w:b/>
          <w:lang w:val="es-MX"/>
        </w:rPr>
        <w:lastRenderedPageBreak/>
        <w:t xml:space="preserve">Se observa cierto dinamismo en el </w:t>
      </w:r>
      <w:r w:rsidR="00E37543" w:rsidRPr="00FA711C">
        <w:rPr>
          <w:rFonts w:ascii="Times New Roman" w:hAnsi="Times New Roman" w:cs="Times New Roman"/>
          <w:b/>
          <w:lang w:val="es-MX"/>
        </w:rPr>
        <w:t xml:space="preserve">gasto </w:t>
      </w:r>
      <w:r w:rsidR="0041262B" w:rsidRPr="00FA711C">
        <w:rPr>
          <w:rFonts w:ascii="Times New Roman" w:hAnsi="Times New Roman" w:cs="Times New Roman"/>
          <w:b/>
          <w:lang w:val="es-MX"/>
        </w:rPr>
        <w:t>público</w:t>
      </w:r>
    </w:p>
    <w:p w:rsidR="00FA3B81" w:rsidRPr="00FA711C" w:rsidRDefault="00FA3B81" w:rsidP="00FA3B81">
      <w:pPr>
        <w:pStyle w:val="Sinespaciado"/>
        <w:rPr>
          <w:rFonts w:ascii="Times New Roman" w:hAnsi="Times New Roman" w:cs="Times New Roman"/>
          <w:b/>
          <w:color w:val="FF0000"/>
          <w:sz w:val="18"/>
          <w:lang w:val="es-MX"/>
        </w:rPr>
      </w:pPr>
    </w:p>
    <w:p w:rsidR="00FA3B81" w:rsidRPr="00FA711C" w:rsidRDefault="00FA3B81" w:rsidP="0041262B">
      <w:pPr>
        <w:pStyle w:val="Sinespaciado"/>
        <w:rPr>
          <w:rFonts w:ascii="Times New Roman" w:hAnsi="Times New Roman" w:cs="Times New Roman"/>
          <w:b/>
          <w:color w:val="FF0000"/>
          <w:lang w:val="es-MX"/>
        </w:rPr>
        <w:sectPr w:rsidR="00FA3B81" w:rsidRPr="00FA711C" w:rsidSect="004E358C">
          <w:type w:val="continuous"/>
          <w:pgSz w:w="12240" w:h="15840"/>
          <w:pgMar w:top="1417" w:right="1701" w:bottom="1417" w:left="1701" w:header="708" w:footer="708" w:gutter="0"/>
          <w:cols w:space="708"/>
          <w:docGrid w:linePitch="360"/>
        </w:sectPr>
      </w:pPr>
    </w:p>
    <w:p w:rsidR="0041262B" w:rsidRPr="009714B3" w:rsidRDefault="00443689" w:rsidP="0041262B">
      <w:pPr>
        <w:pStyle w:val="Sinespaciado"/>
        <w:jc w:val="both"/>
        <w:rPr>
          <w:rFonts w:ascii="Times New Roman" w:hAnsi="Times New Roman" w:cs="Times New Roman"/>
          <w:lang w:val="es-MX"/>
        </w:rPr>
      </w:pPr>
      <w:r w:rsidRPr="00FA711C">
        <w:rPr>
          <w:rFonts w:ascii="Times New Roman" w:hAnsi="Times New Roman" w:cs="Times New Roman"/>
          <w:lang w:val="es-MX"/>
        </w:rPr>
        <w:lastRenderedPageBreak/>
        <w:t xml:space="preserve">La ejecución del gasto público al mes de febrero </w:t>
      </w:r>
      <w:r w:rsidRPr="002C767B">
        <w:rPr>
          <w:rFonts w:ascii="Times New Roman" w:hAnsi="Times New Roman" w:cs="Times New Roman"/>
          <w:lang w:val="es-MX"/>
        </w:rPr>
        <w:t xml:space="preserve">sin </w:t>
      </w:r>
      <w:r w:rsidRPr="00FA711C">
        <w:rPr>
          <w:rFonts w:ascii="Times New Roman" w:hAnsi="Times New Roman" w:cs="Times New Roman"/>
          <w:lang w:val="es-MX"/>
        </w:rPr>
        <w:t xml:space="preserve">incluir las amortizaciones de la deuda pública se ubicó en Q11,222.9 millones con un crecimiento interanual de 6.1% (equivalente a Q647.9 millones), acelerándose en 2.4% respecto al </w:t>
      </w:r>
      <w:r w:rsidRPr="009714B3">
        <w:rPr>
          <w:rFonts w:ascii="Times New Roman" w:hAnsi="Times New Roman" w:cs="Times New Roman"/>
          <w:lang w:val="es-MX"/>
        </w:rPr>
        <w:t>crecimiento observado en enero. El crecimiento observado es muy superior al reportado en 2020, cuando el gasto se encontraba creciendo en 0.1%, derivado que al igual que en el presente ejercicio fiscal, no se contaba con un presupuesto aprobado y estaba en proceso una ampliación presupuestaria.</w:t>
      </w:r>
      <w:r w:rsidR="0041262B" w:rsidRPr="009714B3">
        <w:rPr>
          <w:rFonts w:ascii="Times New Roman" w:hAnsi="Times New Roman" w:cs="Times New Roman"/>
          <w:lang w:val="es-MX"/>
        </w:rPr>
        <w:t xml:space="preserve"> </w:t>
      </w:r>
    </w:p>
    <w:p w:rsidR="0041262B" w:rsidRPr="009714B3" w:rsidRDefault="0041262B" w:rsidP="0041262B">
      <w:pPr>
        <w:pStyle w:val="Sinespaciado"/>
        <w:jc w:val="both"/>
        <w:rPr>
          <w:rFonts w:ascii="Times New Roman" w:hAnsi="Times New Roman" w:cs="Times New Roman"/>
          <w:lang w:val="es-MX"/>
        </w:rPr>
      </w:pPr>
    </w:p>
    <w:p w:rsidR="0041262B" w:rsidRPr="009714B3" w:rsidRDefault="0041262B" w:rsidP="0041262B">
      <w:pPr>
        <w:pStyle w:val="Sinespaciado"/>
        <w:jc w:val="center"/>
        <w:rPr>
          <w:rFonts w:ascii="Times New Roman" w:hAnsi="Times New Roman" w:cs="Times New Roman"/>
          <w:b/>
          <w:lang w:val="es-MX"/>
        </w:rPr>
      </w:pPr>
      <w:r w:rsidRPr="009714B3">
        <w:rPr>
          <w:rFonts w:ascii="Times New Roman" w:hAnsi="Times New Roman" w:cs="Times New Roman"/>
          <w:b/>
          <w:lang w:val="es-MX"/>
        </w:rPr>
        <w:t>Ritmo de Ejecución del Gasto</w:t>
      </w:r>
    </w:p>
    <w:p w:rsidR="0041262B" w:rsidRPr="009714B3" w:rsidRDefault="00443689" w:rsidP="0041262B">
      <w:pPr>
        <w:pStyle w:val="Sinespaciado"/>
        <w:jc w:val="center"/>
        <w:rPr>
          <w:rFonts w:ascii="Times New Roman" w:hAnsi="Times New Roman" w:cs="Times New Roman"/>
          <w:sz w:val="18"/>
          <w:lang w:val="es-MX"/>
        </w:rPr>
      </w:pPr>
      <w:r w:rsidRPr="009714B3">
        <w:rPr>
          <w:rFonts w:ascii="Times New Roman" w:hAnsi="Times New Roman" w:cs="Times New Roman"/>
          <w:noProof/>
          <w:sz w:val="18"/>
          <w:lang w:eastAsia="es-GT"/>
        </w:rPr>
        <w:drawing>
          <wp:anchor distT="0" distB="0" distL="114300" distR="114300" simplePos="0" relativeHeight="251756544" behindDoc="0" locked="0" layoutInCell="1" allowOverlap="1" wp14:anchorId="2D675056" wp14:editId="6F81CAAE">
            <wp:simplePos x="0" y="0"/>
            <wp:positionH relativeFrom="column">
              <wp:posOffset>1905</wp:posOffset>
            </wp:positionH>
            <wp:positionV relativeFrom="paragraph">
              <wp:posOffset>182880</wp:posOffset>
            </wp:positionV>
            <wp:extent cx="2774950" cy="2033270"/>
            <wp:effectExtent l="0" t="0" r="6350" b="5080"/>
            <wp:wrapSquare wrapText="bothSides"/>
            <wp:docPr id="2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41262B" w:rsidRPr="009714B3">
        <w:rPr>
          <w:rFonts w:ascii="Times New Roman" w:hAnsi="Times New Roman" w:cs="Times New Roman"/>
          <w:sz w:val="18"/>
          <w:lang w:val="es-MX"/>
        </w:rPr>
        <w:t>Variación Interanual*</w:t>
      </w:r>
    </w:p>
    <w:p w:rsidR="0041262B" w:rsidRPr="009714B3" w:rsidRDefault="0041262B" w:rsidP="0041262B">
      <w:pPr>
        <w:pStyle w:val="Sinespaciado"/>
        <w:rPr>
          <w:rFonts w:ascii="Times New Roman" w:hAnsi="Times New Roman" w:cs="Times New Roman"/>
          <w:sz w:val="16"/>
          <w:lang w:val="es-MX"/>
        </w:rPr>
      </w:pPr>
      <w:r w:rsidRPr="009714B3">
        <w:rPr>
          <w:rFonts w:ascii="Times New Roman" w:hAnsi="Times New Roman" w:cs="Times New Roman"/>
          <w:sz w:val="16"/>
          <w:lang w:val="es-MX"/>
        </w:rPr>
        <w:t>*No incluye amortizaciones de la deuda pública</w:t>
      </w:r>
    </w:p>
    <w:p w:rsidR="0041262B" w:rsidRPr="009714B3" w:rsidRDefault="0041262B" w:rsidP="0041262B">
      <w:pPr>
        <w:spacing w:after="0" w:line="240" w:lineRule="auto"/>
        <w:jc w:val="both"/>
        <w:rPr>
          <w:rFonts w:ascii="Times New Roman" w:hAnsi="Times New Roman" w:cs="Times New Roman"/>
          <w:sz w:val="16"/>
        </w:rPr>
      </w:pPr>
      <w:r w:rsidRPr="009714B3">
        <w:rPr>
          <w:rFonts w:ascii="Times New Roman" w:hAnsi="Times New Roman" w:cs="Times New Roman"/>
          <w:sz w:val="16"/>
        </w:rPr>
        <w:t>Fuente: Dirección de Análisis y Política Fiscal</w:t>
      </w:r>
    </w:p>
    <w:p w:rsidR="0041262B" w:rsidRPr="009714B3" w:rsidRDefault="0041262B" w:rsidP="0041262B">
      <w:pPr>
        <w:pStyle w:val="Sinespaciado"/>
        <w:jc w:val="both"/>
        <w:rPr>
          <w:rFonts w:ascii="Times New Roman" w:hAnsi="Times New Roman" w:cs="Times New Roman"/>
          <w:lang w:val="es-MX"/>
        </w:rPr>
      </w:pPr>
    </w:p>
    <w:p w:rsidR="009F2F46" w:rsidRPr="009714B3" w:rsidRDefault="009F2F46" w:rsidP="009F2F46">
      <w:pPr>
        <w:pStyle w:val="Sinespaciado"/>
        <w:jc w:val="both"/>
        <w:rPr>
          <w:rFonts w:ascii="Times New Roman" w:hAnsi="Times New Roman" w:cs="Times New Roman"/>
          <w:lang w:val="es-MX"/>
        </w:rPr>
      </w:pPr>
      <w:r w:rsidRPr="009714B3">
        <w:rPr>
          <w:rFonts w:ascii="Times New Roman" w:hAnsi="Times New Roman" w:cs="Times New Roman"/>
          <w:lang w:val="es-MX"/>
        </w:rPr>
        <w:t xml:space="preserve">A nivel de rubro de cuenta económica, el mayor crecimiento absoluto se reporta en los intereses de la deuda interna y externa con Q203.2 millones (siendo equivalente a un crecimiento interanual de 23.5%), el cual se concentra en la deuda interna. Hay que considerar que en 2020 se incurrió en un alto nivel de endeudamiento para hacer frente a las necesidades de gasto por la coyuntura del COVID-19 y por ende el saldo de la deuda pública creció, de esa cuenta el pago de los intereses aumenta, a pesar de que se buscó colocar con condiciones favorables en cuanto a plazo y tasa de interés. </w:t>
      </w:r>
    </w:p>
    <w:p w:rsidR="009F2F46" w:rsidRPr="009714B3" w:rsidRDefault="009F2F46" w:rsidP="009F2F46">
      <w:pPr>
        <w:pStyle w:val="Sinespaciado"/>
        <w:jc w:val="both"/>
        <w:rPr>
          <w:rFonts w:ascii="Times New Roman" w:hAnsi="Times New Roman" w:cs="Times New Roman"/>
          <w:lang w:val="es-MX"/>
        </w:rPr>
      </w:pPr>
      <w:r w:rsidRPr="009714B3">
        <w:rPr>
          <w:rFonts w:ascii="Times New Roman" w:hAnsi="Times New Roman" w:cs="Times New Roman"/>
          <w:lang w:val="es-MX"/>
        </w:rPr>
        <w:lastRenderedPageBreak/>
        <w:t>El segundo rubro de gasto con mayor crecimiento son las remuneraciones, reportando una ejecución mayor en Q177.5 millones a la reportada en 2020, equivalente a un crecimiento de 3.9%. El Ministerio de Educación reporta un crecimiento interanual de 11.4% (equivalente a Q232.9 millones), esto se debe principalmente al crecimiento del renglón 011 “personal permanente” en Q87.3 millones y el renglón 017 “derechos escalafonarios” en Q82.7 millones, este corresponde a pagos adicionales al sueldo base de los empleados, como resultado de escalas de salarios contempladas en leyes. Por su parte, las secretarias y otras dependencias del ejecutivo reportan una contracción de 17.0% (equivalente a Q23.4 millones), como resultado principalmente de una menor ejecución del renglón 029 “otras remuneraciones del personal temporal”, con un crecimiento interanual negativo cercano al 50%.</w:t>
      </w:r>
    </w:p>
    <w:p w:rsidR="009F2F46" w:rsidRPr="009714B3" w:rsidRDefault="009F2F46" w:rsidP="009F2F46">
      <w:pPr>
        <w:pStyle w:val="Sinespaciado"/>
        <w:jc w:val="both"/>
        <w:rPr>
          <w:rFonts w:ascii="Times New Roman" w:hAnsi="Times New Roman" w:cs="Times New Roman"/>
          <w:lang w:val="es-MX"/>
        </w:rPr>
      </w:pPr>
    </w:p>
    <w:p w:rsidR="009F2F46" w:rsidRPr="009714B3" w:rsidRDefault="009F2F46" w:rsidP="009F2F46">
      <w:pPr>
        <w:pStyle w:val="Sinespaciado"/>
        <w:jc w:val="both"/>
        <w:rPr>
          <w:rFonts w:ascii="Times New Roman" w:hAnsi="Times New Roman" w:cs="Times New Roman"/>
          <w:lang w:val="es-MX"/>
        </w:rPr>
      </w:pPr>
      <w:r w:rsidRPr="009714B3">
        <w:rPr>
          <w:rFonts w:ascii="Times New Roman" w:hAnsi="Times New Roman" w:cs="Times New Roman"/>
          <w:lang w:val="es-MX"/>
        </w:rPr>
        <w:t xml:space="preserve">El rubro de los bienes y servicios crecen en 23.5%, siendo equivalente a Q173.7 millones, </w:t>
      </w:r>
    </w:p>
    <w:p w:rsidR="009F2F46" w:rsidRPr="009714B3" w:rsidRDefault="009F2F46" w:rsidP="009F2F46">
      <w:pPr>
        <w:pStyle w:val="Sinespaciado"/>
        <w:jc w:val="both"/>
        <w:rPr>
          <w:rFonts w:ascii="Times New Roman" w:hAnsi="Times New Roman" w:cs="Times New Roman"/>
          <w:lang w:val="es-MX"/>
        </w:rPr>
      </w:pPr>
      <w:r w:rsidRPr="009714B3">
        <w:rPr>
          <w:rFonts w:ascii="Times New Roman" w:hAnsi="Times New Roman" w:cs="Times New Roman"/>
          <w:lang w:val="es-MX"/>
        </w:rPr>
        <w:t>explicado por un aumento de Q96.7 millones en el Ministerio de Salud Pública y Asistencia Social por un mayor gasto para los útiles menores, suministros e instrumental médico-quirúrgicos, de laboratorio y cuidado de la salud, el cual crece interanualmente en 141.2%, seguido de los</w:t>
      </w:r>
      <w:r w:rsidRPr="009714B3">
        <w:t xml:space="preserve"> </w:t>
      </w:r>
      <w:r w:rsidRPr="009714B3">
        <w:rPr>
          <w:rFonts w:ascii="Times New Roman" w:hAnsi="Times New Roman" w:cs="Times New Roman"/>
          <w:lang w:val="es-MX"/>
        </w:rPr>
        <w:t xml:space="preserve">productos medicinales y farmacéuticos con un crecimiento de 36.8% y los servicios médico y sanitarios con un crecimiento de 15.8%.  </w:t>
      </w:r>
    </w:p>
    <w:p w:rsidR="009F2F46" w:rsidRPr="00FA711C" w:rsidRDefault="009F2F46" w:rsidP="009F2F46">
      <w:pPr>
        <w:pStyle w:val="Sinespaciado"/>
        <w:jc w:val="both"/>
        <w:rPr>
          <w:rFonts w:ascii="Times New Roman" w:hAnsi="Times New Roman" w:cs="Times New Roman"/>
          <w:color w:val="FF0000"/>
          <w:lang w:val="es-MX"/>
        </w:rPr>
      </w:pPr>
    </w:p>
    <w:p w:rsidR="0041262B" w:rsidRPr="009714B3" w:rsidRDefault="009F2F46" w:rsidP="009F2F46">
      <w:pPr>
        <w:pStyle w:val="Sinespaciado"/>
        <w:jc w:val="both"/>
        <w:rPr>
          <w:rFonts w:ascii="Times New Roman" w:hAnsi="Times New Roman" w:cs="Times New Roman"/>
          <w:lang w:val="es-MX"/>
        </w:rPr>
      </w:pPr>
      <w:r w:rsidRPr="009714B3">
        <w:rPr>
          <w:rFonts w:ascii="Times New Roman" w:hAnsi="Times New Roman" w:cs="Times New Roman"/>
          <w:lang w:val="es-MX"/>
        </w:rPr>
        <w:t xml:space="preserve">Por su parte, el Ministerio de Gobernación reporta una ejecución mayor en Q53.7 en bienes y servicios, como resultado de una mayor ejecución en las primas y gastos de seguros y fianzas, con una ejecución de Q42.9 millones, mientras que en 2020 la ejecución en dicho renglón era casi nula y una mayor ejecución en los alimentos para personas en Q30.7 millones, </w:t>
      </w:r>
      <w:r w:rsidRPr="009714B3">
        <w:rPr>
          <w:rFonts w:ascii="Times New Roman" w:hAnsi="Times New Roman" w:cs="Times New Roman"/>
          <w:lang w:val="es-MX"/>
        </w:rPr>
        <w:lastRenderedPageBreak/>
        <w:t>equivalente a un crecimiento interanual de 233.6%.</w:t>
      </w:r>
      <w:r w:rsidR="0041262B" w:rsidRPr="009714B3">
        <w:rPr>
          <w:rFonts w:ascii="Times New Roman" w:hAnsi="Times New Roman" w:cs="Times New Roman"/>
          <w:lang w:val="es-MX"/>
        </w:rPr>
        <w:t xml:space="preserve"> </w:t>
      </w:r>
    </w:p>
    <w:p w:rsidR="0041262B" w:rsidRPr="00FA711C" w:rsidRDefault="0041262B" w:rsidP="0041262B">
      <w:pPr>
        <w:pStyle w:val="Sinespaciado"/>
        <w:jc w:val="both"/>
        <w:rPr>
          <w:rFonts w:ascii="Times New Roman" w:hAnsi="Times New Roman" w:cs="Times New Roman"/>
          <w:color w:val="FF0000"/>
          <w:lang w:val="es-MX"/>
        </w:rPr>
      </w:pPr>
    </w:p>
    <w:p w:rsidR="009F2F46" w:rsidRPr="009714B3" w:rsidRDefault="009F2F46" w:rsidP="009F2F46">
      <w:pPr>
        <w:pStyle w:val="Sinespaciado"/>
        <w:jc w:val="both"/>
        <w:rPr>
          <w:rFonts w:ascii="Times New Roman" w:hAnsi="Times New Roman" w:cs="Times New Roman"/>
          <w:lang w:val="es-MX"/>
        </w:rPr>
      </w:pPr>
      <w:r w:rsidRPr="009714B3">
        <w:rPr>
          <w:rFonts w:ascii="Times New Roman" w:hAnsi="Times New Roman" w:cs="Times New Roman"/>
          <w:lang w:val="es-MX"/>
        </w:rPr>
        <w:t>En el rubro de la inversión real directa se reporta una mayor ejecución de Q87.1 millones respecto a lo reportado en 2020, como resultado de un aumento en las construcciones de bienes nacionales de uso común a cargo del Ministerio de Comunicaciones, Infraestructura y Vivienda, reportando una ejecución de Q77.3 millones, mientras que, en 2020 a la misma fecha, la ejecución en dicho renglón fue nula.</w:t>
      </w:r>
    </w:p>
    <w:p w:rsidR="009F2F46" w:rsidRPr="009714B3" w:rsidRDefault="009F2F46" w:rsidP="009F2F46">
      <w:pPr>
        <w:pStyle w:val="Sinespaciado"/>
        <w:jc w:val="both"/>
        <w:rPr>
          <w:rFonts w:ascii="Times New Roman" w:hAnsi="Times New Roman" w:cs="Times New Roman"/>
          <w:lang w:val="es-MX"/>
        </w:rPr>
      </w:pPr>
    </w:p>
    <w:p w:rsidR="009F2F46" w:rsidRPr="00147533" w:rsidRDefault="009F2F46" w:rsidP="009F2F46">
      <w:pPr>
        <w:pStyle w:val="Sinespaciado"/>
        <w:jc w:val="both"/>
        <w:rPr>
          <w:rFonts w:ascii="Times New Roman" w:hAnsi="Times New Roman" w:cs="Times New Roman"/>
          <w:lang w:val="es-MX"/>
        </w:rPr>
      </w:pPr>
      <w:r w:rsidRPr="009714B3">
        <w:rPr>
          <w:rFonts w:ascii="Times New Roman" w:hAnsi="Times New Roman" w:cs="Times New Roman"/>
          <w:lang w:val="es-MX"/>
        </w:rPr>
        <w:t xml:space="preserve">En cuanto a las prestaciones a la seguridad social, están reportan un crecimiento interanual de 6.3%, equivalente a Q47.9 </w:t>
      </w:r>
      <w:r w:rsidRPr="00147533">
        <w:rPr>
          <w:rFonts w:ascii="Times New Roman" w:hAnsi="Times New Roman" w:cs="Times New Roman"/>
          <w:lang w:val="es-MX"/>
        </w:rPr>
        <w:t>millones.</w:t>
      </w:r>
    </w:p>
    <w:p w:rsidR="009F2F46" w:rsidRPr="00147533" w:rsidRDefault="009F2F46" w:rsidP="009F2F46">
      <w:pPr>
        <w:pStyle w:val="Sinespaciado"/>
        <w:jc w:val="both"/>
        <w:rPr>
          <w:rFonts w:ascii="Times New Roman" w:hAnsi="Times New Roman" w:cs="Times New Roman"/>
          <w:lang w:val="es-MX"/>
        </w:rPr>
      </w:pPr>
    </w:p>
    <w:p w:rsidR="009F2F46" w:rsidRPr="00147533" w:rsidRDefault="009F2F46" w:rsidP="009F2F46">
      <w:pPr>
        <w:pStyle w:val="Sinespaciado"/>
        <w:jc w:val="both"/>
        <w:rPr>
          <w:rFonts w:ascii="Times New Roman" w:hAnsi="Times New Roman" w:cs="Times New Roman"/>
          <w:lang w:val="es-MX"/>
        </w:rPr>
      </w:pPr>
      <w:r w:rsidRPr="00147533">
        <w:rPr>
          <w:rFonts w:ascii="Times New Roman" w:hAnsi="Times New Roman" w:cs="Times New Roman"/>
          <w:lang w:val="es-MX"/>
        </w:rPr>
        <w:t>Por su parte, las transferencias corrientes reportan un crecimiento interanual de 0.7%, equivalente a Q15.4 millones. En lo que respecta a las transferencias corrientes al sector público reportan una caída de Q119.7 millones, como resultado de un menor desembolso de recursos para el</w:t>
      </w:r>
      <w:r w:rsidRPr="00147533">
        <w:t xml:space="preserve"> </w:t>
      </w:r>
      <w:r w:rsidRPr="00147533">
        <w:rPr>
          <w:rFonts w:ascii="Times New Roman" w:hAnsi="Times New Roman" w:cs="Times New Roman"/>
          <w:lang w:val="es-MX"/>
        </w:rPr>
        <w:t>Organismo Judicial (Q185 millones) y el Ministerio Público (Q71.2 millones), principalmente. Mientras que el Ministerio de Gobernación realizó una transferencia hacia el Instituto Guatemalteco de Migración por Q191.9 millones, que compenso -en parte- la caída en las transferencias al sector público. No obstante, en la medida que la recaudación tributaria continúe con el desempeño mostrando hasta febrero, los aportes hacia las entidades descentralizadas y autónomas se ajustarían para los siguientes meses.</w:t>
      </w:r>
    </w:p>
    <w:p w:rsidR="009F2F46" w:rsidRPr="00147533" w:rsidRDefault="009F2F46" w:rsidP="009F2F46">
      <w:pPr>
        <w:pStyle w:val="Sinespaciado"/>
        <w:jc w:val="both"/>
        <w:rPr>
          <w:rFonts w:ascii="Times New Roman" w:hAnsi="Times New Roman" w:cs="Times New Roman"/>
          <w:lang w:val="es-MX"/>
        </w:rPr>
      </w:pPr>
    </w:p>
    <w:p w:rsidR="009F2F46" w:rsidRPr="00147533" w:rsidRDefault="009F2F46" w:rsidP="009F2F46">
      <w:pPr>
        <w:pStyle w:val="Sinespaciado"/>
        <w:jc w:val="both"/>
        <w:rPr>
          <w:rFonts w:ascii="Times New Roman" w:hAnsi="Times New Roman" w:cs="Times New Roman"/>
          <w:lang w:val="es-MX"/>
        </w:rPr>
      </w:pPr>
      <w:r w:rsidRPr="00147533">
        <w:rPr>
          <w:rFonts w:ascii="Times New Roman" w:hAnsi="Times New Roman" w:cs="Times New Roman"/>
          <w:lang w:val="es-MX"/>
        </w:rPr>
        <w:t xml:space="preserve">Mientras que las transferencias corrientes al sector privado crecen en 19.9%, equivalente a Q131.3 millones, explicado por una mayor ejecución en el Ministerio de Educación por Q120 millones, explicados en su gran mayoría por la transferencia a instituciones sin fines de lucro que corresponde a Organizaciones de Padres Familia, Juntas Escolares, Consejos </w:t>
      </w:r>
      <w:r w:rsidRPr="00147533">
        <w:rPr>
          <w:rFonts w:ascii="Times New Roman" w:hAnsi="Times New Roman" w:cs="Times New Roman"/>
          <w:lang w:val="es-MX"/>
        </w:rPr>
        <w:lastRenderedPageBreak/>
        <w:t xml:space="preserve">Educativos e Institutos por Cooperativas, entre otras. </w:t>
      </w:r>
    </w:p>
    <w:p w:rsidR="009F2F46" w:rsidRPr="00147533" w:rsidRDefault="009F2F46" w:rsidP="009F2F46">
      <w:pPr>
        <w:pStyle w:val="Sinespaciado"/>
        <w:jc w:val="both"/>
        <w:rPr>
          <w:rFonts w:ascii="Times New Roman" w:hAnsi="Times New Roman" w:cs="Times New Roman"/>
          <w:lang w:val="es-MX"/>
        </w:rPr>
      </w:pPr>
    </w:p>
    <w:p w:rsidR="0041262B" w:rsidRPr="00147533" w:rsidRDefault="009F2F46" w:rsidP="009F2F46">
      <w:pPr>
        <w:pStyle w:val="Sinespaciado"/>
        <w:jc w:val="both"/>
        <w:rPr>
          <w:rFonts w:ascii="Times New Roman" w:hAnsi="Times New Roman" w:cs="Times New Roman"/>
          <w:lang w:val="es-MX"/>
        </w:rPr>
      </w:pPr>
      <w:r w:rsidRPr="00147533">
        <w:rPr>
          <w:rFonts w:ascii="Times New Roman" w:hAnsi="Times New Roman" w:cs="Times New Roman"/>
          <w:lang w:val="es-MX"/>
        </w:rPr>
        <w:t>Únicamente las transferencias de capital reportan una menor ejecución respecto al año previo, con una caída de Q67.2 millones, explicada por una menor ejecución en las transferencias de capital al sector público, las cuales reportan un crecimiento interanual negativo de 5.8%, esto se debe a una disminución en la transferencia hacia las municipalidades (Q52.7 millones), hacia la Universidad de San Carlos (Q18.7 millones) y hacia Empresas públicas municipales financieras (Q15 millones).</w:t>
      </w:r>
      <w:r w:rsidR="0041262B" w:rsidRPr="00147533">
        <w:rPr>
          <w:rFonts w:ascii="Times New Roman" w:hAnsi="Times New Roman" w:cs="Times New Roman"/>
          <w:lang w:val="es-MX"/>
        </w:rPr>
        <w:t xml:space="preserve"> </w:t>
      </w:r>
    </w:p>
    <w:p w:rsidR="0041262B" w:rsidRPr="00147533" w:rsidRDefault="0041262B" w:rsidP="0041262B">
      <w:pPr>
        <w:pStyle w:val="Sinespaciado"/>
        <w:jc w:val="both"/>
        <w:rPr>
          <w:rFonts w:ascii="Times New Roman" w:hAnsi="Times New Roman" w:cs="Times New Roman"/>
          <w:lang w:val="es-MX"/>
        </w:rPr>
      </w:pPr>
    </w:p>
    <w:p w:rsidR="0041262B" w:rsidRPr="00147533" w:rsidRDefault="0041262B" w:rsidP="0041262B">
      <w:pPr>
        <w:pStyle w:val="Sinespaciado"/>
        <w:jc w:val="center"/>
        <w:rPr>
          <w:rFonts w:ascii="Times New Roman" w:hAnsi="Times New Roman" w:cs="Times New Roman"/>
          <w:sz w:val="18"/>
          <w:lang w:val="es-MX"/>
        </w:rPr>
      </w:pPr>
      <w:r w:rsidRPr="00147533">
        <w:rPr>
          <w:rFonts w:ascii="Times New Roman" w:hAnsi="Times New Roman" w:cs="Times New Roman"/>
          <w:b/>
          <w:lang w:val="es-MX"/>
        </w:rPr>
        <w:t>Ejecución por rubro de Cuenta Económica</w:t>
      </w:r>
      <w:r w:rsidRPr="00147533">
        <w:t xml:space="preserve"> </w:t>
      </w:r>
      <w:r w:rsidRPr="00147533">
        <w:rPr>
          <w:rFonts w:ascii="Times New Roman" w:hAnsi="Times New Roman" w:cs="Times New Roman"/>
          <w:sz w:val="18"/>
          <w:lang w:val="es-MX"/>
        </w:rPr>
        <w:t>2021 – 2020</w:t>
      </w:r>
    </w:p>
    <w:p w:rsidR="0041262B" w:rsidRPr="00147533" w:rsidRDefault="009F2F46" w:rsidP="0041262B">
      <w:pPr>
        <w:pStyle w:val="Sinespaciado"/>
        <w:jc w:val="center"/>
        <w:rPr>
          <w:rFonts w:ascii="Times New Roman" w:hAnsi="Times New Roman" w:cs="Times New Roman"/>
          <w:sz w:val="18"/>
          <w:lang w:val="es-MX"/>
        </w:rPr>
      </w:pPr>
      <w:r w:rsidRPr="00147533">
        <w:rPr>
          <w:rFonts w:ascii="Times New Roman" w:hAnsi="Times New Roman" w:cs="Times New Roman"/>
          <w:noProof/>
          <w:sz w:val="18"/>
          <w:lang w:eastAsia="es-GT"/>
        </w:rPr>
        <w:drawing>
          <wp:anchor distT="0" distB="0" distL="114300" distR="114300" simplePos="0" relativeHeight="251758592" behindDoc="0" locked="0" layoutInCell="1" allowOverlap="1" wp14:anchorId="5C906DA4" wp14:editId="2BCB224B">
            <wp:simplePos x="0" y="0"/>
            <wp:positionH relativeFrom="column">
              <wp:posOffset>-55659</wp:posOffset>
            </wp:positionH>
            <wp:positionV relativeFrom="paragraph">
              <wp:posOffset>163333</wp:posOffset>
            </wp:positionV>
            <wp:extent cx="2960370" cy="2656840"/>
            <wp:effectExtent l="0" t="0" r="0" b="0"/>
            <wp:wrapSquare wrapText="bothSides"/>
            <wp:docPr id="2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41262B" w:rsidRPr="00147533">
        <w:rPr>
          <w:rFonts w:ascii="Times New Roman" w:hAnsi="Times New Roman" w:cs="Times New Roman"/>
          <w:sz w:val="18"/>
          <w:lang w:val="es-MX"/>
        </w:rPr>
        <w:t>Variación absoluta interanual</w:t>
      </w:r>
    </w:p>
    <w:p w:rsidR="0041262B" w:rsidRPr="00147533" w:rsidRDefault="0041262B" w:rsidP="0041262B">
      <w:pPr>
        <w:spacing w:after="0" w:line="240" w:lineRule="auto"/>
        <w:jc w:val="both"/>
        <w:rPr>
          <w:rFonts w:ascii="Times New Roman" w:hAnsi="Times New Roman" w:cs="Times New Roman"/>
          <w:sz w:val="16"/>
        </w:rPr>
      </w:pPr>
      <w:r w:rsidRPr="00147533">
        <w:rPr>
          <w:rFonts w:ascii="Times New Roman" w:hAnsi="Times New Roman" w:cs="Times New Roman"/>
          <w:sz w:val="16"/>
        </w:rPr>
        <w:t>Fuente: Dirección de Análisis y Política Fiscal</w:t>
      </w:r>
    </w:p>
    <w:p w:rsidR="0041262B" w:rsidRPr="00147533" w:rsidRDefault="0041262B" w:rsidP="0041262B">
      <w:pPr>
        <w:pStyle w:val="Sinespaciado"/>
        <w:jc w:val="both"/>
        <w:rPr>
          <w:rFonts w:ascii="Times New Roman" w:hAnsi="Times New Roman" w:cs="Times New Roman"/>
        </w:rPr>
      </w:pPr>
    </w:p>
    <w:p w:rsidR="00AD02C8" w:rsidRPr="003C3D42" w:rsidRDefault="00AD02C8" w:rsidP="00AD02C8">
      <w:pPr>
        <w:pStyle w:val="Sinespaciado"/>
        <w:jc w:val="both"/>
        <w:rPr>
          <w:rFonts w:ascii="Times New Roman" w:hAnsi="Times New Roman" w:cs="Times New Roman"/>
          <w:lang w:val="es-MX"/>
        </w:rPr>
      </w:pPr>
      <w:r w:rsidRPr="00147533">
        <w:rPr>
          <w:rFonts w:ascii="Times New Roman" w:hAnsi="Times New Roman" w:cs="Times New Roman"/>
          <w:lang w:val="es-MX"/>
        </w:rPr>
        <w:t xml:space="preserve">En cuanto al gasto total, el cual incluye amortizaciones de la deuda pública, se situó en Q11,830.7 millones, con un grado de ejecución de 11.0% y una variación interanual de 5.6%. Este grado de ejecución se encuentra por abajo de la ejecución promedio de los últimos 5 años (12.5%) y es inferior a la reportada en </w:t>
      </w:r>
      <w:r w:rsidRPr="003C3D42">
        <w:rPr>
          <w:rFonts w:ascii="Times New Roman" w:hAnsi="Times New Roman" w:cs="Times New Roman"/>
          <w:lang w:val="es-MX"/>
        </w:rPr>
        <w:t xml:space="preserve">cada uno de los años previos. </w:t>
      </w:r>
    </w:p>
    <w:p w:rsidR="0041262B" w:rsidRPr="003C3D42" w:rsidRDefault="00AD02C8" w:rsidP="00AD02C8">
      <w:pPr>
        <w:pStyle w:val="Sinespaciado"/>
        <w:jc w:val="both"/>
        <w:rPr>
          <w:rFonts w:ascii="Times New Roman" w:hAnsi="Times New Roman" w:cs="Times New Roman"/>
          <w:lang w:val="es-MX"/>
        </w:rPr>
      </w:pPr>
      <w:r w:rsidRPr="003C3D42">
        <w:rPr>
          <w:rFonts w:ascii="Times New Roman" w:hAnsi="Times New Roman" w:cs="Times New Roman"/>
          <w:lang w:val="es-MX"/>
        </w:rPr>
        <w:lastRenderedPageBreak/>
        <w:t>El grado de ejecución se percibe bajo por el efecto que se da al contar con un presupuesto inflado de Q107,521.5 millones, el cual responde a las necesidades de financiamiento y gasto de un ejercicio fiscal atípico por la crisis del COVID-19.</w:t>
      </w:r>
      <w:r w:rsidR="0041262B" w:rsidRPr="003C3D42">
        <w:rPr>
          <w:rFonts w:ascii="Times New Roman" w:hAnsi="Times New Roman" w:cs="Times New Roman"/>
          <w:lang w:val="es-MX"/>
        </w:rPr>
        <w:t xml:space="preserve"> </w:t>
      </w:r>
    </w:p>
    <w:p w:rsidR="0041262B" w:rsidRPr="003C3D42" w:rsidRDefault="0041262B" w:rsidP="0041262B">
      <w:pPr>
        <w:pStyle w:val="Sinespaciado"/>
        <w:jc w:val="both"/>
        <w:rPr>
          <w:rFonts w:ascii="Times New Roman" w:hAnsi="Times New Roman" w:cs="Times New Roman"/>
          <w:lang w:val="es-MX"/>
        </w:rPr>
      </w:pPr>
    </w:p>
    <w:p w:rsidR="0041262B" w:rsidRPr="003C3D42" w:rsidRDefault="0041262B" w:rsidP="0041262B">
      <w:pPr>
        <w:spacing w:after="0" w:line="240" w:lineRule="auto"/>
        <w:jc w:val="center"/>
        <w:rPr>
          <w:rFonts w:ascii="Times New Roman" w:hAnsi="Times New Roman" w:cs="Times New Roman"/>
          <w:b/>
          <w:lang w:val="es-MX"/>
        </w:rPr>
      </w:pPr>
      <w:r w:rsidRPr="003C3D42">
        <w:rPr>
          <w:rFonts w:ascii="Times New Roman" w:hAnsi="Times New Roman" w:cs="Times New Roman"/>
          <w:b/>
          <w:lang w:val="es-MX"/>
        </w:rPr>
        <w:t>Grado de Ejecución de los últimos 5 años</w:t>
      </w:r>
    </w:p>
    <w:p w:rsidR="0041262B" w:rsidRPr="003C3D42" w:rsidRDefault="00AD02C8" w:rsidP="0041262B">
      <w:pPr>
        <w:pStyle w:val="Sinespaciado"/>
        <w:jc w:val="center"/>
        <w:rPr>
          <w:rFonts w:ascii="Times New Roman" w:hAnsi="Times New Roman" w:cs="Times New Roman"/>
          <w:sz w:val="18"/>
          <w:szCs w:val="18"/>
          <w:lang w:val="es-MX"/>
        </w:rPr>
      </w:pPr>
      <w:r w:rsidRPr="003C3D42">
        <w:rPr>
          <w:rFonts w:ascii="Times New Roman" w:hAnsi="Times New Roman" w:cs="Times New Roman"/>
          <w:sz w:val="18"/>
          <w:szCs w:val="18"/>
          <w:lang w:val="es-MX"/>
        </w:rPr>
        <w:t>Al 28 de febre</w:t>
      </w:r>
      <w:r w:rsidR="0041262B" w:rsidRPr="003C3D42">
        <w:rPr>
          <w:rFonts w:ascii="Times New Roman" w:hAnsi="Times New Roman" w:cs="Times New Roman"/>
          <w:sz w:val="18"/>
          <w:szCs w:val="18"/>
          <w:lang w:val="es-MX"/>
        </w:rPr>
        <w:t>ro de cada año</w:t>
      </w:r>
    </w:p>
    <w:p w:rsidR="0041262B" w:rsidRPr="003C3D42" w:rsidRDefault="00AD02C8" w:rsidP="0041262B">
      <w:pPr>
        <w:pStyle w:val="Sinespaciado"/>
        <w:jc w:val="center"/>
        <w:rPr>
          <w:rFonts w:ascii="Times New Roman" w:hAnsi="Times New Roman" w:cs="Times New Roman"/>
          <w:sz w:val="18"/>
          <w:szCs w:val="18"/>
          <w:lang w:val="es-MX"/>
        </w:rPr>
      </w:pPr>
      <w:r w:rsidRPr="003C3D42">
        <w:rPr>
          <w:rFonts w:ascii="Times New Roman" w:hAnsi="Times New Roman" w:cs="Times New Roman"/>
          <w:noProof/>
          <w:sz w:val="18"/>
          <w:szCs w:val="18"/>
          <w:lang w:eastAsia="es-GT"/>
        </w:rPr>
        <w:drawing>
          <wp:anchor distT="0" distB="0" distL="114300" distR="114300" simplePos="0" relativeHeight="251760640" behindDoc="0" locked="0" layoutInCell="1" allowOverlap="1" wp14:anchorId="2023F41D" wp14:editId="1E58AF44">
            <wp:simplePos x="0" y="0"/>
            <wp:positionH relativeFrom="column">
              <wp:posOffset>635</wp:posOffset>
            </wp:positionH>
            <wp:positionV relativeFrom="paragraph">
              <wp:posOffset>184150</wp:posOffset>
            </wp:positionV>
            <wp:extent cx="2687320" cy="1899920"/>
            <wp:effectExtent l="0" t="0" r="0" b="5080"/>
            <wp:wrapSquare wrapText="bothSides"/>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41262B" w:rsidRPr="003C3D42">
        <w:rPr>
          <w:rFonts w:ascii="Times New Roman" w:hAnsi="Times New Roman" w:cs="Times New Roman"/>
          <w:sz w:val="18"/>
          <w:szCs w:val="18"/>
          <w:lang w:val="es-MX"/>
        </w:rPr>
        <w:t>Cifras en porcentajes</w:t>
      </w:r>
    </w:p>
    <w:p w:rsidR="0041262B" w:rsidRPr="003C3D42" w:rsidRDefault="0041262B" w:rsidP="0041262B">
      <w:pPr>
        <w:spacing w:after="0" w:line="240" w:lineRule="auto"/>
        <w:jc w:val="both"/>
        <w:rPr>
          <w:rFonts w:ascii="Times New Roman" w:hAnsi="Times New Roman" w:cs="Times New Roman"/>
          <w:sz w:val="16"/>
        </w:rPr>
      </w:pPr>
      <w:r w:rsidRPr="003C3D42">
        <w:rPr>
          <w:rFonts w:ascii="Times New Roman" w:hAnsi="Times New Roman" w:cs="Times New Roman"/>
          <w:sz w:val="16"/>
        </w:rPr>
        <w:t>Fuente: Dirección de Análisis y Política Fiscal</w:t>
      </w:r>
    </w:p>
    <w:p w:rsidR="0041262B" w:rsidRPr="003C3D42" w:rsidRDefault="0041262B" w:rsidP="0041262B">
      <w:pPr>
        <w:pStyle w:val="Sinespaciado"/>
        <w:jc w:val="both"/>
        <w:rPr>
          <w:rFonts w:ascii="Times New Roman" w:hAnsi="Times New Roman" w:cs="Times New Roman"/>
        </w:rPr>
      </w:pPr>
    </w:p>
    <w:p w:rsidR="00AD02C8" w:rsidRPr="003C3D42" w:rsidRDefault="00AD02C8" w:rsidP="00AD02C8">
      <w:pPr>
        <w:pStyle w:val="Sinespaciado"/>
        <w:jc w:val="both"/>
        <w:rPr>
          <w:rFonts w:ascii="Times New Roman" w:hAnsi="Times New Roman" w:cs="Times New Roman"/>
        </w:rPr>
      </w:pPr>
      <w:r w:rsidRPr="003C3D42">
        <w:rPr>
          <w:rFonts w:ascii="Times New Roman" w:hAnsi="Times New Roman" w:cs="Times New Roman"/>
        </w:rPr>
        <w:t xml:space="preserve">A nivel del gasto público por entidades, muestran el mayor nivel de ejecución Educación (17.4%), Gobernación (17.3%), la PGN (17.2%), Trabajo (13.1%), Ambiente (12.8%), Defensa (12.8%), Servicio de la Deuda Pública (12.1%), Presidencia (12.0%), Energía (11.5%), Finanzas Públicas (11.4%) y Relaciones Exteriores (11.4%), todas estas entidades se encuentran por arriba de la ejecución institucional total. </w:t>
      </w:r>
    </w:p>
    <w:p w:rsidR="00AD02C8" w:rsidRPr="003C3D42" w:rsidRDefault="00AD02C8" w:rsidP="00AD02C8">
      <w:pPr>
        <w:pStyle w:val="Sinespaciado"/>
        <w:jc w:val="both"/>
        <w:rPr>
          <w:rFonts w:ascii="Times New Roman" w:hAnsi="Times New Roman" w:cs="Times New Roman"/>
        </w:rPr>
      </w:pPr>
    </w:p>
    <w:p w:rsidR="00AD02C8" w:rsidRPr="003C3D42" w:rsidRDefault="00AD02C8" w:rsidP="00AD02C8">
      <w:pPr>
        <w:pStyle w:val="Sinespaciado"/>
        <w:jc w:val="both"/>
        <w:rPr>
          <w:rFonts w:ascii="Times New Roman" w:hAnsi="Times New Roman" w:cs="Times New Roman"/>
        </w:rPr>
      </w:pPr>
      <w:r w:rsidRPr="003C3D42">
        <w:rPr>
          <w:rFonts w:ascii="Times New Roman" w:hAnsi="Times New Roman" w:cs="Times New Roman"/>
        </w:rPr>
        <w:t>Por su parte, el resto de las entidades se encuentran por debajo de la ejecución total, resalta el caso de tres entidades, siendo Comunicaciones (4.0%), Economía (1.1%) y Desarrollo Social (0.8%).</w:t>
      </w:r>
    </w:p>
    <w:p w:rsidR="00AD02C8" w:rsidRPr="003C3D42" w:rsidRDefault="00AD02C8" w:rsidP="00AD02C8">
      <w:pPr>
        <w:pStyle w:val="Sinespaciado"/>
        <w:jc w:val="both"/>
        <w:rPr>
          <w:rFonts w:ascii="Times New Roman" w:hAnsi="Times New Roman" w:cs="Times New Roman"/>
        </w:rPr>
      </w:pPr>
    </w:p>
    <w:p w:rsidR="00AD02C8" w:rsidRPr="003C3D42" w:rsidRDefault="00AD02C8" w:rsidP="00AD02C8">
      <w:pPr>
        <w:pStyle w:val="Sinespaciado"/>
        <w:jc w:val="both"/>
        <w:rPr>
          <w:rFonts w:ascii="Times New Roman" w:hAnsi="Times New Roman" w:cs="Times New Roman"/>
        </w:rPr>
      </w:pPr>
      <w:r w:rsidRPr="003C3D42">
        <w:rPr>
          <w:rFonts w:ascii="Times New Roman" w:hAnsi="Times New Roman" w:cs="Times New Roman"/>
        </w:rPr>
        <w:t>En el caso del Ministerio de Desarrollo Social y Ministerio de Economía, la baja ejecución se debe a un presupuesto que no resp</w:t>
      </w:r>
      <w:r w:rsidR="003C3D42" w:rsidRPr="003C3D42">
        <w:rPr>
          <w:rFonts w:ascii="Times New Roman" w:hAnsi="Times New Roman" w:cs="Times New Roman"/>
        </w:rPr>
        <w:t>onde a los programas especificados</w:t>
      </w:r>
      <w:r w:rsidRPr="003C3D42">
        <w:rPr>
          <w:rFonts w:ascii="Times New Roman" w:hAnsi="Times New Roman" w:cs="Times New Roman"/>
        </w:rPr>
        <w:t xml:space="preserve"> para el presente ejercicio fiscal y </w:t>
      </w:r>
      <w:r w:rsidR="003C3D42" w:rsidRPr="003C3D42">
        <w:rPr>
          <w:rFonts w:ascii="Times New Roman" w:hAnsi="Times New Roman" w:cs="Times New Roman"/>
        </w:rPr>
        <w:t xml:space="preserve">a que </w:t>
      </w:r>
      <w:r w:rsidRPr="003C3D42">
        <w:rPr>
          <w:rFonts w:ascii="Times New Roman" w:hAnsi="Times New Roman" w:cs="Times New Roman"/>
        </w:rPr>
        <w:t xml:space="preserve">el presupuesto vigente </w:t>
      </w:r>
      <w:r w:rsidRPr="003C3D42">
        <w:rPr>
          <w:rFonts w:ascii="Times New Roman" w:hAnsi="Times New Roman" w:cs="Times New Roman"/>
        </w:rPr>
        <w:lastRenderedPageBreak/>
        <w:t xml:space="preserve">supera ampliamente a su presupuesto histórico, dado que se están considerando aún las actividades del COVID-19. </w:t>
      </w:r>
    </w:p>
    <w:p w:rsidR="00AD02C8" w:rsidRPr="00FA711C" w:rsidRDefault="00AD02C8" w:rsidP="00AD02C8">
      <w:pPr>
        <w:pStyle w:val="Sinespaciado"/>
        <w:jc w:val="both"/>
        <w:rPr>
          <w:rFonts w:ascii="Times New Roman" w:hAnsi="Times New Roman" w:cs="Times New Roman"/>
          <w:color w:val="FF0000"/>
        </w:rPr>
      </w:pPr>
    </w:p>
    <w:p w:rsidR="00AD02C8" w:rsidRPr="003C3D42" w:rsidRDefault="00AD02C8" w:rsidP="00AD02C8">
      <w:pPr>
        <w:pStyle w:val="Sinespaciado"/>
        <w:jc w:val="both"/>
        <w:rPr>
          <w:rFonts w:ascii="Times New Roman" w:hAnsi="Times New Roman" w:cs="Times New Roman"/>
        </w:rPr>
      </w:pPr>
      <w:r w:rsidRPr="003C3D42">
        <w:rPr>
          <w:rFonts w:ascii="Times New Roman" w:hAnsi="Times New Roman" w:cs="Times New Roman"/>
        </w:rPr>
        <w:t xml:space="preserve">Únicamente el Ministerio de Desarrollo Social reporta un recorte en su presupuesto, siendo por el equivalente a Q1,500 millones, el cual es reorientado hacia el Ministerio de Salud Pública y Asistencia Social y corresponde a la compra de la vacuna contra el COVID-19 y gastos relacionados.  </w:t>
      </w:r>
    </w:p>
    <w:p w:rsidR="00AD02C8" w:rsidRPr="00FA711C" w:rsidRDefault="00AD02C8" w:rsidP="00AD02C8">
      <w:pPr>
        <w:pStyle w:val="Sinespaciado"/>
        <w:jc w:val="both"/>
        <w:rPr>
          <w:rFonts w:ascii="Times New Roman" w:hAnsi="Times New Roman" w:cs="Times New Roman"/>
          <w:color w:val="FF0000"/>
        </w:rPr>
      </w:pPr>
    </w:p>
    <w:p w:rsidR="0041262B" w:rsidRPr="003C3D42" w:rsidRDefault="00AD02C8" w:rsidP="00AD02C8">
      <w:pPr>
        <w:pStyle w:val="Sinespaciado"/>
        <w:jc w:val="both"/>
        <w:rPr>
          <w:rFonts w:ascii="Times New Roman" w:hAnsi="Times New Roman" w:cs="Times New Roman"/>
        </w:rPr>
      </w:pPr>
      <w:r w:rsidRPr="003C3D42">
        <w:rPr>
          <w:rFonts w:ascii="Times New Roman" w:hAnsi="Times New Roman" w:cs="Times New Roman"/>
        </w:rPr>
        <w:t>En el caso del Ministerio de Comunicaciones, Infraestructura y Vivienda, aunque la ejecución puede percibirse baja, es una de las entidades que reporta mayor crecimiento interanual, siendo equivalente a 66.2% (Q106.8 millones) dado una mejora que es visible en la ejecución de la inversión real directa.</w:t>
      </w:r>
      <w:r w:rsidR="0041262B" w:rsidRPr="003C3D42">
        <w:rPr>
          <w:rFonts w:ascii="Times New Roman" w:hAnsi="Times New Roman" w:cs="Times New Roman"/>
        </w:rPr>
        <w:t xml:space="preserve"> </w:t>
      </w:r>
    </w:p>
    <w:p w:rsidR="0041262B" w:rsidRPr="00FA711C" w:rsidRDefault="0041262B" w:rsidP="0041262B">
      <w:pPr>
        <w:pStyle w:val="Sinespaciado"/>
        <w:jc w:val="both"/>
        <w:rPr>
          <w:rFonts w:ascii="Times New Roman" w:hAnsi="Times New Roman" w:cs="Times New Roman"/>
          <w:color w:val="FF0000"/>
          <w:lang w:val="es-MX"/>
        </w:rPr>
      </w:pPr>
    </w:p>
    <w:p w:rsidR="0041262B" w:rsidRPr="003C3D42" w:rsidRDefault="0041262B" w:rsidP="0041262B">
      <w:pPr>
        <w:spacing w:after="0" w:line="240" w:lineRule="auto"/>
        <w:jc w:val="center"/>
        <w:rPr>
          <w:rFonts w:ascii="Times New Roman" w:hAnsi="Times New Roman" w:cs="Times New Roman"/>
          <w:b/>
          <w:lang w:val="es-MX"/>
        </w:rPr>
      </w:pPr>
      <w:r w:rsidRPr="003C3D42">
        <w:rPr>
          <w:rFonts w:ascii="Times New Roman" w:hAnsi="Times New Roman" w:cs="Times New Roman"/>
          <w:b/>
          <w:lang w:val="es-MX"/>
        </w:rPr>
        <w:t>Grado de Ejecución por Entidad</w:t>
      </w:r>
    </w:p>
    <w:p w:rsidR="0041262B" w:rsidRPr="003C3D42" w:rsidRDefault="00AD02C8" w:rsidP="0041262B">
      <w:pPr>
        <w:spacing w:after="0" w:line="240" w:lineRule="auto"/>
        <w:jc w:val="center"/>
        <w:rPr>
          <w:rFonts w:ascii="Times New Roman" w:hAnsi="Times New Roman" w:cs="Times New Roman"/>
          <w:sz w:val="18"/>
          <w:szCs w:val="18"/>
          <w:lang w:val="es-MX"/>
        </w:rPr>
      </w:pPr>
      <w:r w:rsidRPr="003C3D42">
        <w:rPr>
          <w:rFonts w:ascii="Times New Roman" w:hAnsi="Times New Roman" w:cs="Times New Roman"/>
          <w:sz w:val="18"/>
          <w:szCs w:val="18"/>
          <w:lang w:val="es-MX"/>
        </w:rPr>
        <w:t>Al 28 de febre</w:t>
      </w:r>
      <w:r w:rsidR="0041262B" w:rsidRPr="003C3D42">
        <w:rPr>
          <w:rFonts w:ascii="Times New Roman" w:hAnsi="Times New Roman" w:cs="Times New Roman"/>
          <w:sz w:val="18"/>
          <w:szCs w:val="18"/>
          <w:lang w:val="es-MX"/>
        </w:rPr>
        <w:t>ro del 2021</w:t>
      </w:r>
    </w:p>
    <w:p w:rsidR="0041262B" w:rsidRPr="003C3D42" w:rsidRDefault="00AD02C8" w:rsidP="0041262B">
      <w:pPr>
        <w:spacing w:after="0" w:line="240" w:lineRule="auto"/>
        <w:jc w:val="center"/>
        <w:rPr>
          <w:rFonts w:ascii="Times New Roman" w:hAnsi="Times New Roman" w:cs="Times New Roman"/>
          <w:sz w:val="18"/>
          <w:szCs w:val="18"/>
          <w:lang w:val="es-MX"/>
        </w:rPr>
      </w:pPr>
      <w:r w:rsidRPr="003C3D42">
        <w:rPr>
          <w:rFonts w:ascii="Times New Roman" w:hAnsi="Times New Roman" w:cs="Times New Roman"/>
          <w:noProof/>
          <w:sz w:val="18"/>
          <w:szCs w:val="18"/>
          <w:lang w:eastAsia="es-GT"/>
        </w:rPr>
        <w:drawing>
          <wp:anchor distT="0" distB="0" distL="114300" distR="114300" simplePos="0" relativeHeight="251762688" behindDoc="0" locked="0" layoutInCell="1" allowOverlap="1" wp14:anchorId="1119934B" wp14:editId="1D346224">
            <wp:simplePos x="0" y="0"/>
            <wp:positionH relativeFrom="column">
              <wp:posOffset>180975</wp:posOffset>
            </wp:positionH>
            <wp:positionV relativeFrom="paragraph">
              <wp:posOffset>135255</wp:posOffset>
            </wp:positionV>
            <wp:extent cx="2281555" cy="2874645"/>
            <wp:effectExtent l="0" t="0" r="4445" b="1905"/>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41262B" w:rsidRPr="003C3D42">
        <w:rPr>
          <w:rFonts w:ascii="Times New Roman" w:hAnsi="Times New Roman" w:cs="Times New Roman"/>
          <w:sz w:val="18"/>
          <w:szCs w:val="18"/>
          <w:lang w:val="es-MX"/>
        </w:rPr>
        <w:t>Millones de quetzales</w:t>
      </w:r>
    </w:p>
    <w:p w:rsidR="0041262B" w:rsidRPr="003C3D42" w:rsidRDefault="0041262B" w:rsidP="0041262B">
      <w:pPr>
        <w:spacing w:after="0" w:line="240" w:lineRule="auto"/>
        <w:jc w:val="both"/>
        <w:rPr>
          <w:rFonts w:ascii="Times New Roman" w:hAnsi="Times New Roman" w:cs="Times New Roman"/>
          <w:sz w:val="16"/>
        </w:rPr>
      </w:pPr>
      <w:r w:rsidRPr="003C3D42">
        <w:rPr>
          <w:rFonts w:ascii="Times New Roman" w:hAnsi="Times New Roman" w:cs="Times New Roman"/>
          <w:sz w:val="16"/>
        </w:rPr>
        <w:t>Fuente: Dirección de Análisis y Política Fiscal</w:t>
      </w:r>
    </w:p>
    <w:p w:rsidR="00AD02C8" w:rsidRPr="00653D92" w:rsidRDefault="00AD02C8" w:rsidP="00AD02C8">
      <w:pPr>
        <w:pStyle w:val="Sinespaciado"/>
        <w:jc w:val="both"/>
        <w:rPr>
          <w:rFonts w:ascii="Times New Roman" w:hAnsi="Times New Roman" w:cs="Times New Roman"/>
        </w:rPr>
      </w:pPr>
    </w:p>
    <w:p w:rsidR="00AD02C8" w:rsidRPr="00A54C4F" w:rsidRDefault="00AD02C8" w:rsidP="00AD02C8">
      <w:pPr>
        <w:pStyle w:val="Sinespaciado"/>
        <w:jc w:val="both"/>
        <w:rPr>
          <w:rFonts w:ascii="Times New Roman" w:hAnsi="Times New Roman" w:cs="Times New Roman"/>
          <w:lang w:val="es-MX"/>
        </w:rPr>
      </w:pPr>
      <w:r w:rsidRPr="00A54C4F">
        <w:rPr>
          <w:rFonts w:ascii="Times New Roman" w:hAnsi="Times New Roman" w:cs="Times New Roman"/>
          <w:lang w:val="es-MX"/>
        </w:rPr>
        <w:t xml:space="preserve">De la ejecución del gasto social, que considera </w:t>
      </w:r>
    </w:p>
    <w:p w:rsidR="00AD02C8" w:rsidRPr="00A54C4F" w:rsidRDefault="00AD02C8" w:rsidP="00AD02C8">
      <w:pPr>
        <w:pStyle w:val="Sinespaciado"/>
        <w:jc w:val="both"/>
        <w:rPr>
          <w:rFonts w:ascii="Times New Roman" w:hAnsi="Times New Roman" w:cs="Times New Roman"/>
          <w:lang w:val="es-MX"/>
        </w:rPr>
      </w:pPr>
      <w:r w:rsidRPr="00A54C4F">
        <w:rPr>
          <w:rFonts w:ascii="Times New Roman" w:hAnsi="Times New Roman" w:cs="Times New Roman"/>
          <w:lang w:val="es-MX"/>
        </w:rPr>
        <w:t xml:space="preserve">únicamente los sectores de salud, educación y vivienda, se reporta una ejecución de 12.8%, al </w:t>
      </w:r>
      <w:r w:rsidRPr="00A54C4F">
        <w:rPr>
          <w:rFonts w:ascii="Times New Roman" w:hAnsi="Times New Roman" w:cs="Times New Roman"/>
          <w:lang w:val="es-MX"/>
        </w:rPr>
        <w:lastRenderedPageBreak/>
        <w:t xml:space="preserve">incluir en el gasto social a los sectores que son parte de los compromisos asumidos por los Acuerdos de Paz, que incluye la seguridad interna, los aportes al Organismo Judicial, Corte de Constitucionalidad y Ministerio Público, la ejecución asciende hasta ubicarse en 13.0%. </w:t>
      </w:r>
    </w:p>
    <w:p w:rsidR="00AD02C8" w:rsidRPr="00FA711C" w:rsidRDefault="00AD02C8" w:rsidP="00AD02C8">
      <w:pPr>
        <w:pStyle w:val="Sinespaciado"/>
        <w:jc w:val="both"/>
        <w:rPr>
          <w:rFonts w:ascii="Times New Roman" w:hAnsi="Times New Roman" w:cs="Times New Roman"/>
          <w:color w:val="FF0000"/>
          <w:lang w:val="es-MX"/>
        </w:rPr>
      </w:pPr>
    </w:p>
    <w:p w:rsidR="00AD02C8" w:rsidRPr="00A54C4F" w:rsidRDefault="00AD02C8" w:rsidP="00AD02C8">
      <w:pPr>
        <w:pStyle w:val="Sinespaciado"/>
        <w:jc w:val="both"/>
        <w:rPr>
          <w:rFonts w:ascii="Times New Roman" w:hAnsi="Times New Roman" w:cs="Times New Roman"/>
          <w:lang w:val="es-MX"/>
        </w:rPr>
      </w:pPr>
      <w:r w:rsidRPr="00A54C4F">
        <w:rPr>
          <w:rFonts w:ascii="Times New Roman" w:hAnsi="Times New Roman" w:cs="Times New Roman"/>
          <w:lang w:val="es-MX"/>
        </w:rPr>
        <w:t xml:space="preserve">La función de Seguridad Interna reporta el mayor dinamismo del gasto social, con una ejecución de 16.5%, seguido por Educación, Ciencia y Cultura con 15.7% de ejecución. </w:t>
      </w:r>
    </w:p>
    <w:p w:rsidR="00AD02C8" w:rsidRPr="00FA711C" w:rsidRDefault="00AD02C8" w:rsidP="00AD02C8">
      <w:pPr>
        <w:pStyle w:val="Sinespaciado"/>
        <w:jc w:val="both"/>
        <w:rPr>
          <w:rFonts w:ascii="Times New Roman" w:hAnsi="Times New Roman" w:cs="Times New Roman"/>
          <w:color w:val="FF0000"/>
          <w:lang w:val="es-MX"/>
        </w:rPr>
      </w:pPr>
    </w:p>
    <w:p w:rsidR="0041262B" w:rsidRPr="00A54C4F" w:rsidRDefault="00AD02C8" w:rsidP="00AD02C8">
      <w:pPr>
        <w:pStyle w:val="Sinespaciado"/>
        <w:jc w:val="both"/>
        <w:rPr>
          <w:rFonts w:ascii="Times New Roman" w:hAnsi="Times New Roman" w:cs="Times New Roman"/>
          <w:lang w:val="es-MX"/>
        </w:rPr>
      </w:pPr>
      <w:r w:rsidRPr="00A54C4F">
        <w:rPr>
          <w:rFonts w:ascii="Times New Roman" w:hAnsi="Times New Roman" w:cs="Times New Roman"/>
          <w:lang w:val="es-MX"/>
        </w:rPr>
        <w:t>El sector con la menor ejecución es el de la vivienda, reportando únicamente un 6.7%.</w:t>
      </w:r>
      <w:r w:rsidR="0041262B" w:rsidRPr="00A54C4F">
        <w:rPr>
          <w:rFonts w:ascii="Times New Roman" w:hAnsi="Times New Roman" w:cs="Times New Roman"/>
          <w:lang w:val="es-MX"/>
        </w:rPr>
        <w:t xml:space="preserve"> </w:t>
      </w:r>
    </w:p>
    <w:p w:rsidR="0041262B" w:rsidRPr="00FA711C" w:rsidRDefault="0041262B" w:rsidP="0041262B">
      <w:pPr>
        <w:pStyle w:val="Sinespaciado"/>
        <w:jc w:val="both"/>
        <w:rPr>
          <w:rFonts w:ascii="Times New Roman" w:hAnsi="Times New Roman" w:cs="Times New Roman"/>
          <w:color w:val="FF0000"/>
          <w:lang w:val="es-MX"/>
        </w:rPr>
      </w:pPr>
    </w:p>
    <w:p w:rsidR="0041262B" w:rsidRPr="00A54C4F" w:rsidRDefault="0041262B" w:rsidP="0041262B">
      <w:pPr>
        <w:pStyle w:val="Sinespaciado"/>
        <w:jc w:val="center"/>
        <w:rPr>
          <w:rFonts w:ascii="Times New Roman" w:hAnsi="Times New Roman" w:cs="Times New Roman"/>
          <w:b/>
          <w:lang w:val="es-MX"/>
        </w:rPr>
      </w:pPr>
      <w:r w:rsidRPr="00A54C4F">
        <w:rPr>
          <w:rFonts w:ascii="Times New Roman" w:hAnsi="Times New Roman" w:cs="Times New Roman"/>
          <w:b/>
          <w:lang w:val="es-MX"/>
        </w:rPr>
        <w:t xml:space="preserve">Ejecución y crecimiento del Gasto Social </w:t>
      </w:r>
    </w:p>
    <w:p w:rsidR="0041262B" w:rsidRPr="00A54C4F" w:rsidRDefault="00AD02C8" w:rsidP="0041262B">
      <w:pPr>
        <w:pStyle w:val="Sinespaciado"/>
        <w:jc w:val="center"/>
        <w:rPr>
          <w:rFonts w:ascii="Times New Roman" w:hAnsi="Times New Roman" w:cs="Times New Roman"/>
          <w:sz w:val="18"/>
          <w:szCs w:val="18"/>
          <w:lang w:val="es-MX"/>
        </w:rPr>
      </w:pPr>
      <w:r w:rsidRPr="00A54C4F">
        <w:rPr>
          <w:rFonts w:ascii="Times New Roman" w:hAnsi="Times New Roman" w:cs="Times New Roman"/>
          <w:sz w:val="18"/>
          <w:szCs w:val="18"/>
          <w:lang w:val="es-MX"/>
        </w:rPr>
        <w:t>Al 28 de febre</w:t>
      </w:r>
      <w:r w:rsidR="0041262B" w:rsidRPr="00A54C4F">
        <w:rPr>
          <w:rFonts w:ascii="Times New Roman" w:hAnsi="Times New Roman" w:cs="Times New Roman"/>
          <w:sz w:val="18"/>
          <w:szCs w:val="18"/>
          <w:lang w:val="es-MX"/>
        </w:rPr>
        <w:t>ro 2021</w:t>
      </w:r>
    </w:p>
    <w:p w:rsidR="0041262B" w:rsidRPr="00A54C4F" w:rsidRDefault="00AD02C8" w:rsidP="0041262B">
      <w:pPr>
        <w:pStyle w:val="Sinespaciado"/>
        <w:jc w:val="center"/>
        <w:rPr>
          <w:rFonts w:ascii="Times New Roman" w:hAnsi="Times New Roman" w:cs="Times New Roman"/>
          <w:sz w:val="18"/>
          <w:szCs w:val="18"/>
          <w:lang w:val="es-MX"/>
        </w:rPr>
      </w:pPr>
      <w:r w:rsidRPr="00A54C4F">
        <w:rPr>
          <w:noProof/>
          <w:lang w:eastAsia="es-GT"/>
        </w:rPr>
        <w:drawing>
          <wp:anchor distT="0" distB="0" distL="114300" distR="114300" simplePos="0" relativeHeight="251764736" behindDoc="0" locked="0" layoutInCell="1" allowOverlap="1" wp14:anchorId="3AD6566A" wp14:editId="4BBDEA63">
            <wp:simplePos x="0" y="0"/>
            <wp:positionH relativeFrom="column">
              <wp:posOffset>-121920</wp:posOffset>
            </wp:positionH>
            <wp:positionV relativeFrom="paragraph">
              <wp:posOffset>179070</wp:posOffset>
            </wp:positionV>
            <wp:extent cx="2913380" cy="1250950"/>
            <wp:effectExtent l="0" t="0" r="1270" b="6350"/>
            <wp:wrapSquare wrapText="bothSides"/>
            <wp:docPr id="2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338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62B" w:rsidRPr="00A54C4F">
        <w:rPr>
          <w:rFonts w:ascii="Times New Roman" w:hAnsi="Times New Roman" w:cs="Times New Roman"/>
          <w:sz w:val="18"/>
          <w:szCs w:val="18"/>
          <w:lang w:val="es-MX"/>
        </w:rPr>
        <w:t>Cifras en porcentajes y en millones de quetzales</w:t>
      </w:r>
    </w:p>
    <w:p w:rsidR="0041262B" w:rsidRPr="00A54C4F" w:rsidRDefault="0041262B" w:rsidP="0041262B">
      <w:pPr>
        <w:pStyle w:val="Sinespaciado"/>
        <w:rPr>
          <w:rFonts w:ascii="Times New Roman" w:hAnsi="Times New Roman" w:cs="Times New Roman"/>
          <w:sz w:val="16"/>
        </w:rPr>
      </w:pPr>
      <w:r w:rsidRPr="00A54C4F">
        <w:rPr>
          <w:rFonts w:ascii="Times New Roman" w:hAnsi="Times New Roman" w:cs="Times New Roman"/>
          <w:sz w:val="16"/>
        </w:rPr>
        <w:t>Fuente: Dirección de Análisis y Política Fiscal</w:t>
      </w:r>
    </w:p>
    <w:p w:rsidR="00BA782D" w:rsidRPr="00FA711C" w:rsidRDefault="00BA782D" w:rsidP="00BA782D">
      <w:pPr>
        <w:pStyle w:val="Sinespaciado"/>
        <w:jc w:val="both"/>
        <w:rPr>
          <w:rFonts w:ascii="Times New Roman" w:hAnsi="Times New Roman" w:cs="Times New Roman"/>
          <w:color w:val="FF0000"/>
          <w:sz w:val="16"/>
        </w:rPr>
        <w:sectPr w:rsidR="00BA782D" w:rsidRPr="00FA711C" w:rsidSect="00040C99">
          <w:headerReference w:type="default" r:id="rId24"/>
          <w:footerReference w:type="default" r:id="rId25"/>
          <w:type w:val="continuous"/>
          <w:pgSz w:w="12240" w:h="15840" w:code="1"/>
          <w:pgMar w:top="1418" w:right="1418" w:bottom="1418" w:left="1701" w:header="709" w:footer="709" w:gutter="0"/>
          <w:cols w:num="2" w:space="708"/>
          <w:docGrid w:linePitch="360"/>
        </w:sectPr>
      </w:pPr>
    </w:p>
    <w:p w:rsidR="008E66C1" w:rsidRPr="002C767B" w:rsidRDefault="008E66C1" w:rsidP="00CE75B5">
      <w:pPr>
        <w:pStyle w:val="Sinespaciado"/>
        <w:jc w:val="both"/>
        <w:rPr>
          <w:rFonts w:ascii="Times New Roman" w:hAnsi="Times New Roman" w:cs="Times New Roman"/>
          <w:color w:val="FF0000"/>
          <w:sz w:val="8"/>
        </w:rPr>
        <w:sectPr w:rsidR="008E66C1" w:rsidRPr="002C767B" w:rsidSect="008E66C1">
          <w:headerReference w:type="default" r:id="rId26"/>
          <w:footerReference w:type="default" r:id="rId27"/>
          <w:type w:val="continuous"/>
          <w:pgSz w:w="12240" w:h="15840"/>
          <w:pgMar w:top="1417" w:right="1467" w:bottom="1417" w:left="1701" w:header="708" w:footer="708" w:gutter="0"/>
          <w:cols w:num="2" w:space="708"/>
          <w:docGrid w:linePitch="360"/>
        </w:sectPr>
      </w:pPr>
    </w:p>
    <w:p w:rsidR="009B76D6" w:rsidRPr="002C767B" w:rsidRDefault="009B76D6" w:rsidP="00D4202F">
      <w:pPr>
        <w:spacing w:after="0"/>
        <w:rPr>
          <w:rFonts w:ascii="Times New Roman" w:hAnsi="Times New Roman" w:cs="Times New Roman"/>
          <w:color w:val="FF0000"/>
          <w:sz w:val="10"/>
          <w:lang w:val="es-MX"/>
        </w:rPr>
        <w:sectPr w:rsidR="009B76D6" w:rsidRPr="002C767B" w:rsidSect="004E358C">
          <w:type w:val="continuous"/>
          <w:pgSz w:w="12240" w:h="15840"/>
          <w:pgMar w:top="1417" w:right="1701" w:bottom="1417" w:left="1701" w:header="708" w:footer="708" w:gutter="0"/>
          <w:cols w:num="2" w:space="708"/>
          <w:docGrid w:linePitch="360"/>
        </w:sectPr>
      </w:pPr>
    </w:p>
    <w:p w:rsidR="00494D1D" w:rsidRPr="00157F7B" w:rsidRDefault="0042387A" w:rsidP="00BB4C28">
      <w:pPr>
        <w:pBdr>
          <w:top w:val="single" w:sz="4" w:space="0"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494D1D" w:rsidRPr="00157F7B" w:rsidSect="00FA3B81">
          <w:headerReference w:type="default" r:id="rId28"/>
          <w:footerReference w:type="default" r:id="rId29"/>
          <w:type w:val="continuous"/>
          <w:pgSz w:w="12240" w:h="15840" w:code="1"/>
          <w:pgMar w:top="1418" w:right="1418" w:bottom="1418" w:left="1418" w:header="709" w:footer="709" w:gutter="0"/>
          <w:cols w:space="708"/>
          <w:docGrid w:linePitch="360"/>
        </w:sectPr>
      </w:pPr>
      <w:r w:rsidRPr="00157F7B">
        <w:rPr>
          <w:rFonts w:ascii="Times New Roman" w:hAnsi="Times New Roman" w:cs="Times New Roman"/>
          <w:b/>
          <w:lang w:val="es-MX"/>
        </w:rPr>
        <w:lastRenderedPageBreak/>
        <w:t>Ambientes macroeconómicos (externo e interno)</w:t>
      </w:r>
    </w:p>
    <w:p w:rsidR="00494D1D" w:rsidRPr="00157F7B" w:rsidRDefault="00494D1D" w:rsidP="00494D1D">
      <w:pPr>
        <w:pStyle w:val="Sinespaciado"/>
        <w:rPr>
          <w:rFonts w:ascii="Times New Roman" w:hAnsi="Times New Roman" w:cs="Times New Roman"/>
          <w:b/>
          <w:sz w:val="18"/>
          <w:lang w:val="es-MX"/>
        </w:rPr>
      </w:pPr>
    </w:p>
    <w:p w:rsidR="00494D1D" w:rsidRPr="00157F7B" w:rsidRDefault="00494D1D" w:rsidP="00494D1D">
      <w:pPr>
        <w:pStyle w:val="Sinespaciado"/>
        <w:rPr>
          <w:rFonts w:ascii="Times New Roman" w:hAnsi="Times New Roman" w:cs="Times New Roman"/>
          <w:b/>
          <w:sz w:val="28"/>
          <w:lang w:val="es-MX"/>
        </w:rPr>
        <w:sectPr w:rsidR="00494D1D" w:rsidRPr="00157F7B" w:rsidSect="004E358C">
          <w:type w:val="continuous"/>
          <w:pgSz w:w="12240" w:h="15840"/>
          <w:pgMar w:top="1417" w:right="1701" w:bottom="1417" w:left="1701" w:header="708" w:footer="708" w:gutter="0"/>
          <w:cols w:space="708"/>
          <w:docGrid w:linePitch="360"/>
        </w:sectPr>
      </w:pPr>
    </w:p>
    <w:p w:rsidR="0060136C" w:rsidRPr="00157F7B" w:rsidRDefault="00E16303" w:rsidP="00080B88">
      <w:pPr>
        <w:pStyle w:val="Textodeglobo"/>
        <w:jc w:val="both"/>
        <w:rPr>
          <w:rFonts w:ascii="Times New Roman" w:hAnsi="Times New Roman" w:cs="Times New Roman"/>
          <w:sz w:val="22"/>
          <w:szCs w:val="22"/>
        </w:rPr>
      </w:pPr>
      <w:r w:rsidRPr="00157F7B">
        <w:rPr>
          <w:rFonts w:ascii="Times New Roman" w:hAnsi="Times New Roman" w:cs="Times New Roman"/>
          <w:sz w:val="22"/>
          <w:szCs w:val="22"/>
        </w:rPr>
        <w:lastRenderedPageBreak/>
        <w:t xml:space="preserve">Entre lo más relevante acontecido </w:t>
      </w:r>
      <w:r w:rsidR="0040580B" w:rsidRPr="00157F7B">
        <w:rPr>
          <w:rFonts w:ascii="Times New Roman" w:hAnsi="Times New Roman" w:cs="Times New Roman"/>
          <w:sz w:val="22"/>
          <w:szCs w:val="22"/>
        </w:rPr>
        <w:t xml:space="preserve">en </w:t>
      </w:r>
      <w:r w:rsidR="0060136C" w:rsidRPr="00157F7B">
        <w:rPr>
          <w:rFonts w:ascii="Times New Roman" w:hAnsi="Times New Roman" w:cs="Times New Roman"/>
          <w:sz w:val="22"/>
          <w:szCs w:val="22"/>
        </w:rPr>
        <w:t>febrero</w:t>
      </w:r>
      <w:r w:rsidR="00E551C4" w:rsidRPr="00157F7B">
        <w:rPr>
          <w:rFonts w:ascii="Times New Roman" w:hAnsi="Times New Roman" w:cs="Times New Roman"/>
          <w:sz w:val="22"/>
          <w:szCs w:val="22"/>
        </w:rPr>
        <w:t xml:space="preserve"> se </w:t>
      </w:r>
      <w:r w:rsidR="00CB5234" w:rsidRPr="00157F7B">
        <w:rPr>
          <w:rFonts w:ascii="Times New Roman" w:hAnsi="Times New Roman" w:cs="Times New Roman"/>
          <w:sz w:val="22"/>
          <w:szCs w:val="22"/>
        </w:rPr>
        <w:t xml:space="preserve">destaca </w:t>
      </w:r>
      <w:r w:rsidR="0060136C" w:rsidRPr="00157F7B">
        <w:rPr>
          <w:rFonts w:ascii="Times New Roman" w:hAnsi="Times New Roman" w:cs="Times New Roman"/>
          <w:sz w:val="22"/>
          <w:szCs w:val="22"/>
        </w:rPr>
        <w:t>la publicación del Libro Beige de la Reserva Federal (Fed) de Estados Unidos, en donde se destaca que la actividad económica se expandió "modestamente" en las últimas semanas en la mayoría de distritos del país. No obstante, la mayoría de empresas "permanece optimista" con respecto a las perspectivas para los próximos 6 o 12 meses debido que las vacunas del Covid-19 son más ampliamente distribuidas.  En este sentido, la mayoría de distritos de la Fed informaron de un crecimiento de los niveles de empleo con respecto a las semanas previas a enero, aunque el alza se ha ralentizado de nuevo.</w:t>
      </w:r>
    </w:p>
    <w:p w:rsidR="0060136C" w:rsidRPr="00157F7B" w:rsidRDefault="0060136C" w:rsidP="00080B88">
      <w:pPr>
        <w:pStyle w:val="Textodeglobo"/>
        <w:ind w:left="-142"/>
        <w:jc w:val="both"/>
        <w:rPr>
          <w:rFonts w:ascii="Times New Roman" w:hAnsi="Times New Roman" w:cs="Times New Roman"/>
          <w:sz w:val="22"/>
          <w:szCs w:val="22"/>
        </w:rPr>
      </w:pPr>
    </w:p>
    <w:p w:rsidR="00CB5234" w:rsidRPr="00157F7B" w:rsidRDefault="0060136C" w:rsidP="00080B88">
      <w:pPr>
        <w:pStyle w:val="Textodeglobo"/>
        <w:jc w:val="both"/>
        <w:rPr>
          <w:rFonts w:ascii="Times New Roman" w:hAnsi="Times New Roman" w:cs="Times New Roman"/>
          <w:sz w:val="22"/>
          <w:szCs w:val="22"/>
        </w:rPr>
      </w:pPr>
      <w:r w:rsidRPr="00157F7B">
        <w:rPr>
          <w:rFonts w:ascii="Times New Roman" w:hAnsi="Times New Roman" w:cs="Times New Roman"/>
          <w:sz w:val="22"/>
          <w:szCs w:val="22"/>
        </w:rPr>
        <w:t xml:space="preserve">La tasa de desempleo estadounidense disminuyó 6.2% en febrero, </w:t>
      </w:r>
      <w:r w:rsidR="00C1020B" w:rsidRPr="00157F7B">
        <w:rPr>
          <w:rFonts w:ascii="Times New Roman" w:hAnsi="Times New Roman" w:cs="Times New Roman"/>
          <w:sz w:val="22"/>
          <w:szCs w:val="22"/>
        </w:rPr>
        <w:t>los empleadores generaron 379,000 empleos; la mayor parte de las ganancias laborales se produjeron en ocio y hostelería, y se registraron también más empleos, en menor medida, en servicios de ayuda temporal, atención médica y asistencia social, comercio minorista y fabricación de bienes, según información de la Oficina de Estadísticas Laborales de EEUU.</w:t>
      </w:r>
    </w:p>
    <w:p w:rsidR="00CB5234" w:rsidRPr="00157F7B" w:rsidRDefault="00CB5234" w:rsidP="00080B88">
      <w:pPr>
        <w:pStyle w:val="Textodeglobo"/>
        <w:ind w:left="-142"/>
        <w:jc w:val="both"/>
        <w:rPr>
          <w:rFonts w:ascii="Times New Roman" w:hAnsi="Times New Roman" w:cs="Times New Roman"/>
          <w:sz w:val="22"/>
          <w:szCs w:val="22"/>
        </w:rPr>
      </w:pPr>
    </w:p>
    <w:p w:rsidR="0062255C" w:rsidRPr="00157F7B" w:rsidRDefault="00CC741C" w:rsidP="00080B88">
      <w:pPr>
        <w:spacing w:after="0" w:line="240" w:lineRule="auto"/>
        <w:jc w:val="both"/>
        <w:rPr>
          <w:rFonts w:ascii="Times New Roman" w:hAnsi="Times New Roman" w:cs="Times New Roman"/>
        </w:rPr>
      </w:pPr>
      <w:r w:rsidRPr="00157F7B">
        <w:rPr>
          <w:rFonts w:ascii="Times New Roman" w:hAnsi="Times New Roman" w:cs="Times New Roman"/>
        </w:rPr>
        <w:lastRenderedPageBreak/>
        <w:t>La inflación en la zona euro en febrero fue de 0.9% en términos interanuales, el mismo nivel que en enero, según la primera estimación de Eurostat, la agencia de estadística de la Unión Europea. Con relación al mes anterior, el incremento fue de 0.2% mientras que la inflación básica, que excluye a los rubros más volátiles, registró una desa</w:t>
      </w:r>
      <w:bookmarkStart w:id="0" w:name="_GoBack"/>
      <w:bookmarkEnd w:id="0"/>
      <w:r w:rsidRPr="00157F7B">
        <w:rPr>
          <w:rFonts w:ascii="Times New Roman" w:hAnsi="Times New Roman" w:cs="Times New Roman"/>
        </w:rPr>
        <w:t>celeración dado que pasó de 1.4% en enero a 1.2% en febrero. El rubro que presentó la mayor suba fue el de Alimentos en tanto que los precios de la energía mostraron un retroceso, pero los analistas consideran que esa situación se revertirá pronto como consecuencia del aumento del petróleo.</w:t>
      </w:r>
    </w:p>
    <w:p w:rsidR="00C645BC" w:rsidRPr="00157F7B" w:rsidRDefault="00C645BC" w:rsidP="00080B88">
      <w:pPr>
        <w:spacing w:after="0" w:line="240" w:lineRule="auto"/>
        <w:ind w:left="-142"/>
        <w:jc w:val="both"/>
        <w:rPr>
          <w:rFonts w:ascii="Times New Roman" w:hAnsi="Times New Roman" w:cs="Times New Roman"/>
        </w:rPr>
      </w:pPr>
    </w:p>
    <w:p w:rsidR="00CC1604" w:rsidRPr="00157F7B" w:rsidRDefault="00CC1604" w:rsidP="008E66C1">
      <w:pPr>
        <w:spacing w:after="0" w:line="240" w:lineRule="auto"/>
        <w:jc w:val="both"/>
        <w:rPr>
          <w:rFonts w:ascii="Times New Roman" w:hAnsi="Times New Roman" w:cs="Times New Roman"/>
        </w:rPr>
      </w:pPr>
      <w:r w:rsidRPr="00157F7B">
        <w:rPr>
          <w:rFonts w:ascii="Times New Roman" w:hAnsi="Times New Roman" w:cs="Times New Roman"/>
        </w:rPr>
        <w:t>China estableció un objetivo de crecimiento para 2021 por encima del 6%, según el informe de trabajo del Gobierno entregado a la Asamblea Nacional Popular.  Asimismo, se marca el objetivo de crear más de 11 millones de puestos de trabajo urbanos</w:t>
      </w:r>
      <w:r w:rsidR="00EA7845" w:rsidRPr="00157F7B">
        <w:rPr>
          <w:rFonts w:ascii="Times New Roman" w:hAnsi="Times New Roman" w:cs="Times New Roman"/>
        </w:rPr>
        <w:t xml:space="preserve"> y </w:t>
      </w:r>
      <w:r w:rsidRPr="00157F7B">
        <w:rPr>
          <w:rFonts w:ascii="Times New Roman" w:hAnsi="Times New Roman" w:cs="Times New Roman"/>
        </w:rPr>
        <w:t>también se fija alcanzar un equilibrio básico en la balanza de pagos y se compromete a no realizar grandes cambios en su política macroeconómica este año. Asimismo, el informe indica que el crecimiento de la partida para Investigación y Desarrollo será del 7 % anual.</w:t>
      </w:r>
    </w:p>
    <w:p w:rsidR="00CC1604" w:rsidRPr="00157F7B" w:rsidRDefault="00CC1604" w:rsidP="00080B88">
      <w:pPr>
        <w:spacing w:after="0" w:line="240" w:lineRule="auto"/>
        <w:ind w:left="-142"/>
        <w:jc w:val="both"/>
        <w:rPr>
          <w:rFonts w:ascii="Times New Roman" w:hAnsi="Times New Roman" w:cs="Times New Roman"/>
        </w:rPr>
      </w:pPr>
    </w:p>
    <w:p w:rsidR="009C5F4E" w:rsidRPr="00157F7B" w:rsidRDefault="00AC614D" w:rsidP="008E66C1">
      <w:pPr>
        <w:spacing w:after="0" w:line="240" w:lineRule="auto"/>
        <w:jc w:val="both"/>
        <w:rPr>
          <w:rFonts w:ascii="Times New Roman" w:hAnsi="Times New Roman" w:cs="Times New Roman"/>
          <w:lang w:val="es-MX"/>
        </w:rPr>
      </w:pPr>
      <w:r w:rsidRPr="00157F7B">
        <w:rPr>
          <w:rFonts w:ascii="Times New Roman" w:hAnsi="Times New Roman" w:cs="Times New Roman"/>
          <w:lang w:val="es-MX"/>
        </w:rPr>
        <w:lastRenderedPageBreak/>
        <w:t>El FMI dio a conocer su análisis para la región latinoamericana, resaltando que tras la contracción del 7.4% del PIB en 2020 será necesario mantener los estímulos económicos y fiscales. Para 2021 y 2022, el FMI ha proyectado un crecimiento económico del 4.1% en el primer año y del 3.0% en el segundo, con crecimientos en Argentina (4.5%), Brasil (3.6%) y México (3.6%), entre otros. En aquellos países donde la caída fue más pronunciada durante 2020, se producirá una recuperación más vigorosa en 2021, como es el caso de Perú (9.0%).</w:t>
      </w:r>
    </w:p>
    <w:p w:rsidR="002F14AA" w:rsidRPr="00157F7B" w:rsidRDefault="002F14AA" w:rsidP="00D61F8E">
      <w:pPr>
        <w:pStyle w:val="Sinespaciado"/>
        <w:jc w:val="both"/>
        <w:rPr>
          <w:rFonts w:ascii="Times New Roman" w:eastAsia="Times New Roman" w:hAnsi="Times New Roman" w:cs="Times New Roman"/>
          <w:sz w:val="18"/>
          <w:lang w:val="es-MX"/>
        </w:rPr>
      </w:pPr>
    </w:p>
    <w:p w:rsidR="00E1309C" w:rsidRPr="00157F7B" w:rsidRDefault="003804E5" w:rsidP="00E1309C">
      <w:pPr>
        <w:pStyle w:val="Sinespaciado"/>
        <w:jc w:val="both"/>
        <w:rPr>
          <w:rFonts w:ascii="Times New Roman" w:eastAsia="Times New Roman" w:hAnsi="Times New Roman" w:cs="Times New Roman"/>
          <w:lang w:val="es-MX"/>
        </w:rPr>
      </w:pPr>
      <w:r w:rsidRPr="00157F7B">
        <w:rPr>
          <w:rFonts w:ascii="Times New Roman" w:eastAsia="Times New Roman" w:hAnsi="Times New Roman" w:cs="Times New Roman"/>
          <w:lang w:val="es-MX"/>
        </w:rPr>
        <w:lastRenderedPageBreak/>
        <w:t xml:space="preserve">En el entorno interno, </w:t>
      </w:r>
      <w:r w:rsidR="00CC741C" w:rsidRPr="00157F7B">
        <w:rPr>
          <w:rFonts w:ascii="Times New Roman" w:eastAsia="Times New Roman" w:hAnsi="Times New Roman" w:cs="Times New Roman"/>
          <w:lang w:val="es-MX"/>
        </w:rPr>
        <w:t xml:space="preserve">la actividad económica medida por la estimación del IMAE en enero de 2021, registró una tasa de variación de 3.2% (4.7% en enero de 2020). Dicho resultado estuvo influenciado, principalmente, por el crecimiento en las actividades de: Comercio y reparación de vehículos; Agricultura, ganadería, silvicultura y pesca; Industrias manufactureras; Actividades inmobiliarias; Información y comunicaciones; y, Actividades de atención de la salud </w:t>
      </w:r>
      <w:r w:rsidR="006F1B31" w:rsidRPr="00157F7B">
        <w:rPr>
          <w:rFonts w:ascii="Times New Roman" w:eastAsia="Times New Roman" w:hAnsi="Times New Roman" w:cs="Times New Roman"/>
          <w:lang w:val="es-MX"/>
        </w:rPr>
        <w:t xml:space="preserve">humana y de asistencia social. </w:t>
      </w:r>
    </w:p>
    <w:p w:rsidR="006F1B31" w:rsidRPr="00157F7B" w:rsidRDefault="006F1B31" w:rsidP="00E1309C">
      <w:pPr>
        <w:pStyle w:val="Sinespaciado"/>
        <w:jc w:val="both"/>
        <w:rPr>
          <w:rFonts w:ascii="Times New Roman" w:eastAsia="Times New Roman" w:hAnsi="Times New Roman" w:cs="Times New Roman"/>
          <w:lang w:val="es-MX"/>
        </w:rPr>
      </w:pPr>
    </w:p>
    <w:p w:rsidR="006F1B31" w:rsidRDefault="006F1B31" w:rsidP="00F062BF">
      <w:pPr>
        <w:spacing w:after="0" w:line="240" w:lineRule="auto"/>
        <w:rPr>
          <w:rFonts w:ascii="Times New Roman" w:hAnsi="Times New Roman" w:cs="Times New Roman"/>
          <w:noProof/>
          <w:color w:val="FF0000"/>
          <w:sz w:val="16"/>
          <w:lang w:val="es-MX" w:eastAsia="es-GT"/>
        </w:rPr>
      </w:pPr>
    </w:p>
    <w:p w:rsidR="00157F7B" w:rsidRDefault="00157F7B" w:rsidP="00F062BF">
      <w:pPr>
        <w:spacing w:after="0" w:line="240" w:lineRule="auto"/>
        <w:rPr>
          <w:rFonts w:ascii="Times New Roman" w:hAnsi="Times New Roman" w:cs="Times New Roman"/>
          <w:noProof/>
          <w:color w:val="FF0000"/>
          <w:sz w:val="16"/>
          <w:lang w:val="es-MX" w:eastAsia="es-GT"/>
        </w:rPr>
      </w:pPr>
    </w:p>
    <w:p w:rsidR="00157F7B" w:rsidRPr="00FA711C" w:rsidRDefault="00157F7B" w:rsidP="00F062BF">
      <w:pPr>
        <w:spacing w:after="0" w:line="240" w:lineRule="auto"/>
        <w:rPr>
          <w:rFonts w:ascii="Times New Roman" w:hAnsi="Times New Roman" w:cs="Times New Roman"/>
          <w:noProof/>
          <w:color w:val="FF0000"/>
          <w:sz w:val="16"/>
          <w:lang w:val="es-MX" w:eastAsia="es-GT"/>
        </w:rPr>
        <w:sectPr w:rsidR="00157F7B" w:rsidRPr="00FA711C" w:rsidSect="00157F7B">
          <w:headerReference w:type="default" r:id="rId30"/>
          <w:footerReference w:type="default" r:id="rId31"/>
          <w:type w:val="continuous"/>
          <w:pgSz w:w="12240" w:h="15840" w:code="1"/>
          <w:pgMar w:top="1418" w:right="1418" w:bottom="1418" w:left="1701" w:header="709" w:footer="709" w:gutter="0"/>
          <w:cols w:num="2" w:space="708"/>
          <w:docGrid w:linePitch="360"/>
        </w:sectPr>
      </w:pPr>
    </w:p>
    <w:p w:rsidR="003D557F" w:rsidRPr="00FA711C" w:rsidRDefault="003D557F" w:rsidP="00AD5816">
      <w:pPr>
        <w:spacing w:after="0" w:line="240" w:lineRule="auto"/>
        <w:rPr>
          <w:rFonts w:ascii="Times New Roman" w:hAnsi="Times New Roman" w:cs="Times New Roman"/>
          <w:noProof/>
          <w:color w:val="FF0000"/>
          <w:sz w:val="16"/>
          <w:lang w:eastAsia="es-GT"/>
        </w:rPr>
      </w:pPr>
    </w:p>
    <w:p w:rsidR="001A6038" w:rsidRPr="00FA711C" w:rsidRDefault="001A6038" w:rsidP="00AD5816">
      <w:pPr>
        <w:spacing w:after="0" w:line="240" w:lineRule="auto"/>
        <w:rPr>
          <w:rFonts w:ascii="Times New Roman" w:hAnsi="Times New Roman" w:cs="Times New Roman"/>
          <w:noProof/>
          <w:color w:val="FF0000"/>
          <w:sz w:val="16"/>
          <w:lang w:eastAsia="es-GT"/>
        </w:rPr>
      </w:pPr>
    </w:p>
    <w:p w:rsidR="001A6038" w:rsidRPr="00FA711C" w:rsidRDefault="001A6038" w:rsidP="00AD5816">
      <w:pPr>
        <w:spacing w:after="0" w:line="240" w:lineRule="auto"/>
        <w:rPr>
          <w:rFonts w:ascii="Times New Roman" w:hAnsi="Times New Roman" w:cs="Times New Roman"/>
          <w:noProof/>
          <w:color w:val="FF0000"/>
          <w:sz w:val="16"/>
          <w:lang w:eastAsia="es-GT"/>
        </w:rPr>
      </w:pPr>
    </w:p>
    <w:p w:rsidR="001A6038" w:rsidRPr="00FA711C" w:rsidRDefault="001A6038" w:rsidP="00AD5816">
      <w:pPr>
        <w:spacing w:after="0" w:line="240" w:lineRule="auto"/>
        <w:rPr>
          <w:rFonts w:ascii="Times New Roman" w:hAnsi="Times New Roman" w:cs="Times New Roman"/>
          <w:noProof/>
          <w:color w:val="FF0000"/>
          <w:sz w:val="16"/>
          <w:lang w:eastAsia="es-GT"/>
        </w:rPr>
      </w:pPr>
    </w:p>
    <w:p w:rsidR="003D2128" w:rsidRPr="00FA711C" w:rsidRDefault="003D2128" w:rsidP="00AD5816">
      <w:pPr>
        <w:spacing w:after="0" w:line="240" w:lineRule="auto"/>
        <w:rPr>
          <w:rFonts w:ascii="Times New Roman" w:hAnsi="Times New Roman" w:cs="Times New Roman"/>
          <w:noProof/>
          <w:color w:val="FF0000"/>
          <w:sz w:val="16"/>
          <w:lang w:eastAsia="es-GT"/>
        </w:rPr>
      </w:pPr>
    </w:p>
    <w:p w:rsidR="00751CCA" w:rsidRDefault="00751CCA"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653D92" w:rsidRDefault="00653D92" w:rsidP="00AD5816">
      <w:pPr>
        <w:spacing w:after="0" w:line="240" w:lineRule="auto"/>
        <w:rPr>
          <w:rFonts w:ascii="Times New Roman" w:hAnsi="Times New Roman" w:cs="Times New Roman"/>
          <w:noProof/>
          <w:color w:val="FF0000"/>
          <w:sz w:val="16"/>
          <w:lang w:eastAsia="es-GT"/>
        </w:rPr>
      </w:pPr>
    </w:p>
    <w:p w:rsidR="00653D92" w:rsidRDefault="00653D92" w:rsidP="00AD5816">
      <w:pPr>
        <w:spacing w:after="0" w:line="240" w:lineRule="auto"/>
        <w:rPr>
          <w:rFonts w:ascii="Times New Roman" w:hAnsi="Times New Roman" w:cs="Times New Roman"/>
          <w:noProof/>
          <w:color w:val="FF0000"/>
          <w:sz w:val="16"/>
          <w:lang w:eastAsia="es-GT"/>
        </w:rPr>
      </w:pPr>
    </w:p>
    <w:p w:rsidR="00653D92" w:rsidRDefault="00653D92" w:rsidP="00AD5816">
      <w:pPr>
        <w:spacing w:after="0" w:line="240" w:lineRule="auto"/>
        <w:rPr>
          <w:rFonts w:ascii="Times New Roman" w:hAnsi="Times New Roman" w:cs="Times New Roman"/>
          <w:noProof/>
          <w:color w:val="FF0000"/>
          <w:sz w:val="16"/>
          <w:lang w:eastAsia="es-GT"/>
        </w:rPr>
      </w:pPr>
    </w:p>
    <w:p w:rsidR="00653D92" w:rsidRDefault="00653D92" w:rsidP="00AD5816">
      <w:pPr>
        <w:spacing w:after="0" w:line="240" w:lineRule="auto"/>
        <w:rPr>
          <w:rFonts w:ascii="Times New Roman" w:hAnsi="Times New Roman" w:cs="Times New Roman"/>
          <w:noProof/>
          <w:color w:val="FF0000"/>
          <w:sz w:val="16"/>
          <w:lang w:eastAsia="es-GT"/>
        </w:rPr>
      </w:pPr>
    </w:p>
    <w:p w:rsidR="00653D92" w:rsidRDefault="00653D92" w:rsidP="00AD5816">
      <w:pPr>
        <w:spacing w:after="0" w:line="240" w:lineRule="auto"/>
        <w:rPr>
          <w:rFonts w:ascii="Times New Roman" w:hAnsi="Times New Roman" w:cs="Times New Roman"/>
          <w:noProof/>
          <w:color w:val="FF0000"/>
          <w:sz w:val="16"/>
          <w:lang w:eastAsia="es-GT"/>
        </w:rPr>
      </w:pPr>
    </w:p>
    <w:p w:rsidR="00653D92" w:rsidRDefault="00653D92" w:rsidP="00AD5816">
      <w:pPr>
        <w:spacing w:after="0" w:line="240" w:lineRule="auto"/>
        <w:rPr>
          <w:rFonts w:ascii="Times New Roman" w:hAnsi="Times New Roman" w:cs="Times New Roman"/>
          <w:noProof/>
          <w:color w:val="FF0000"/>
          <w:sz w:val="16"/>
          <w:lang w:eastAsia="es-GT"/>
        </w:rPr>
      </w:pPr>
    </w:p>
    <w:p w:rsidR="00653D92" w:rsidRDefault="00653D92" w:rsidP="00AD5816">
      <w:pPr>
        <w:spacing w:after="0" w:line="240" w:lineRule="auto"/>
        <w:rPr>
          <w:rFonts w:ascii="Times New Roman" w:hAnsi="Times New Roman" w:cs="Times New Roman"/>
          <w:noProof/>
          <w:color w:val="FF0000"/>
          <w:sz w:val="16"/>
          <w:lang w:eastAsia="es-GT"/>
        </w:rPr>
      </w:pPr>
    </w:p>
    <w:p w:rsidR="00653D92" w:rsidRDefault="00653D92" w:rsidP="00AD5816">
      <w:pPr>
        <w:spacing w:after="0" w:line="240" w:lineRule="auto"/>
        <w:rPr>
          <w:rFonts w:ascii="Times New Roman" w:hAnsi="Times New Roman" w:cs="Times New Roman"/>
          <w:noProof/>
          <w:color w:val="FF0000"/>
          <w:sz w:val="16"/>
          <w:lang w:eastAsia="es-GT"/>
        </w:rPr>
      </w:pPr>
    </w:p>
    <w:p w:rsidR="00653D92" w:rsidRDefault="00653D92"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Default="00157F7B" w:rsidP="00AD5816">
      <w:pPr>
        <w:spacing w:after="0" w:line="240" w:lineRule="auto"/>
        <w:rPr>
          <w:rFonts w:ascii="Times New Roman" w:hAnsi="Times New Roman" w:cs="Times New Roman"/>
          <w:noProof/>
          <w:color w:val="FF0000"/>
          <w:sz w:val="16"/>
          <w:lang w:eastAsia="es-GT"/>
        </w:rPr>
      </w:pPr>
    </w:p>
    <w:p w:rsidR="00157F7B" w:rsidRPr="00FA711C" w:rsidRDefault="00157F7B" w:rsidP="00AD5816">
      <w:pPr>
        <w:spacing w:after="0" w:line="240" w:lineRule="auto"/>
        <w:rPr>
          <w:rFonts w:ascii="Times New Roman" w:hAnsi="Times New Roman" w:cs="Times New Roman"/>
          <w:noProof/>
          <w:color w:val="FF0000"/>
          <w:sz w:val="16"/>
          <w:lang w:eastAsia="es-GT"/>
        </w:rPr>
      </w:pPr>
    </w:p>
    <w:p w:rsidR="001F5581" w:rsidRPr="00157F7B" w:rsidRDefault="001F5581" w:rsidP="001F5581">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1F5581" w:rsidRPr="00157F7B" w:rsidSect="00FA3B81">
          <w:headerReference w:type="default" r:id="rId32"/>
          <w:footerReference w:type="default" r:id="rId33"/>
          <w:type w:val="continuous"/>
          <w:pgSz w:w="12240" w:h="15840" w:code="1"/>
          <w:pgMar w:top="1418" w:right="1418" w:bottom="1418" w:left="1418" w:header="709" w:footer="709" w:gutter="0"/>
          <w:cols w:space="708"/>
          <w:docGrid w:linePitch="360"/>
        </w:sectPr>
      </w:pPr>
      <w:r w:rsidRPr="00157F7B">
        <w:rPr>
          <w:rFonts w:ascii="Times New Roman" w:hAnsi="Times New Roman" w:cs="Times New Roman"/>
          <w:b/>
          <w:lang w:val="es-MX"/>
        </w:rPr>
        <w:lastRenderedPageBreak/>
        <w:t>Anexo</w:t>
      </w:r>
      <w:r w:rsidR="0008320B" w:rsidRPr="00157F7B">
        <w:rPr>
          <w:rFonts w:ascii="Times New Roman" w:hAnsi="Times New Roman" w:cs="Times New Roman"/>
          <w:b/>
          <w:lang w:val="es-MX"/>
        </w:rPr>
        <w:t>s</w:t>
      </w:r>
    </w:p>
    <w:p w:rsidR="001F5581" w:rsidRPr="00157F7B" w:rsidRDefault="001F5581" w:rsidP="00AD5816">
      <w:pPr>
        <w:spacing w:after="0" w:line="240" w:lineRule="auto"/>
        <w:rPr>
          <w:rFonts w:ascii="Times New Roman" w:hAnsi="Times New Roman" w:cs="Times New Roman"/>
          <w:noProof/>
          <w:sz w:val="16"/>
          <w:lang w:val="es-MX" w:eastAsia="es-GT"/>
        </w:rPr>
        <w:sectPr w:rsidR="001F5581" w:rsidRPr="00157F7B" w:rsidSect="00986297">
          <w:headerReference w:type="default" r:id="rId34"/>
          <w:footerReference w:type="default" r:id="rId35"/>
          <w:type w:val="continuous"/>
          <w:pgSz w:w="12240" w:h="15840" w:code="1"/>
          <w:pgMar w:top="1418" w:right="1418" w:bottom="1418" w:left="1418" w:header="709" w:footer="709" w:gutter="0"/>
          <w:cols w:num="2" w:space="708"/>
          <w:docGrid w:linePitch="360"/>
        </w:sectPr>
      </w:pPr>
    </w:p>
    <w:p w:rsidR="003D2128" w:rsidRPr="00157F7B" w:rsidRDefault="003D2128" w:rsidP="007E6BCF">
      <w:pPr>
        <w:spacing w:after="0" w:line="240" w:lineRule="auto"/>
        <w:rPr>
          <w:noProof/>
          <w:lang w:eastAsia="es-GT"/>
        </w:rPr>
      </w:pPr>
    </w:p>
    <w:p w:rsidR="00917786" w:rsidRPr="00157F7B" w:rsidRDefault="006D7959" w:rsidP="00917786">
      <w:pPr>
        <w:spacing w:after="0" w:line="240" w:lineRule="auto"/>
        <w:jc w:val="center"/>
        <w:rPr>
          <w:rFonts w:ascii="Times New Roman" w:hAnsi="Times New Roman" w:cs="Times New Roman"/>
          <w:b/>
          <w:szCs w:val="28"/>
        </w:rPr>
      </w:pPr>
      <w:r w:rsidRPr="00157F7B">
        <w:rPr>
          <w:rFonts w:ascii="Times New Roman" w:hAnsi="Times New Roman" w:cs="Times New Roman"/>
          <w:b/>
          <w:szCs w:val="28"/>
        </w:rPr>
        <w:t>Ingresos Tr</w:t>
      </w:r>
      <w:r w:rsidR="006F1B31" w:rsidRPr="00157F7B">
        <w:rPr>
          <w:rFonts w:ascii="Times New Roman" w:hAnsi="Times New Roman" w:cs="Times New Roman"/>
          <w:b/>
          <w:szCs w:val="28"/>
        </w:rPr>
        <w:t>ibutarios Netos Acumulados al 28 de febr</w:t>
      </w:r>
      <w:r w:rsidRPr="00157F7B">
        <w:rPr>
          <w:rFonts w:ascii="Times New Roman" w:hAnsi="Times New Roman" w:cs="Times New Roman"/>
          <w:b/>
          <w:szCs w:val="28"/>
        </w:rPr>
        <w:t>ero de 2021</w:t>
      </w:r>
    </w:p>
    <w:p w:rsidR="00917786" w:rsidRPr="00157F7B" w:rsidRDefault="00917786" w:rsidP="00917786">
      <w:pPr>
        <w:spacing w:after="0" w:line="240" w:lineRule="auto"/>
        <w:jc w:val="center"/>
        <w:rPr>
          <w:rFonts w:ascii="Times New Roman" w:hAnsi="Times New Roman" w:cs="Times New Roman"/>
          <w:sz w:val="20"/>
          <w:szCs w:val="28"/>
        </w:rPr>
      </w:pPr>
      <w:r w:rsidRPr="00157F7B">
        <w:rPr>
          <w:rFonts w:ascii="Times New Roman" w:hAnsi="Times New Roman" w:cs="Times New Roman"/>
          <w:sz w:val="20"/>
          <w:szCs w:val="28"/>
        </w:rPr>
        <w:t>Millones de quetzales</w:t>
      </w:r>
    </w:p>
    <w:p w:rsidR="0008320B" w:rsidRPr="00157F7B" w:rsidRDefault="002C767B" w:rsidP="006F1B31">
      <w:pPr>
        <w:spacing w:after="0" w:line="240" w:lineRule="auto"/>
        <w:jc w:val="center"/>
        <w:rPr>
          <w:noProof/>
          <w:lang w:eastAsia="es-GT"/>
        </w:rPr>
      </w:pPr>
      <w:r w:rsidRPr="006441C4">
        <w:rPr>
          <w:noProof/>
          <w:lang w:eastAsia="es-GT"/>
        </w:rPr>
        <w:drawing>
          <wp:inline distT="0" distB="0" distL="0" distR="0" wp14:anchorId="03AFF71F" wp14:editId="10A81371">
            <wp:extent cx="5551805" cy="6443900"/>
            <wp:effectExtent l="0" t="0" r="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t="6249" r="1108" b="7734"/>
                    <a:stretch/>
                  </pic:blipFill>
                  <pic:spPr bwMode="auto">
                    <a:xfrm>
                      <a:off x="0" y="0"/>
                      <a:ext cx="5552441" cy="6444638"/>
                    </a:xfrm>
                    <a:prstGeom prst="rect">
                      <a:avLst/>
                    </a:prstGeom>
                    <a:noFill/>
                    <a:ln>
                      <a:noFill/>
                    </a:ln>
                    <a:extLst>
                      <a:ext uri="{53640926-AAD7-44D8-BBD7-CCE9431645EC}">
                        <a14:shadowObscured xmlns:a14="http://schemas.microsoft.com/office/drawing/2010/main"/>
                      </a:ext>
                    </a:extLst>
                  </pic:spPr>
                </pic:pic>
              </a:graphicData>
            </a:graphic>
          </wp:inline>
        </w:drawing>
      </w:r>
    </w:p>
    <w:p w:rsidR="0008320B" w:rsidRPr="00157F7B" w:rsidRDefault="0008320B" w:rsidP="0008320B">
      <w:pPr>
        <w:spacing w:after="0" w:line="240" w:lineRule="auto"/>
        <w:jc w:val="center"/>
        <w:rPr>
          <w:noProof/>
          <w:lang w:eastAsia="es-GT"/>
        </w:rPr>
      </w:pPr>
    </w:p>
    <w:p w:rsidR="0008320B" w:rsidRPr="00157F7B" w:rsidRDefault="00653D92" w:rsidP="007E6BCF">
      <w:pPr>
        <w:spacing w:after="0" w:line="240" w:lineRule="auto"/>
        <w:rPr>
          <w:noProof/>
          <w:lang w:eastAsia="es-GT"/>
        </w:rPr>
      </w:pPr>
      <w:r w:rsidRPr="0018304B">
        <w:rPr>
          <w:noProof/>
          <w:lang w:eastAsia="es-GT"/>
        </w:rPr>
        <w:drawing>
          <wp:anchor distT="0" distB="0" distL="114300" distR="114300" simplePos="0" relativeHeight="251766784" behindDoc="0" locked="0" layoutInCell="1" allowOverlap="1" wp14:anchorId="297B901D" wp14:editId="045478B6">
            <wp:simplePos x="0" y="0"/>
            <wp:positionH relativeFrom="column">
              <wp:posOffset>-1270</wp:posOffset>
            </wp:positionH>
            <wp:positionV relativeFrom="paragraph">
              <wp:posOffset>170815</wp:posOffset>
            </wp:positionV>
            <wp:extent cx="6012815" cy="4772660"/>
            <wp:effectExtent l="0" t="0" r="6985" b="8890"/>
            <wp:wrapSquare wrapText="bothSides"/>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12815" cy="477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20B" w:rsidRPr="00157F7B" w:rsidRDefault="0008320B" w:rsidP="007E6BCF">
      <w:pPr>
        <w:spacing w:after="0" w:line="240" w:lineRule="auto"/>
        <w:rPr>
          <w:noProof/>
          <w:lang w:eastAsia="es-GT"/>
        </w:rPr>
      </w:pPr>
    </w:p>
    <w:p w:rsidR="006470E2" w:rsidRPr="00157F7B" w:rsidRDefault="006470E2" w:rsidP="007E6BCF">
      <w:pPr>
        <w:spacing w:after="0" w:line="240" w:lineRule="auto"/>
        <w:rPr>
          <w:noProof/>
          <w:lang w:eastAsia="es-GT"/>
        </w:rPr>
      </w:pPr>
    </w:p>
    <w:p w:rsidR="006470E2" w:rsidRPr="00FA711C" w:rsidRDefault="006470E2" w:rsidP="007E6BCF">
      <w:pPr>
        <w:spacing w:after="0" w:line="240" w:lineRule="auto"/>
        <w:rPr>
          <w:noProof/>
          <w:color w:val="FF0000"/>
          <w:lang w:eastAsia="es-GT"/>
        </w:rPr>
      </w:pPr>
    </w:p>
    <w:p w:rsidR="006470E2" w:rsidRPr="00FA711C" w:rsidRDefault="006470E2" w:rsidP="007E6BCF">
      <w:pPr>
        <w:spacing w:after="0" w:line="240" w:lineRule="auto"/>
        <w:rPr>
          <w:noProof/>
          <w:color w:val="FF0000"/>
          <w:lang w:eastAsia="es-GT"/>
        </w:rPr>
      </w:pPr>
    </w:p>
    <w:p w:rsidR="006470E2" w:rsidRPr="00FA711C" w:rsidRDefault="006470E2" w:rsidP="007E6BCF">
      <w:pPr>
        <w:spacing w:after="0" w:line="240" w:lineRule="auto"/>
        <w:rPr>
          <w:noProof/>
          <w:color w:val="FF0000"/>
          <w:lang w:eastAsia="es-GT"/>
        </w:rPr>
      </w:pPr>
    </w:p>
    <w:p w:rsidR="006470E2" w:rsidRPr="00FA711C" w:rsidRDefault="006470E2" w:rsidP="007E6BCF">
      <w:pPr>
        <w:spacing w:after="0" w:line="240" w:lineRule="auto"/>
        <w:rPr>
          <w:noProof/>
          <w:color w:val="FF0000"/>
          <w:lang w:eastAsia="es-GT"/>
        </w:rPr>
      </w:pPr>
    </w:p>
    <w:p w:rsidR="006470E2" w:rsidRPr="00FA711C" w:rsidRDefault="006470E2" w:rsidP="007E6BCF">
      <w:pPr>
        <w:spacing w:after="0" w:line="240" w:lineRule="auto"/>
        <w:rPr>
          <w:noProof/>
          <w:color w:val="FF0000"/>
          <w:lang w:eastAsia="es-GT"/>
        </w:rPr>
      </w:pPr>
    </w:p>
    <w:p w:rsidR="006470E2" w:rsidRPr="00FA711C" w:rsidRDefault="006470E2" w:rsidP="007E6BCF">
      <w:pPr>
        <w:spacing w:after="0" w:line="240" w:lineRule="auto"/>
        <w:rPr>
          <w:noProof/>
          <w:color w:val="FF0000"/>
          <w:lang w:eastAsia="es-GT"/>
        </w:rPr>
      </w:pPr>
    </w:p>
    <w:p w:rsidR="006470E2" w:rsidRPr="00FA711C" w:rsidRDefault="006470E2" w:rsidP="007E6BCF">
      <w:pPr>
        <w:spacing w:after="0" w:line="240" w:lineRule="auto"/>
        <w:rPr>
          <w:noProof/>
          <w:color w:val="FF0000"/>
          <w:lang w:eastAsia="es-GT"/>
        </w:rPr>
      </w:pPr>
    </w:p>
    <w:p w:rsidR="006470E2" w:rsidRPr="00FA711C" w:rsidRDefault="006470E2" w:rsidP="007E6BCF">
      <w:pPr>
        <w:spacing w:after="0" w:line="240" w:lineRule="auto"/>
        <w:rPr>
          <w:noProof/>
          <w:color w:val="FF0000"/>
          <w:lang w:eastAsia="es-GT"/>
        </w:rPr>
      </w:pPr>
    </w:p>
    <w:p w:rsidR="006470E2" w:rsidRPr="00FA711C" w:rsidRDefault="006470E2" w:rsidP="007E6BCF">
      <w:pPr>
        <w:spacing w:after="0" w:line="240" w:lineRule="auto"/>
        <w:rPr>
          <w:noProof/>
          <w:color w:val="FF0000"/>
          <w:lang w:eastAsia="es-GT"/>
        </w:rPr>
      </w:pPr>
    </w:p>
    <w:p w:rsidR="001F5581" w:rsidRPr="00FA711C" w:rsidRDefault="001F5581" w:rsidP="007E6BCF">
      <w:pPr>
        <w:spacing w:after="0" w:line="240" w:lineRule="auto"/>
        <w:rPr>
          <w:rFonts w:ascii="Times New Roman" w:hAnsi="Times New Roman" w:cs="Times New Roman"/>
          <w:noProof/>
          <w:color w:val="FF0000"/>
          <w:sz w:val="16"/>
          <w:lang w:val="es-MX" w:eastAsia="es-GT"/>
        </w:rPr>
        <w:sectPr w:rsidR="001F5581" w:rsidRPr="00FA711C" w:rsidSect="001F5581">
          <w:type w:val="continuous"/>
          <w:pgSz w:w="12240" w:h="15840" w:code="1"/>
          <w:pgMar w:top="1418" w:right="1418" w:bottom="1418" w:left="1418" w:header="709" w:footer="709" w:gutter="0"/>
          <w:cols w:space="708"/>
          <w:docGrid w:linePitch="360"/>
        </w:sectPr>
      </w:pPr>
    </w:p>
    <w:p w:rsidR="006470E2" w:rsidRPr="00FA711C" w:rsidRDefault="006470E2" w:rsidP="00157F7B">
      <w:pPr>
        <w:pStyle w:val="Sinespaciado"/>
        <w:rPr>
          <w:rFonts w:ascii="Times New Roman" w:hAnsi="Times New Roman" w:cs="Times New Roman"/>
          <w:color w:val="FF0000"/>
        </w:rPr>
      </w:pPr>
    </w:p>
    <w:sectPr w:rsidR="006470E2" w:rsidRPr="00FA711C" w:rsidSect="00986297">
      <w:type w:val="continuous"/>
      <w:pgSz w:w="12240" w:h="15840" w:code="1"/>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FA1" w:rsidRDefault="00CF2FA1" w:rsidP="007D4651">
      <w:pPr>
        <w:spacing w:after="0" w:line="240" w:lineRule="auto"/>
      </w:pPr>
      <w:r>
        <w:separator/>
      </w:r>
    </w:p>
  </w:endnote>
  <w:endnote w:type="continuationSeparator" w:id="0">
    <w:p w:rsidR="00CF2FA1" w:rsidRDefault="00CF2FA1"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37366140"/>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3360" behindDoc="0" locked="0" layoutInCell="1" allowOverlap="1" wp14:anchorId="1D8DB461" wp14:editId="604D9D91">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19BD47"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53D92" w:rsidRPr="00653D92">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90385153"/>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83840" behindDoc="0" locked="0" layoutInCell="1" allowOverlap="1" wp14:anchorId="118D5F2F" wp14:editId="778959E6">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C0B72"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53D92" w:rsidRPr="00653D92">
          <w:rPr>
            <w:rFonts w:ascii="Times New Roman" w:hAnsi="Times New Roman" w:cs="Times New Roman"/>
            <w:b/>
            <w:noProof/>
            <w:color w:val="1F497D" w:themeColor="text2"/>
            <w:lang w:val="es-ES"/>
          </w:rPr>
          <w:t>9</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85034144"/>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7456" behindDoc="0" locked="0" layoutInCell="1" allowOverlap="1" wp14:anchorId="285F5133" wp14:editId="6BBAE06D">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80437"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53D92" w:rsidRPr="00653D92">
          <w:rPr>
            <w:rFonts w:ascii="Times New Roman" w:hAnsi="Times New Roman" w:cs="Times New Roman"/>
            <w:b/>
            <w:noProof/>
            <w:color w:val="1F497D" w:themeColor="text2"/>
            <w:lang w:val="es-ES"/>
          </w:rPr>
          <w:t>2</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58082904"/>
      <w:docPartObj>
        <w:docPartGallery w:val="Page Numbers (Bottom of Page)"/>
        <w:docPartUnique/>
      </w:docPartObj>
    </w:sdtPr>
    <w:sdtEndPr/>
    <w:sdtContent>
      <w:p w:rsidR="00EB1910" w:rsidRDefault="00EB1910">
        <w:pPr>
          <w:pStyle w:val="Piedepgina"/>
          <w:jc w:val="right"/>
          <w:rPr>
            <w:lang w:val="es-ES"/>
          </w:rPr>
        </w:pPr>
      </w:p>
      <w:p w:rsidR="00EB1910" w:rsidRDefault="00EB1910"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08416" behindDoc="0" locked="0" layoutInCell="1" allowOverlap="1" wp14:anchorId="40795B7A" wp14:editId="0AB71E22">
                  <wp:simplePos x="0" y="0"/>
                  <wp:positionH relativeFrom="column">
                    <wp:posOffset>1759602</wp:posOffset>
                  </wp:positionH>
                  <wp:positionV relativeFrom="paragraph">
                    <wp:posOffset>70485</wp:posOffset>
                  </wp:positionV>
                  <wp:extent cx="5155565" cy="45719"/>
                  <wp:effectExtent l="38100" t="38100" r="64135" b="88265"/>
                  <wp:wrapNone/>
                  <wp:docPr id="32" name="32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2E13D4" id="32 Rectángulo" o:spid="_x0000_s1026" style="position:absolute;margin-left:138.55pt;margin-top:5.55pt;width:405.95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tG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STFSJAWcjRJ0Q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A9YC0Y+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B1910" w:rsidRDefault="00EB1910">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080B88" w:rsidRPr="00080B88">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EB1910" w:rsidRDefault="00EB1910" w:rsidP="007D4651">
    <w:pPr>
      <w:pStyle w:val="Piedepgina"/>
      <w:tabs>
        <w:tab w:val="clear" w:pos="4419"/>
        <w:tab w:val="clear" w:pos="8838"/>
        <w:tab w:val="left" w:pos="5777"/>
      </w:tabs>
    </w:pPr>
  </w:p>
  <w:p w:rsidR="00EB1910" w:rsidRDefault="00EB1910"/>
  <w:p w:rsidR="0030020D" w:rsidRDefault="0030020D"/>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57080796"/>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1552" behindDoc="0" locked="0" layoutInCell="1" allowOverlap="1" wp14:anchorId="4E7631BA" wp14:editId="275E7E05">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2D1E99"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53D92" w:rsidRPr="00653D92">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602225135"/>
      <w:docPartObj>
        <w:docPartGallery w:val="Page Numbers (Bottom of Page)"/>
        <w:docPartUnique/>
      </w:docPartObj>
    </w:sdtPr>
    <w:sdtEndPr/>
    <w:sdtContent>
      <w:p w:rsidR="00216605" w:rsidRDefault="00216605">
        <w:pPr>
          <w:pStyle w:val="Piedepgina"/>
          <w:jc w:val="right"/>
          <w:rPr>
            <w:lang w:val="es-ES"/>
          </w:rPr>
        </w:pPr>
      </w:p>
      <w:p w:rsidR="00216605" w:rsidRDefault="00216605"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8896" behindDoc="0" locked="0" layoutInCell="1" allowOverlap="1" wp14:anchorId="007AA496" wp14:editId="7C08B766">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BC3373"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16605" w:rsidRDefault="00216605">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53D92" w:rsidRPr="00653D92">
          <w:rPr>
            <w:rFonts w:ascii="Times New Roman" w:hAnsi="Times New Roman" w:cs="Times New Roman"/>
            <w:b/>
            <w:noProof/>
            <w:color w:val="1F497D" w:themeColor="text2"/>
            <w:lang w:val="es-ES"/>
          </w:rPr>
          <w:t>6</w:t>
        </w:r>
        <w:r w:rsidRPr="007D4651">
          <w:rPr>
            <w:rFonts w:ascii="Times New Roman" w:hAnsi="Times New Roman" w:cs="Times New Roman"/>
            <w:b/>
            <w:color w:val="1F497D" w:themeColor="text2"/>
          </w:rPr>
          <w:fldChar w:fldCharType="end"/>
        </w:r>
        <w:r>
          <w:rPr>
            <w:lang w:val="es-ES"/>
          </w:rPr>
          <w:t xml:space="preserve"> </w:t>
        </w:r>
      </w:p>
    </w:sdtContent>
  </w:sdt>
  <w:p w:rsidR="00216605" w:rsidRDefault="00216605" w:rsidP="007D4651">
    <w:pPr>
      <w:pStyle w:val="Piedepgina"/>
      <w:tabs>
        <w:tab w:val="clear" w:pos="4419"/>
        <w:tab w:val="clear" w:pos="8838"/>
        <w:tab w:val="left" w:pos="5777"/>
      </w:tabs>
    </w:pPr>
  </w:p>
  <w:p w:rsidR="00216605" w:rsidRDefault="00216605"/>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198588034"/>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5648" behindDoc="0" locked="0" layoutInCell="1" allowOverlap="1" wp14:anchorId="7BA1DE1C" wp14:editId="0BD2D263">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CE973B"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A54C4F" w:rsidRPr="00A54C4F">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67338240"/>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9744" behindDoc="0" locked="0" layoutInCell="1" allowOverlap="1" wp14:anchorId="6AA223A5" wp14:editId="693E598A">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23F3E"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AD02C8" w:rsidRPr="00AD02C8">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93316735"/>
      <w:docPartObj>
        <w:docPartGallery w:val="Page Numbers (Bottom of Page)"/>
        <w:docPartUnique/>
      </w:docPartObj>
    </w:sdtPr>
    <w:sdtEndPr/>
    <w:sdtContent>
      <w:p w:rsidR="00F062BF" w:rsidRDefault="00F062BF">
        <w:pPr>
          <w:pStyle w:val="Piedepgina"/>
          <w:jc w:val="right"/>
          <w:rPr>
            <w:lang w:val="es-ES"/>
          </w:rPr>
        </w:pPr>
      </w:p>
      <w:p w:rsidR="00F062BF" w:rsidRDefault="00F062BF"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7088" behindDoc="0" locked="0" layoutInCell="1" allowOverlap="1" wp14:anchorId="7E02171A" wp14:editId="313D3DE0">
                  <wp:simplePos x="0" y="0"/>
                  <wp:positionH relativeFrom="column">
                    <wp:posOffset>1776669</wp:posOffset>
                  </wp:positionH>
                  <wp:positionV relativeFrom="paragraph">
                    <wp:posOffset>70516</wp:posOffset>
                  </wp:positionV>
                  <wp:extent cx="5155565" cy="45719"/>
                  <wp:effectExtent l="38100" t="38100" r="64135" b="88265"/>
                  <wp:wrapNone/>
                  <wp:docPr id="21"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E8225D" id="39 Rectángulo" o:spid="_x0000_s1026" style="position:absolute;margin-left:139.9pt;margin-top:5.55pt;width:405.95pt;height:3.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Tl8mz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062BF" w:rsidRDefault="00F062BF">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53D92" w:rsidRPr="00653D92">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rsidR="00F062BF" w:rsidRDefault="00F062BF" w:rsidP="007D4651">
    <w:pPr>
      <w:pStyle w:val="Piedepgina"/>
      <w:tabs>
        <w:tab w:val="clear" w:pos="4419"/>
        <w:tab w:val="clear" w:pos="8838"/>
        <w:tab w:val="left" w:pos="5777"/>
      </w:tabs>
    </w:pPr>
  </w:p>
  <w:p w:rsidR="00F062BF" w:rsidRDefault="00F062BF"/>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93235116"/>
      <w:docPartObj>
        <w:docPartGallery w:val="Page Numbers (Bottom of Page)"/>
        <w:docPartUnique/>
      </w:docPartObj>
    </w:sdtPr>
    <w:sdtEndPr/>
    <w:sdtContent>
      <w:p w:rsidR="001F5581" w:rsidRDefault="001F5581">
        <w:pPr>
          <w:pStyle w:val="Piedepgina"/>
          <w:jc w:val="right"/>
          <w:rPr>
            <w:lang w:val="es-ES"/>
          </w:rPr>
        </w:pPr>
      </w:p>
      <w:p w:rsidR="001F5581" w:rsidRDefault="001F5581"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0944" behindDoc="0" locked="0" layoutInCell="1" allowOverlap="1" wp14:anchorId="178664AF" wp14:editId="19D15429">
                  <wp:simplePos x="0" y="0"/>
                  <wp:positionH relativeFrom="column">
                    <wp:posOffset>1759602</wp:posOffset>
                  </wp:positionH>
                  <wp:positionV relativeFrom="paragraph">
                    <wp:posOffset>70485</wp:posOffset>
                  </wp:positionV>
                  <wp:extent cx="5155565" cy="45719"/>
                  <wp:effectExtent l="38100" t="38100" r="64135" b="88265"/>
                  <wp:wrapNone/>
                  <wp:docPr id="48"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9BF271" id="26 Rectángulo" o:spid="_x0000_s1026" style="position:absolute;margin-left:138.55pt;margin-top:5.55pt;width:405.95pt;height:3.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HYBxbo+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1F5581" w:rsidRDefault="001F5581">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653D92" w:rsidRPr="00653D92">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rsidR="001F5581" w:rsidRDefault="001F5581" w:rsidP="007D4651">
    <w:pPr>
      <w:pStyle w:val="Piedepgina"/>
      <w:tabs>
        <w:tab w:val="clear" w:pos="4419"/>
        <w:tab w:val="clear" w:pos="8838"/>
        <w:tab w:val="left" w:pos="5777"/>
      </w:tabs>
    </w:pPr>
  </w:p>
  <w:p w:rsidR="001F5581" w:rsidRDefault="001F558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FA1" w:rsidRDefault="00CF2FA1" w:rsidP="007D4651">
      <w:pPr>
        <w:spacing w:after="0" w:line="240" w:lineRule="auto"/>
      </w:pPr>
      <w:r>
        <w:separator/>
      </w:r>
    </w:p>
  </w:footnote>
  <w:footnote w:type="continuationSeparator" w:id="0">
    <w:p w:rsidR="00CF2FA1" w:rsidRDefault="00CF2FA1" w:rsidP="007D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01624A"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39136" behindDoc="0" locked="0" layoutInCell="1" allowOverlap="1" wp14:anchorId="1AF7A04B" wp14:editId="28CD0FAD">
          <wp:simplePos x="0" y="0"/>
          <wp:positionH relativeFrom="column">
            <wp:posOffset>0</wp:posOffset>
          </wp:positionH>
          <wp:positionV relativeFrom="paragraph">
            <wp:posOffset>-635</wp:posOffset>
          </wp:positionV>
          <wp:extent cx="1598212" cy="723976"/>
          <wp:effectExtent l="0" t="0" r="2540" b="0"/>
          <wp:wrapNone/>
          <wp:docPr id="5" name="Imagen 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AF68D3" w:rsidRPr="007D4651">
      <w:rPr>
        <w:rFonts w:ascii="Times New Roman" w:hAnsi="Times New Roman" w:cs="Times New Roman"/>
        <w:b/>
        <w:color w:val="1F497D" w:themeColor="text2"/>
        <w:sz w:val="24"/>
        <w:lang w:val="es-MX"/>
      </w:rPr>
      <w:t>Informe de las Finanzas Públicas</w:t>
    </w:r>
  </w:p>
  <w:p w:rsidR="00AF68D3" w:rsidRDefault="00443689"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Febrero</w:t>
    </w:r>
    <w:r w:rsidR="00CE2620">
      <w:rPr>
        <w:rFonts w:ascii="Times New Roman" w:hAnsi="Times New Roman" w:cs="Times New Roman"/>
        <w:color w:val="1F497D" w:themeColor="text2"/>
        <w:lang w:val="es-MX"/>
      </w:rPr>
      <w:t xml:space="preserve"> 2021</w:t>
    </w:r>
  </w:p>
  <w:p w:rsidR="00AF68D3" w:rsidRDefault="00AF4290"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4560" behindDoc="0" locked="0" layoutInCell="1" allowOverlap="1" wp14:anchorId="5DDF1CB0" wp14:editId="535C78A8">
              <wp:simplePos x="0" y="0"/>
              <wp:positionH relativeFrom="column">
                <wp:posOffset>1720884</wp:posOffset>
              </wp:positionH>
              <wp:positionV relativeFrom="paragraph">
                <wp:posOffset>7980</wp:posOffset>
              </wp:positionV>
              <wp:extent cx="5155894" cy="45719"/>
              <wp:effectExtent l="38100" t="38100" r="64135" b="88265"/>
              <wp:wrapNone/>
              <wp:docPr id="11"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115008" id="11 Rectángulo" o:spid="_x0000_s1026" style="position:absolute;margin-left:135.5pt;margin-top:.65pt;width:406pt;height:3.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z0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Pr="0073581B" w:rsidRDefault="00AF68D3" w:rsidP="00E16925">
    <w:pPr>
      <w:pStyle w:val="Encabezado"/>
      <w:rPr>
        <w:rFonts w:ascii="Times New Roman" w:hAnsi="Times New Roman" w:cs="Times New Roman"/>
        <w:b/>
        <w:lang w:val="es-MX"/>
      </w:rPr>
    </w:pPr>
    <w:r>
      <w:rPr>
        <w:rFonts w:ascii="Times New Roman" w:hAnsi="Times New Roman" w:cs="Times New Roman"/>
        <w:lang w:val="es-MX"/>
      </w:rPr>
      <w:tab/>
    </w:r>
    <w:r w:rsidRPr="0073581B">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01624A"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9376" behindDoc="0" locked="0" layoutInCell="1" allowOverlap="1" wp14:anchorId="0E96606B" wp14:editId="39FDB333">
          <wp:simplePos x="0" y="0"/>
          <wp:positionH relativeFrom="column">
            <wp:posOffset>0</wp:posOffset>
          </wp:positionH>
          <wp:positionV relativeFrom="paragraph">
            <wp:posOffset>-635</wp:posOffset>
          </wp:positionV>
          <wp:extent cx="1598212" cy="723976"/>
          <wp:effectExtent l="0" t="0" r="2540" b="0"/>
          <wp:wrapNone/>
          <wp:docPr id="7" name="Imagen 7"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AF68D3" w:rsidRPr="007D4651">
      <w:rPr>
        <w:rFonts w:ascii="Times New Roman" w:hAnsi="Times New Roman" w:cs="Times New Roman"/>
        <w:b/>
        <w:color w:val="1F497D" w:themeColor="text2"/>
        <w:sz w:val="24"/>
        <w:lang w:val="es-MX"/>
      </w:rPr>
      <w:t>Informe de las Finanzas Públicas</w:t>
    </w:r>
  </w:p>
  <w:p w:rsidR="00775DE3" w:rsidRDefault="003F32A1"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Febrero</w:t>
    </w:r>
    <w:r w:rsidR="00CE2620">
      <w:rPr>
        <w:rFonts w:ascii="Times New Roman" w:hAnsi="Times New Roman" w:cs="Times New Roman"/>
        <w:color w:val="1F497D" w:themeColor="text2"/>
        <w:lang w:val="es-MX"/>
      </w:rPr>
      <w:t xml:space="preserve"> 2021</w:t>
    </w:r>
  </w:p>
  <w:p w:rsidR="00AF68D3" w:rsidRDefault="00AF68D3"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81792" behindDoc="0" locked="0" layoutInCell="1" allowOverlap="1" wp14:anchorId="54D08C8F" wp14:editId="5FAD2C67">
              <wp:simplePos x="0" y="0"/>
              <wp:positionH relativeFrom="column">
                <wp:posOffset>1710568</wp:posOffset>
              </wp:positionH>
              <wp:positionV relativeFrom="paragraph">
                <wp:posOffset>29118</wp:posOffset>
              </wp:positionV>
              <wp:extent cx="5155894" cy="45719"/>
              <wp:effectExtent l="38100" t="38100" r="64135" b="88265"/>
              <wp:wrapNone/>
              <wp:docPr id="38"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029AA7" id="38 Rectángulo" o:spid="_x0000_s1026" style="position:absolute;margin-left:134.7pt;margin-top:2.3pt;width:406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k2nT4j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122" w:rsidRPr="007D4651" w:rsidRDefault="00B97122" w:rsidP="00B97122">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60640" behindDoc="0" locked="0" layoutInCell="1" allowOverlap="1" wp14:anchorId="017A2F86" wp14:editId="477DD5D6">
          <wp:simplePos x="0" y="0"/>
          <wp:positionH relativeFrom="column">
            <wp:posOffset>0</wp:posOffset>
          </wp:positionH>
          <wp:positionV relativeFrom="paragraph">
            <wp:posOffset>-635</wp:posOffset>
          </wp:positionV>
          <wp:extent cx="1598212" cy="723976"/>
          <wp:effectExtent l="0" t="0" r="2540" b="0"/>
          <wp:wrapNone/>
          <wp:docPr id="238" name="Imagen 238"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B97122" w:rsidRDefault="00443689" w:rsidP="00B97122">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Febrero</w:t>
    </w:r>
    <w:r w:rsidR="00B97122">
      <w:rPr>
        <w:rFonts w:ascii="Times New Roman" w:hAnsi="Times New Roman" w:cs="Times New Roman"/>
        <w:color w:val="1F497D" w:themeColor="text2"/>
        <w:lang w:val="es-MX"/>
      </w:rPr>
      <w:t xml:space="preserve"> 2021</w:t>
    </w:r>
  </w:p>
  <w:p w:rsidR="00B97122" w:rsidRDefault="00B97122" w:rsidP="00B97122">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59616" behindDoc="0" locked="0" layoutInCell="1" allowOverlap="1" wp14:anchorId="41814863" wp14:editId="17C2D483">
              <wp:simplePos x="0" y="0"/>
              <wp:positionH relativeFrom="column">
                <wp:posOffset>1720884</wp:posOffset>
              </wp:positionH>
              <wp:positionV relativeFrom="paragraph">
                <wp:posOffset>7980</wp:posOffset>
              </wp:positionV>
              <wp:extent cx="5155894" cy="45719"/>
              <wp:effectExtent l="38100" t="38100" r="64135" b="88265"/>
              <wp:wrapNone/>
              <wp:docPr id="232"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AA80F2" id="11 Rectángulo" o:spid="_x0000_s1026" style="position:absolute;margin-left:135.5pt;margin-top:.65pt;width:406pt;height:3.6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B97122" w:rsidRPr="0073581B" w:rsidRDefault="00B97122" w:rsidP="00B97122">
    <w:pPr>
      <w:pStyle w:val="Encabezado"/>
      <w:rPr>
        <w:rFonts w:ascii="Times New Roman" w:hAnsi="Times New Roman" w:cs="Times New Roman"/>
        <w:b/>
        <w:lang w:val="es-MX"/>
      </w:rPr>
    </w:pPr>
    <w:r>
      <w:rPr>
        <w:rFonts w:ascii="Times New Roman" w:hAnsi="Times New Roman" w:cs="Times New Roman"/>
        <w:lang w:val="es-MX"/>
      </w:rPr>
      <w:tab/>
    </w:r>
    <w:r w:rsidRPr="0073581B">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910" w:rsidRPr="007D4651" w:rsidRDefault="0001624A"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1184" behindDoc="0" locked="0" layoutInCell="1" allowOverlap="1" wp14:anchorId="0ED476A7" wp14:editId="07D88C02">
          <wp:simplePos x="0" y="0"/>
          <wp:positionH relativeFrom="column">
            <wp:posOffset>0</wp:posOffset>
          </wp:positionH>
          <wp:positionV relativeFrom="paragraph">
            <wp:posOffset>-635</wp:posOffset>
          </wp:positionV>
          <wp:extent cx="1598212" cy="723976"/>
          <wp:effectExtent l="0" t="0" r="2540" b="0"/>
          <wp:wrapNone/>
          <wp:docPr id="10" name="Imagen 10"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EB1910" w:rsidRPr="007D4651">
      <w:rPr>
        <w:rFonts w:ascii="Times New Roman" w:hAnsi="Times New Roman" w:cs="Times New Roman"/>
        <w:b/>
        <w:color w:val="1F497D" w:themeColor="text2"/>
        <w:sz w:val="24"/>
        <w:lang w:val="es-MX"/>
      </w:rPr>
      <w:t>Informe de las Finanzas Públicas</w:t>
    </w:r>
  </w:p>
  <w:p w:rsidR="00E53B45" w:rsidRDefault="0001624A"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Enero</w:t>
    </w:r>
    <w:r w:rsidR="00E9315E">
      <w:rPr>
        <w:rFonts w:ascii="Times New Roman" w:hAnsi="Times New Roman" w:cs="Times New Roman"/>
        <w:color w:val="1F497D" w:themeColor="text2"/>
        <w:lang w:val="es-MX"/>
      </w:rPr>
      <w:t xml:space="preserve"> </w:t>
    </w:r>
    <w:r>
      <w:rPr>
        <w:rFonts w:ascii="Times New Roman" w:hAnsi="Times New Roman" w:cs="Times New Roman"/>
        <w:color w:val="1F497D" w:themeColor="text2"/>
        <w:lang w:val="es-MX"/>
      </w:rPr>
      <w:t>2020</w:t>
    </w:r>
  </w:p>
  <w:p w:rsidR="00EB1910" w:rsidRDefault="00EB1910"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06368" behindDoc="0" locked="0" layoutInCell="1" allowOverlap="1" wp14:anchorId="197FEA11" wp14:editId="5B4350A3">
              <wp:simplePos x="0" y="0"/>
              <wp:positionH relativeFrom="column">
                <wp:posOffset>1710568</wp:posOffset>
              </wp:positionH>
              <wp:positionV relativeFrom="paragraph">
                <wp:posOffset>29118</wp:posOffset>
              </wp:positionV>
              <wp:extent cx="5155894" cy="45719"/>
              <wp:effectExtent l="38100" t="38100" r="64135" b="88265"/>
              <wp:wrapNone/>
              <wp:docPr id="31" name="3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AC4FA2" id="31 Rectángulo" o:spid="_x0000_s1026" style="position:absolute;margin-left:134.7pt;margin-top:2.3pt;width:406pt;height: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dAedcD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30020D" w:rsidRDefault="00EB1910" w:rsidP="0001624A">
    <w:pPr>
      <w:pStyle w:val="Encabezado"/>
      <w:rPr>
        <w:rFonts w:ascii="Times New Roman" w:hAnsi="Times New Roman" w:cs="Times New Roman"/>
        <w:b/>
        <w:color w:val="4F81BD" w:themeColor="accent1"/>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01624A" w:rsidRPr="0001624A" w:rsidRDefault="0001624A" w:rsidP="0001624A">
    <w:pPr>
      <w:pStyle w:val="Encabezado"/>
      <w:rPr>
        <w:rFonts w:ascii="Times New Roman" w:hAnsi="Times New Roman" w:cs="Times New Roman"/>
        <w:lang w:val="es-MX"/>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122" w:rsidRPr="007D4651" w:rsidRDefault="00B97122" w:rsidP="00B97122">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63712" behindDoc="0" locked="0" layoutInCell="1" allowOverlap="1" wp14:anchorId="2E0BA46B" wp14:editId="0FAF5AD7">
          <wp:simplePos x="0" y="0"/>
          <wp:positionH relativeFrom="column">
            <wp:posOffset>0</wp:posOffset>
          </wp:positionH>
          <wp:positionV relativeFrom="paragraph">
            <wp:posOffset>-635</wp:posOffset>
          </wp:positionV>
          <wp:extent cx="1598212" cy="723976"/>
          <wp:effectExtent l="0" t="0" r="2540" b="0"/>
          <wp:wrapNone/>
          <wp:docPr id="244" name="Imagen 244"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B97122" w:rsidRDefault="00443689" w:rsidP="00B97122">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Febrero</w:t>
    </w:r>
    <w:r w:rsidR="00B97122">
      <w:rPr>
        <w:rFonts w:ascii="Times New Roman" w:hAnsi="Times New Roman" w:cs="Times New Roman"/>
        <w:color w:val="1F497D" w:themeColor="text2"/>
        <w:lang w:val="es-MX"/>
      </w:rPr>
      <w:t xml:space="preserve"> 2021</w:t>
    </w:r>
  </w:p>
  <w:p w:rsidR="00B97122" w:rsidRDefault="00B97122" w:rsidP="00B97122">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62688" behindDoc="0" locked="0" layoutInCell="1" allowOverlap="1" wp14:anchorId="553CA5E6" wp14:editId="12B54073">
              <wp:simplePos x="0" y="0"/>
              <wp:positionH relativeFrom="column">
                <wp:posOffset>1720884</wp:posOffset>
              </wp:positionH>
              <wp:positionV relativeFrom="paragraph">
                <wp:posOffset>7980</wp:posOffset>
              </wp:positionV>
              <wp:extent cx="5155894" cy="45719"/>
              <wp:effectExtent l="38100" t="38100" r="64135" b="88265"/>
              <wp:wrapNone/>
              <wp:docPr id="240"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523119" id="11 Rectángulo" o:spid="_x0000_s1026" style="position:absolute;margin-left:135.5pt;margin-top:.65pt;width:406pt;height:3.6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B97122" w:rsidRPr="0073581B" w:rsidRDefault="00B97122" w:rsidP="00B97122">
    <w:pPr>
      <w:pStyle w:val="Encabezado"/>
      <w:rPr>
        <w:rFonts w:ascii="Times New Roman" w:hAnsi="Times New Roman" w:cs="Times New Roman"/>
        <w:b/>
        <w:lang w:val="es-MX"/>
      </w:rPr>
    </w:pPr>
    <w:r>
      <w:rPr>
        <w:rFonts w:ascii="Times New Roman" w:hAnsi="Times New Roman" w:cs="Times New Roman"/>
        <w:lang w:val="es-MX"/>
      </w:rPr>
      <w:tab/>
    </w:r>
    <w:r w:rsidRPr="0073581B">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605" w:rsidRPr="007D4651" w:rsidRDefault="0001624A"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3232" behindDoc="0" locked="0" layoutInCell="1" allowOverlap="1" wp14:anchorId="6F154A4C" wp14:editId="1ED04690">
          <wp:simplePos x="0" y="0"/>
          <wp:positionH relativeFrom="column">
            <wp:posOffset>0</wp:posOffset>
          </wp:positionH>
          <wp:positionV relativeFrom="paragraph">
            <wp:posOffset>-635</wp:posOffset>
          </wp:positionV>
          <wp:extent cx="1598212" cy="723976"/>
          <wp:effectExtent l="0" t="0" r="2540" b="0"/>
          <wp:wrapNone/>
          <wp:docPr id="241" name="Imagen 241"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216605" w:rsidRPr="007D4651">
      <w:rPr>
        <w:rFonts w:ascii="Times New Roman" w:hAnsi="Times New Roman" w:cs="Times New Roman"/>
        <w:b/>
        <w:color w:val="1F497D" w:themeColor="text2"/>
        <w:sz w:val="24"/>
        <w:lang w:val="es-MX"/>
      </w:rPr>
      <w:t>Informe de las Finanzas Públicas</w:t>
    </w:r>
  </w:p>
  <w:p w:rsidR="00E53B45" w:rsidRDefault="00443689"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Febrero</w:t>
    </w:r>
    <w:r w:rsidR="00E9315E">
      <w:rPr>
        <w:rFonts w:ascii="Times New Roman" w:hAnsi="Times New Roman" w:cs="Times New Roman"/>
        <w:color w:val="1F497D" w:themeColor="text2"/>
        <w:lang w:val="es-MX"/>
      </w:rPr>
      <w:t xml:space="preserve"> </w:t>
    </w:r>
    <w:r w:rsidR="00CE2620">
      <w:rPr>
        <w:rFonts w:ascii="Times New Roman" w:hAnsi="Times New Roman" w:cs="Times New Roman"/>
        <w:color w:val="1F497D" w:themeColor="text2"/>
        <w:lang w:val="es-MX"/>
      </w:rPr>
      <w:t>2021</w:t>
    </w:r>
  </w:p>
  <w:p w:rsidR="00216605" w:rsidRDefault="00216605"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6848" behindDoc="0" locked="0" layoutInCell="1" allowOverlap="1" wp14:anchorId="372FCD04" wp14:editId="3FD8EFF7">
              <wp:simplePos x="0" y="0"/>
              <wp:positionH relativeFrom="column">
                <wp:posOffset>1710568</wp:posOffset>
              </wp:positionH>
              <wp:positionV relativeFrom="paragraph">
                <wp:posOffset>29118</wp:posOffset>
              </wp:positionV>
              <wp:extent cx="5155894" cy="45719"/>
              <wp:effectExtent l="38100" t="38100" r="64135" b="88265"/>
              <wp:wrapNone/>
              <wp:docPr id="54"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69F721" id="22 Rectángulo" o:spid="_x0000_s1026" style="position:absolute;margin-left:134.7pt;margin-top:2.3pt;width:406pt;height:3.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YJPQMAAKc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&#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W/Rgk9AwAApw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16605" w:rsidRDefault="00216605"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216605" w:rsidRPr="00E16925" w:rsidRDefault="00216605"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8D3" w:rsidRPr="007D4651" w:rsidRDefault="0001624A"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5280" behindDoc="0" locked="0" layoutInCell="1" allowOverlap="1" wp14:anchorId="7570CB00" wp14:editId="0328A9A1">
          <wp:simplePos x="0" y="0"/>
          <wp:positionH relativeFrom="column">
            <wp:posOffset>0</wp:posOffset>
          </wp:positionH>
          <wp:positionV relativeFrom="paragraph">
            <wp:posOffset>-635</wp:posOffset>
          </wp:positionV>
          <wp:extent cx="1598212" cy="723976"/>
          <wp:effectExtent l="0" t="0" r="2540" b="0"/>
          <wp:wrapNone/>
          <wp:docPr id="30" name="Imagen 30"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AF68D3" w:rsidRPr="007D4651">
      <w:rPr>
        <w:rFonts w:ascii="Times New Roman" w:hAnsi="Times New Roman" w:cs="Times New Roman"/>
        <w:b/>
        <w:color w:val="1F497D" w:themeColor="text2"/>
        <w:sz w:val="24"/>
        <w:lang w:val="es-MX"/>
      </w:rPr>
      <w:t>Informe de las Finanzas Públicas</w:t>
    </w:r>
  </w:p>
  <w:p w:rsidR="00E53B45" w:rsidRDefault="00D92627"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Febrero</w:t>
    </w:r>
    <w:r w:rsidR="00E9315E">
      <w:rPr>
        <w:rFonts w:ascii="Times New Roman" w:hAnsi="Times New Roman" w:cs="Times New Roman"/>
        <w:color w:val="1F497D" w:themeColor="text2"/>
        <w:lang w:val="es-MX"/>
      </w:rPr>
      <w:t xml:space="preserve"> </w:t>
    </w:r>
    <w:r>
      <w:rPr>
        <w:rFonts w:ascii="Times New Roman" w:hAnsi="Times New Roman" w:cs="Times New Roman"/>
        <w:color w:val="1F497D" w:themeColor="text2"/>
        <w:lang w:val="es-MX"/>
      </w:rPr>
      <w:t>2021</w:t>
    </w:r>
  </w:p>
  <w:p w:rsidR="00AF68D3" w:rsidRDefault="00AF68D3"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73600" behindDoc="0" locked="0" layoutInCell="1" allowOverlap="1" wp14:anchorId="4A0024E2" wp14:editId="0293D011">
              <wp:simplePos x="0" y="0"/>
              <wp:positionH relativeFrom="column">
                <wp:posOffset>1710568</wp:posOffset>
              </wp:positionH>
              <wp:positionV relativeFrom="paragraph">
                <wp:posOffset>29118</wp:posOffset>
              </wp:positionV>
              <wp:extent cx="5155894" cy="45719"/>
              <wp:effectExtent l="38100" t="38100" r="64135" b="88265"/>
              <wp:wrapNone/>
              <wp:docPr id="22"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EB1408" id="22 Rectángulo" o:spid="_x0000_s1026" style="position:absolute;margin-left:134.7pt;margin-top:2.3pt;width:406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&#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IhmdH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AFF" w:rsidRPr="007D4651" w:rsidRDefault="00FE1AFF" w:rsidP="00FE1AFF">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4496" behindDoc="0" locked="0" layoutInCell="1" allowOverlap="1" wp14:anchorId="31DDCDE6" wp14:editId="2530B14B">
          <wp:simplePos x="0" y="0"/>
          <wp:positionH relativeFrom="column">
            <wp:posOffset>0</wp:posOffset>
          </wp:positionH>
          <wp:positionV relativeFrom="paragraph">
            <wp:posOffset>-635</wp:posOffset>
          </wp:positionV>
          <wp:extent cx="1598212" cy="723976"/>
          <wp:effectExtent l="0" t="0" r="2540" b="0"/>
          <wp:wrapNone/>
          <wp:docPr id="229" name="Imagen 229"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FE1AFF" w:rsidRDefault="00443689" w:rsidP="00FE1AFF">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Febrero </w:t>
    </w:r>
    <w:r w:rsidR="00FE1AFF">
      <w:rPr>
        <w:rFonts w:ascii="Times New Roman" w:hAnsi="Times New Roman" w:cs="Times New Roman"/>
        <w:color w:val="1F497D" w:themeColor="text2"/>
        <w:lang w:val="es-MX"/>
      </w:rPr>
      <w:t>2021</w:t>
    </w:r>
  </w:p>
  <w:p w:rsidR="00FE1AFF" w:rsidRDefault="00FE1AFF" w:rsidP="00FE1AFF">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53472" behindDoc="0" locked="0" layoutInCell="1" allowOverlap="1" wp14:anchorId="580E61B0" wp14:editId="3AC675CE">
              <wp:simplePos x="0" y="0"/>
              <wp:positionH relativeFrom="column">
                <wp:posOffset>1710568</wp:posOffset>
              </wp:positionH>
              <wp:positionV relativeFrom="paragraph">
                <wp:posOffset>29118</wp:posOffset>
              </wp:positionV>
              <wp:extent cx="5155894" cy="45719"/>
              <wp:effectExtent l="38100" t="38100" r="64135" b="88265"/>
              <wp:wrapNone/>
              <wp:docPr id="228"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961744" id="22 Rectángulo" o:spid="_x0000_s1026" style="position:absolute;margin-left:134.7pt;margin-top:2.3pt;width:406pt;height:3.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ofCb9j8DAACo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E1AFF" w:rsidRDefault="00FE1AFF" w:rsidP="00FE1AFF">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7452E2" w:rsidRDefault="00AF68D3"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2BF" w:rsidRPr="007D4651" w:rsidRDefault="00653D92"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65760" behindDoc="0" locked="0" layoutInCell="1" allowOverlap="1" wp14:anchorId="3C332F54" wp14:editId="12AB8036">
          <wp:simplePos x="0" y="0"/>
          <wp:positionH relativeFrom="column">
            <wp:posOffset>-43892</wp:posOffset>
          </wp:positionH>
          <wp:positionV relativeFrom="paragraph">
            <wp:posOffset>-44831</wp:posOffset>
          </wp:positionV>
          <wp:extent cx="1598212" cy="723976"/>
          <wp:effectExtent l="0" t="0" r="2540" b="0"/>
          <wp:wrapNone/>
          <wp:docPr id="13" name="Imagen 13"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00F062BF" w:rsidRPr="007D4651">
      <w:rPr>
        <w:rFonts w:ascii="Times New Roman" w:hAnsi="Times New Roman" w:cs="Times New Roman"/>
        <w:b/>
        <w:color w:val="1F497D" w:themeColor="text2"/>
        <w:sz w:val="24"/>
        <w:lang w:val="es-MX"/>
      </w:rPr>
      <w:t>Informe de las Finanzas Públicas</w:t>
    </w:r>
  </w:p>
  <w:p w:rsidR="00F062BF" w:rsidRDefault="00653D92"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Febrero 2021</w:t>
    </w:r>
  </w:p>
  <w:p w:rsidR="00F062BF" w:rsidRDefault="00F062BF"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35040" behindDoc="0" locked="0" layoutInCell="1" allowOverlap="1" wp14:anchorId="39675CFE" wp14:editId="4D675510">
              <wp:simplePos x="0" y="0"/>
              <wp:positionH relativeFrom="column">
                <wp:posOffset>1710568</wp:posOffset>
              </wp:positionH>
              <wp:positionV relativeFrom="paragraph">
                <wp:posOffset>29118</wp:posOffset>
              </wp:positionV>
              <wp:extent cx="5155894" cy="45719"/>
              <wp:effectExtent l="38100" t="38100" r="64135" b="88265"/>
              <wp:wrapNone/>
              <wp:docPr id="2"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61BA33" id="38 Rectángulo" o:spid="_x0000_s1026" style="position:absolute;margin-left:134.7pt;margin-top:2.3pt;width:406pt;height:3.6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JIPQMAAKY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&#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8PAkg9AwAApg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062BF" w:rsidRDefault="00F062BF"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F062BF" w:rsidRPr="00E16925" w:rsidRDefault="00F062BF" w:rsidP="00E16925">
    <w:pPr>
      <w:pStyle w:val="Encabezado"/>
      <w:rPr>
        <w:rFonts w:ascii="Times New Roman" w:hAnsi="Times New Roman" w:cs="Times New Roman"/>
        <w:lang w:val="es-MX"/>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2C5" w:rsidRPr="007D4651" w:rsidRDefault="003762C5" w:rsidP="003762C5">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7568" behindDoc="0" locked="0" layoutInCell="1" allowOverlap="1" wp14:anchorId="656C58EE" wp14:editId="089C8F56">
          <wp:simplePos x="0" y="0"/>
          <wp:positionH relativeFrom="column">
            <wp:posOffset>0</wp:posOffset>
          </wp:positionH>
          <wp:positionV relativeFrom="paragraph">
            <wp:posOffset>-635</wp:posOffset>
          </wp:positionV>
          <wp:extent cx="1598212" cy="723976"/>
          <wp:effectExtent l="0" t="0" r="2540" b="0"/>
          <wp:wrapNone/>
          <wp:docPr id="6" name="Imagen 6"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3762C5" w:rsidRDefault="00443689" w:rsidP="003762C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Febrero</w:t>
    </w:r>
    <w:r w:rsidR="003762C5">
      <w:rPr>
        <w:rFonts w:ascii="Times New Roman" w:hAnsi="Times New Roman" w:cs="Times New Roman"/>
        <w:color w:val="1F497D" w:themeColor="text2"/>
        <w:lang w:val="es-MX"/>
      </w:rPr>
      <w:t xml:space="preserve"> 2021</w:t>
    </w:r>
  </w:p>
  <w:p w:rsidR="003762C5" w:rsidRDefault="003762C5" w:rsidP="003762C5">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56544" behindDoc="0" locked="0" layoutInCell="1" allowOverlap="1" wp14:anchorId="793386CB" wp14:editId="48C70E8F">
              <wp:simplePos x="0" y="0"/>
              <wp:positionH relativeFrom="column">
                <wp:posOffset>1710568</wp:posOffset>
              </wp:positionH>
              <wp:positionV relativeFrom="paragraph">
                <wp:posOffset>29118</wp:posOffset>
              </wp:positionV>
              <wp:extent cx="5155894" cy="45719"/>
              <wp:effectExtent l="38100" t="38100" r="64135" b="88265"/>
              <wp:wrapNone/>
              <wp:docPr id="230" name="20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E113E5" id="20 Rectángulo" o:spid="_x0000_s1026" style="position:absolute;margin-left:134.7pt;margin-top:2.3pt;width:406pt;height:3.6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iHsD5D8DAACo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3762C5" w:rsidRDefault="003762C5" w:rsidP="003762C5">
    <w:pPr>
      <w:pStyle w:val="Encabezado"/>
      <w:rPr>
        <w:rFonts w:ascii="Times New Roman" w:hAnsi="Times New Roman" w:cs="Times New Roman"/>
        <w:lang w:val="es-MX"/>
      </w:rPr>
    </w:pPr>
    <w:r>
      <w:rPr>
        <w:rFonts w:ascii="Times New Roman" w:hAnsi="Times New Roman" w:cs="Times New Roman"/>
        <w:lang w:val="es-MX"/>
      </w:rPr>
      <w:tab/>
      <w:t xml:space="preserve"> </w:t>
    </w:r>
    <w:r w:rsidRPr="009F164F">
      <w:rPr>
        <w:rFonts w:ascii="Times New Roman" w:hAnsi="Times New Roman" w:cs="Times New Roman"/>
        <w:b/>
        <w:color w:val="4F81BD" w:themeColor="accent1"/>
        <w:lang w:val="es-MX"/>
      </w:rPr>
      <w:t>Dirección de Análisis y Política Fiscal</w:t>
    </w:r>
  </w:p>
  <w:p w:rsidR="001F5581" w:rsidRPr="007452E2" w:rsidRDefault="001F5581"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E370CD0"/>
    <w:multiLevelType w:val="hybridMultilevel"/>
    <w:tmpl w:val="6AFCB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0">
    <w:nsid w:val="284F18C2"/>
    <w:multiLevelType w:val="hybridMultilevel"/>
    <w:tmpl w:val="60180018"/>
    <w:lvl w:ilvl="0" w:tplc="8DF2F090">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34920911"/>
    <w:multiLevelType w:val="hybridMultilevel"/>
    <w:tmpl w:val="1104419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 w15:restartNumberingAfterBreak="0">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6DAE7A0A"/>
    <w:multiLevelType w:val="hybridMultilevel"/>
    <w:tmpl w:val="F59ACDD0"/>
    <w:lvl w:ilvl="0" w:tplc="527E0502">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8"/>
  </w:num>
  <w:num w:numId="4">
    <w:abstractNumId w:val="1"/>
  </w:num>
  <w:num w:numId="5">
    <w:abstractNumId w:val="13"/>
  </w:num>
  <w:num w:numId="6">
    <w:abstractNumId w:val="16"/>
  </w:num>
  <w:num w:numId="7">
    <w:abstractNumId w:val="15"/>
  </w:num>
  <w:num w:numId="8">
    <w:abstractNumId w:val="3"/>
  </w:num>
  <w:num w:numId="9">
    <w:abstractNumId w:val="10"/>
  </w:num>
  <w:num w:numId="10">
    <w:abstractNumId w:val="6"/>
  </w:num>
  <w:num w:numId="11">
    <w:abstractNumId w:val="9"/>
  </w:num>
  <w:num w:numId="12">
    <w:abstractNumId w:val="7"/>
  </w:num>
  <w:num w:numId="13">
    <w:abstractNumId w:val="0"/>
  </w:num>
  <w:num w:numId="14">
    <w:abstractNumId w:val="2"/>
  </w:num>
  <w:num w:numId="15">
    <w:abstractNumId w:val="5"/>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51"/>
    <w:rsid w:val="0000354D"/>
    <w:rsid w:val="000053A7"/>
    <w:rsid w:val="00006489"/>
    <w:rsid w:val="000064C3"/>
    <w:rsid w:val="000067B1"/>
    <w:rsid w:val="00013A7F"/>
    <w:rsid w:val="00013C63"/>
    <w:rsid w:val="0001624A"/>
    <w:rsid w:val="00020E23"/>
    <w:rsid w:val="00022E98"/>
    <w:rsid w:val="00025121"/>
    <w:rsid w:val="00025788"/>
    <w:rsid w:val="00025D1E"/>
    <w:rsid w:val="00035835"/>
    <w:rsid w:val="000378CF"/>
    <w:rsid w:val="00040C99"/>
    <w:rsid w:val="00042B27"/>
    <w:rsid w:val="00045D14"/>
    <w:rsid w:val="00051776"/>
    <w:rsid w:val="00051A92"/>
    <w:rsid w:val="000530BD"/>
    <w:rsid w:val="00053517"/>
    <w:rsid w:val="0006261A"/>
    <w:rsid w:val="00063120"/>
    <w:rsid w:val="0006646A"/>
    <w:rsid w:val="000723B2"/>
    <w:rsid w:val="00072EEB"/>
    <w:rsid w:val="00074BC6"/>
    <w:rsid w:val="00076AB4"/>
    <w:rsid w:val="00076AD2"/>
    <w:rsid w:val="00076BF9"/>
    <w:rsid w:val="00080B88"/>
    <w:rsid w:val="00080BD8"/>
    <w:rsid w:val="0008320B"/>
    <w:rsid w:val="0008348D"/>
    <w:rsid w:val="00087ADE"/>
    <w:rsid w:val="000A0A4F"/>
    <w:rsid w:val="000A6E8E"/>
    <w:rsid w:val="000B0279"/>
    <w:rsid w:val="000B56CE"/>
    <w:rsid w:val="000C1547"/>
    <w:rsid w:val="000C1FF2"/>
    <w:rsid w:val="000C21E1"/>
    <w:rsid w:val="000C2C25"/>
    <w:rsid w:val="000C4EC0"/>
    <w:rsid w:val="000C65AB"/>
    <w:rsid w:val="000D016D"/>
    <w:rsid w:val="000D2FA4"/>
    <w:rsid w:val="000D489E"/>
    <w:rsid w:val="000E43A8"/>
    <w:rsid w:val="000E5E43"/>
    <w:rsid w:val="000F1314"/>
    <w:rsid w:val="000F3B7F"/>
    <w:rsid w:val="000F4520"/>
    <w:rsid w:val="000F509C"/>
    <w:rsid w:val="000F5F87"/>
    <w:rsid w:val="000F7F65"/>
    <w:rsid w:val="00102939"/>
    <w:rsid w:val="00103DA9"/>
    <w:rsid w:val="001045CE"/>
    <w:rsid w:val="00106793"/>
    <w:rsid w:val="00107309"/>
    <w:rsid w:val="0011194C"/>
    <w:rsid w:val="00111B77"/>
    <w:rsid w:val="001178B6"/>
    <w:rsid w:val="00120C4D"/>
    <w:rsid w:val="001259BA"/>
    <w:rsid w:val="0013022C"/>
    <w:rsid w:val="001339A4"/>
    <w:rsid w:val="00133DBA"/>
    <w:rsid w:val="0013436D"/>
    <w:rsid w:val="00136D08"/>
    <w:rsid w:val="0014167F"/>
    <w:rsid w:val="00142BF3"/>
    <w:rsid w:val="00142F1A"/>
    <w:rsid w:val="00143620"/>
    <w:rsid w:val="00145313"/>
    <w:rsid w:val="00147533"/>
    <w:rsid w:val="00150585"/>
    <w:rsid w:val="00152798"/>
    <w:rsid w:val="001549AB"/>
    <w:rsid w:val="00155A02"/>
    <w:rsid w:val="00157402"/>
    <w:rsid w:val="00157C3A"/>
    <w:rsid w:val="00157F7B"/>
    <w:rsid w:val="00160EAC"/>
    <w:rsid w:val="00163944"/>
    <w:rsid w:val="00171909"/>
    <w:rsid w:val="001735EE"/>
    <w:rsid w:val="001741D8"/>
    <w:rsid w:val="0017454D"/>
    <w:rsid w:val="00182730"/>
    <w:rsid w:val="00185253"/>
    <w:rsid w:val="001913A4"/>
    <w:rsid w:val="00196A44"/>
    <w:rsid w:val="001A0C82"/>
    <w:rsid w:val="001A27B3"/>
    <w:rsid w:val="001A3185"/>
    <w:rsid w:val="001A6038"/>
    <w:rsid w:val="001A79F4"/>
    <w:rsid w:val="001B1DBB"/>
    <w:rsid w:val="001B3984"/>
    <w:rsid w:val="001B3EEE"/>
    <w:rsid w:val="001B4A4C"/>
    <w:rsid w:val="001B5046"/>
    <w:rsid w:val="001C2FF5"/>
    <w:rsid w:val="001C3649"/>
    <w:rsid w:val="001D0065"/>
    <w:rsid w:val="001D3345"/>
    <w:rsid w:val="001D46C3"/>
    <w:rsid w:val="001D4C8E"/>
    <w:rsid w:val="001D5A5B"/>
    <w:rsid w:val="001E05BE"/>
    <w:rsid w:val="001E0E10"/>
    <w:rsid w:val="001E0F86"/>
    <w:rsid w:val="001E3B99"/>
    <w:rsid w:val="001E4CD2"/>
    <w:rsid w:val="001E61BB"/>
    <w:rsid w:val="001F2EA3"/>
    <w:rsid w:val="001F34AD"/>
    <w:rsid w:val="001F4EE1"/>
    <w:rsid w:val="001F4F78"/>
    <w:rsid w:val="001F5240"/>
    <w:rsid w:val="001F5581"/>
    <w:rsid w:val="001F7141"/>
    <w:rsid w:val="00200FB1"/>
    <w:rsid w:val="00202594"/>
    <w:rsid w:val="0020377F"/>
    <w:rsid w:val="00207693"/>
    <w:rsid w:val="002101C9"/>
    <w:rsid w:val="00212A2C"/>
    <w:rsid w:val="00213C92"/>
    <w:rsid w:val="00216605"/>
    <w:rsid w:val="0021693D"/>
    <w:rsid w:val="00216B0E"/>
    <w:rsid w:val="00216DA8"/>
    <w:rsid w:val="002215C9"/>
    <w:rsid w:val="00222598"/>
    <w:rsid w:val="002302ED"/>
    <w:rsid w:val="002335EE"/>
    <w:rsid w:val="0023642A"/>
    <w:rsid w:val="00240D86"/>
    <w:rsid w:val="00242202"/>
    <w:rsid w:val="00244AAA"/>
    <w:rsid w:val="002512EC"/>
    <w:rsid w:val="00252B28"/>
    <w:rsid w:val="00256F02"/>
    <w:rsid w:val="002610FC"/>
    <w:rsid w:val="00261B7A"/>
    <w:rsid w:val="00262E76"/>
    <w:rsid w:val="00263007"/>
    <w:rsid w:val="00263CC4"/>
    <w:rsid w:val="00264C3A"/>
    <w:rsid w:val="00264FC5"/>
    <w:rsid w:val="002672D5"/>
    <w:rsid w:val="00270CAB"/>
    <w:rsid w:val="002719C8"/>
    <w:rsid w:val="00271EDC"/>
    <w:rsid w:val="00273E2C"/>
    <w:rsid w:val="002752BD"/>
    <w:rsid w:val="00275F3F"/>
    <w:rsid w:val="00276250"/>
    <w:rsid w:val="00276A28"/>
    <w:rsid w:val="00281439"/>
    <w:rsid w:val="00281FB7"/>
    <w:rsid w:val="0028212F"/>
    <w:rsid w:val="00292AD2"/>
    <w:rsid w:val="00292AD8"/>
    <w:rsid w:val="0029321A"/>
    <w:rsid w:val="00295365"/>
    <w:rsid w:val="00296D57"/>
    <w:rsid w:val="002977ED"/>
    <w:rsid w:val="002A076B"/>
    <w:rsid w:val="002A5B1B"/>
    <w:rsid w:val="002B5E9D"/>
    <w:rsid w:val="002B7644"/>
    <w:rsid w:val="002C0021"/>
    <w:rsid w:val="002C2547"/>
    <w:rsid w:val="002C482A"/>
    <w:rsid w:val="002C6478"/>
    <w:rsid w:val="002C68B8"/>
    <w:rsid w:val="002C767B"/>
    <w:rsid w:val="002C7F2B"/>
    <w:rsid w:val="002D11E8"/>
    <w:rsid w:val="002D1C01"/>
    <w:rsid w:val="002D3469"/>
    <w:rsid w:val="002D54E6"/>
    <w:rsid w:val="002E3F4C"/>
    <w:rsid w:val="002F14AA"/>
    <w:rsid w:val="002F29DE"/>
    <w:rsid w:val="002F2A42"/>
    <w:rsid w:val="002F5408"/>
    <w:rsid w:val="002F7E08"/>
    <w:rsid w:val="0030020D"/>
    <w:rsid w:val="00302D40"/>
    <w:rsid w:val="0030695C"/>
    <w:rsid w:val="00312262"/>
    <w:rsid w:val="00312D85"/>
    <w:rsid w:val="0031651A"/>
    <w:rsid w:val="00321745"/>
    <w:rsid w:val="0032198D"/>
    <w:rsid w:val="00322ECC"/>
    <w:rsid w:val="00330A9D"/>
    <w:rsid w:val="00334324"/>
    <w:rsid w:val="003371DC"/>
    <w:rsid w:val="00343A5D"/>
    <w:rsid w:val="00345216"/>
    <w:rsid w:val="0034700C"/>
    <w:rsid w:val="003523F0"/>
    <w:rsid w:val="0035279B"/>
    <w:rsid w:val="003531E5"/>
    <w:rsid w:val="003551C3"/>
    <w:rsid w:val="003566E1"/>
    <w:rsid w:val="003649D9"/>
    <w:rsid w:val="00364DD6"/>
    <w:rsid w:val="00366770"/>
    <w:rsid w:val="00367E12"/>
    <w:rsid w:val="00374D44"/>
    <w:rsid w:val="003762C5"/>
    <w:rsid w:val="00376802"/>
    <w:rsid w:val="00376FE9"/>
    <w:rsid w:val="0038008D"/>
    <w:rsid w:val="003804E5"/>
    <w:rsid w:val="00381A4F"/>
    <w:rsid w:val="0038488D"/>
    <w:rsid w:val="00385BA8"/>
    <w:rsid w:val="00393E59"/>
    <w:rsid w:val="0039499F"/>
    <w:rsid w:val="003968DB"/>
    <w:rsid w:val="003A1300"/>
    <w:rsid w:val="003A3726"/>
    <w:rsid w:val="003A72C9"/>
    <w:rsid w:val="003B00D2"/>
    <w:rsid w:val="003B13B4"/>
    <w:rsid w:val="003B1A93"/>
    <w:rsid w:val="003B24E3"/>
    <w:rsid w:val="003C3922"/>
    <w:rsid w:val="003C3D42"/>
    <w:rsid w:val="003C7085"/>
    <w:rsid w:val="003D05CE"/>
    <w:rsid w:val="003D15F7"/>
    <w:rsid w:val="003D2128"/>
    <w:rsid w:val="003D2C99"/>
    <w:rsid w:val="003D38A7"/>
    <w:rsid w:val="003D557F"/>
    <w:rsid w:val="003D60E4"/>
    <w:rsid w:val="003D72D3"/>
    <w:rsid w:val="003D7EBA"/>
    <w:rsid w:val="003E25F8"/>
    <w:rsid w:val="003E2823"/>
    <w:rsid w:val="003E28F4"/>
    <w:rsid w:val="003E591D"/>
    <w:rsid w:val="003E70E0"/>
    <w:rsid w:val="003F0660"/>
    <w:rsid w:val="003F1E83"/>
    <w:rsid w:val="003F32A1"/>
    <w:rsid w:val="003F4609"/>
    <w:rsid w:val="003F7076"/>
    <w:rsid w:val="0040361C"/>
    <w:rsid w:val="0040580B"/>
    <w:rsid w:val="00410690"/>
    <w:rsid w:val="0041262B"/>
    <w:rsid w:val="00413FBE"/>
    <w:rsid w:val="00416D41"/>
    <w:rsid w:val="00421BA0"/>
    <w:rsid w:val="0042387A"/>
    <w:rsid w:val="0042628E"/>
    <w:rsid w:val="00426F4F"/>
    <w:rsid w:val="00434FC6"/>
    <w:rsid w:val="00443336"/>
    <w:rsid w:val="00443385"/>
    <w:rsid w:val="00443621"/>
    <w:rsid w:val="00443689"/>
    <w:rsid w:val="00447F4F"/>
    <w:rsid w:val="00450531"/>
    <w:rsid w:val="00451504"/>
    <w:rsid w:val="00452A5A"/>
    <w:rsid w:val="004575BA"/>
    <w:rsid w:val="004606FD"/>
    <w:rsid w:val="00464DB9"/>
    <w:rsid w:val="004650C5"/>
    <w:rsid w:val="00465F37"/>
    <w:rsid w:val="00471B35"/>
    <w:rsid w:val="00474EC2"/>
    <w:rsid w:val="00480824"/>
    <w:rsid w:val="004830FD"/>
    <w:rsid w:val="004835C8"/>
    <w:rsid w:val="00483632"/>
    <w:rsid w:val="0048385B"/>
    <w:rsid w:val="00487136"/>
    <w:rsid w:val="004900AE"/>
    <w:rsid w:val="00492967"/>
    <w:rsid w:val="00494116"/>
    <w:rsid w:val="00494BC6"/>
    <w:rsid w:val="00494D1D"/>
    <w:rsid w:val="00495C21"/>
    <w:rsid w:val="00495F43"/>
    <w:rsid w:val="00497DD6"/>
    <w:rsid w:val="004A28E4"/>
    <w:rsid w:val="004A3D32"/>
    <w:rsid w:val="004A3DB8"/>
    <w:rsid w:val="004A6705"/>
    <w:rsid w:val="004A73AA"/>
    <w:rsid w:val="004B1E1A"/>
    <w:rsid w:val="004B336D"/>
    <w:rsid w:val="004B4B9F"/>
    <w:rsid w:val="004B5B0F"/>
    <w:rsid w:val="004B799B"/>
    <w:rsid w:val="004C208F"/>
    <w:rsid w:val="004C3B4E"/>
    <w:rsid w:val="004D0A0F"/>
    <w:rsid w:val="004D1F76"/>
    <w:rsid w:val="004D7482"/>
    <w:rsid w:val="004E23E4"/>
    <w:rsid w:val="004E358C"/>
    <w:rsid w:val="004E4FDE"/>
    <w:rsid w:val="004E54B7"/>
    <w:rsid w:val="004E5D0E"/>
    <w:rsid w:val="004E61EC"/>
    <w:rsid w:val="004F02B2"/>
    <w:rsid w:val="004F4F4D"/>
    <w:rsid w:val="004F72F9"/>
    <w:rsid w:val="005004C9"/>
    <w:rsid w:val="005016F6"/>
    <w:rsid w:val="005016F7"/>
    <w:rsid w:val="00502FD6"/>
    <w:rsid w:val="005077A5"/>
    <w:rsid w:val="00507E67"/>
    <w:rsid w:val="005104DC"/>
    <w:rsid w:val="00511C93"/>
    <w:rsid w:val="00512601"/>
    <w:rsid w:val="0051308A"/>
    <w:rsid w:val="005136F3"/>
    <w:rsid w:val="00514CFD"/>
    <w:rsid w:val="00515CE6"/>
    <w:rsid w:val="00517930"/>
    <w:rsid w:val="00520351"/>
    <w:rsid w:val="00520FB0"/>
    <w:rsid w:val="005226CD"/>
    <w:rsid w:val="00523738"/>
    <w:rsid w:val="00530EAC"/>
    <w:rsid w:val="00532025"/>
    <w:rsid w:val="0053566F"/>
    <w:rsid w:val="005364DE"/>
    <w:rsid w:val="005428C6"/>
    <w:rsid w:val="00544E9A"/>
    <w:rsid w:val="00546650"/>
    <w:rsid w:val="0055248B"/>
    <w:rsid w:val="005537D0"/>
    <w:rsid w:val="005550D8"/>
    <w:rsid w:val="0055590E"/>
    <w:rsid w:val="00561402"/>
    <w:rsid w:val="00573AB0"/>
    <w:rsid w:val="005755E9"/>
    <w:rsid w:val="00575DFA"/>
    <w:rsid w:val="00580234"/>
    <w:rsid w:val="00580D47"/>
    <w:rsid w:val="00582F9F"/>
    <w:rsid w:val="00586745"/>
    <w:rsid w:val="005879A5"/>
    <w:rsid w:val="00591D14"/>
    <w:rsid w:val="005925BD"/>
    <w:rsid w:val="00592D6E"/>
    <w:rsid w:val="0059421A"/>
    <w:rsid w:val="005948F0"/>
    <w:rsid w:val="0059655C"/>
    <w:rsid w:val="00596662"/>
    <w:rsid w:val="0059700F"/>
    <w:rsid w:val="005979EB"/>
    <w:rsid w:val="005A03A9"/>
    <w:rsid w:val="005A1EFC"/>
    <w:rsid w:val="005A6ACE"/>
    <w:rsid w:val="005A6F91"/>
    <w:rsid w:val="005B0E84"/>
    <w:rsid w:val="005B1B53"/>
    <w:rsid w:val="005B44D1"/>
    <w:rsid w:val="005B4E4C"/>
    <w:rsid w:val="005B6D05"/>
    <w:rsid w:val="005C103A"/>
    <w:rsid w:val="005C275E"/>
    <w:rsid w:val="005C4C97"/>
    <w:rsid w:val="005D2336"/>
    <w:rsid w:val="005D5151"/>
    <w:rsid w:val="005D51CA"/>
    <w:rsid w:val="005D6423"/>
    <w:rsid w:val="005D7AC4"/>
    <w:rsid w:val="005E4D76"/>
    <w:rsid w:val="005E6BD0"/>
    <w:rsid w:val="005E7E89"/>
    <w:rsid w:val="005F04EC"/>
    <w:rsid w:val="005F18DE"/>
    <w:rsid w:val="005F470C"/>
    <w:rsid w:val="005F591A"/>
    <w:rsid w:val="0060094A"/>
    <w:rsid w:val="0060136C"/>
    <w:rsid w:val="006014EC"/>
    <w:rsid w:val="00601C99"/>
    <w:rsid w:val="00603743"/>
    <w:rsid w:val="00604F51"/>
    <w:rsid w:val="006060AD"/>
    <w:rsid w:val="00606D70"/>
    <w:rsid w:val="00610F84"/>
    <w:rsid w:val="0062255C"/>
    <w:rsid w:val="00622FB1"/>
    <w:rsid w:val="00623DEA"/>
    <w:rsid w:val="00623EC9"/>
    <w:rsid w:val="00624417"/>
    <w:rsid w:val="00625AA5"/>
    <w:rsid w:val="00632EE6"/>
    <w:rsid w:val="00633616"/>
    <w:rsid w:val="00637772"/>
    <w:rsid w:val="00637AC9"/>
    <w:rsid w:val="00640B12"/>
    <w:rsid w:val="0064258A"/>
    <w:rsid w:val="00643685"/>
    <w:rsid w:val="00643FB6"/>
    <w:rsid w:val="006470E2"/>
    <w:rsid w:val="00651522"/>
    <w:rsid w:val="006525C5"/>
    <w:rsid w:val="006530FD"/>
    <w:rsid w:val="00653D92"/>
    <w:rsid w:val="00654855"/>
    <w:rsid w:val="006553D6"/>
    <w:rsid w:val="00656178"/>
    <w:rsid w:val="00660888"/>
    <w:rsid w:val="00661E2A"/>
    <w:rsid w:val="006630B2"/>
    <w:rsid w:val="00663EB3"/>
    <w:rsid w:val="00665BB7"/>
    <w:rsid w:val="00666477"/>
    <w:rsid w:val="006668D4"/>
    <w:rsid w:val="0066791B"/>
    <w:rsid w:val="00670F33"/>
    <w:rsid w:val="0067132B"/>
    <w:rsid w:val="00674EAE"/>
    <w:rsid w:val="00676765"/>
    <w:rsid w:val="006820CE"/>
    <w:rsid w:val="006830CD"/>
    <w:rsid w:val="00685A33"/>
    <w:rsid w:val="00685C3A"/>
    <w:rsid w:val="006968BB"/>
    <w:rsid w:val="006A1473"/>
    <w:rsid w:val="006A41F1"/>
    <w:rsid w:val="006A64D5"/>
    <w:rsid w:val="006B0D82"/>
    <w:rsid w:val="006B40EC"/>
    <w:rsid w:val="006C0680"/>
    <w:rsid w:val="006C2F15"/>
    <w:rsid w:val="006C7015"/>
    <w:rsid w:val="006D1857"/>
    <w:rsid w:val="006D7959"/>
    <w:rsid w:val="006D7B6E"/>
    <w:rsid w:val="006D7BB6"/>
    <w:rsid w:val="006E082A"/>
    <w:rsid w:val="006E1D11"/>
    <w:rsid w:val="006E27A5"/>
    <w:rsid w:val="006E4937"/>
    <w:rsid w:val="006E63F3"/>
    <w:rsid w:val="006E6A13"/>
    <w:rsid w:val="006F157C"/>
    <w:rsid w:val="006F1B31"/>
    <w:rsid w:val="006F202E"/>
    <w:rsid w:val="006F20A4"/>
    <w:rsid w:val="006F3C0D"/>
    <w:rsid w:val="006F3FF3"/>
    <w:rsid w:val="006F410A"/>
    <w:rsid w:val="006F4891"/>
    <w:rsid w:val="006F5EA0"/>
    <w:rsid w:val="006F7575"/>
    <w:rsid w:val="00706A33"/>
    <w:rsid w:val="00712339"/>
    <w:rsid w:val="00714E40"/>
    <w:rsid w:val="00715429"/>
    <w:rsid w:val="00715C88"/>
    <w:rsid w:val="00715D8F"/>
    <w:rsid w:val="0071791E"/>
    <w:rsid w:val="007206C9"/>
    <w:rsid w:val="00720E64"/>
    <w:rsid w:val="00723F6E"/>
    <w:rsid w:val="00725F93"/>
    <w:rsid w:val="0073367E"/>
    <w:rsid w:val="0073437F"/>
    <w:rsid w:val="0073581B"/>
    <w:rsid w:val="007362C1"/>
    <w:rsid w:val="0074137E"/>
    <w:rsid w:val="007413CE"/>
    <w:rsid w:val="00741591"/>
    <w:rsid w:val="00741F6B"/>
    <w:rsid w:val="0074369F"/>
    <w:rsid w:val="0074502B"/>
    <w:rsid w:val="0074528B"/>
    <w:rsid w:val="007452E2"/>
    <w:rsid w:val="00747C79"/>
    <w:rsid w:val="00751CCA"/>
    <w:rsid w:val="00754057"/>
    <w:rsid w:val="007572E9"/>
    <w:rsid w:val="0075770C"/>
    <w:rsid w:val="0076028F"/>
    <w:rsid w:val="00762722"/>
    <w:rsid w:val="00762FE3"/>
    <w:rsid w:val="0076667B"/>
    <w:rsid w:val="00767573"/>
    <w:rsid w:val="00767B56"/>
    <w:rsid w:val="007701C9"/>
    <w:rsid w:val="007703A2"/>
    <w:rsid w:val="007706F8"/>
    <w:rsid w:val="00771670"/>
    <w:rsid w:val="00773919"/>
    <w:rsid w:val="00775DE3"/>
    <w:rsid w:val="00776974"/>
    <w:rsid w:val="0078135B"/>
    <w:rsid w:val="007814D6"/>
    <w:rsid w:val="007846C7"/>
    <w:rsid w:val="00784AF8"/>
    <w:rsid w:val="007859CD"/>
    <w:rsid w:val="007965A9"/>
    <w:rsid w:val="007A6523"/>
    <w:rsid w:val="007A7272"/>
    <w:rsid w:val="007A7814"/>
    <w:rsid w:val="007A7FB8"/>
    <w:rsid w:val="007B26CD"/>
    <w:rsid w:val="007B3D0C"/>
    <w:rsid w:val="007B5BA5"/>
    <w:rsid w:val="007B720C"/>
    <w:rsid w:val="007C0C8C"/>
    <w:rsid w:val="007C4E46"/>
    <w:rsid w:val="007C6F35"/>
    <w:rsid w:val="007D0566"/>
    <w:rsid w:val="007D268B"/>
    <w:rsid w:val="007D38A9"/>
    <w:rsid w:val="007D4651"/>
    <w:rsid w:val="007D7CFE"/>
    <w:rsid w:val="007E314A"/>
    <w:rsid w:val="007E5841"/>
    <w:rsid w:val="007E6BCF"/>
    <w:rsid w:val="007E6F28"/>
    <w:rsid w:val="007F126E"/>
    <w:rsid w:val="007F443F"/>
    <w:rsid w:val="007F4528"/>
    <w:rsid w:val="007F6F57"/>
    <w:rsid w:val="008010A6"/>
    <w:rsid w:val="00804E1C"/>
    <w:rsid w:val="00806D75"/>
    <w:rsid w:val="0081055D"/>
    <w:rsid w:val="0081058F"/>
    <w:rsid w:val="00810A4C"/>
    <w:rsid w:val="008112C9"/>
    <w:rsid w:val="00813E3C"/>
    <w:rsid w:val="0081609E"/>
    <w:rsid w:val="00822C6B"/>
    <w:rsid w:val="00823719"/>
    <w:rsid w:val="00825110"/>
    <w:rsid w:val="00826AEC"/>
    <w:rsid w:val="00826D9D"/>
    <w:rsid w:val="008274C1"/>
    <w:rsid w:val="008277A9"/>
    <w:rsid w:val="008316E1"/>
    <w:rsid w:val="00833E90"/>
    <w:rsid w:val="00835216"/>
    <w:rsid w:val="00835D5C"/>
    <w:rsid w:val="00842D8F"/>
    <w:rsid w:val="00842FFE"/>
    <w:rsid w:val="008501C7"/>
    <w:rsid w:val="00851B4B"/>
    <w:rsid w:val="00855D0B"/>
    <w:rsid w:val="00857302"/>
    <w:rsid w:val="0085741B"/>
    <w:rsid w:val="00861640"/>
    <w:rsid w:val="008662DB"/>
    <w:rsid w:val="00870831"/>
    <w:rsid w:val="008718E5"/>
    <w:rsid w:val="00871B31"/>
    <w:rsid w:val="008827D6"/>
    <w:rsid w:val="008844B1"/>
    <w:rsid w:val="00891B11"/>
    <w:rsid w:val="00891F2D"/>
    <w:rsid w:val="00892181"/>
    <w:rsid w:val="00892DE1"/>
    <w:rsid w:val="00895722"/>
    <w:rsid w:val="00897192"/>
    <w:rsid w:val="008A1777"/>
    <w:rsid w:val="008A2427"/>
    <w:rsid w:val="008A5760"/>
    <w:rsid w:val="008B110A"/>
    <w:rsid w:val="008B3C43"/>
    <w:rsid w:val="008B5573"/>
    <w:rsid w:val="008C079A"/>
    <w:rsid w:val="008C147E"/>
    <w:rsid w:val="008D5E9E"/>
    <w:rsid w:val="008E0F73"/>
    <w:rsid w:val="008E5C4F"/>
    <w:rsid w:val="008E6162"/>
    <w:rsid w:val="008E66C1"/>
    <w:rsid w:val="008E7869"/>
    <w:rsid w:val="008E7927"/>
    <w:rsid w:val="008F312E"/>
    <w:rsid w:val="008F46B7"/>
    <w:rsid w:val="008F4BCE"/>
    <w:rsid w:val="008F5915"/>
    <w:rsid w:val="008F5DBB"/>
    <w:rsid w:val="0090034D"/>
    <w:rsid w:val="009060FA"/>
    <w:rsid w:val="009062A4"/>
    <w:rsid w:val="00910163"/>
    <w:rsid w:val="009121F7"/>
    <w:rsid w:val="00912A58"/>
    <w:rsid w:val="00916532"/>
    <w:rsid w:val="00917786"/>
    <w:rsid w:val="00924740"/>
    <w:rsid w:val="00924E88"/>
    <w:rsid w:val="00934746"/>
    <w:rsid w:val="0093522C"/>
    <w:rsid w:val="00935D14"/>
    <w:rsid w:val="00936E17"/>
    <w:rsid w:val="00940C2E"/>
    <w:rsid w:val="00942163"/>
    <w:rsid w:val="0094219B"/>
    <w:rsid w:val="00946523"/>
    <w:rsid w:val="00950874"/>
    <w:rsid w:val="00951347"/>
    <w:rsid w:val="00954FB2"/>
    <w:rsid w:val="00956270"/>
    <w:rsid w:val="00963756"/>
    <w:rsid w:val="00964466"/>
    <w:rsid w:val="00964ECA"/>
    <w:rsid w:val="00965F44"/>
    <w:rsid w:val="009714B3"/>
    <w:rsid w:val="00972FCF"/>
    <w:rsid w:val="00975E49"/>
    <w:rsid w:val="00981FB0"/>
    <w:rsid w:val="00982379"/>
    <w:rsid w:val="00986297"/>
    <w:rsid w:val="0099341E"/>
    <w:rsid w:val="00993857"/>
    <w:rsid w:val="00995540"/>
    <w:rsid w:val="00997A06"/>
    <w:rsid w:val="009A12F9"/>
    <w:rsid w:val="009A1EA3"/>
    <w:rsid w:val="009A1FA7"/>
    <w:rsid w:val="009A3187"/>
    <w:rsid w:val="009A47FE"/>
    <w:rsid w:val="009A5380"/>
    <w:rsid w:val="009A7441"/>
    <w:rsid w:val="009B10B6"/>
    <w:rsid w:val="009B2AD3"/>
    <w:rsid w:val="009B7148"/>
    <w:rsid w:val="009B7429"/>
    <w:rsid w:val="009B76D6"/>
    <w:rsid w:val="009C0583"/>
    <w:rsid w:val="009C0B93"/>
    <w:rsid w:val="009C361A"/>
    <w:rsid w:val="009C3938"/>
    <w:rsid w:val="009C4027"/>
    <w:rsid w:val="009C5F4E"/>
    <w:rsid w:val="009D0D94"/>
    <w:rsid w:val="009D1232"/>
    <w:rsid w:val="009D2132"/>
    <w:rsid w:val="009D25F9"/>
    <w:rsid w:val="009D2C22"/>
    <w:rsid w:val="009D38BF"/>
    <w:rsid w:val="009D4E7A"/>
    <w:rsid w:val="009D72CF"/>
    <w:rsid w:val="009E61BB"/>
    <w:rsid w:val="009F15B9"/>
    <w:rsid w:val="009F164F"/>
    <w:rsid w:val="009F1C07"/>
    <w:rsid w:val="009F1C62"/>
    <w:rsid w:val="009F2F46"/>
    <w:rsid w:val="009F530C"/>
    <w:rsid w:val="009F628A"/>
    <w:rsid w:val="00A00D30"/>
    <w:rsid w:val="00A0113A"/>
    <w:rsid w:val="00A07BE4"/>
    <w:rsid w:val="00A11B04"/>
    <w:rsid w:val="00A15244"/>
    <w:rsid w:val="00A159B6"/>
    <w:rsid w:val="00A2151F"/>
    <w:rsid w:val="00A21A6A"/>
    <w:rsid w:val="00A24C4D"/>
    <w:rsid w:val="00A25906"/>
    <w:rsid w:val="00A26C76"/>
    <w:rsid w:val="00A305E5"/>
    <w:rsid w:val="00A32AA1"/>
    <w:rsid w:val="00A34EAE"/>
    <w:rsid w:val="00A40EAF"/>
    <w:rsid w:val="00A4399A"/>
    <w:rsid w:val="00A446DB"/>
    <w:rsid w:val="00A45BC8"/>
    <w:rsid w:val="00A46630"/>
    <w:rsid w:val="00A53877"/>
    <w:rsid w:val="00A54C4F"/>
    <w:rsid w:val="00A54CC2"/>
    <w:rsid w:val="00A60591"/>
    <w:rsid w:val="00A63A53"/>
    <w:rsid w:val="00A64AE4"/>
    <w:rsid w:val="00A67992"/>
    <w:rsid w:val="00A706A2"/>
    <w:rsid w:val="00A7383F"/>
    <w:rsid w:val="00A74F16"/>
    <w:rsid w:val="00A75539"/>
    <w:rsid w:val="00A75E19"/>
    <w:rsid w:val="00A775C6"/>
    <w:rsid w:val="00A808B8"/>
    <w:rsid w:val="00A817F8"/>
    <w:rsid w:val="00A875EE"/>
    <w:rsid w:val="00A900E8"/>
    <w:rsid w:val="00A92B4B"/>
    <w:rsid w:val="00A92D6E"/>
    <w:rsid w:val="00A970F8"/>
    <w:rsid w:val="00AA11B9"/>
    <w:rsid w:val="00AA4872"/>
    <w:rsid w:val="00AA54A5"/>
    <w:rsid w:val="00AA6C6B"/>
    <w:rsid w:val="00AA7DB0"/>
    <w:rsid w:val="00AB20BD"/>
    <w:rsid w:val="00AB2522"/>
    <w:rsid w:val="00AB52BE"/>
    <w:rsid w:val="00AC5CAC"/>
    <w:rsid w:val="00AC614D"/>
    <w:rsid w:val="00AC7961"/>
    <w:rsid w:val="00AD02C8"/>
    <w:rsid w:val="00AD3FF3"/>
    <w:rsid w:val="00AD4251"/>
    <w:rsid w:val="00AD4EF6"/>
    <w:rsid w:val="00AD55FD"/>
    <w:rsid w:val="00AD5816"/>
    <w:rsid w:val="00AE1096"/>
    <w:rsid w:val="00AE2039"/>
    <w:rsid w:val="00AE50A8"/>
    <w:rsid w:val="00AF067F"/>
    <w:rsid w:val="00AF073D"/>
    <w:rsid w:val="00AF4290"/>
    <w:rsid w:val="00AF644A"/>
    <w:rsid w:val="00AF68D3"/>
    <w:rsid w:val="00AF7ACE"/>
    <w:rsid w:val="00B00205"/>
    <w:rsid w:val="00B00A4F"/>
    <w:rsid w:val="00B00E20"/>
    <w:rsid w:val="00B0107A"/>
    <w:rsid w:val="00B02673"/>
    <w:rsid w:val="00B04D97"/>
    <w:rsid w:val="00B05AC1"/>
    <w:rsid w:val="00B06546"/>
    <w:rsid w:val="00B11FD1"/>
    <w:rsid w:val="00B136D6"/>
    <w:rsid w:val="00B1448A"/>
    <w:rsid w:val="00B21010"/>
    <w:rsid w:val="00B26014"/>
    <w:rsid w:val="00B2709E"/>
    <w:rsid w:val="00B35FDC"/>
    <w:rsid w:val="00B368DA"/>
    <w:rsid w:val="00B42A82"/>
    <w:rsid w:val="00B43892"/>
    <w:rsid w:val="00B468EF"/>
    <w:rsid w:val="00B5017E"/>
    <w:rsid w:val="00B5079C"/>
    <w:rsid w:val="00B508E2"/>
    <w:rsid w:val="00B579BB"/>
    <w:rsid w:val="00B57AAB"/>
    <w:rsid w:val="00B57CED"/>
    <w:rsid w:val="00B606D0"/>
    <w:rsid w:val="00B632B3"/>
    <w:rsid w:val="00B667BC"/>
    <w:rsid w:val="00B667E7"/>
    <w:rsid w:val="00B7015D"/>
    <w:rsid w:val="00B7136E"/>
    <w:rsid w:val="00B7616E"/>
    <w:rsid w:val="00B827E1"/>
    <w:rsid w:val="00B82ABC"/>
    <w:rsid w:val="00B83CAC"/>
    <w:rsid w:val="00B84995"/>
    <w:rsid w:val="00B85950"/>
    <w:rsid w:val="00B86812"/>
    <w:rsid w:val="00B91010"/>
    <w:rsid w:val="00B917E5"/>
    <w:rsid w:val="00B9286A"/>
    <w:rsid w:val="00B93470"/>
    <w:rsid w:val="00B95BBF"/>
    <w:rsid w:val="00B96036"/>
    <w:rsid w:val="00B96AC8"/>
    <w:rsid w:val="00B97122"/>
    <w:rsid w:val="00BA12CD"/>
    <w:rsid w:val="00BA25B6"/>
    <w:rsid w:val="00BA3920"/>
    <w:rsid w:val="00BA782D"/>
    <w:rsid w:val="00BB1AAC"/>
    <w:rsid w:val="00BB4C28"/>
    <w:rsid w:val="00BB5426"/>
    <w:rsid w:val="00BC2768"/>
    <w:rsid w:val="00BC33C2"/>
    <w:rsid w:val="00BC4F9E"/>
    <w:rsid w:val="00BC647C"/>
    <w:rsid w:val="00BC7539"/>
    <w:rsid w:val="00BC79C1"/>
    <w:rsid w:val="00BD0FCC"/>
    <w:rsid w:val="00BD1088"/>
    <w:rsid w:val="00BD33FC"/>
    <w:rsid w:val="00BD3A7C"/>
    <w:rsid w:val="00BD4961"/>
    <w:rsid w:val="00BE0387"/>
    <w:rsid w:val="00BE2D99"/>
    <w:rsid w:val="00BE54D6"/>
    <w:rsid w:val="00BF1481"/>
    <w:rsid w:val="00BF2610"/>
    <w:rsid w:val="00C001D0"/>
    <w:rsid w:val="00C02A39"/>
    <w:rsid w:val="00C02FE1"/>
    <w:rsid w:val="00C04E3C"/>
    <w:rsid w:val="00C05425"/>
    <w:rsid w:val="00C069B8"/>
    <w:rsid w:val="00C074EF"/>
    <w:rsid w:val="00C1020B"/>
    <w:rsid w:val="00C10B42"/>
    <w:rsid w:val="00C12720"/>
    <w:rsid w:val="00C15432"/>
    <w:rsid w:val="00C15AC4"/>
    <w:rsid w:val="00C21149"/>
    <w:rsid w:val="00C2773E"/>
    <w:rsid w:val="00C3128B"/>
    <w:rsid w:val="00C33674"/>
    <w:rsid w:val="00C3385B"/>
    <w:rsid w:val="00C41470"/>
    <w:rsid w:val="00C41FF2"/>
    <w:rsid w:val="00C54747"/>
    <w:rsid w:val="00C5514E"/>
    <w:rsid w:val="00C56C98"/>
    <w:rsid w:val="00C61690"/>
    <w:rsid w:val="00C6254D"/>
    <w:rsid w:val="00C629B9"/>
    <w:rsid w:val="00C645BC"/>
    <w:rsid w:val="00C646C4"/>
    <w:rsid w:val="00C75935"/>
    <w:rsid w:val="00C76463"/>
    <w:rsid w:val="00C85696"/>
    <w:rsid w:val="00C9002C"/>
    <w:rsid w:val="00C91204"/>
    <w:rsid w:val="00C922D7"/>
    <w:rsid w:val="00C935C2"/>
    <w:rsid w:val="00C93727"/>
    <w:rsid w:val="00C95BFB"/>
    <w:rsid w:val="00C97A4D"/>
    <w:rsid w:val="00CA19F5"/>
    <w:rsid w:val="00CA57D4"/>
    <w:rsid w:val="00CA6173"/>
    <w:rsid w:val="00CA65FF"/>
    <w:rsid w:val="00CB0938"/>
    <w:rsid w:val="00CB220A"/>
    <w:rsid w:val="00CB5234"/>
    <w:rsid w:val="00CC1604"/>
    <w:rsid w:val="00CC2800"/>
    <w:rsid w:val="00CC3420"/>
    <w:rsid w:val="00CC3BC7"/>
    <w:rsid w:val="00CC547C"/>
    <w:rsid w:val="00CC60FF"/>
    <w:rsid w:val="00CC741C"/>
    <w:rsid w:val="00CD58C8"/>
    <w:rsid w:val="00CD7760"/>
    <w:rsid w:val="00CE0468"/>
    <w:rsid w:val="00CE123C"/>
    <w:rsid w:val="00CE13DA"/>
    <w:rsid w:val="00CE2620"/>
    <w:rsid w:val="00CE3C39"/>
    <w:rsid w:val="00CE75B5"/>
    <w:rsid w:val="00CF0F94"/>
    <w:rsid w:val="00CF2D98"/>
    <w:rsid w:val="00CF2FA1"/>
    <w:rsid w:val="00CF436B"/>
    <w:rsid w:val="00CF5AB1"/>
    <w:rsid w:val="00CF73B4"/>
    <w:rsid w:val="00D00E78"/>
    <w:rsid w:val="00D01738"/>
    <w:rsid w:val="00D04F96"/>
    <w:rsid w:val="00D1383A"/>
    <w:rsid w:val="00D14BD5"/>
    <w:rsid w:val="00D22050"/>
    <w:rsid w:val="00D23424"/>
    <w:rsid w:val="00D24DA4"/>
    <w:rsid w:val="00D26F28"/>
    <w:rsid w:val="00D30D15"/>
    <w:rsid w:val="00D32839"/>
    <w:rsid w:val="00D33EE3"/>
    <w:rsid w:val="00D343EC"/>
    <w:rsid w:val="00D3500F"/>
    <w:rsid w:val="00D36EA4"/>
    <w:rsid w:val="00D40769"/>
    <w:rsid w:val="00D4202F"/>
    <w:rsid w:val="00D43052"/>
    <w:rsid w:val="00D436D4"/>
    <w:rsid w:val="00D45810"/>
    <w:rsid w:val="00D466D2"/>
    <w:rsid w:val="00D50ABF"/>
    <w:rsid w:val="00D51EBD"/>
    <w:rsid w:val="00D532B4"/>
    <w:rsid w:val="00D55ACB"/>
    <w:rsid w:val="00D571E0"/>
    <w:rsid w:val="00D616E2"/>
    <w:rsid w:val="00D61F8E"/>
    <w:rsid w:val="00D63636"/>
    <w:rsid w:val="00D63CFC"/>
    <w:rsid w:val="00D66D34"/>
    <w:rsid w:val="00D716E4"/>
    <w:rsid w:val="00D73D1A"/>
    <w:rsid w:val="00D7427C"/>
    <w:rsid w:val="00D75C74"/>
    <w:rsid w:val="00D75E95"/>
    <w:rsid w:val="00D858E5"/>
    <w:rsid w:val="00D92627"/>
    <w:rsid w:val="00DA13C8"/>
    <w:rsid w:val="00DA53C7"/>
    <w:rsid w:val="00DA5809"/>
    <w:rsid w:val="00DA58BF"/>
    <w:rsid w:val="00DA7B48"/>
    <w:rsid w:val="00DA7C18"/>
    <w:rsid w:val="00DB03B7"/>
    <w:rsid w:val="00DB2350"/>
    <w:rsid w:val="00DB4551"/>
    <w:rsid w:val="00DC1048"/>
    <w:rsid w:val="00DC44CF"/>
    <w:rsid w:val="00DC6761"/>
    <w:rsid w:val="00DC6DE1"/>
    <w:rsid w:val="00DD01C5"/>
    <w:rsid w:val="00DD23C0"/>
    <w:rsid w:val="00DD4AB3"/>
    <w:rsid w:val="00DD4D5D"/>
    <w:rsid w:val="00DD517E"/>
    <w:rsid w:val="00DE17E2"/>
    <w:rsid w:val="00DE3020"/>
    <w:rsid w:val="00DE4D85"/>
    <w:rsid w:val="00DE6D9A"/>
    <w:rsid w:val="00DE6DD3"/>
    <w:rsid w:val="00DF18B6"/>
    <w:rsid w:val="00DF317F"/>
    <w:rsid w:val="00DF3C7A"/>
    <w:rsid w:val="00DF42DF"/>
    <w:rsid w:val="00DF70C1"/>
    <w:rsid w:val="00DF71A8"/>
    <w:rsid w:val="00E027B0"/>
    <w:rsid w:val="00E02A24"/>
    <w:rsid w:val="00E06484"/>
    <w:rsid w:val="00E11403"/>
    <w:rsid w:val="00E11DA9"/>
    <w:rsid w:val="00E1309C"/>
    <w:rsid w:val="00E16303"/>
    <w:rsid w:val="00E16925"/>
    <w:rsid w:val="00E27247"/>
    <w:rsid w:val="00E31CA5"/>
    <w:rsid w:val="00E31D49"/>
    <w:rsid w:val="00E3382E"/>
    <w:rsid w:val="00E348DD"/>
    <w:rsid w:val="00E3492D"/>
    <w:rsid w:val="00E3753A"/>
    <w:rsid w:val="00E37543"/>
    <w:rsid w:val="00E412A7"/>
    <w:rsid w:val="00E42E28"/>
    <w:rsid w:val="00E43BF3"/>
    <w:rsid w:val="00E44DE5"/>
    <w:rsid w:val="00E45C4B"/>
    <w:rsid w:val="00E47525"/>
    <w:rsid w:val="00E47720"/>
    <w:rsid w:val="00E47F91"/>
    <w:rsid w:val="00E5126C"/>
    <w:rsid w:val="00E526A4"/>
    <w:rsid w:val="00E53B45"/>
    <w:rsid w:val="00E545F1"/>
    <w:rsid w:val="00E54BAD"/>
    <w:rsid w:val="00E551C4"/>
    <w:rsid w:val="00E56B67"/>
    <w:rsid w:val="00E570ED"/>
    <w:rsid w:val="00E627ED"/>
    <w:rsid w:val="00E63798"/>
    <w:rsid w:val="00E6619D"/>
    <w:rsid w:val="00E7442E"/>
    <w:rsid w:val="00E756CD"/>
    <w:rsid w:val="00E82188"/>
    <w:rsid w:val="00E825A1"/>
    <w:rsid w:val="00E829E3"/>
    <w:rsid w:val="00E85293"/>
    <w:rsid w:val="00E871CE"/>
    <w:rsid w:val="00E87AC7"/>
    <w:rsid w:val="00E9315E"/>
    <w:rsid w:val="00E94F03"/>
    <w:rsid w:val="00E97903"/>
    <w:rsid w:val="00EA37FC"/>
    <w:rsid w:val="00EA68DF"/>
    <w:rsid w:val="00EA7845"/>
    <w:rsid w:val="00EB0687"/>
    <w:rsid w:val="00EB0FC5"/>
    <w:rsid w:val="00EB1910"/>
    <w:rsid w:val="00EB317F"/>
    <w:rsid w:val="00EB335D"/>
    <w:rsid w:val="00EB38A7"/>
    <w:rsid w:val="00EB62F2"/>
    <w:rsid w:val="00ED2C29"/>
    <w:rsid w:val="00ED3624"/>
    <w:rsid w:val="00ED7253"/>
    <w:rsid w:val="00EE02F0"/>
    <w:rsid w:val="00EE2F16"/>
    <w:rsid w:val="00EE68A4"/>
    <w:rsid w:val="00EE6FBD"/>
    <w:rsid w:val="00EE72DB"/>
    <w:rsid w:val="00EF1CB1"/>
    <w:rsid w:val="00EF56F9"/>
    <w:rsid w:val="00F00537"/>
    <w:rsid w:val="00F03418"/>
    <w:rsid w:val="00F04678"/>
    <w:rsid w:val="00F062BF"/>
    <w:rsid w:val="00F06437"/>
    <w:rsid w:val="00F0775B"/>
    <w:rsid w:val="00F07EED"/>
    <w:rsid w:val="00F10A29"/>
    <w:rsid w:val="00F10ACE"/>
    <w:rsid w:val="00F16658"/>
    <w:rsid w:val="00F16692"/>
    <w:rsid w:val="00F20D0D"/>
    <w:rsid w:val="00F229CE"/>
    <w:rsid w:val="00F23065"/>
    <w:rsid w:val="00F25E21"/>
    <w:rsid w:val="00F26087"/>
    <w:rsid w:val="00F27024"/>
    <w:rsid w:val="00F3088D"/>
    <w:rsid w:val="00F341FB"/>
    <w:rsid w:val="00F34933"/>
    <w:rsid w:val="00F37AD2"/>
    <w:rsid w:val="00F43CF0"/>
    <w:rsid w:val="00F4680E"/>
    <w:rsid w:val="00F46EBB"/>
    <w:rsid w:val="00F47088"/>
    <w:rsid w:val="00F51B37"/>
    <w:rsid w:val="00F541D1"/>
    <w:rsid w:val="00F54627"/>
    <w:rsid w:val="00F54C17"/>
    <w:rsid w:val="00F641E1"/>
    <w:rsid w:val="00F644EA"/>
    <w:rsid w:val="00F6521F"/>
    <w:rsid w:val="00F652E7"/>
    <w:rsid w:val="00F654C6"/>
    <w:rsid w:val="00F674C8"/>
    <w:rsid w:val="00F70176"/>
    <w:rsid w:val="00F70871"/>
    <w:rsid w:val="00F73186"/>
    <w:rsid w:val="00F75C84"/>
    <w:rsid w:val="00F75EDB"/>
    <w:rsid w:val="00F762E5"/>
    <w:rsid w:val="00F76491"/>
    <w:rsid w:val="00F8230E"/>
    <w:rsid w:val="00F930A8"/>
    <w:rsid w:val="00FA3B81"/>
    <w:rsid w:val="00FA5DE4"/>
    <w:rsid w:val="00FA5E7B"/>
    <w:rsid w:val="00FA711C"/>
    <w:rsid w:val="00FA7384"/>
    <w:rsid w:val="00FB2C2F"/>
    <w:rsid w:val="00FB5F5C"/>
    <w:rsid w:val="00FB6AF8"/>
    <w:rsid w:val="00FC0D3E"/>
    <w:rsid w:val="00FC319F"/>
    <w:rsid w:val="00FC3884"/>
    <w:rsid w:val="00FC4DC9"/>
    <w:rsid w:val="00FC4F6B"/>
    <w:rsid w:val="00FD36A3"/>
    <w:rsid w:val="00FD4333"/>
    <w:rsid w:val="00FD46E0"/>
    <w:rsid w:val="00FD61B9"/>
    <w:rsid w:val="00FD7FF0"/>
    <w:rsid w:val="00FE16D2"/>
    <w:rsid w:val="00FE1AFF"/>
    <w:rsid w:val="00FE2ED3"/>
    <w:rsid w:val="00FE3247"/>
    <w:rsid w:val="00FE4F72"/>
    <w:rsid w:val="00FE500D"/>
    <w:rsid w:val="00FE56B8"/>
    <w:rsid w:val="00FE65DB"/>
    <w:rsid w:val="00FE6FD3"/>
    <w:rsid w:val="00FF0C96"/>
    <w:rsid w:val="00FF2904"/>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B21D7"/>
  <w15:docId w15:val="{1AA4A7E8-964A-4F29-B8D4-C4D20DB8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17159523">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536358022">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2.emf"/><Relationship Id="rId28" Type="http://schemas.openxmlformats.org/officeDocument/2006/relationships/header" Target="header7.xml"/><Relationship Id="rId36" Type="http://schemas.openxmlformats.org/officeDocument/2006/relationships/image" Target="media/image3.emf"/><Relationship Id="rId10" Type="http://schemas.openxmlformats.org/officeDocument/2006/relationships/chart" Target="charts/chart1.xml"/><Relationship Id="rId19" Type="http://schemas.openxmlformats.org/officeDocument/2006/relationships/chart" Target="charts/chart4.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seargueta\Desktop\Informes%202021\Sitfin\Febrero\Sitfin%20al%20280221%20(150321).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'Reporte Diario'!$L$62</c:f>
              <c:strCache>
                <c:ptCount val="1"/>
                <c:pt idx="0">
                  <c:v>Déficit</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91D9-4B41-83C5-2B1098577550}"/>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2018</c:v>
                </c:pt>
                <c:pt idx="1">
                  <c:v>2019</c:v>
                </c:pt>
                <c:pt idx="2">
                  <c:v>2020</c:v>
                </c:pt>
                <c:pt idx="3">
                  <c:v>2021</c:v>
                </c:pt>
              </c:numCache>
            </c:numRef>
          </c:cat>
          <c:val>
            <c:numRef>
              <c:f>'Reporte Diario'!$M$62:$P$62</c:f>
              <c:numCache>
                <c:formatCode>_-* #,##0.0_-;\-* #,##0.0_-;_-* "-"??_-;_-@_-</c:formatCode>
                <c:ptCount val="4"/>
                <c:pt idx="0">
                  <c:v>1079.2667860500005</c:v>
                </c:pt>
                <c:pt idx="1">
                  <c:v>-88.237444049998885</c:v>
                </c:pt>
                <c:pt idx="2">
                  <c:v>922.22375307999937</c:v>
                </c:pt>
                <c:pt idx="3">
                  <c:v>979.90518459999839</c:v>
                </c:pt>
              </c:numCache>
            </c:numRef>
          </c:val>
          <c:extLst>
            <c:ext xmlns:c16="http://schemas.microsoft.com/office/drawing/2014/chart" uri="{C3380CC4-5D6E-409C-BE32-E72D297353CC}">
              <c16:uniqueId val="{00000002-91D9-4B41-83C5-2B1098577550}"/>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09600324349699"/>
          <c:y val="3.1475757507388943E-2"/>
          <c:w val="0.75812203075502493"/>
          <c:h val="0.7595115997981623"/>
        </c:manualLayout>
      </c:layout>
      <c:barChart>
        <c:barDir val="col"/>
        <c:grouping val="stacked"/>
        <c:varyColors val="0"/>
        <c:ser>
          <c:idx val="0"/>
          <c:order val="0"/>
          <c:tx>
            <c:strRef>
              <c:f>Hoja1!$B$1</c:f>
              <c:strCache>
                <c:ptCount val="1"/>
                <c:pt idx="0">
                  <c:v>SAT</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E9-44C8-BAD1-9E723DA774E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E9-44C8-BAD1-9E723DA774E7}"/>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Hoja1!$A$2:$A$3</c:f>
              <c:strCache>
                <c:ptCount val="2"/>
                <c:pt idx="0">
                  <c:v>Meta </c:v>
                </c:pt>
                <c:pt idx="1">
                  <c:v>Observado</c:v>
                </c:pt>
              </c:strCache>
            </c:strRef>
          </c:cat>
          <c:val>
            <c:numRef>
              <c:f>Hoja1!$B$2:$B$3</c:f>
              <c:numCache>
                <c:formatCode>#,##0.0</c:formatCode>
                <c:ptCount val="2"/>
                <c:pt idx="0">
                  <c:v>11308.66132829</c:v>
                </c:pt>
                <c:pt idx="1">
                  <c:v>11579.97073963</c:v>
                </c:pt>
              </c:numCache>
            </c:numRef>
          </c:val>
          <c:extLst>
            <c:ext xmlns:c16="http://schemas.microsoft.com/office/drawing/2014/chart" uri="{C3380CC4-5D6E-409C-BE32-E72D297353CC}">
              <c16:uniqueId val="{00000002-07E9-44C8-BAD1-9E723DA774E7}"/>
            </c:ext>
          </c:extLst>
        </c:ser>
        <c:ser>
          <c:idx val="1"/>
          <c:order val="1"/>
          <c:tx>
            <c:strRef>
              <c:f>Hoja1!$C$1</c:f>
              <c:strCache>
                <c:ptCount val="1"/>
                <c:pt idx="0">
                  <c:v>No administrado por SAT</c:v>
                </c:pt>
              </c:strCache>
            </c:strRef>
          </c:tx>
          <c:spPr>
            <a:solidFill>
              <a:schemeClr val="accent6"/>
            </a:solidFill>
            <a:ln>
              <a:noFill/>
            </a:ln>
            <a:effectLst/>
          </c:spPr>
          <c:invertIfNegative val="0"/>
          <c:dLbls>
            <c:dLbl>
              <c:idx val="0"/>
              <c:layout>
                <c:manualLayout>
                  <c:x val="-4.516659656947226E-17"/>
                  <c:y val="1.1461318051575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E9-44C8-BAD1-9E723DA774E7}"/>
                </c:ext>
              </c:extLst>
            </c:dLbl>
            <c:dLbl>
              <c:idx val="1"/>
              <c:layout>
                <c:manualLayout>
                  <c:x val="0"/>
                  <c:y val="1.14613180515759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E9-44C8-BAD1-9E723DA774E7}"/>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Hoja1!$A$2:$A$3</c:f>
              <c:strCache>
                <c:ptCount val="2"/>
                <c:pt idx="0">
                  <c:v>Meta </c:v>
                </c:pt>
                <c:pt idx="1">
                  <c:v>Observado</c:v>
                </c:pt>
              </c:strCache>
            </c:strRef>
          </c:cat>
          <c:val>
            <c:numRef>
              <c:f>Hoja1!$C$2:$C$3</c:f>
              <c:numCache>
                <c:formatCode>#,##0.0</c:formatCode>
                <c:ptCount val="2"/>
                <c:pt idx="0">
                  <c:v>98.231545058752587</c:v>
                </c:pt>
                <c:pt idx="1">
                  <c:v>44.612996530000004</c:v>
                </c:pt>
              </c:numCache>
            </c:numRef>
          </c:val>
          <c:extLst>
            <c:ext xmlns:c16="http://schemas.microsoft.com/office/drawing/2014/chart" uri="{C3380CC4-5D6E-409C-BE32-E72D297353CC}">
              <c16:uniqueId val="{00000005-07E9-44C8-BAD1-9E723DA774E7}"/>
            </c:ext>
          </c:extLst>
        </c:ser>
        <c:dLbls>
          <c:showLegendKey val="0"/>
          <c:showVal val="0"/>
          <c:showCatName val="0"/>
          <c:showSerName val="0"/>
          <c:showPercent val="0"/>
          <c:showBubbleSize val="0"/>
        </c:dLbls>
        <c:gapWidth val="25"/>
        <c:overlap val="100"/>
        <c:axId val="401013392"/>
        <c:axId val="401013720"/>
      </c:barChart>
      <c:catAx>
        <c:axId val="4010133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01013720"/>
        <c:crosses val="autoZero"/>
        <c:auto val="1"/>
        <c:lblAlgn val="ctr"/>
        <c:lblOffset val="100"/>
        <c:noMultiLvlLbl val="0"/>
      </c:catAx>
      <c:valAx>
        <c:axId val="40101372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0101339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6169336926010636"/>
          <c:y val="0.93309510880105506"/>
          <c:w val="0.67661287350167698"/>
          <c:h val="6.690489119894496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latin typeface="+mn-lt"/>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02855324902571"/>
          <c:y val="3.1995541841673462E-2"/>
          <c:w val="0.85833483674851063"/>
          <c:h val="0.8335609773569812"/>
        </c:manualLayout>
      </c:layout>
      <c:lineChart>
        <c:grouping val="standard"/>
        <c:varyColors val="0"/>
        <c:ser>
          <c:idx val="0"/>
          <c:order val="0"/>
          <c:tx>
            <c:strRef>
              <c:f>Hoja1!$B$1</c:f>
              <c:strCache>
                <c:ptCount val="1"/>
                <c:pt idx="0">
                  <c:v>Var </c:v>
                </c:pt>
              </c:strCache>
            </c:strRef>
          </c:tx>
          <c:spPr>
            <a:ln w="22225" cap="rnd">
              <a:solidFill>
                <a:schemeClr val="accent1"/>
              </a:solidFill>
              <a:round/>
            </a:ln>
            <a:effectLst/>
          </c:spPr>
          <c:marker>
            <c:symbol val="circle"/>
            <c:size val="5"/>
            <c:spPr>
              <a:solidFill>
                <a:schemeClr val="lt1"/>
              </a:solidFill>
              <a:ln w="15875">
                <a:solidFill>
                  <a:schemeClr val="accent1"/>
                </a:solidFill>
                <a:round/>
              </a:ln>
              <a:effectLst/>
            </c:spPr>
          </c:marker>
          <c:dLbls>
            <c:dLbl>
              <c:idx val="0"/>
              <c:layout>
                <c:manualLayout>
                  <c:x val="-8.1621282927217251E-2"/>
                  <c:y val="8.5959897214683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90-44DC-8FAC-C26DE483D93C}"/>
                </c:ext>
              </c:extLst>
            </c:dLbl>
            <c:dLbl>
              <c:idx val="1"/>
              <c:layout>
                <c:manualLayout>
                  <c:x val="-1.7566096920811729E-2"/>
                  <c:y val="-3.19955418416734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90-44DC-8FAC-C26DE483D93C}"/>
                </c:ext>
              </c:extLst>
            </c:dLbl>
            <c:dLbl>
              <c:idx val="2"/>
              <c:layout>
                <c:manualLayout>
                  <c:x val="-0.16032264259650475"/>
                  <c:y val="4.66414175292308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90-44DC-8FAC-C26DE483D93C}"/>
                </c:ext>
              </c:extLst>
            </c:dLbl>
            <c:dLbl>
              <c:idx val="3"/>
              <c:layout>
                <c:manualLayout>
                  <c:x val="-6.1776202586650064E-2"/>
                  <c:y val="-7.7867101474700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90-44DC-8FAC-C26DE483D93C}"/>
                </c:ext>
              </c:extLst>
            </c:dLbl>
            <c:dLbl>
              <c:idx val="4"/>
              <c:layout>
                <c:manualLayout>
                  <c:x val="-1.2502982581722739E-2"/>
                  <c:y val="5.31944974768062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90-44DC-8FAC-C26DE483D93C}"/>
                </c:ext>
              </c:extLst>
            </c:dLbl>
            <c:dLbl>
              <c:idx val="5"/>
              <c:layout>
                <c:manualLayout>
                  <c:x val="-0.14554067659502659"/>
                  <c:y val="-6.47609415795502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90-44DC-8FAC-C26DE483D93C}"/>
                </c:ext>
              </c:extLst>
            </c:dLbl>
            <c:dLbl>
              <c:idx val="6"/>
              <c:layout>
                <c:manualLayout>
                  <c:x val="-8.1485490588621076E-2"/>
                  <c:y val="-7.13140215271256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90-44DC-8FAC-C26DE483D93C}"/>
                </c:ext>
              </c:extLst>
            </c:dLbl>
            <c:dLbl>
              <c:idx val="7"/>
              <c:layout>
                <c:manualLayout>
                  <c:x val="-7.6558168588128264E-2"/>
                  <c:y val="7.2853737319532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90-44DC-8FAC-C26DE483D93C}"/>
                </c:ext>
              </c:extLst>
            </c:dLbl>
            <c:dLbl>
              <c:idx val="9"/>
              <c:layout>
                <c:manualLayout>
                  <c:x val="-1.3167977062734121E-2"/>
                  <c:y val="8.8273757166625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C90-44DC-8FAC-C26DE483D93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Hoja1!$B$2:$B$11</c:f>
              <c:numCache>
                <c:formatCode>General</c:formatCode>
                <c:ptCount val="10"/>
                <c:pt idx="0">
                  <c:v>0.12361716530183142</c:v>
                </c:pt>
                <c:pt idx="1">
                  <c:v>0.1195707916116624</c:v>
                </c:pt>
                <c:pt idx="2">
                  <c:v>3.9804460660715968E-2</c:v>
                </c:pt>
                <c:pt idx="3">
                  <c:v>3.7955069418535325E-2</c:v>
                </c:pt>
                <c:pt idx="4">
                  <c:v>1.7037438450319575E-2</c:v>
                </c:pt>
                <c:pt idx="5">
                  <c:v>7.3827022517823249E-2</c:v>
                </c:pt>
                <c:pt idx="6">
                  <c:v>7.3698015702486908E-2</c:v>
                </c:pt>
                <c:pt idx="7">
                  <c:v>3.8814875506469004E-2</c:v>
                </c:pt>
                <c:pt idx="8">
                  <c:v>9.4955364780329843E-2</c:v>
                </c:pt>
                <c:pt idx="9">
                  <c:v>7.1811301766783631E-2</c:v>
                </c:pt>
              </c:numCache>
            </c:numRef>
          </c:val>
          <c:smooth val="0"/>
          <c:extLst>
            <c:ext xmlns:c16="http://schemas.microsoft.com/office/drawing/2014/chart" uri="{C3380CC4-5D6E-409C-BE32-E72D297353CC}">
              <c16:uniqueId val="{00000009-8C90-44DC-8FAC-C26DE483D93C}"/>
            </c:ext>
          </c:extLst>
        </c:ser>
        <c:dLbls>
          <c:showLegendKey val="0"/>
          <c:showVal val="0"/>
          <c:showCatName val="0"/>
          <c:showSerName val="0"/>
          <c:showPercent val="0"/>
          <c:showBubbleSize val="0"/>
        </c:dLbls>
        <c:marker val="1"/>
        <c:smooth val="0"/>
        <c:axId val="472240352"/>
        <c:axId val="472234776"/>
      </c:lineChart>
      <c:catAx>
        <c:axId val="47224035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72234776"/>
        <c:crosses val="autoZero"/>
        <c:auto val="1"/>
        <c:lblAlgn val="ctr"/>
        <c:lblOffset val="100"/>
        <c:noMultiLvlLbl val="0"/>
      </c:catAx>
      <c:valAx>
        <c:axId val="47223477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7224035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sz="800"/>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6342411872737"/>
          <c:y val="6.4992614475627764E-2"/>
          <c:w val="0.87657127136728308"/>
          <c:h val="0.73031368124774654"/>
        </c:manualLayout>
      </c:layout>
      <c:barChart>
        <c:barDir val="col"/>
        <c:grouping val="clustered"/>
        <c:varyColors val="0"/>
        <c:ser>
          <c:idx val="1"/>
          <c:order val="1"/>
          <c:tx>
            <c:strRef>
              <c:f>Sheet1!$C$1</c:f>
              <c:strCache>
                <c:ptCount val="1"/>
                <c:pt idx="0">
                  <c:v>2021</c:v>
                </c:pt>
              </c:strCache>
            </c:strRef>
          </c:tx>
          <c:spPr>
            <a:solidFill>
              <a:srgbClr val="FF7C80"/>
            </a:solidFill>
            <a:ln w="12700">
              <a:solidFill>
                <a:schemeClr val="tx1"/>
              </a:solidFill>
            </a:ln>
            <a:effectLst/>
          </c:spPr>
          <c:invertIfNegative val="0"/>
          <c:dLbls>
            <c:dLbl>
              <c:idx val="0"/>
              <c:layout>
                <c:manualLayout>
                  <c:x val="0"/>
                  <c:y val="9.20643153526971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A9-4709-A8E0-E2F757913EE9}"/>
                </c:ext>
              </c:extLst>
            </c:dLbl>
            <c:dLbl>
              <c:idx val="1"/>
              <c:layout>
                <c:manualLayout>
                  <c:x val="0"/>
                  <c:y val="9.72510373443982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A9-4709-A8E0-E2F757913EE9}"/>
                </c:ext>
              </c:extLst>
            </c:dLbl>
            <c:dLbl>
              <c:idx val="2"/>
              <c:layout>
                <c:manualLayout>
                  <c:x val="0"/>
                  <c:y val="2.8820525942381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A9-4709-A8E0-E2F757913EE9}"/>
                </c:ext>
              </c:extLst>
            </c:dLbl>
            <c:dLbl>
              <c:idx val="3"/>
              <c:layout>
                <c:manualLayout>
                  <c:x val="0"/>
                  <c:y val="2.4685562753695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A9-4709-A8E0-E2F757913EE9}"/>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A9-4709-A8E0-E2F757913EE9}"/>
                </c:ext>
              </c:extLst>
            </c:dLbl>
            <c:dLbl>
              <c:idx val="9"/>
              <c:layout>
                <c:manualLayout>
                  <c:x val="0"/>
                  <c:y val="1.68568464730290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A9-4709-A8E0-E2F757913EE9}"/>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A9-4709-A8E0-E2F757913EE9}"/>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3.7189413058487304</c:v>
                </c:pt>
                <c:pt idx="1">
                  <c:v>6.1267370575853732</c:v>
                </c:pt>
              </c:numCache>
            </c:numRef>
          </c:val>
          <c:extLst>
            <c:ext xmlns:c16="http://schemas.microsoft.com/office/drawing/2014/chart" uri="{C3380CC4-5D6E-409C-BE32-E72D297353CC}">
              <c16:uniqueId val="{00000007-06A9-4709-A8E0-E2F757913EE9}"/>
            </c:ext>
          </c:extLst>
        </c:ser>
        <c:dLbls>
          <c:showLegendKey val="0"/>
          <c:showVal val="0"/>
          <c:showCatName val="0"/>
          <c:showSerName val="0"/>
          <c:showPercent val="0"/>
          <c:showBubbleSize val="0"/>
        </c:dLbls>
        <c:gapWidth val="62"/>
        <c:overlap val="-27"/>
        <c:axId val="287593168"/>
        <c:axId val="287595464"/>
      </c:barChart>
      <c:lineChart>
        <c:grouping val="stacked"/>
        <c:varyColors val="0"/>
        <c:ser>
          <c:idx val="0"/>
          <c:order val="0"/>
          <c:tx>
            <c:strRef>
              <c:f>Sheet1!$B$1</c:f>
              <c:strCache>
                <c:ptCount val="1"/>
                <c:pt idx="0">
                  <c:v>2020</c:v>
                </c:pt>
              </c:strCache>
            </c:strRef>
          </c:tx>
          <c:spPr>
            <a:ln w="15875" cap="rnd">
              <a:solidFill>
                <a:schemeClr val="accent1"/>
              </a:solidFill>
              <a:prstDash val="sysDash"/>
              <a:round/>
            </a:ln>
            <a:effectLst/>
          </c:spPr>
          <c:marker>
            <c:symbol val="circle"/>
            <c:size val="4"/>
            <c:spPr>
              <a:solidFill>
                <a:schemeClr val="accent1"/>
              </a:solidFill>
              <a:ln w="3175">
                <a:solidFill>
                  <a:schemeClr val="accent1"/>
                </a:solidFill>
              </a:ln>
              <a:effectLst/>
            </c:spPr>
          </c:marker>
          <c:dLbls>
            <c:dLbl>
              <c:idx val="0"/>
              <c:layout>
                <c:manualLayout>
                  <c:x val="-5.6657223796033995E-2"/>
                  <c:y val="-4.7267355982274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6A9-4709-A8E0-E2F757913EE9}"/>
                </c:ext>
              </c:extLst>
            </c:dLbl>
            <c:dLbl>
              <c:idx val="1"/>
              <c:layout>
                <c:manualLayout>
                  <c:x val="-6.3041624640838081E-2"/>
                  <c:y val="5.0289149540954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6A9-4709-A8E0-E2F757913EE9}"/>
                </c:ext>
              </c:extLst>
            </c:dLbl>
            <c:dLbl>
              <c:idx val="2"/>
              <c:layout>
                <c:manualLayout>
                  <c:x val="-5.235160997770865E-2"/>
                  <c:y val="-4.609362237396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6A9-4709-A8E0-E2F757913EE9}"/>
                </c:ext>
              </c:extLst>
            </c:dLbl>
            <c:dLbl>
              <c:idx val="3"/>
              <c:layout>
                <c:manualLayout>
                  <c:x val="-6.1378673198681163E-2"/>
                  <c:y val="3.1255105041330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6A9-4709-A8E0-E2F757913EE9}"/>
                </c:ext>
              </c:extLst>
            </c:dLbl>
            <c:dLbl>
              <c:idx val="4"/>
              <c:layout>
                <c:manualLayout>
                  <c:x val="-7.860149343549494E-2"/>
                  <c:y val="-3.5450632208318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6A9-4709-A8E0-E2F757913EE9}"/>
                </c:ext>
              </c:extLst>
            </c:dLbl>
            <c:dLbl>
              <c:idx val="5"/>
              <c:layout>
                <c:manualLayout>
                  <c:x val="-6.915877711195681E-2"/>
                  <c:y val="-4.0637354200019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6A9-4709-A8E0-E2F757913EE9}"/>
                </c:ext>
              </c:extLst>
            </c:dLbl>
            <c:dLbl>
              <c:idx val="6"/>
              <c:layout>
                <c:manualLayout>
                  <c:x val="-6.1378659112370164E-2"/>
                  <c:y val="-4.7267355982274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6A9-4709-A8E0-E2F757913EE9}"/>
                </c:ext>
              </c:extLst>
            </c:dLbl>
            <c:dLbl>
              <c:idx val="7"/>
              <c:layout>
                <c:manualLayout>
                  <c:x val="-6.9990083317087975E-2"/>
                  <c:y val="-4.6545724834188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6A9-4709-A8E0-E2F757913EE9}"/>
                </c:ext>
              </c:extLst>
            </c:dLbl>
            <c:dLbl>
              <c:idx val="8"/>
              <c:layout>
                <c:manualLayout>
                  <c:x val="-4.9708856360662211E-2"/>
                  <c:y val="5.24540954683568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6A9-4709-A8E0-E2F757913EE9}"/>
                </c:ext>
              </c:extLst>
            </c:dLbl>
            <c:dLbl>
              <c:idx val="9"/>
              <c:layout>
                <c:manualLayout>
                  <c:x val="-3.2486036123848351E-2"/>
                  <c:y val="4.0637354200019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6A9-4709-A8E0-E2F757913EE9}"/>
                </c:ext>
              </c:extLst>
            </c:dLbl>
            <c:dLbl>
              <c:idx val="10"/>
              <c:layout>
                <c:manualLayout>
                  <c:x val="-7.0405736419653836E-2"/>
                  <c:y val="-3.6441827033031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6A9-4709-A8E0-E2F757913EE9}"/>
                </c:ext>
              </c:extLst>
            </c:dLbl>
            <c:dLbl>
              <c:idx val="11"/>
              <c:layout>
                <c:manualLayout>
                  <c:x val="-8.3130620513124768E-4"/>
                  <c:y val="-4.2350197667200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6A9-4709-A8E0-E2F757913EE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4.8191861258905817</c:v>
                </c:pt>
                <c:pt idx="1">
                  <c:v>9.5655130970186519E-2</c:v>
                </c:pt>
                <c:pt idx="2">
                  <c:v>2.3974325379896584</c:v>
                </c:pt>
                <c:pt idx="3">
                  <c:v>-1.9848700717106169</c:v>
                </c:pt>
                <c:pt idx="4">
                  <c:v>4.2224631181484256</c:v>
                </c:pt>
                <c:pt idx="5">
                  <c:v>9.0680434021580965</c:v>
                </c:pt>
                <c:pt idx="6">
                  <c:v>10.232293442045986</c:v>
                </c:pt>
                <c:pt idx="7">
                  <c:v>12.533229099769343</c:v>
                </c:pt>
                <c:pt idx="8">
                  <c:v>14.872198669992656</c:v>
                </c:pt>
                <c:pt idx="9">
                  <c:v>14.678379762438269</c:v>
                </c:pt>
                <c:pt idx="10">
                  <c:v>15.472802612662733</c:v>
                </c:pt>
                <c:pt idx="11">
                  <c:v>17.151091678742532</c:v>
                </c:pt>
              </c:numCache>
            </c:numRef>
          </c:val>
          <c:smooth val="0"/>
          <c:extLst>
            <c:ext xmlns:c16="http://schemas.microsoft.com/office/drawing/2014/chart" uri="{C3380CC4-5D6E-409C-BE32-E72D297353CC}">
              <c16:uniqueId val="{00000014-06A9-4709-A8E0-E2F757913EE9}"/>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in val="-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1607285795411203"/>
          <c:y val="5.8858267716535434E-2"/>
          <c:w val="0.25118035882908402"/>
          <c:h val="0.1753470033380243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203213528198275"/>
          <c:y val="5.6323604710701483E-2"/>
          <c:w val="0.60358772720977449"/>
          <c:h val="0.78969080477843501"/>
        </c:manualLayout>
      </c:layout>
      <c:barChart>
        <c:barDir val="bar"/>
        <c:grouping val="clustered"/>
        <c:varyColors val="0"/>
        <c:ser>
          <c:idx val="0"/>
          <c:order val="0"/>
          <c:tx>
            <c:strRef>
              <c:f>Sheet1!$B$1</c:f>
              <c:strCache>
                <c:ptCount val="1"/>
                <c:pt idx="0">
                  <c:v>2020</c:v>
                </c:pt>
              </c:strCache>
            </c:strRef>
          </c:tx>
          <c:spPr>
            <a:solidFill>
              <a:schemeClr val="accent1">
                <a:lumMod val="75000"/>
              </a:schemeClr>
            </a:solidFill>
            <a:ln w="15875">
              <a:solidFill>
                <a:srgbClr val="002060"/>
              </a:solidFill>
            </a:ln>
            <a:effectLst>
              <a:outerShdw blurRad="50800" dist="38100" dir="2700000" algn="tl" rotWithShape="0">
                <a:prstClr val="black">
                  <a:alpha val="40000"/>
                </a:prstClr>
              </a:outerShdw>
            </a:effectLst>
          </c:spPr>
          <c:invertIfNegative val="0"/>
          <c:dLbls>
            <c:dLbl>
              <c:idx val="0"/>
              <c:layout>
                <c:manualLayout>
                  <c:x val="0"/>
                  <c:y val="5.12032770097286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BC-45B6-9FAA-2744AA820E38}"/>
                </c:ext>
              </c:extLst>
            </c:dLbl>
            <c:dLbl>
              <c:idx val="1"/>
              <c:layout>
                <c:manualLayout>
                  <c:x val="-1.2869337278786098E-2"/>
                  <c:y val="1.4340344168260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BC-45B6-9FAA-2744AA820E3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De Capital</c:v>
                </c:pt>
                <c:pt idx="1">
                  <c:v>Trans. Corrientes</c:v>
                </c:pt>
                <c:pt idx="2">
                  <c:v>Prestaciones a la S.S</c:v>
                </c:pt>
                <c:pt idx="3">
                  <c:v>Inversión Real Directa</c:v>
                </c:pt>
                <c:pt idx="4">
                  <c:v>Bienes y servicios </c:v>
                </c:pt>
                <c:pt idx="5">
                  <c:v>Remuneraciones </c:v>
                </c:pt>
                <c:pt idx="6">
                  <c:v>Intereses </c:v>
                </c:pt>
              </c:strCache>
            </c:strRef>
          </c:cat>
          <c:val>
            <c:numRef>
              <c:f>Sheet1!$B$2:$B$8</c:f>
              <c:numCache>
                <c:formatCode>#,##0.0</c:formatCode>
                <c:ptCount val="7"/>
                <c:pt idx="0">
                  <c:v>34.009999999999991</c:v>
                </c:pt>
                <c:pt idx="1">
                  <c:v>-519.67000000000007</c:v>
                </c:pt>
                <c:pt idx="2">
                  <c:v>-26.639999999999986</c:v>
                </c:pt>
                <c:pt idx="3">
                  <c:v>-282.78999999999996</c:v>
                </c:pt>
                <c:pt idx="4">
                  <c:v>210.9799999999999</c:v>
                </c:pt>
                <c:pt idx="5">
                  <c:v>580.67000000000053</c:v>
                </c:pt>
                <c:pt idx="6">
                  <c:v>12.519999999999982</c:v>
                </c:pt>
              </c:numCache>
            </c:numRef>
          </c:val>
          <c:extLst>
            <c:ext xmlns:c16="http://schemas.microsoft.com/office/drawing/2014/chart" uri="{C3380CC4-5D6E-409C-BE32-E72D297353CC}">
              <c16:uniqueId val="{00000002-E3BC-45B6-9FAA-2744AA820E38}"/>
            </c:ext>
          </c:extLst>
        </c:ser>
        <c:ser>
          <c:idx val="1"/>
          <c:order val="1"/>
          <c:tx>
            <c:strRef>
              <c:f>Sheet1!$C$1</c:f>
              <c:strCache>
                <c:ptCount val="1"/>
                <c:pt idx="0">
                  <c:v>2021</c:v>
                </c:pt>
              </c:strCache>
            </c:strRef>
          </c:tx>
          <c:spPr>
            <a:solidFill>
              <a:srgbClr val="92D050"/>
            </a:solidFill>
            <a:ln w="15875">
              <a:solidFill>
                <a:schemeClr val="accent3">
                  <a:lumMod val="50000"/>
                </a:schemeClr>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De Capital</c:v>
                </c:pt>
                <c:pt idx="1">
                  <c:v>Trans. Corrientes</c:v>
                </c:pt>
                <c:pt idx="2">
                  <c:v>Prestaciones a la S.S</c:v>
                </c:pt>
                <c:pt idx="3">
                  <c:v>Inversión Real Directa</c:v>
                </c:pt>
                <c:pt idx="4">
                  <c:v>Bienes y servicios </c:v>
                </c:pt>
                <c:pt idx="5">
                  <c:v>Remuneraciones </c:v>
                </c:pt>
                <c:pt idx="6">
                  <c:v>Intereses </c:v>
                </c:pt>
              </c:strCache>
            </c:strRef>
          </c:cat>
          <c:val>
            <c:numRef>
              <c:f>Sheet1!$C$2:$C$8</c:f>
              <c:numCache>
                <c:formatCode>#,##0.0</c:formatCode>
                <c:ptCount val="7"/>
                <c:pt idx="0">
                  <c:v>-67.17873469999995</c:v>
                </c:pt>
                <c:pt idx="1">
                  <c:v>15.35574078000036</c:v>
                </c:pt>
                <c:pt idx="2">
                  <c:v>47.875717799999961</c:v>
                </c:pt>
                <c:pt idx="3">
                  <c:v>87.133366569999993</c:v>
                </c:pt>
                <c:pt idx="4">
                  <c:v>173.68381265000016</c:v>
                </c:pt>
                <c:pt idx="5">
                  <c:v>177.54630087999976</c:v>
                </c:pt>
                <c:pt idx="6">
                  <c:v>203.22227973000008</c:v>
                </c:pt>
              </c:numCache>
            </c:numRef>
          </c:val>
          <c:extLst>
            <c:ext xmlns:c16="http://schemas.microsoft.com/office/drawing/2014/chart" uri="{C3380CC4-5D6E-409C-BE32-E72D297353CC}">
              <c16:uniqueId val="{00000003-E3BC-45B6-9FAA-2744AA820E38}"/>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6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5845657669175118"/>
          <c:y val="0.92436630905007844"/>
          <c:w val="0.28308684661649763"/>
          <c:h val="7.563369094992158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3.5224826189978561E-2"/>
          <c:w val="0.90489558370421086"/>
          <c:h val="0.8196505417635076"/>
        </c:manualLayout>
      </c:layout>
      <c:barChart>
        <c:barDir val="col"/>
        <c:grouping val="clustered"/>
        <c:varyColors val="0"/>
        <c:ser>
          <c:idx val="0"/>
          <c:order val="0"/>
          <c:tx>
            <c:strRef>
              <c:f>Hoja1!$B$1</c:f>
              <c:strCache>
                <c:ptCount val="1"/>
                <c:pt idx="0">
                  <c:v>% de ejecución</c:v>
                </c:pt>
              </c:strCache>
            </c:strRef>
          </c:tx>
          <c:spPr>
            <a:solidFill>
              <a:schemeClr val="tx2">
                <a:lumMod val="60000"/>
                <a:lumOff val="40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BBAA-420A-8E4D-B131A5949F65}"/>
              </c:ext>
            </c:extLst>
          </c:dPt>
          <c:dPt>
            <c:idx val="6"/>
            <c:invertIfNegative val="0"/>
            <c:bubble3D val="0"/>
            <c:spPr>
              <a:solidFill>
                <a:srgbClr val="FFC000"/>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BBAA-420A-8E4D-B131A5949F65}"/>
              </c:ext>
            </c:extLst>
          </c:dPt>
          <c:dLbls>
            <c:dLbl>
              <c:idx val="3"/>
              <c:layout>
                <c:manualLayout>
                  <c:x val="-8.0109772984700854E-17"/>
                  <c:y val="0.103521022136383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AA-420A-8E4D-B131A5949F65}"/>
                </c:ext>
              </c:extLst>
            </c:dLbl>
            <c:dLbl>
              <c:idx val="4"/>
              <c:layout>
                <c:manualLayout>
                  <c:x val="4.3696744592526251E-3"/>
                  <c:y val="0.116312835375910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AA-420A-8E4D-B131A5949F65}"/>
                </c:ext>
              </c:extLst>
            </c:dLbl>
            <c:dLbl>
              <c:idx val="5"/>
              <c:layout>
                <c:manualLayout>
                  <c:x val="-1.6021954596940171E-16"/>
                  <c:y val="0.103613687240166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AA-420A-8E4D-B131A5949F65}"/>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BBAA-420A-8E4D-B131A5949F6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2016</c:v>
                </c:pt>
                <c:pt idx="1">
                  <c:v>2017</c:v>
                </c:pt>
                <c:pt idx="2">
                  <c:v>2018</c:v>
                </c:pt>
                <c:pt idx="3">
                  <c:v>2019</c:v>
                </c:pt>
                <c:pt idx="4">
                  <c:v>2020</c:v>
                </c:pt>
                <c:pt idx="5">
                  <c:v>2021</c:v>
                </c:pt>
              </c:numCache>
            </c:numRef>
          </c:cat>
          <c:val>
            <c:numRef>
              <c:f>Hoja1!$B$2:$B$7</c:f>
              <c:numCache>
                <c:formatCode>0.0</c:formatCode>
                <c:ptCount val="6"/>
                <c:pt idx="0">
                  <c:v>12.665815492361112</c:v>
                </c:pt>
                <c:pt idx="1">
                  <c:v>12.073536009931894</c:v>
                </c:pt>
                <c:pt idx="2">
                  <c:v>12.191685472631811</c:v>
                </c:pt>
                <c:pt idx="3">
                  <c:v>12.744117144763967</c:v>
                </c:pt>
                <c:pt idx="4">
                  <c:v>12.773268353233755</c:v>
                </c:pt>
                <c:pt idx="5">
                  <c:v>11.003134996227361</c:v>
                </c:pt>
              </c:numCache>
            </c:numRef>
          </c:val>
          <c:extLst>
            <c:ext xmlns:c16="http://schemas.microsoft.com/office/drawing/2014/chart" uri="{C3380CC4-5D6E-409C-BE32-E72D297353CC}">
              <c16:uniqueId val="{00000006-BBAA-420A-8E4D-B131A5949F65}"/>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20974454607856124"/>
                  <c:y val="-5.1167252958106826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28619165667433361"/>
                      <c:h val="0.15151902782219379"/>
                    </c:manualLayout>
                  </c15:layout>
                </c:ext>
                <c:ext xmlns:c16="http://schemas.microsoft.com/office/drawing/2014/chart" uri="{C3380CC4-5D6E-409C-BE32-E72D297353CC}">
                  <c16:uniqueId val="{00000007-BBAA-420A-8E4D-B131A5949F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2016</c:v>
                </c:pt>
                <c:pt idx="1">
                  <c:v>2017</c:v>
                </c:pt>
                <c:pt idx="2">
                  <c:v>2018</c:v>
                </c:pt>
                <c:pt idx="3">
                  <c:v>2019</c:v>
                </c:pt>
                <c:pt idx="4">
                  <c:v>2020</c:v>
                </c:pt>
                <c:pt idx="5">
                  <c:v>2021</c:v>
                </c:pt>
              </c:numCache>
            </c:numRef>
          </c:cat>
          <c:val>
            <c:numRef>
              <c:f>Hoja1!$C$2:$C$7</c:f>
              <c:numCache>
                <c:formatCode>0.0</c:formatCode>
                <c:ptCount val="6"/>
                <c:pt idx="0">
                  <c:v>12.489684494584507</c:v>
                </c:pt>
                <c:pt idx="1">
                  <c:v>12.489684494584507</c:v>
                </c:pt>
                <c:pt idx="2">
                  <c:v>12.489684494584507</c:v>
                </c:pt>
                <c:pt idx="3">
                  <c:v>12.489684494584507</c:v>
                </c:pt>
                <c:pt idx="4">
                  <c:v>12.489684494584507</c:v>
                </c:pt>
              </c:numCache>
            </c:numRef>
          </c:val>
          <c:smooth val="0"/>
          <c:extLst>
            <c:ext xmlns:c16="http://schemas.microsoft.com/office/drawing/2014/chart" uri="{C3380CC4-5D6E-409C-BE32-E72D297353CC}">
              <c16:uniqueId val="{00000008-BBAA-420A-8E4D-B131A5949F65}"/>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1552184025777264E-2"/>
          <c:w val="0.67595450840542404"/>
          <c:h val="0.93622203728598963"/>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8"/>
            <c:invertIfNegative val="0"/>
            <c:bubble3D val="0"/>
            <c:spPr>
              <a:solidFill>
                <a:srgbClr val="C00000">
                  <a:alpha val="75000"/>
                </a:srgbClr>
              </a:solidFill>
              <a:ln>
                <a:solidFill>
                  <a:schemeClr val="tx1">
                    <a:lumMod val="95000"/>
                    <a:lumOff val="5000"/>
                  </a:schemeClr>
                </a:solidFill>
              </a:ln>
              <a:effectLst/>
            </c:spPr>
            <c:extLst>
              <c:ext xmlns:c16="http://schemas.microsoft.com/office/drawing/2014/chart" uri="{C3380CC4-5D6E-409C-BE32-E72D297353CC}">
                <c16:uniqueId val="{00000001-A7A7-46C9-96FD-5AA4D4725F40}"/>
              </c:ext>
            </c:extLst>
          </c:dPt>
          <c:dPt>
            <c:idx val="1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A7A7-46C9-96FD-5AA4D4725F40}"/>
              </c:ext>
            </c:extLst>
          </c:dPt>
          <c:dPt>
            <c:idx val="12"/>
            <c:invertIfNegative val="0"/>
            <c:bubble3D val="0"/>
            <c:spPr>
              <a:solidFill>
                <a:srgbClr val="FF7C80">
                  <a:alpha val="75000"/>
                </a:srgbClr>
              </a:solidFill>
              <a:ln>
                <a:solidFill>
                  <a:schemeClr val="tx1">
                    <a:lumMod val="95000"/>
                    <a:lumOff val="5000"/>
                  </a:schemeClr>
                </a:solidFill>
              </a:ln>
              <a:effectLst/>
            </c:spPr>
            <c:extLst>
              <c:ext xmlns:c16="http://schemas.microsoft.com/office/drawing/2014/chart" uri="{C3380CC4-5D6E-409C-BE32-E72D297353CC}">
                <c16:uniqueId val="{00000005-A7A7-46C9-96FD-5AA4D4725F40}"/>
              </c:ext>
            </c:extLst>
          </c:dPt>
          <c:dPt>
            <c:idx val="1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A7A7-46C9-96FD-5AA4D4725F40}"/>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A7A7-46C9-96FD-5AA4D4725F40}"/>
              </c:ext>
            </c:extLst>
          </c:dPt>
          <c:dLbls>
            <c:dLbl>
              <c:idx val="19"/>
              <c:layout>
                <c:manualLayout>
                  <c:x val="-1.3295143311980156E-3"/>
                  <c:y val="-4.140271352201623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7A7-46C9-96FD-5AA4D4725F4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Hoja1!$A$2:$A$21</c:f>
              <c:strCache>
                <c:ptCount val="20"/>
                <c:pt idx="0">
                  <c:v>Desarrollo</c:v>
                </c:pt>
                <c:pt idx="1">
                  <c:v>Economía</c:v>
                </c:pt>
                <c:pt idx="2">
                  <c:v>Comunicaciones</c:v>
                </c:pt>
                <c:pt idx="3">
                  <c:v>Agricultura</c:v>
                </c:pt>
                <c:pt idx="4">
                  <c:v>Cultura</c:v>
                </c:pt>
                <c:pt idx="5">
                  <c:v>Secretarías</c:v>
                </c:pt>
                <c:pt idx="6">
                  <c:v>Salud Pública </c:v>
                </c:pt>
                <c:pt idx="7">
                  <c:v>Obligaciones </c:v>
                </c:pt>
                <c:pt idx="8">
                  <c:v>Total</c:v>
                </c:pt>
                <c:pt idx="9">
                  <c:v>MINREX</c:v>
                </c:pt>
                <c:pt idx="10">
                  <c:v>Finanzas</c:v>
                </c:pt>
                <c:pt idx="11">
                  <c:v>Energía</c:v>
                </c:pt>
                <c:pt idx="12">
                  <c:v>Presidencia</c:v>
                </c:pt>
                <c:pt idx="13">
                  <c:v>Deuda Pública</c:v>
                </c:pt>
                <c:pt idx="14">
                  <c:v>Defensa </c:v>
                </c:pt>
                <c:pt idx="15">
                  <c:v>Ambiente </c:v>
                </c:pt>
                <c:pt idx="16">
                  <c:v>Trabajo </c:v>
                </c:pt>
                <c:pt idx="17">
                  <c:v>PGN</c:v>
                </c:pt>
                <c:pt idx="18">
                  <c:v>Gobernación</c:v>
                </c:pt>
                <c:pt idx="19">
                  <c:v>Educación </c:v>
                </c:pt>
              </c:strCache>
            </c:strRef>
          </c:cat>
          <c:val>
            <c:numRef>
              <c:f>Hoja1!$B$2:$B$21</c:f>
              <c:numCache>
                <c:formatCode>0.0</c:formatCode>
                <c:ptCount val="20"/>
                <c:pt idx="0">
                  <c:v>0.77795613628538351</c:v>
                </c:pt>
                <c:pt idx="1">
                  <c:v>1.1119964489016387</c:v>
                </c:pt>
                <c:pt idx="2">
                  <c:v>3.9550485569644902</c:v>
                </c:pt>
                <c:pt idx="3">
                  <c:v>6.3580322084369199</c:v>
                </c:pt>
                <c:pt idx="4">
                  <c:v>7.1700005538085154</c:v>
                </c:pt>
                <c:pt idx="5">
                  <c:v>9.335795330857044</c:v>
                </c:pt>
                <c:pt idx="6">
                  <c:v>9.705684379718484</c:v>
                </c:pt>
                <c:pt idx="7">
                  <c:v>10.740769491423608</c:v>
                </c:pt>
                <c:pt idx="8">
                  <c:v>11.003134996227361</c:v>
                </c:pt>
                <c:pt idx="9">
                  <c:v>11.359246704240174</c:v>
                </c:pt>
                <c:pt idx="10">
                  <c:v>11.392976377085301</c:v>
                </c:pt>
                <c:pt idx="11">
                  <c:v>11.483062388877913</c:v>
                </c:pt>
                <c:pt idx="12">
                  <c:v>11.950234359307359</c:v>
                </c:pt>
                <c:pt idx="13">
                  <c:v>12.073240635411677</c:v>
                </c:pt>
                <c:pt idx="14">
                  <c:v>12.780873381996946</c:v>
                </c:pt>
                <c:pt idx="15">
                  <c:v>12.842718637063575</c:v>
                </c:pt>
                <c:pt idx="16">
                  <c:v>13.128845786028048</c:v>
                </c:pt>
                <c:pt idx="17">
                  <c:v>17.211931698688947</c:v>
                </c:pt>
                <c:pt idx="18">
                  <c:v>17.259688205967791</c:v>
                </c:pt>
                <c:pt idx="19">
                  <c:v>17.412849544464034</c:v>
                </c:pt>
              </c:numCache>
            </c:numRef>
          </c:val>
          <c:extLst>
            <c:ext xmlns:c16="http://schemas.microsoft.com/office/drawing/2014/chart" uri="{C3380CC4-5D6E-409C-BE32-E72D297353CC}">
              <c16:uniqueId val="{0000000B-A7A7-46C9-96FD-5AA4D4725F40}"/>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18"/>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3C37E-51B0-4764-9E88-FB3A54EB8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Pages>
  <Words>2335</Words>
  <Characters>12848</Characters>
  <Application>Microsoft Office Word</Application>
  <DocSecurity>0</DocSecurity>
  <Lines>107</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Saul Enrique De León Meneses</cp:lastModifiedBy>
  <cp:revision>10</cp:revision>
  <dcterms:created xsi:type="dcterms:W3CDTF">2021-03-17T15:13:00Z</dcterms:created>
  <dcterms:modified xsi:type="dcterms:W3CDTF">2021-03-17T20:15:00Z</dcterms:modified>
</cp:coreProperties>
</file>