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Pr>
          <w:b/>
          <w:sz w:val="28"/>
          <w:szCs w:val="24"/>
        </w:rPr>
        <w:t>E</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 xml:space="preserve">” </w:t>
      </w:r>
    </w:p>
    <w:p w:rsidR="005610B6" w:rsidRDefault="005610B6" w:rsidP="005610B6">
      <w:pPr>
        <w:spacing w:after="0" w:line="240" w:lineRule="auto"/>
        <w:rPr>
          <w:b/>
          <w:sz w:val="28"/>
          <w:szCs w:val="24"/>
        </w:rPr>
      </w:pPr>
      <w:r>
        <w:rPr>
          <w:b/>
          <w:sz w:val="28"/>
          <w:szCs w:val="24"/>
        </w:rPr>
        <w:t xml:space="preserve">Entidad: </w:t>
      </w:r>
      <w:r w:rsidR="0086257E">
        <w:rPr>
          <w:b/>
          <w:sz w:val="28"/>
          <w:szCs w:val="24"/>
        </w:rPr>
        <w:t>D</w:t>
      </w:r>
      <w:r w:rsidR="00E27653">
        <w:rPr>
          <w:b/>
          <w:sz w:val="28"/>
          <w:szCs w:val="24"/>
        </w:rPr>
        <w:t>EFENSORÍ</w:t>
      </w:r>
      <w:r w:rsidR="00C848EA">
        <w:rPr>
          <w:b/>
          <w:sz w:val="28"/>
          <w:szCs w:val="24"/>
        </w:rPr>
        <w:t>A DE LA MUJER INDÍ</w:t>
      </w:r>
      <w:r w:rsidR="00E910CA">
        <w:rPr>
          <w:b/>
          <w:sz w:val="28"/>
          <w:szCs w:val="24"/>
        </w:rPr>
        <w:t xml:space="preserve">GENA </w:t>
      </w:r>
    </w:p>
    <w:p w:rsidR="005610B6" w:rsidRDefault="005610B6" w:rsidP="005610B6">
      <w:pPr>
        <w:spacing w:after="0" w:line="240" w:lineRule="auto"/>
        <w:rPr>
          <w:b/>
          <w:sz w:val="28"/>
          <w:szCs w:val="24"/>
        </w:rPr>
      </w:pPr>
      <w:r>
        <w:rPr>
          <w:b/>
          <w:sz w:val="28"/>
          <w:szCs w:val="24"/>
        </w:rPr>
        <w:t xml:space="preserve">Fecha: </w:t>
      </w:r>
      <w:r w:rsidR="008F4723">
        <w:rPr>
          <w:b/>
          <w:sz w:val="28"/>
          <w:szCs w:val="24"/>
        </w:rPr>
        <w:t>08</w:t>
      </w:r>
      <w:r w:rsidR="003D7265">
        <w:rPr>
          <w:b/>
          <w:sz w:val="28"/>
          <w:szCs w:val="24"/>
        </w:rPr>
        <w:t xml:space="preserve"> de junio</w:t>
      </w:r>
      <w:r>
        <w:rPr>
          <w:b/>
          <w:sz w:val="28"/>
          <w:szCs w:val="24"/>
        </w:rPr>
        <w:t xml:space="preserve"> 2017</w:t>
      </w:r>
    </w:p>
    <w:tbl>
      <w:tblPr>
        <w:tblStyle w:val="Tablaconcuadrcula"/>
        <w:tblW w:w="0" w:type="auto"/>
        <w:jc w:val="center"/>
        <w:tblLook w:val="04A0" w:firstRow="1" w:lastRow="0" w:firstColumn="1" w:lastColumn="0" w:noHBand="0" w:noVBand="1"/>
      </w:tblPr>
      <w:tblGrid>
        <w:gridCol w:w="8978"/>
      </w:tblGrid>
      <w:tr w:rsidR="005610B6" w:rsidRPr="003750B8" w:rsidTr="00AE66A0">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1148DD" w:rsidRDefault="001148DD" w:rsidP="001148DD">
            <w:pPr>
              <w:spacing w:after="0"/>
              <w:jc w:val="both"/>
              <w:rPr>
                <w:b/>
              </w:rPr>
            </w:pPr>
          </w:p>
          <w:p w:rsidR="001148DD" w:rsidRDefault="001148DD" w:rsidP="001148DD">
            <w:pPr>
              <w:spacing w:after="0"/>
              <w:jc w:val="both"/>
            </w:pPr>
            <w:r w:rsidRPr="003D3088">
              <w:rPr>
                <w:b/>
              </w:rPr>
              <w:t>MINISTERIO DE FINANZAS PÚBLICAS:</w:t>
            </w:r>
            <w:r>
              <w:t xml:space="preserve"> El señor Ministro en funciones del Ministerio de Finanzas Públicas, Víctor Martínez, dirigió palabras de bienvenida a la audiencia, realizó la presentación de las diferentes etapas  que componen el proceso presupuestario, los plazos legales para cada una de ellas, incluyendo su integración y principales actores. </w:t>
            </w:r>
          </w:p>
          <w:p w:rsidR="001148DD" w:rsidRDefault="001148DD" w:rsidP="001148DD">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1148DD" w:rsidRDefault="001148DD" w:rsidP="001148DD">
            <w:pPr>
              <w:spacing w:after="0"/>
              <w:jc w:val="both"/>
            </w:pPr>
            <w:r>
              <w:t xml:space="preserve">Señaló las acciones que ya han sido realizadas, entre ellas:  </w:t>
            </w:r>
          </w:p>
          <w:p w:rsidR="001148DD" w:rsidRPr="00DC4BCC" w:rsidRDefault="001148DD" w:rsidP="001148DD">
            <w:pPr>
              <w:numPr>
                <w:ilvl w:val="0"/>
                <w:numId w:val="5"/>
              </w:numPr>
              <w:spacing w:after="0"/>
              <w:jc w:val="both"/>
            </w:pPr>
            <w:r w:rsidRPr="003E6C78">
              <w:t xml:space="preserve">Definición de escenario macro fiscal – </w:t>
            </w:r>
            <w:r w:rsidRPr="00DC4BCC">
              <w:rPr>
                <w:bCs/>
              </w:rPr>
              <w:t xml:space="preserve">Exposición de supuestos Banguat-SAT </w:t>
            </w:r>
          </w:p>
          <w:p w:rsidR="001148DD" w:rsidRPr="00DC4BCC" w:rsidRDefault="001148DD" w:rsidP="001148DD">
            <w:pPr>
              <w:numPr>
                <w:ilvl w:val="0"/>
                <w:numId w:val="5"/>
              </w:numPr>
              <w:spacing w:after="0"/>
              <w:jc w:val="both"/>
            </w:pPr>
            <w:r w:rsidRPr="00DC4BCC">
              <w:t>Talleres de Micro simulaciones –</w:t>
            </w:r>
            <w:r w:rsidRPr="00DC4BCC">
              <w:rPr>
                <w:bCs/>
              </w:rPr>
              <w:t xml:space="preserve"> Apoyo de Cooperación Internacional</w:t>
            </w:r>
          </w:p>
          <w:p w:rsidR="001148DD" w:rsidRPr="00DC4BCC" w:rsidRDefault="001148DD" w:rsidP="001148DD">
            <w:pPr>
              <w:numPr>
                <w:ilvl w:val="0"/>
                <w:numId w:val="5"/>
              </w:numPr>
              <w:spacing w:after="0"/>
              <w:jc w:val="both"/>
            </w:pPr>
            <w:r w:rsidRPr="00DC4BCC">
              <w:t xml:space="preserve">Talleres Sectoriales con Expertos – </w:t>
            </w:r>
            <w:r w:rsidRPr="00DC4BCC">
              <w:rPr>
                <w:bCs/>
              </w:rPr>
              <w:t xml:space="preserve">Diagnóstico de seis sectores priorizados </w:t>
            </w:r>
          </w:p>
          <w:p w:rsidR="001148DD" w:rsidRDefault="001148DD" w:rsidP="001148DD">
            <w:pPr>
              <w:spacing w:after="0"/>
              <w:jc w:val="both"/>
            </w:pPr>
            <w:r>
              <w:t xml:space="preserve">Actualmente se están realizando los talleres de presupuesto abierto 2018 como insumo  para la definición de los techos presupuestarios. </w:t>
            </w:r>
          </w:p>
          <w:p w:rsidR="001148DD" w:rsidRPr="005610B6" w:rsidRDefault="001148DD" w:rsidP="001148DD">
            <w:pPr>
              <w:spacing w:after="0"/>
              <w:jc w:val="both"/>
              <w:rPr>
                <w:sz w:val="4"/>
              </w:rPr>
            </w:pPr>
          </w:p>
          <w:p w:rsidR="001148DD" w:rsidRDefault="001148DD" w:rsidP="001148DD">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1148DD" w:rsidRPr="005610B6" w:rsidRDefault="001148DD" w:rsidP="001148DD">
            <w:pPr>
              <w:spacing w:after="0"/>
              <w:jc w:val="both"/>
              <w:rPr>
                <w:sz w:val="4"/>
                <w:lang w:val="es-ES"/>
              </w:rPr>
            </w:pPr>
          </w:p>
          <w:p w:rsidR="001148DD" w:rsidRDefault="001148DD" w:rsidP="001148DD">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1148DD" w:rsidRDefault="001148DD" w:rsidP="001148DD">
            <w:pPr>
              <w:spacing w:after="0"/>
              <w:jc w:val="both"/>
            </w:pPr>
          </w:p>
          <w:p w:rsidR="001148DD" w:rsidRPr="005610B6" w:rsidRDefault="001148DD" w:rsidP="001148DD">
            <w:pPr>
              <w:spacing w:after="0"/>
              <w:jc w:val="both"/>
              <w:rPr>
                <w:sz w:val="2"/>
              </w:rPr>
            </w:pPr>
          </w:p>
          <w:p w:rsidR="001148DD" w:rsidRDefault="001148DD" w:rsidP="001148DD">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1148DD" w:rsidRDefault="001148DD" w:rsidP="001148DD">
            <w:pPr>
              <w:spacing w:after="0"/>
              <w:jc w:val="both"/>
              <w:rPr>
                <w:lang w:val="es-ES"/>
              </w:rPr>
            </w:pPr>
          </w:p>
          <w:p w:rsidR="001148DD" w:rsidRDefault="001148DD" w:rsidP="001148DD">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1148DD" w:rsidRDefault="001148DD" w:rsidP="001148DD">
            <w:pPr>
              <w:spacing w:after="0"/>
              <w:jc w:val="center"/>
              <w:rPr>
                <w:lang w:val="es-ES"/>
              </w:rPr>
            </w:pPr>
          </w:p>
          <w:p w:rsidR="001148DD" w:rsidRDefault="001148DD" w:rsidP="001148DD">
            <w:pPr>
              <w:spacing w:after="0"/>
              <w:jc w:val="center"/>
              <w:rPr>
                <w:lang w:val="es-ES"/>
              </w:rPr>
            </w:pPr>
          </w:p>
          <w:p w:rsidR="001148DD" w:rsidRDefault="001148DD" w:rsidP="001148DD">
            <w:pPr>
              <w:spacing w:after="0"/>
              <w:jc w:val="center"/>
              <w:rPr>
                <w:lang w:val="es-ES"/>
              </w:rPr>
            </w:pPr>
          </w:p>
          <w:p w:rsidR="001148DD" w:rsidRDefault="001148DD" w:rsidP="001148DD">
            <w:pPr>
              <w:spacing w:after="0"/>
              <w:jc w:val="center"/>
              <w:rPr>
                <w:lang w:val="es-ES"/>
              </w:rPr>
            </w:pPr>
          </w:p>
          <w:p w:rsidR="001148DD" w:rsidRDefault="001148DD" w:rsidP="001148DD">
            <w:pPr>
              <w:spacing w:after="0"/>
              <w:jc w:val="center"/>
              <w:rPr>
                <w:lang w:val="es-ES"/>
              </w:rPr>
            </w:pPr>
          </w:p>
          <w:p w:rsidR="001148DD" w:rsidRDefault="001148DD" w:rsidP="001148DD">
            <w:pPr>
              <w:spacing w:after="0"/>
              <w:jc w:val="center"/>
              <w:rPr>
                <w:lang w:val="es-ES"/>
              </w:rPr>
            </w:pPr>
          </w:p>
          <w:p w:rsidR="001148DD" w:rsidRDefault="001148DD" w:rsidP="001148DD">
            <w:pPr>
              <w:spacing w:after="0"/>
              <w:jc w:val="center"/>
              <w:rPr>
                <w:lang w:val="es-ES"/>
              </w:rPr>
            </w:pPr>
            <w:r>
              <w:rPr>
                <w:lang w:val="es-ES"/>
              </w:rPr>
              <w:t xml:space="preserve">Gráfica No. 1 </w:t>
            </w:r>
          </w:p>
          <w:p w:rsidR="001148DD" w:rsidRDefault="001148DD" w:rsidP="001148DD">
            <w:pPr>
              <w:spacing w:after="0"/>
              <w:jc w:val="center"/>
            </w:pPr>
            <w:r>
              <w:rPr>
                <w:noProof/>
                <w:lang w:eastAsia="es-GT"/>
              </w:rPr>
              <w:drawing>
                <wp:inline distT="0" distB="0" distL="0" distR="0" wp14:anchorId="2B7C7AB7" wp14:editId="617C9911">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1148DD" w:rsidRDefault="001148DD" w:rsidP="001148DD">
            <w:pPr>
              <w:jc w:val="right"/>
            </w:pPr>
            <w:r>
              <w:t>Fuente: Presentación del señor Ministro de Finanzas Públicas</w:t>
            </w:r>
            <w:r w:rsidR="00D16437">
              <w:t xml:space="preserve"> en funciones</w:t>
            </w:r>
          </w:p>
          <w:p w:rsidR="001148DD" w:rsidRDefault="001148DD" w:rsidP="001148DD">
            <w:pPr>
              <w:spacing w:after="0"/>
              <w:jc w:val="both"/>
            </w:pPr>
            <w:r>
              <w:t xml:space="preserve">Finalmente enfatizó que el objetivo de los talleres es fortalecer el Gobierno Abierto, la democracia y agradeció la participación de las personas de los diferentes sectores presentes en el taller y los insto a emitir sus comentarios y aportes. </w:t>
            </w:r>
          </w:p>
          <w:p w:rsidR="001148DD" w:rsidRPr="005610B6" w:rsidRDefault="001148DD" w:rsidP="001148DD">
            <w:pPr>
              <w:spacing w:after="0"/>
              <w:jc w:val="both"/>
              <w:rPr>
                <w:sz w:val="6"/>
              </w:rPr>
            </w:pPr>
          </w:p>
          <w:p w:rsidR="001148DD" w:rsidRDefault="001148DD" w:rsidP="001148DD">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Angel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5610B6" w:rsidRDefault="001148DD" w:rsidP="001148DD">
            <w:pPr>
              <w:spacing w:after="0"/>
              <w:jc w:val="both"/>
            </w:pPr>
            <w:r>
              <w:t xml:space="preserve">Para hacer viable la programación multianual de cinco años,  es necesario un esfuerzo estratégico y coordinado de parte de todas las entidades de Gobierno para conseguir los resultados que nos propongamos para una mejor Guatemala. </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DF3B40">
        <w:trPr>
          <w:trHeight w:val="332"/>
          <w:tblHeader/>
          <w:jc w:val="center"/>
        </w:trPr>
        <w:tc>
          <w:tcPr>
            <w:tcW w:w="8978" w:type="dxa"/>
            <w:shd w:val="clear" w:color="auto" w:fill="B8CCE4" w:themeFill="accent1" w:themeFillTint="66"/>
          </w:tcPr>
          <w:p w:rsidR="005610B6" w:rsidRPr="009316AF" w:rsidRDefault="005610B6" w:rsidP="0086257E">
            <w:pPr>
              <w:spacing w:after="0" w:line="240" w:lineRule="auto"/>
              <w:jc w:val="center"/>
              <w:rPr>
                <w:b/>
                <w:sz w:val="28"/>
                <w:szCs w:val="24"/>
              </w:rPr>
            </w:pPr>
            <w:r>
              <w:rPr>
                <w:b/>
                <w:sz w:val="28"/>
                <w:szCs w:val="24"/>
              </w:rPr>
              <w:t>PRESENTACIÓN</w:t>
            </w:r>
            <w:r w:rsidR="00956510">
              <w:rPr>
                <w:b/>
                <w:sz w:val="28"/>
                <w:szCs w:val="24"/>
              </w:rPr>
              <w:t xml:space="preserve"> DE LA DEFENSORÍA DE LA MUJER INDÍGENA</w:t>
            </w:r>
          </w:p>
        </w:tc>
      </w:tr>
      <w:tr w:rsidR="005610B6" w:rsidRPr="00114000" w:rsidTr="0075044F">
        <w:trPr>
          <w:trHeight w:val="450"/>
          <w:jc w:val="center"/>
        </w:trPr>
        <w:tc>
          <w:tcPr>
            <w:tcW w:w="8978" w:type="dxa"/>
          </w:tcPr>
          <w:p w:rsidR="00517D09" w:rsidRDefault="00DF3B40" w:rsidP="00956510">
            <w:pPr>
              <w:spacing w:after="0"/>
              <w:jc w:val="both"/>
            </w:pPr>
            <w:r>
              <w:t>La Directora de la Defensoría de</w:t>
            </w:r>
            <w:r w:rsidR="00956510">
              <w:t xml:space="preserve"> </w:t>
            </w:r>
            <w:r>
              <w:t>la Mujer Indígena</w:t>
            </w:r>
            <w:r w:rsidR="00AE66A0">
              <w:t xml:space="preserve">, </w:t>
            </w:r>
            <w:r w:rsidR="0057572E">
              <w:t>Marí</w:t>
            </w:r>
            <w:r w:rsidR="00AE66A0">
              <w:t xml:space="preserve">a Roselia Pop, </w:t>
            </w:r>
            <w:r>
              <w:t xml:space="preserve"> </w:t>
            </w:r>
            <w:r w:rsidR="00AE66A0">
              <w:t>presentó la</w:t>
            </w:r>
            <w:r w:rsidR="00956510">
              <w:t xml:space="preserve"> misión, visión y </w:t>
            </w:r>
            <w:r w:rsidR="00AE66A0">
              <w:t xml:space="preserve"> base </w:t>
            </w:r>
            <w:r w:rsidR="00956510">
              <w:t xml:space="preserve">legal </w:t>
            </w:r>
            <w:r w:rsidR="00AE66A0">
              <w:t>de la institución</w:t>
            </w:r>
            <w:r w:rsidR="00956510">
              <w:t xml:space="preserve">, la producción, los servicios y los costos del año 2017. </w:t>
            </w:r>
          </w:p>
          <w:p w:rsidR="00956510" w:rsidRDefault="00956510" w:rsidP="00956510">
            <w:pPr>
              <w:spacing w:after="0"/>
              <w:jc w:val="both"/>
            </w:pPr>
            <w:r>
              <w:t xml:space="preserve">La priorización programática </w:t>
            </w:r>
            <w:r w:rsidR="0057572E">
              <w:t>dentro del único programa que tiene DEMI</w:t>
            </w:r>
            <w:r>
              <w:t xml:space="preserve"> y sus dos productos, </w:t>
            </w:r>
            <w:r w:rsidR="009E192F">
              <w:t>así</w:t>
            </w:r>
            <w:r>
              <w:t xml:space="preserve"> como la justificación de esta priorización. </w:t>
            </w:r>
          </w:p>
          <w:p w:rsidR="0057572E" w:rsidRDefault="00956510" w:rsidP="00956510">
            <w:pPr>
              <w:spacing w:after="0"/>
              <w:jc w:val="both"/>
            </w:pPr>
            <w:r>
              <w:t>Proyectó un crecimiento multianual de su</w:t>
            </w:r>
            <w:r w:rsidR="0057572E">
              <w:t>s</w:t>
            </w:r>
            <w:r>
              <w:t xml:space="preserve"> beneficiarios, ll</w:t>
            </w:r>
            <w:r w:rsidR="009E192F">
              <w:t>egando al 100% en el año 2022, mostró la fluctuación histórica de l</w:t>
            </w:r>
            <w:r w:rsidR="0057572E">
              <w:t xml:space="preserve">as asignaciones de presupuesto. </w:t>
            </w:r>
          </w:p>
          <w:p w:rsidR="0057572E" w:rsidRPr="0057572E" w:rsidRDefault="0057572E" w:rsidP="0057572E">
            <w:pPr>
              <w:spacing w:after="0"/>
              <w:jc w:val="both"/>
            </w:pPr>
            <w:r w:rsidRPr="0057572E">
              <w:t>La DEMI contribuye</w:t>
            </w:r>
            <w:r>
              <w:t xml:space="preserve"> al ODS cinco (5)</w:t>
            </w:r>
          </w:p>
          <w:p w:rsidR="00D46A30" w:rsidRPr="0057572E" w:rsidRDefault="00C848EA" w:rsidP="0057572E">
            <w:pPr>
              <w:numPr>
                <w:ilvl w:val="0"/>
                <w:numId w:val="22"/>
              </w:numPr>
              <w:spacing w:after="0"/>
              <w:jc w:val="both"/>
            </w:pPr>
            <w:r w:rsidRPr="0057572E">
              <w:t>Poner fin a todas las formas de discriminación contra todas las mujeres y las niñas en todo el mundo</w:t>
            </w:r>
          </w:p>
          <w:p w:rsidR="00D46A30" w:rsidRPr="0057572E" w:rsidRDefault="00C848EA" w:rsidP="0057572E">
            <w:pPr>
              <w:numPr>
                <w:ilvl w:val="0"/>
                <w:numId w:val="22"/>
              </w:numPr>
              <w:spacing w:after="0"/>
              <w:jc w:val="both"/>
            </w:pPr>
            <w:r w:rsidRPr="0057572E">
              <w:t>Eliminar todas las formas de violencia contra todas las mujeres y las niñas en los ámbitos público y privado, incluidas la trata y la explotación sexual y otros tipos de explotación</w:t>
            </w:r>
          </w:p>
          <w:p w:rsidR="0057572E" w:rsidRDefault="009A17C8" w:rsidP="00956510">
            <w:pPr>
              <w:spacing w:after="0"/>
              <w:jc w:val="both"/>
            </w:pPr>
            <w:r>
              <w:t>Por lo tanto es</w:t>
            </w:r>
            <w:r w:rsidR="0057572E">
              <w:t xml:space="preserve"> necesario el fortalecimiento para poder llegar a los beneficiarios proyectados. </w:t>
            </w:r>
          </w:p>
          <w:p w:rsidR="0057572E" w:rsidRPr="00114000" w:rsidRDefault="0057572E" w:rsidP="00956510">
            <w:pPr>
              <w:spacing w:after="0"/>
              <w:jc w:val="both"/>
            </w:pPr>
            <w:r>
              <w:lastRenderedPageBreak/>
              <w:t xml:space="preserve">Presentó las necesidades presupuestarias multianuales que sirvieron de base para la siguiente tabla y gráfica. </w:t>
            </w: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 xml:space="preserve">PRESUPUESTO ACTUAL Y PROYECTADO </w:t>
      </w:r>
      <w:r>
        <w:rPr>
          <w:b/>
          <w:sz w:val="28"/>
          <w:szCs w:val="24"/>
        </w:rPr>
        <w:t xml:space="preserve">DE </w:t>
      </w:r>
      <w:r w:rsidR="00956510">
        <w:rPr>
          <w:b/>
          <w:sz w:val="28"/>
          <w:szCs w:val="24"/>
        </w:rPr>
        <w:t>LA DEFENSORÍA DE LA MUJER INDÍGENA</w:t>
      </w:r>
    </w:p>
    <w:tbl>
      <w:tblPr>
        <w:tblStyle w:val="Tablaconcuadrcula"/>
        <w:tblW w:w="0" w:type="auto"/>
        <w:tblLook w:val="04A0" w:firstRow="1" w:lastRow="0" w:firstColumn="1" w:lastColumn="0" w:noHBand="0" w:noVBand="1"/>
      </w:tblPr>
      <w:tblGrid>
        <w:gridCol w:w="1721"/>
        <w:gridCol w:w="1218"/>
        <w:gridCol w:w="1223"/>
        <w:gridCol w:w="1223"/>
        <w:gridCol w:w="1223"/>
        <w:gridCol w:w="1223"/>
        <w:gridCol w:w="1223"/>
      </w:tblGrid>
      <w:tr w:rsidR="005610B6" w:rsidTr="00A12C7A">
        <w:tc>
          <w:tcPr>
            <w:tcW w:w="172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 xml:space="preserve">Año </w:t>
            </w:r>
          </w:p>
        </w:tc>
        <w:tc>
          <w:tcPr>
            <w:tcW w:w="1218"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2017</w:t>
            </w:r>
          </w:p>
        </w:tc>
        <w:tc>
          <w:tcPr>
            <w:tcW w:w="1223"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2018</w:t>
            </w:r>
          </w:p>
        </w:tc>
        <w:tc>
          <w:tcPr>
            <w:tcW w:w="1223"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2019</w:t>
            </w:r>
          </w:p>
        </w:tc>
        <w:tc>
          <w:tcPr>
            <w:tcW w:w="1223"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2020</w:t>
            </w:r>
          </w:p>
        </w:tc>
        <w:tc>
          <w:tcPr>
            <w:tcW w:w="1223"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2021</w:t>
            </w:r>
          </w:p>
        </w:tc>
        <w:tc>
          <w:tcPr>
            <w:tcW w:w="1223"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2022</w:t>
            </w:r>
          </w:p>
        </w:tc>
      </w:tr>
      <w:tr w:rsidR="00A12C7A" w:rsidTr="00A12C7A">
        <w:trPr>
          <w:trHeight w:val="306"/>
        </w:trPr>
        <w:tc>
          <w:tcPr>
            <w:tcW w:w="1721" w:type="dxa"/>
            <w:shd w:val="clear" w:color="auto" w:fill="B8CCE4" w:themeFill="accent1" w:themeFillTint="66"/>
          </w:tcPr>
          <w:p w:rsidR="00A12C7A" w:rsidRDefault="00A12C7A" w:rsidP="0075044F">
            <w:pPr>
              <w:spacing w:after="0" w:line="240" w:lineRule="auto"/>
              <w:jc w:val="center"/>
              <w:rPr>
                <w:b/>
                <w:sz w:val="28"/>
                <w:szCs w:val="24"/>
              </w:rPr>
            </w:pPr>
            <w:r>
              <w:rPr>
                <w:b/>
                <w:sz w:val="28"/>
                <w:szCs w:val="24"/>
              </w:rPr>
              <w:t>Presupuesto  en quetzales</w:t>
            </w:r>
          </w:p>
        </w:tc>
        <w:tc>
          <w:tcPr>
            <w:tcW w:w="1218" w:type="dxa"/>
            <w:vAlign w:val="center"/>
          </w:tcPr>
          <w:p w:rsidR="00A12C7A" w:rsidRPr="00A12C7A" w:rsidRDefault="00A12C7A" w:rsidP="00A12C7A">
            <w:pPr>
              <w:jc w:val="center"/>
              <w:rPr>
                <w:rFonts w:ascii="Calibri" w:hAnsi="Calibri"/>
                <w:color w:val="000000"/>
                <w:sz w:val="18"/>
              </w:rPr>
            </w:pPr>
            <w:r>
              <w:rPr>
                <w:rFonts w:ascii="Calibri" w:hAnsi="Calibri"/>
                <w:color w:val="000000"/>
                <w:sz w:val="18"/>
              </w:rPr>
              <w:t>Q.</w:t>
            </w:r>
            <w:r w:rsidRPr="00A12C7A">
              <w:rPr>
                <w:rFonts w:ascii="Calibri" w:hAnsi="Calibri"/>
                <w:color w:val="000000"/>
                <w:sz w:val="18"/>
              </w:rPr>
              <w:t>19,187,254</w:t>
            </w:r>
          </w:p>
        </w:tc>
        <w:tc>
          <w:tcPr>
            <w:tcW w:w="1223" w:type="dxa"/>
            <w:vAlign w:val="center"/>
          </w:tcPr>
          <w:p w:rsidR="00A12C7A" w:rsidRPr="00A12C7A" w:rsidRDefault="00A12C7A" w:rsidP="00A12C7A">
            <w:pPr>
              <w:jc w:val="center"/>
              <w:rPr>
                <w:rFonts w:ascii="Calibri" w:hAnsi="Calibri"/>
                <w:color w:val="000000"/>
                <w:sz w:val="18"/>
              </w:rPr>
            </w:pPr>
            <w:r>
              <w:rPr>
                <w:rFonts w:ascii="Calibri" w:hAnsi="Calibri"/>
                <w:color w:val="000000"/>
                <w:sz w:val="18"/>
              </w:rPr>
              <w:t>Q.</w:t>
            </w:r>
            <w:r w:rsidRPr="00A12C7A">
              <w:rPr>
                <w:rFonts w:ascii="Calibri" w:hAnsi="Calibri"/>
                <w:color w:val="000000"/>
                <w:sz w:val="18"/>
              </w:rPr>
              <w:t>24,187,254</w:t>
            </w:r>
          </w:p>
        </w:tc>
        <w:tc>
          <w:tcPr>
            <w:tcW w:w="1223" w:type="dxa"/>
            <w:vAlign w:val="center"/>
          </w:tcPr>
          <w:p w:rsidR="00A12C7A" w:rsidRPr="00A12C7A" w:rsidRDefault="00A12C7A" w:rsidP="00A12C7A">
            <w:pPr>
              <w:jc w:val="center"/>
              <w:rPr>
                <w:rFonts w:ascii="Calibri" w:hAnsi="Calibri"/>
                <w:color w:val="000000"/>
                <w:sz w:val="18"/>
              </w:rPr>
            </w:pPr>
            <w:r>
              <w:rPr>
                <w:rFonts w:ascii="Calibri" w:hAnsi="Calibri"/>
                <w:color w:val="000000"/>
                <w:sz w:val="18"/>
              </w:rPr>
              <w:t>Q.</w:t>
            </w:r>
            <w:r w:rsidRPr="00A12C7A">
              <w:rPr>
                <w:rFonts w:ascii="Calibri" w:hAnsi="Calibri"/>
                <w:color w:val="000000"/>
                <w:sz w:val="18"/>
              </w:rPr>
              <w:t>29,187,254</w:t>
            </w:r>
          </w:p>
        </w:tc>
        <w:tc>
          <w:tcPr>
            <w:tcW w:w="1223" w:type="dxa"/>
            <w:vAlign w:val="center"/>
          </w:tcPr>
          <w:p w:rsidR="00A12C7A" w:rsidRPr="00A12C7A" w:rsidRDefault="00A12C7A" w:rsidP="00A12C7A">
            <w:pPr>
              <w:jc w:val="center"/>
              <w:rPr>
                <w:rFonts w:ascii="Calibri" w:hAnsi="Calibri"/>
                <w:color w:val="000000"/>
                <w:sz w:val="18"/>
              </w:rPr>
            </w:pPr>
            <w:r>
              <w:rPr>
                <w:rFonts w:ascii="Calibri" w:hAnsi="Calibri"/>
                <w:color w:val="000000"/>
                <w:sz w:val="18"/>
              </w:rPr>
              <w:t>Q.</w:t>
            </w:r>
            <w:r w:rsidRPr="00A12C7A">
              <w:rPr>
                <w:rFonts w:ascii="Calibri" w:hAnsi="Calibri"/>
                <w:color w:val="000000"/>
                <w:sz w:val="18"/>
              </w:rPr>
              <w:t>34,187,254</w:t>
            </w:r>
          </w:p>
        </w:tc>
        <w:tc>
          <w:tcPr>
            <w:tcW w:w="1223" w:type="dxa"/>
            <w:vAlign w:val="center"/>
          </w:tcPr>
          <w:p w:rsidR="00A12C7A" w:rsidRPr="00A12C7A" w:rsidRDefault="00A12C7A" w:rsidP="00A12C7A">
            <w:pPr>
              <w:jc w:val="center"/>
              <w:rPr>
                <w:rFonts w:ascii="Calibri" w:hAnsi="Calibri"/>
                <w:color w:val="000000"/>
                <w:sz w:val="18"/>
              </w:rPr>
            </w:pPr>
            <w:r>
              <w:rPr>
                <w:rFonts w:ascii="Calibri" w:hAnsi="Calibri"/>
                <w:color w:val="000000"/>
                <w:sz w:val="18"/>
              </w:rPr>
              <w:t>Q.</w:t>
            </w:r>
            <w:r w:rsidRPr="00A12C7A">
              <w:rPr>
                <w:rFonts w:ascii="Calibri" w:hAnsi="Calibri"/>
                <w:color w:val="000000"/>
                <w:sz w:val="18"/>
              </w:rPr>
              <w:t>37,605,979</w:t>
            </w:r>
          </w:p>
        </w:tc>
        <w:tc>
          <w:tcPr>
            <w:tcW w:w="1223" w:type="dxa"/>
            <w:vAlign w:val="center"/>
          </w:tcPr>
          <w:p w:rsidR="00A12C7A" w:rsidRPr="00A12C7A" w:rsidRDefault="00A12C7A" w:rsidP="00A12C7A">
            <w:pPr>
              <w:jc w:val="center"/>
              <w:rPr>
                <w:rFonts w:ascii="Calibri" w:hAnsi="Calibri"/>
                <w:color w:val="000000"/>
                <w:sz w:val="18"/>
              </w:rPr>
            </w:pPr>
            <w:r>
              <w:rPr>
                <w:rFonts w:ascii="Calibri" w:hAnsi="Calibri"/>
                <w:color w:val="000000"/>
                <w:sz w:val="18"/>
              </w:rPr>
              <w:t>Q.</w:t>
            </w:r>
            <w:r w:rsidRPr="00A12C7A">
              <w:rPr>
                <w:rFonts w:ascii="Calibri" w:hAnsi="Calibri"/>
                <w:color w:val="000000"/>
                <w:sz w:val="18"/>
              </w:rPr>
              <w:t>41,366,577</w:t>
            </w:r>
          </w:p>
        </w:tc>
      </w:tr>
      <w:tr w:rsidR="00A12C7A" w:rsidTr="00A12C7A">
        <w:trPr>
          <w:trHeight w:val="376"/>
        </w:trPr>
        <w:tc>
          <w:tcPr>
            <w:tcW w:w="1721" w:type="dxa"/>
            <w:shd w:val="clear" w:color="auto" w:fill="B8CCE4" w:themeFill="accent1" w:themeFillTint="66"/>
          </w:tcPr>
          <w:p w:rsidR="00A12C7A" w:rsidRDefault="00A12C7A" w:rsidP="0075044F">
            <w:pPr>
              <w:spacing w:after="0" w:line="240" w:lineRule="auto"/>
              <w:jc w:val="center"/>
              <w:rPr>
                <w:b/>
                <w:sz w:val="28"/>
                <w:szCs w:val="24"/>
              </w:rPr>
            </w:pPr>
            <w:r>
              <w:rPr>
                <w:b/>
                <w:sz w:val="28"/>
                <w:szCs w:val="24"/>
              </w:rPr>
              <w:t xml:space="preserve">% de variación </w:t>
            </w:r>
          </w:p>
        </w:tc>
        <w:tc>
          <w:tcPr>
            <w:tcW w:w="1218" w:type="dxa"/>
            <w:vAlign w:val="center"/>
          </w:tcPr>
          <w:p w:rsidR="00A12C7A" w:rsidRPr="00A12C7A" w:rsidRDefault="00A12C7A" w:rsidP="00A12C7A">
            <w:pPr>
              <w:jc w:val="center"/>
              <w:rPr>
                <w:rFonts w:ascii="Calibri" w:hAnsi="Calibri"/>
                <w:color w:val="000000"/>
                <w:sz w:val="18"/>
              </w:rPr>
            </w:pPr>
            <w:r w:rsidRPr="00A12C7A">
              <w:rPr>
                <w:rFonts w:ascii="Calibri" w:hAnsi="Calibri"/>
                <w:color w:val="000000"/>
                <w:sz w:val="18"/>
              </w:rPr>
              <w:t>N/A</w:t>
            </w:r>
          </w:p>
        </w:tc>
        <w:tc>
          <w:tcPr>
            <w:tcW w:w="1223" w:type="dxa"/>
            <w:vAlign w:val="center"/>
          </w:tcPr>
          <w:p w:rsidR="00A12C7A" w:rsidRPr="00A12C7A" w:rsidRDefault="00A12C7A" w:rsidP="00A12C7A">
            <w:pPr>
              <w:jc w:val="center"/>
              <w:rPr>
                <w:rFonts w:ascii="Calibri" w:hAnsi="Calibri"/>
                <w:color w:val="000000"/>
                <w:sz w:val="18"/>
              </w:rPr>
            </w:pPr>
            <w:r w:rsidRPr="00A12C7A">
              <w:rPr>
                <w:rFonts w:ascii="Calibri" w:hAnsi="Calibri"/>
                <w:color w:val="000000"/>
                <w:sz w:val="18"/>
              </w:rPr>
              <w:t>26.06</w:t>
            </w:r>
          </w:p>
        </w:tc>
        <w:tc>
          <w:tcPr>
            <w:tcW w:w="1223" w:type="dxa"/>
            <w:vAlign w:val="center"/>
          </w:tcPr>
          <w:p w:rsidR="00A12C7A" w:rsidRPr="00A12C7A" w:rsidRDefault="00A12C7A" w:rsidP="00A12C7A">
            <w:pPr>
              <w:jc w:val="center"/>
              <w:rPr>
                <w:rFonts w:ascii="Calibri" w:hAnsi="Calibri"/>
                <w:color w:val="000000"/>
                <w:sz w:val="18"/>
              </w:rPr>
            </w:pPr>
            <w:r w:rsidRPr="00A12C7A">
              <w:rPr>
                <w:rFonts w:ascii="Calibri" w:hAnsi="Calibri"/>
                <w:color w:val="000000"/>
                <w:sz w:val="18"/>
              </w:rPr>
              <w:t>20.67</w:t>
            </w:r>
          </w:p>
        </w:tc>
        <w:tc>
          <w:tcPr>
            <w:tcW w:w="1223" w:type="dxa"/>
            <w:vAlign w:val="center"/>
          </w:tcPr>
          <w:p w:rsidR="00A12C7A" w:rsidRPr="00A12C7A" w:rsidRDefault="00A12C7A" w:rsidP="00A12C7A">
            <w:pPr>
              <w:jc w:val="center"/>
              <w:rPr>
                <w:rFonts w:ascii="Calibri" w:hAnsi="Calibri"/>
                <w:color w:val="000000"/>
                <w:sz w:val="18"/>
              </w:rPr>
            </w:pPr>
            <w:r w:rsidRPr="00A12C7A">
              <w:rPr>
                <w:rFonts w:ascii="Calibri" w:hAnsi="Calibri"/>
                <w:color w:val="000000"/>
                <w:sz w:val="18"/>
              </w:rPr>
              <w:t>17.13</w:t>
            </w:r>
          </w:p>
        </w:tc>
        <w:tc>
          <w:tcPr>
            <w:tcW w:w="1223" w:type="dxa"/>
            <w:vAlign w:val="center"/>
          </w:tcPr>
          <w:p w:rsidR="00A12C7A" w:rsidRPr="00A12C7A" w:rsidRDefault="00A12C7A" w:rsidP="00A12C7A">
            <w:pPr>
              <w:jc w:val="center"/>
              <w:rPr>
                <w:rFonts w:ascii="Calibri" w:hAnsi="Calibri"/>
                <w:color w:val="000000"/>
                <w:sz w:val="18"/>
              </w:rPr>
            </w:pPr>
            <w:r w:rsidRPr="00A12C7A">
              <w:rPr>
                <w:rFonts w:ascii="Calibri" w:hAnsi="Calibri"/>
                <w:color w:val="000000"/>
                <w:sz w:val="18"/>
              </w:rPr>
              <w:t>10.00</w:t>
            </w:r>
          </w:p>
        </w:tc>
        <w:tc>
          <w:tcPr>
            <w:tcW w:w="1223" w:type="dxa"/>
            <w:vAlign w:val="center"/>
          </w:tcPr>
          <w:p w:rsidR="00A12C7A" w:rsidRPr="00A12C7A" w:rsidRDefault="00A12C7A" w:rsidP="00A12C7A">
            <w:pPr>
              <w:jc w:val="center"/>
              <w:rPr>
                <w:rFonts w:ascii="Calibri" w:hAnsi="Calibri"/>
                <w:color w:val="000000"/>
                <w:sz w:val="18"/>
              </w:rPr>
            </w:pPr>
            <w:r w:rsidRPr="00A12C7A">
              <w:rPr>
                <w:rFonts w:ascii="Calibri" w:hAnsi="Calibri"/>
                <w:color w:val="000000"/>
                <w:sz w:val="18"/>
              </w:rPr>
              <w:t>10.00</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A12C7A" w:rsidP="005610B6">
                            <w:pPr>
                              <w:jc w:val="center"/>
                            </w:pPr>
                            <w:r>
                              <w:rPr>
                                <w:noProof/>
                                <w:lang w:eastAsia="es-GT"/>
                              </w:rPr>
                              <w:drawing>
                                <wp:inline distT="0" distB="0" distL="0" distR="0" wp14:anchorId="415D2199" wp14:editId="7983F082">
                                  <wp:extent cx="4700905" cy="2502515"/>
                                  <wp:effectExtent l="0" t="0" r="2349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75044F" w:rsidRDefault="00A12C7A" w:rsidP="005610B6">
                      <w:pPr>
                        <w:jc w:val="center"/>
                      </w:pPr>
                      <w:r>
                        <w:rPr>
                          <w:noProof/>
                          <w:lang w:eastAsia="es-GT"/>
                        </w:rPr>
                        <w:drawing>
                          <wp:inline distT="0" distB="0" distL="0" distR="0" wp14:anchorId="415D2199" wp14:editId="7983F082">
                            <wp:extent cx="4700905" cy="2502515"/>
                            <wp:effectExtent l="0" t="0" r="2349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5610B6" w:rsidRDefault="005610B6" w:rsidP="005610B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5610B6" w:rsidRPr="009316AF" w:rsidTr="00147C06">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PRINCIPALES PROGRAMAS</w:t>
            </w:r>
          </w:p>
        </w:tc>
      </w:tr>
      <w:tr w:rsidR="005610B6" w:rsidTr="00C848EA">
        <w:trPr>
          <w:trHeight w:val="323"/>
        </w:trPr>
        <w:tc>
          <w:tcPr>
            <w:tcW w:w="8978" w:type="dxa"/>
          </w:tcPr>
          <w:p w:rsidR="005610B6" w:rsidRDefault="005610B6" w:rsidP="0075044F">
            <w:pPr>
              <w:pStyle w:val="Prrafodelista"/>
              <w:numPr>
                <w:ilvl w:val="0"/>
                <w:numId w:val="1"/>
              </w:numPr>
              <w:spacing w:after="0"/>
              <w:jc w:val="both"/>
            </w:pPr>
            <w:r>
              <w:t xml:space="preserve"> </w:t>
            </w:r>
            <w:r w:rsidR="00A12C7A">
              <w:t xml:space="preserve">Servicios de atención a la Mujer Indígena </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147C06">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75044F">
        <w:trPr>
          <w:trHeight w:val="856"/>
        </w:trPr>
        <w:tc>
          <w:tcPr>
            <w:tcW w:w="8978" w:type="dxa"/>
          </w:tcPr>
          <w:p w:rsidR="00D46A30" w:rsidRPr="00DF3B40" w:rsidRDefault="00C848EA" w:rsidP="00DF3B40">
            <w:pPr>
              <w:pStyle w:val="Prrafodelista"/>
              <w:numPr>
                <w:ilvl w:val="0"/>
                <w:numId w:val="1"/>
              </w:numPr>
              <w:spacing w:after="0"/>
              <w:jc w:val="both"/>
            </w:pPr>
            <w:r w:rsidRPr="00DF3B40">
              <w:rPr>
                <w:lang w:val="es-ES"/>
              </w:rPr>
              <w:t>Como parte sustantiva de la DEMI, es indispensable fortalecer los servicios de atención a las Mujeres Indígenas violentadas en sus derechos; así como a la particular situación de indefensión y vulnerabilidad de las Mujeres Indígenas en Guatemala.</w:t>
            </w:r>
          </w:p>
          <w:p w:rsidR="00D46A30" w:rsidRPr="00DF3B40" w:rsidRDefault="00015A27" w:rsidP="00DF3B40">
            <w:pPr>
              <w:pStyle w:val="Prrafodelista"/>
              <w:numPr>
                <w:ilvl w:val="0"/>
                <w:numId w:val="21"/>
              </w:numPr>
            </w:pPr>
            <w:r>
              <w:t>Trabajar en l</w:t>
            </w:r>
            <w:r w:rsidR="00C848EA" w:rsidRPr="00DF3B40">
              <w:rPr>
                <w:lang w:val="es-ES"/>
              </w:rPr>
              <w:t>a prevención de la violencia por medio del empoderamiento de las Mujeres Indígenas en sus Derechos.</w:t>
            </w:r>
          </w:p>
          <w:p w:rsidR="005610B6" w:rsidRDefault="005610B6" w:rsidP="0075044F">
            <w:pPr>
              <w:pStyle w:val="Prrafodelista"/>
              <w:spacing w:after="0"/>
              <w:ind w:left="284"/>
            </w:pP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147C06">
        <w:trPr>
          <w:tblHeader/>
        </w:trPr>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lastRenderedPageBreak/>
              <w:br w:type="page"/>
            </w:r>
            <w:r w:rsidR="0093780D">
              <w:rPr>
                <w:b/>
                <w:sz w:val="32"/>
                <w:szCs w:val="24"/>
              </w:rPr>
              <w:t xml:space="preserve">APORTES Y RETROALIMENTACIÓN </w:t>
            </w:r>
          </w:p>
        </w:tc>
      </w:tr>
      <w:tr w:rsidR="0093780D" w:rsidTr="00C848EA">
        <w:trPr>
          <w:trHeight w:val="1956"/>
        </w:trPr>
        <w:tc>
          <w:tcPr>
            <w:tcW w:w="8978" w:type="dxa"/>
          </w:tcPr>
          <w:p w:rsidR="00147C06" w:rsidRPr="009A17C8" w:rsidRDefault="00147C06" w:rsidP="00796E0F">
            <w:pPr>
              <w:jc w:val="both"/>
              <w:rPr>
                <w:i/>
              </w:rPr>
            </w:pPr>
            <w:r w:rsidRPr="009A17C8">
              <w:rPr>
                <w:i/>
              </w:rPr>
              <w:t xml:space="preserve">La señora Defensora de la Mujer Indígena, comentó lo siguiente: </w:t>
            </w:r>
          </w:p>
          <w:p w:rsidR="00F00E2C" w:rsidRDefault="00147C06" w:rsidP="009A17C8">
            <w:pPr>
              <w:jc w:val="both"/>
            </w:pPr>
            <w:r w:rsidRPr="009A17C8">
              <w:rPr>
                <w:i/>
              </w:rPr>
              <w:t>A</w:t>
            </w:r>
            <w:r w:rsidR="00DF3B40" w:rsidRPr="009A17C8">
              <w:rPr>
                <w:i/>
              </w:rPr>
              <w:t>gradezco este espac</w:t>
            </w:r>
            <w:r w:rsidRPr="009A17C8">
              <w:rPr>
                <w:i/>
              </w:rPr>
              <w:t>io y felicito</w:t>
            </w:r>
            <w:r w:rsidR="00DF3B40" w:rsidRPr="009A17C8">
              <w:rPr>
                <w:i/>
              </w:rPr>
              <w:t xml:space="preserve"> al Ministerio de </w:t>
            </w:r>
            <w:r w:rsidRPr="009A17C8">
              <w:rPr>
                <w:i/>
              </w:rPr>
              <w:t>F</w:t>
            </w:r>
            <w:r w:rsidR="00DF3B40" w:rsidRPr="009A17C8">
              <w:rPr>
                <w:i/>
              </w:rPr>
              <w:t>inanzas</w:t>
            </w:r>
            <w:r w:rsidRPr="009A17C8">
              <w:rPr>
                <w:i/>
              </w:rPr>
              <w:t xml:space="preserve"> Públicas</w:t>
            </w:r>
            <w:r w:rsidR="009A17C8">
              <w:rPr>
                <w:i/>
              </w:rPr>
              <w:t xml:space="preserve">, </w:t>
            </w:r>
            <w:r w:rsidRPr="009A17C8">
              <w:rPr>
                <w:i/>
              </w:rPr>
              <w:t xml:space="preserve">por el ejercicio que fortalece la </w:t>
            </w:r>
            <w:r w:rsidR="00DF3B40" w:rsidRPr="009A17C8">
              <w:rPr>
                <w:i/>
              </w:rPr>
              <w:t xml:space="preserve"> transparencia </w:t>
            </w:r>
            <w:r w:rsidR="00796E0F" w:rsidRPr="009A17C8">
              <w:rPr>
                <w:i/>
              </w:rPr>
              <w:t>y visibiliza e</w:t>
            </w:r>
            <w:r w:rsidRPr="009A17C8">
              <w:rPr>
                <w:i/>
              </w:rPr>
              <w:t>l actuar d</w:t>
            </w:r>
            <w:r w:rsidR="009A17C8">
              <w:rPr>
                <w:i/>
              </w:rPr>
              <w:t xml:space="preserve">el gobierno, </w:t>
            </w:r>
            <w:r w:rsidR="00DF3B40" w:rsidRPr="009A17C8">
              <w:rPr>
                <w:i/>
              </w:rPr>
              <w:t>creo que también es</w:t>
            </w:r>
            <w:r w:rsidRPr="009A17C8">
              <w:rPr>
                <w:i/>
              </w:rPr>
              <w:t xml:space="preserve"> pa</w:t>
            </w:r>
            <w:r w:rsidR="00DF3B40" w:rsidRPr="009A17C8">
              <w:rPr>
                <w:i/>
              </w:rPr>
              <w:t xml:space="preserve">ra que la población conozca </w:t>
            </w:r>
            <w:r w:rsidRPr="009A17C8">
              <w:rPr>
                <w:i/>
              </w:rPr>
              <w:t>cómo</w:t>
            </w:r>
            <w:r w:rsidR="00DF3B40" w:rsidRPr="009A17C8">
              <w:rPr>
                <w:i/>
              </w:rPr>
              <w:t xml:space="preserve"> se ejecuta el presupuesto y cuáles son nuestras demandas como institución con enfoque de pueblos indígenas</w:t>
            </w:r>
            <w:r w:rsidR="009A17C8">
              <w:rPr>
                <w:i/>
              </w:rPr>
              <w:t>,</w:t>
            </w:r>
            <w:r w:rsidR="00DF3B40" w:rsidRPr="009A17C8">
              <w:rPr>
                <w:i/>
              </w:rPr>
              <w:t xml:space="preserve"> </w:t>
            </w:r>
            <w:r w:rsidR="009A17C8">
              <w:rPr>
                <w:i/>
              </w:rPr>
              <w:t xml:space="preserve">es necesario invertir en </w:t>
            </w:r>
            <w:r w:rsidR="00DF3B40" w:rsidRPr="009A17C8">
              <w:rPr>
                <w:i/>
              </w:rPr>
              <w:t xml:space="preserve">las mujeres indígenas </w:t>
            </w:r>
            <w:r w:rsidRPr="009A17C8">
              <w:rPr>
                <w:i/>
              </w:rPr>
              <w:t>y</w:t>
            </w:r>
            <w:r w:rsidR="009A17C8">
              <w:rPr>
                <w:i/>
              </w:rPr>
              <w:t xml:space="preserve"> las mujeres de las diferentes etnias </w:t>
            </w:r>
            <w:r w:rsidRPr="009A17C8">
              <w:rPr>
                <w:i/>
              </w:rPr>
              <w:t>que conforman Guatemala</w:t>
            </w:r>
            <w:r w:rsidR="00C848EA" w:rsidRPr="009A17C8">
              <w:rPr>
                <w:i/>
              </w:rPr>
              <w:t>.</w:t>
            </w:r>
            <w:r w:rsidR="00C848EA">
              <w:t xml:space="preserve"> </w:t>
            </w:r>
            <w:r>
              <w:t xml:space="preserve"> </w:t>
            </w:r>
          </w:p>
        </w:tc>
      </w:tr>
    </w:tbl>
    <w:p w:rsidR="0093780D" w:rsidRDefault="0093780D" w:rsidP="00906836">
      <w:pPr>
        <w:jc w:val="center"/>
      </w:pPr>
    </w:p>
    <w:sectPr w:rsidR="0093780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CE" w:rsidRDefault="00681ACE" w:rsidP="007A1FB0">
      <w:pPr>
        <w:spacing w:after="0" w:line="240" w:lineRule="auto"/>
      </w:pPr>
      <w:r>
        <w:separator/>
      </w:r>
    </w:p>
  </w:endnote>
  <w:endnote w:type="continuationSeparator" w:id="0">
    <w:p w:rsidR="00681ACE" w:rsidRDefault="00681ACE" w:rsidP="007A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B0" w:rsidRDefault="007A1F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B0" w:rsidRDefault="007A1F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B0" w:rsidRDefault="007A1F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CE" w:rsidRDefault="00681ACE" w:rsidP="007A1FB0">
      <w:pPr>
        <w:spacing w:after="0" w:line="240" w:lineRule="auto"/>
      </w:pPr>
      <w:r>
        <w:separator/>
      </w:r>
    </w:p>
  </w:footnote>
  <w:footnote w:type="continuationSeparator" w:id="0">
    <w:p w:rsidR="00681ACE" w:rsidRDefault="00681ACE" w:rsidP="007A1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B0" w:rsidRDefault="007A1F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B0" w:rsidRDefault="007A1FB0">
    <w:pPr>
      <w:pStyle w:val="Encabezado"/>
    </w:pPr>
    <w:r>
      <w:rPr>
        <w:noProof/>
        <w:lang w:eastAsia="es-GT"/>
      </w:rPr>
      <w:drawing>
        <wp:inline distT="0" distB="0" distL="0" distR="0" wp14:anchorId="4C7475F9" wp14:editId="3CCB63DB">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B0" w:rsidRDefault="007A1F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5DAC4FE5"/>
    <w:multiLevelType w:val="hybridMultilevel"/>
    <w:tmpl w:val="6E2ADD2C"/>
    <w:lvl w:ilvl="0" w:tplc="70585DB8">
      <w:start w:val="1"/>
      <w:numFmt w:val="bullet"/>
      <w:lvlText w:val="•"/>
      <w:lvlJc w:val="left"/>
      <w:pPr>
        <w:tabs>
          <w:tab w:val="num" w:pos="720"/>
        </w:tabs>
        <w:ind w:left="720" w:hanging="360"/>
      </w:pPr>
      <w:rPr>
        <w:rFonts w:ascii="Times New Roman" w:hAnsi="Times New Roman" w:hint="default"/>
        <w:sz w:val="32"/>
      </w:rPr>
    </w:lvl>
    <w:lvl w:ilvl="1" w:tplc="7E342B10" w:tentative="1">
      <w:start w:val="1"/>
      <w:numFmt w:val="bullet"/>
      <w:lvlText w:val="•"/>
      <w:lvlJc w:val="left"/>
      <w:pPr>
        <w:tabs>
          <w:tab w:val="num" w:pos="1440"/>
        </w:tabs>
        <w:ind w:left="1440" w:hanging="360"/>
      </w:pPr>
      <w:rPr>
        <w:rFonts w:ascii="Times New Roman" w:hAnsi="Times New Roman" w:hint="default"/>
      </w:rPr>
    </w:lvl>
    <w:lvl w:ilvl="2" w:tplc="90381DD6" w:tentative="1">
      <w:start w:val="1"/>
      <w:numFmt w:val="bullet"/>
      <w:lvlText w:val="•"/>
      <w:lvlJc w:val="left"/>
      <w:pPr>
        <w:tabs>
          <w:tab w:val="num" w:pos="2160"/>
        </w:tabs>
        <w:ind w:left="2160" w:hanging="360"/>
      </w:pPr>
      <w:rPr>
        <w:rFonts w:ascii="Times New Roman" w:hAnsi="Times New Roman" w:hint="default"/>
      </w:rPr>
    </w:lvl>
    <w:lvl w:ilvl="3" w:tplc="DF545140" w:tentative="1">
      <w:start w:val="1"/>
      <w:numFmt w:val="bullet"/>
      <w:lvlText w:val="•"/>
      <w:lvlJc w:val="left"/>
      <w:pPr>
        <w:tabs>
          <w:tab w:val="num" w:pos="2880"/>
        </w:tabs>
        <w:ind w:left="2880" w:hanging="360"/>
      </w:pPr>
      <w:rPr>
        <w:rFonts w:ascii="Times New Roman" w:hAnsi="Times New Roman" w:hint="default"/>
      </w:rPr>
    </w:lvl>
    <w:lvl w:ilvl="4" w:tplc="53647502" w:tentative="1">
      <w:start w:val="1"/>
      <w:numFmt w:val="bullet"/>
      <w:lvlText w:val="•"/>
      <w:lvlJc w:val="left"/>
      <w:pPr>
        <w:tabs>
          <w:tab w:val="num" w:pos="3600"/>
        </w:tabs>
        <w:ind w:left="3600" w:hanging="360"/>
      </w:pPr>
      <w:rPr>
        <w:rFonts w:ascii="Times New Roman" w:hAnsi="Times New Roman" w:hint="default"/>
      </w:rPr>
    </w:lvl>
    <w:lvl w:ilvl="5" w:tplc="71543A5C" w:tentative="1">
      <w:start w:val="1"/>
      <w:numFmt w:val="bullet"/>
      <w:lvlText w:val="•"/>
      <w:lvlJc w:val="left"/>
      <w:pPr>
        <w:tabs>
          <w:tab w:val="num" w:pos="4320"/>
        </w:tabs>
        <w:ind w:left="4320" w:hanging="360"/>
      </w:pPr>
      <w:rPr>
        <w:rFonts w:ascii="Times New Roman" w:hAnsi="Times New Roman" w:hint="default"/>
      </w:rPr>
    </w:lvl>
    <w:lvl w:ilvl="6" w:tplc="5582C8AC" w:tentative="1">
      <w:start w:val="1"/>
      <w:numFmt w:val="bullet"/>
      <w:lvlText w:val="•"/>
      <w:lvlJc w:val="left"/>
      <w:pPr>
        <w:tabs>
          <w:tab w:val="num" w:pos="5040"/>
        </w:tabs>
        <w:ind w:left="5040" w:hanging="360"/>
      </w:pPr>
      <w:rPr>
        <w:rFonts w:ascii="Times New Roman" w:hAnsi="Times New Roman" w:hint="default"/>
      </w:rPr>
    </w:lvl>
    <w:lvl w:ilvl="7" w:tplc="19E48EE8" w:tentative="1">
      <w:start w:val="1"/>
      <w:numFmt w:val="bullet"/>
      <w:lvlText w:val="•"/>
      <w:lvlJc w:val="left"/>
      <w:pPr>
        <w:tabs>
          <w:tab w:val="num" w:pos="5760"/>
        </w:tabs>
        <w:ind w:left="5760" w:hanging="360"/>
      </w:pPr>
      <w:rPr>
        <w:rFonts w:ascii="Times New Roman" w:hAnsi="Times New Roman" w:hint="default"/>
      </w:rPr>
    </w:lvl>
    <w:lvl w:ilvl="8" w:tplc="C87A9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4"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6"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0D38E5"/>
    <w:multiLevelType w:val="hybridMultilevel"/>
    <w:tmpl w:val="0CDCD96A"/>
    <w:lvl w:ilvl="0" w:tplc="96026E46">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18"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7B397A27"/>
    <w:multiLevelType w:val="hybridMultilevel"/>
    <w:tmpl w:val="0150A240"/>
    <w:lvl w:ilvl="0" w:tplc="044C14D6">
      <w:start w:val="1"/>
      <w:numFmt w:val="bullet"/>
      <w:lvlText w:val="•"/>
      <w:lvlJc w:val="left"/>
      <w:pPr>
        <w:tabs>
          <w:tab w:val="num" w:pos="720"/>
        </w:tabs>
        <w:ind w:left="720" w:hanging="360"/>
      </w:pPr>
      <w:rPr>
        <w:rFonts w:ascii="Arial" w:hAnsi="Arial" w:hint="default"/>
      </w:rPr>
    </w:lvl>
    <w:lvl w:ilvl="1" w:tplc="9BA6B400" w:tentative="1">
      <w:start w:val="1"/>
      <w:numFmt w:val="bullet"/>
      <w:lvlText w:val="•"/>
      <w:lvlJc w:val="left"/>
      <w:pPr>
        <w:tabs>
          <w:tab w:val="num" w:pos="1440"/>
        </w:tabs>
        <w:ind w:left="1440" w:hanging="360"/>
      </w:pPr>
      <w:rPr>
        <w:rFonts w:ascii="Arial" w:hAnsi="Arial" w:hint="default"/>
      </w:rPr>
    </w:lvl>
    <w:lvl w:ilvl="2" w:tplc="F9B09834" w:tentative="1">
      <w:start w:val="1"/>
      <w:numFmt w:val="bullet"/>
      <w:lvlText w:val="•"/>
      <w:lvlJc w:val="left"/>
      <w:pPr>
        <w:tabs>
          <w:tab w:val="num" w:pos="2160"/>
        </w:tabs>
        <w:ind w:left="2160" w:hanging="360"/>
      </w:pPr>
      <w:rPr>
        <w:rFonts w:ascii="Arial" w:hAnsi="Arial" w:hint="default"/>
      </w:rPr>
    </w:lvl>
    <w:lvl w:ilvl="3" w:tplc="999EBFDA" w:tentative="1">
      <w:start w:val="1"/>
      <w:numFmt w:val="bullet"/>
      <w:lvlText w:val="•"/>
      <w:lvlJc w:val="left"/>
      <w:pPr>
        <w:tabs>
          <w:tab w:val="num" w:pos="2880"/>
        </w:tabs>
        <w:ind w:left="2880" w:hanging="360"/>
      </w:pPr>
      <w:rPr>
        <w:rFonts w:ascii="Arial" w:hAnsi="Arial" w:hint="default"/>
      </w:rPr>
    </w:lvl>
    <w:lvl w:ilvl="4" w:tplc="892853AA" w:tentative="1">
      <w:start w:val="1"/>
      <w:numFmt w:val="bullet"/>
      <w:lvlText w:val="•"/>
      <w:lvlJc w:val="left"/>
      <w:pPr>
        <w:tabs>
          <w:tab w:val="num" w:pos="3600"/>
        </w:tabs>
        <w:ind w:left="3600" w:hanging="360"/>
      </w:pPr>
      <w:rPr>
        <w:rFonts w:ascii="Arial" w:hAnsi="Arial" w:hint="default"/>
      </w:rPr>
    </w:lvl>
    <w:lvl w:ilvl="5" w:tplc="F6ACEC80" w:tentative="1">
      <w:start w:val="1"/>
      <w:numFmt w:val="bullet"/>
      <w:lvlText w:val="•"/>
      <w:lvlJc w:val="left"/>
      <w:pPr>
        <w:tabs>
          <w:tab w:val="num" w:pos="4320"/>
        </w:tabs>
        <w:ind w:left="4320" w:hanging="360"/>
      </w:pPr>
      <w:rPr>
        <w:rFonts w:ascii="Arial" w:hAnsi="Arial" w:hint="default"/>
      </w:rPr>
    </w:lvl>
    <w:lvl w:ilvl="6" w:tplc="999EA69A" w:tentative="1">
      <w:start w:val="1"/>
      <w:numFmt w:val="bullet"/>
      <w:lvlText w:val="•"/>
      <w:lvlJc w:val="left"/>
      <w:pPr>
        <w:tabs>
          <w:tab w:val="num" w:pos="5040"/>
        </w:tabs>
        <w:ind w:left="5040" w:hanging="360"/>
      </w:pPr>
      <w:rPr>
        <w:rFonts w:ascii="Arial" w:hAnsi="Arial" w:hint="default"/>
      </w:rPr>
    </w:lvl>
    <w:lvl w:ilvl="7" w:tplc="F0EC24E4" w:tentative="1">
      <w:start w:val="1"/>
      <w:numFmt w:val="bullet"/>
      <w:lvlText w:val="•"/>
      <w:lvlJc w:val="left"/>
      <w:pPr>
        <w:tabs>
          <w:tab w:val="num" w:pos="5760"/>
        </w:tabs>
        <w:ind w:left="5760" w:hanging="360"/>
      </w:pPr>
      <w:rPr>
        <w:rFonts w:ascii="Arial" w:hAnsi="Arial" w:hint="default"/>
      </w:rPr>
    </w:lvl>
    <w:lvl w:ilvl="8" w:tplc="B89266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13"/>
  </w:num>
  <w:num w:numId="4">
    <w:abstractNumId w:val="8"/>
  </w:num>
  <w:num w:numId="5">
    <w:abstractNumId w:val="6"/>
  </w:num>
  <w:num w:numId="6">
    <w:abstractNumId w:val="2"/>
  </w:num>
  <w:num w:numId="7">
    <w:abstractNumId w:val="21"/>
  </w:num>
  <w:num w:numId="8">
    <w:abstractNumId w:val="14"/>
  </w:num>
  <w:num w:numId="9">
    <w:abstractNumId w:val="1"/>
  </w:num>
  <w:num w:numId="10">
    <w:abstractNumId w:val="3"/>
  </w:num>
  <w:num w:numId="11">
    <w:abstractNumId w:val="5"/>
  </w:num>
  <w:num w:numId="12">
    <w:abstractNumId w:val="18"/>
  </w:num>
  <w:num w:numId="13">
    <w:abstractNumId w:val="4"/>
  </w:num>
  <w:num w:numId="14">
    <w:abstractNumId w:val="16"/>
  </w:num>
  <w:num w:numId="15">
    <w:abstractNumId w:val="10"/>
  </w:num>
  <w:num w:numId="16">
    <w:abstractNumId w:val="19"/>
  </w:num>
  <w:num w:numId="17">
    <w:abstractNumId w:val="11"/>
  </w:num>
  <w:num w:numId="18">
    <w:abstractNumId w:val="9"/>
  </w:num>
  <w:num w:numId="19">
    <w:abstractNumId w:val="15"/>
  </w:num>
  <w:num w:numId="20">
    <w:abstractNumId w:val="1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7CA7"/>
    <w:rsid w:val="00015A27"/>
    <w:rsid w:val="000167C9"/>
    <w:rsid w:val="00026352"/>
    <w:rsid w:val="0006296D"/>
    <w:rsid w:val="00071451"/>
    <w:rsid w:val="00076C94"/>
    <w:rsid w:val="00077A54"/>
    <w:rsid w:val="00083E62"/>
    <w:rsid w:val="000911CB"/>
    <w:rsid w:val="00091219"/>
    <w:rsid w:val="000A7162"/>
    <w:rsid w:val="000E040D"/>
    <w:rsid w:val="000E3161"/>
    <w:rsid w:val="000F31CE"/>
    <w:rsid w:val="00102EC7"/>
    <w:rsid w:val="001037DB"/>
    <w:rsid w:val="00114000"/>
    <w:rsid w:val="001148DD"/>
    <w:rsid w:val="00133F9C"/>
    <w:rsid w:val="0013525E"/>
    <w:rsid w:val="00146824"/>
    <w:rsid w:val="00147C06"/>
    <w:rsid w:val="0015670C"/>
    <w:rsid w:val="00167D5D"/>
    <w:rsid w:val="00193825"/>
    <w:rsid w:val="001943E8"/>
    <w:rsid w:val="001E7CC0"/>
    <w:rsid w:val="002048D4"/>
    <w:rsid w:val="00207041"/>
    <w:rsid w:val="0022326E"/>
    <w:rsid w:val="00224422"/>
    <w:rsid w:val="00225BCD"/>
    <w:rsid w:val="00235DBE"/>
    <w:rsid w:val="0025386F"/>
    <w:rsid w:val="00254A75"/>
    <w:rsid w:val="0028336B"/>
    <w:rsid w:val="0029279C"/>
    <w:rsid w:val="002A1871"/>
    <w:rsid w:val="002A36D8"/>
    <w:rsid w:val="002A78C2"/>
    <w:rsid w:val="002C103F"/>
    <w:rsid w:val="002F0205"/>
    <w:rsid w:val="002F5AE0"/>
    <w:rsid w:val="003040EB"/>
    <w:rsid w:val="00316D7E"/>
    <w:rsid w:val="00322787"/>
    <w:rsid w:val="0033105E"/>
    <w:rsid w:val="00343118"/>
    <w:rsid w:val="00357915"/>
    <w:rsid w:val="00364170"/>
    <w:rsid w:val="00371048"/>
    <w:rsid w:val="003750B8"/>
    <w:rsid w:val="00381968"/>
    <w:rsid w:val="003921E7"/>
    <w:rsid w:val="0039666C"/>
    <w:rsid w:val="003B103C"/>
    <w:rsid w:val="003B7776"/>
    <w:rsid w:val="003C233E"/>
    <w:rsid w:val="003C6F50"/>
    <w:rsid w:val="003D158E"/>
    <w:rsid w:val="003D2E02"/>
    <w:rsid w:val="003D7265"/>
    <w:rsid w:val="003D74E4"/>
    <w:rsid w:val="003E1512"/>
    <w:rsid w:val="003E3239"/>
    <w:rsid w:val="003E5615"/>
    <w:rsid w:val="003E6C78"/>
    <w:rsid w:val="003F3101"/>
    <w:rsid w:val="00413155"/>
    <w:rsid w:val="00456F10"/>
    <w:rsid w:val="00460D04"/>
    <w:rsid w:val="004A4DDC"/>
    <w:rsid w:val="004C6DE1"/>
    <w:rsid w:val="004D3F76"/>
    <w:rsid w:val="004D48DA"/>
    <w:rsid w:val="004D5952"/>
    <w:rsid w:val="004D677A"/>
    <w:rsid w:val="004D7798"/>
    <w:rsid w:val="0050297F"/>
    <w:rsid w:val="00505488"/>
    <w:rsid w:val="005057C4"/>
    <w:rsid w:val="00517D09"/>
    <w:rsid w:val="00545E1B"/>
    <w:rsid w:val="00556501"/>
    <w:rsid w:val="00557DCC"/>
    <w:rsid w:val="005610B6"/>
    <w:rsid w:val="005633FF"/>
    <w:rsid w:val="0057572E"/>
    <w:rsid w:val="005A4B4B"/>
    <w:rsid w:val="005C114D"/>
    <w:rsid w:val="005C4A01"/>
    <w:rsid w:val="005D1E6B"/>
    <w:rsid w:val="005E18C3"/>
    <w:rsid w:val="005F2605"/>
    <w:rsid w:val="005F41D0"/>
    <w:rsid w:val="006056A1"/>
    <w:rsid w:val="006113FE"/>
    <w:rsid w:val="0062340A"/>
    <w:rsid w:val="00623AF1"/>
    <w:rsid w:val="006325A0"/>
    <w:rsid w:val="00632E2E"/>
    <w:rsid w:val="00667B61"/>
    <w:rsid w:val="00681ACE"/>
    <w:rsid w:val="006A52D1"/>
    <w:rsid w:val="006D43F3"/>
    <w:rsid w:val="007012C5"/>
    <w:rsid w:val="00702871"/>
    <w:rsid w:val="007048B6"/>
    <w:rsid w:val="007230B5"/>
    <w:rsid w:val="0072590A"/>
    <w:rsid w:val="00746C49"/>
    <w:rsid w:val="0075044F"/>
    <w:rsid w:val="007615CA"/>
    <w:rsid w:val="00767517"/>
    <w:rsid w:val="00767ADB"/>
    <w:rsid w:val="0077525B"/>
    <w:rsid w:val="00796E0F"/>
    <w:rsid w:val="007A1FB0"/>
    <w:rsid w:val="007A794A"/>
    <w:rsid w:val="007B736B"/>
    <w:rsid w:val="007C10F4"/>
    <w:rsid w:val="007C64EB"/>
    <w:rsid w:val="007E28A4"/>
    <w:rsid w:val="007F23BE"/>
    <w:rsid w:val="007F3B0E"/>
    <w:rsid w:val="007F7F20"/>
    <w:rsid w:val="008029A8"/>
    <w:rsid w:val="008178C3"/>
    <w:rsid w:val="00847225"/>
    <w:rsid w:val="0085279A"/>
    <w:rsid w:val="00855676"/>
    <w:rsid w:val="0086257E"/>
    <w:rsid w:val="0088485F"/>
    <w:rsid w:val="008A6259"/>
    <w:rsid w:val="008C2E3C"/>
    <w:rsid w:val="008E309A"/>
    <w:rsid w:val="008F1AA9"/>
    <w:rsid w:val="008F4723"/>
    <w:rsid w:val="008F5F11"/>
    <w:rsid w:val="009002C0"/>
    <w:rsid w:val="00906836"/>
    <w:rsid w:val="009170E2"/>
    <w:rsid w:val="009316AF"/>
    <w:rsid w:val="0093780D"/>
    <w:rsid w:val="00955A0C"/>
    <w:rsid w:val="00956510"/>
    <w:rsid w:val="00964E44"/>
    <w:rsid w:val="009A17C8"/>
    <w:rsid w:val="009C0F16"/>
    <w:rsid w:val="009E192F"/>
    <w:rsid w:val="009E3AF8"/>
    <w:rsid w:val="00A05FD8"/>
    <w:rsid w:val="00A12C7A"/>
    <w:rsid w:val="00A20FAF"/>
    <w:rsid w:val="00A37C13"/>
    <w:rsid w:val="00A53CE1"/>
    <w:rsid w:val="00A60476"/>
    <w:rsid w:val="00A80020"/>
    <w:rsid w:val="00A8115D"/>
    <w:rsid w:val="00A83910"/>
    <w:rsid w:val="00AA2232"/>
    <w:rsid w:val="00AD015A"/>
    <w:rsid w:val="00AD051C"/>
    <w:rsid w:val="00AE66A0"/>
    <w:rsid w:val="00B141B9"/>
    <w:rsid w:val="00B157D0"/>
    <w:rsid w:val="00B16136"/>
    <w:rsid w:val="00B45B4F"/>
    <w:rsid w:val="00B66EDB"/>
    <w:rsid w:val="00B72D5A"/>
    <w:rsid w:val="00B9108C"/>
    <w:rsid w:val="00BB7996"/>
    <w:rsid w:val="00BC576A"/>
    <w:rsid w:val="00BD5651"/>
    <w:rsid w:val="00BF1C1D"/>
    <w:rsid w:val="00C469C0"/>
    <w:rsid w:val="00C54BD4"/>
    <w:rsid w:val="00C57535"/>
    <w:rsid w:val="00C66669"/>
    <w:rsid w:val="00C671E3"/>
    <w:rsid w:val="00C848EA"/>
    <w:rsid w:val="00CA4C76"/>
    <w:rsid w:val="00CC3E38"/>
    <w:rsid w:val="00CD2838"/>
    <w:rsid w:val="00CD2B7D"/>
    <w:rsid w:val="00CE622A"/>
    <w:rsid w:val="00CF6C1A"/>
    <w:rsid w:val="00D00B5B"/>
    <w:rsid w:val="00D06BA1"/>
    <w:rsid w:val="00D12064"/>
    <w:rsid w:val="00D16437"/>
    <w:rsid w:val="00D21A00"/>
    <w:rsid w:val="00D235E8"/>
    <w:rsid w:val="00D26FF9"/>
    <w:rsid w:val="00D30D8E"/>
    <w:rsid w:val="00D3237B"/>
    <w:rsid w:val="00D42C50"/>
    <w:rsid w:val="00D46A30"/>
    <w:rsid w:val="00D5016C"/>
    <w:rsid w:val="00D92828"/>
    <w:rsid w:val="00D92B8B"/>
    <w:rsid w:val="00DA53D6"/>
    <w:rsid w:val="00DC4BCC"/>
    <w:rsid w:val="00DC55A0"/>
    <w:rsid w:val="00DE3671"/>
    <w:rsid w:val="00DF3B40"/>
    <w:rsid w:val="00E043D8"/>
    <w:rsid w:val="00E13B82"/>
    <w:rsid w:val="00E27653"/>
    <w:rsid w:val="00E30613"/>
    <w:rsid w:val="00E327E7"/>
    <w:rsid w:val="00E56883"/>
    <w:rsid w:val="00E61EAA"/>
    <w:rsid w:val="00E72C50"/>
    <w:rsid w:val="00E830FD"/>
    <w:rsid w:val="00E870B9"/>
    <w:rsid w:val="00E910CA"/>
    <w:rsid w:val="00E94F3B"/>
    <w:rsid w:val="00E95B19"/>
    <w:rsid w:val="00EB7C06"/>
    <w:rsid w:val="00EC4DFA"/>
    <w:rsid w:val="00ED6583"/>
    <w:rsid w:val="00ED74A7"/>
    <w:rsid w:val="00EF681D"/>
    <w:rsid w:val="00EF7E45"/>
    <w:rsid w:val="00F00E2C"/>
    <w:rsid w:val="00F01FAB"/>
    <w:rsid w:val="00F13B75"/>
    <w:rsid w:val="00F14A36"/>
    <w:rsid w:val="00F16E12"/>
    <w:rsid w:val="00F2476B"/>
    <w:rsid w:val="00F267F8"/>
    <w:rsid w:val="00F34BBF"/>
    <w:rsid w:val="00F433DF"/>
    <w:rsid w:val="00F95A93"/>
    <w:rsid w:val="00FB1F8D"/>
    <w:rsid w:val="00FD0EFD"/>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952F1-3F67-47CE-819A-ACAE449B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7A1F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FB0"/>
  </w:style>
  <w:style w:type="paragraph" w:styleId="Piedepgina">
    <w:name w:val="footer"/>
    <w:basedOn w:val="Normal"/>
    <w:link w:val="PiedepginaCar"/>
    <w:uiPriority w:val="99"/>
    <w:unhideWhenUsed/>
    <w:rsid w:val="007A1F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26950435">
      <w:bodyDiv w:val="1"/>
      <w:marLeft w:val="0"/>
      <w:marRight w:val="0"/>
      <w:marTop w:val="0"/>
      <w:marBottom w:val="0"/>
      <w:divBdr>
        <w:top w:val="none" w:sz="0" w:space="0" w:color="auto"/>
        <w:left w:val="none" w:sz="0" w:space="0" w:color="auto"/>
        <w:bottom w:val="none" w:sz="0" w:space="0" w:color="auto"/>
        <w:right w:val="none" w:sz="0" w:space="0" w:color="auto"/>
      </w:divBdr>
      <w:divsChild>
        <w:div w:id="453838976">
          <w:marLeft w:val="547"/>
          <w:marRight w:val="0"/>
          <w:marTop w:val="130"/>
          <w:marBottom w:val="0"/>
          <w:divBdr>
            <w:top w:val="none" w:sz="0" w:space="0" w:color="auto"/>
            <w:left w:val="none" w:sz="0" w:space="0" w:color="auto"/>
            <w:bottom w:val="none" w:sz="0" w:space="0" w:color="auto"/>
            <w:right w:val="none" w:sz="0" w:space="0" w:color="auto"/>
          </w:divBdr>
        </w:div>
        <w:div w:id="1340352448">
          <w:marLeft w:val="547"/>
          <w:marRight w:val="0"/>
          <w:marTop w:val="130"/>
          <w:marBottom w:val="0"/>
          <w:divBdr>
            <w:top w:val="none" w:sz="0" w:space="0" w:color="auto"/>
            <w:left w:val="none" w:sz="0" w:space="0" w:color="auto"/>
            <w:bottom w:val="none" w:sz="0" w:space="0" w:color="auto"/>
            <w:right w:val="none" w:sz="0" w:space="0" w:color="auto"/>
          </w:divBdr>
        </w:div>
      </w:divsChild>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699089784">
      <w:bodyDiv w:val="1"/>
      <w:marLeft w:val="0"/>
      <w:marRight w:val="0"/>
      <w:marTop w:val="0"/>
      <w:marBottom w:val="0"/>
      <w:divBdr>
        <w:top w:val="none" w:sz="0" w:space="0" w:color="auto"/>
        <w:left w:val="none" w:sz="0" w:space="0" w:color="auto"/>
        <w:bottom w:val="none" w:sz="0" w:space="0" w:color="auto"/>
        <w:right w:val="none" w:sz="0" w:space="0" w:color="auto"/>
      </w:divBdr>
      <w:divsChild>
        <w:div w:id="1611935268">
          <w:marLeft w:val="144"/>
          <w:marRight w:val="0"/>
          <w:marTop w:val="0"/>
          <w:marBottom w:val="0"/>
          <w:divBdr>
            <w:top w:val="none" w:sz="0" w:space="0" w:color="auto"/>
            <w:left w:val="none" w:sz="0" w:space="0" w:color="auto"/>
            <w:bottom w:val="none" w:sz="0" w:space="0" w:color="auto"/>
            <w:right w:val="none" w:sz="0" w:space="0" w:color="auto"/>
          </w:divBdr>
        </w:div>
        <w:div w:id="1801485702">
          <w:marLeft w:val="144"/>
          <w:marRight w:val="0"/>
          <w:marTop w:val="0"/>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DEFENSORÍA</a:t>
            </a:r>
            <a:r>
              <a:rPr lang="en-US" baseline="0"/>
              <a:t> DE LA MUJER INDÍGENA</a:t>
            </a:r>
            <a:endParaRPr lang="en-US"/>
          </a:p>
        </c:rich>
      </c:tx>
      <c:overlay val="0"/>
    </c:title>
    <c:autoTitleDeleted val="0"/>
    <c:plotArea>
      <c:layout/>
      <c:barChart>
        <c:barDir val="col"/>
        <c:grouping val="clustered"/>
        <c:varyColors val="0"/>
        <c:ser>
          <c:idx val="0"/>
          <c:order val="0"/>
          <c:tx>
            <c:strRef>
              <c:f>DEMI!$D$9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DEMI!$B$3:$G$3</c:f>
              <c:strCache>
                <c:ptCount val="6"/>
                <c:pt idx="0">
                  <c:v>Prespuesto  aprobado 2017</c:v>
                </c:pt>
                <c:pt idx="1">
                  <c:v>Solicitado 2018</c:v>
                </c:pt>
                <c:pt idx="2">
                  <c:v>Solicitado 2019</c:v>
                </c:pt>
                <c:pt idx="3">
                  <c:v>Solicitado 2020</c:v>
                </c:pt>
                <c:pt idx="4">
                  <c:v>Solicitado 2021</c:v>
                </c:pt>
                <c:pt idx="5">
                  <c:v>Solicitado 2022</c:v>
                </c:pt>
              </c:strCache>
            </c:strRef>
          </c:cat>
          <c:val>
            <c:numRef>
              <c:f>DEMI!$B$4:$G$4</c:f>
              <c:numCache>
                <c:formatCode>_("Q"* #,##0_);_("Q"* \(#,##0\);_("Q"* "-"??_);_(@_)</c:formatCode>
                <c:ptCount val="6"/>
                <c:pt idx="0">
                  <c:v>19187254</c:v>
                </c:pt>
                <c:pt idx="1">
                  <c:v>24187254</c:v>
                </c:pt>
                <c:pt idx="2">
                  <c:v>29187254</c:v>
                </c:pt>
                <c:pt idx="3">
                  <c:v>34187254</c:v>
                </c:pt>
                <c:pt idx="4">
                  <c:v>37605979</c:v>
                </c:pt>
                <c:pt idx="5">
                  <c:v>41366577</c:v>
                </c:pt>
              </c:numCache>
            </c:numRef>
          </c:val>
          <c:extLst>
            <c:ext xmlns:c16="http://schemas.microsoft.com/office/drawing/2014/chart" uri="{C3380CC4-5D6E-409C-BE32-E72D297353CC}">
              <c16:uniqueId val="{00000000-65AB-4C4E-9367-1AAED803EC51}"/>
            </c:ext>
          </c:extLst>
        </c:ser>
        <c:dLbls>
          <c:showLegendKey val="0"/>
          <c:showVal val="0"/>
          <c:showCatName val="0"/>
          <c:showSerName val="0"/>
          <c:showPercent val="0"/>
          <c:showBubbleSize val="0"/>
        </c:dLbls>
        <c:gapWidth val="75"/>
        <c:overlap val="-25"/>
        <c:axId val="73038080"/>
        <c:axId val="122474496"/>
      </c:barChart>
      <c:catAx>
        <c:axId val="73038080"/>
        <c:scaling>
          <c:orientation val="minMax"/>
        </c:scaling>
        <c:delete val="0"/>
        <c:axPos val="b"/>
        <c:numFmt formatCode="General" sourceLinked="0"/>
        <c:majorTickMark val="none"/>
        <c:minorTickMark val="none"/>
        <c:tickLblPos val="nextTo"/>
        <c:crossAx val="122474496"/>
        <c:crosses val="autoZero"/>
        <c:auto val="1"/>
        <c:lblAlgn val="ctr"/>
        <c:lblOffset val="100"/>
        <c:noMultiLvlLbl val="0"/>
      </c:catAx>
      <c:valAx>
        <c:axId val="122474496"/>
        <c:scaling>
          <c:orientation val="minMax"/>
        </c:scaling>
        <c:delete val="0"/>
        <c:axPos val="l"/>
        <c:majorGridlines/>
        <c:numFmt formatCode="_(&quot;Q&quot;* #,##0_);_(&quot;Q&quot;* \(#,##0\);_(&quot;Q&quot;* &quot;-&quot;??_);_(@_)" sourceLinked="1"/>
        <c:majorTickMark val="none"/>
        <c:minorTickMark val="none"/>
        <c:tickLblPos val="nextTo"/>
        <c:spPr>
          <a:ln w="9525">
            <a:noFill/>
          </a:ln>
        </c:spPr>
        <c:crossAx val="730380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8B39-2AF0-4DCA-ABAE-F2E1702B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2017-06-23T16:24:00Z</dcterms:created>
  <dcterms:modified xsi:type="dcterms:W3CDTF">2017-06-23T16:24:00Z</dcterms:modified>
</cp:coreProperties>
</file>