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41" w:rsidRPr="00B9003F" w:rsidRDefault="00B9003F" w:rsidP="00B9003F">
      <w:pPr>
        <w:jc w:val="center"/>
        <w:rPr>
          <w:b/>
          <w:sz w:val="36"/>
          <w:szCs w:val="36"/>
        </w:rPr>
      </w:pPr>
      <w:r w:rsidRPr="00B9003F">
        <w:rPr>
          <w:b/>
          <w:sz w:val="36"/>
          <w:szCs w:val="36"/>
        </w:rPr>
        <w:t>Compromiso No. 19</w:t>
      </w:r>
    </w:p>
    <w:tbl>
      <w:tblPr>
        <w:tblW w:w="4899" w:type="pct"/>
        <w:jc w:val="center"/>
        <w:tblLayout w:type="fixed"/>
        <w:tblCellMar>
          <w:left w:w="70" w:type="dxa"/>
          <w:right w:w="70" w:type="dxa"/>
        </w:tblCellMar>
        <w:tblLook w:val="04A0"/>
      </w:tblPr>
      <w:tblGrid>
        <w:gridCol w:w="408"/>
        <w:gridCol w:w="467"/>
        <w:gridCol w:w="1867"/>
        <w:gridCol w:w="1404"/>
        <w:gridCol w:w="1050"/>
        <w:gridCol w:w="1169"/>
        <w:gridCol w:w="935"/>
        <w:gridCol w:w="1169"/>
      </w:tblGrid>
      <w:tr w:rsidR="00B9003F" w:rsidRPr="00C82570" w:rsidTr="0068702B">
        <w:trPr>
          <w:trHeight w:val="300"/>
          <w:jc w:val="center"/>
        </w:trPr>
        <w:tc>
          <w:tcPr>
            <w:tcW w:w="5000" w:type="pct"/>
            <w:gridSpan w:val="8"/>
            <w:tcBorders>
              <w:top w:val="nil"/>
              <w:left w:val="nil"/>
              <w:bottom w:val="nil"/>
              <w:right w:val="nil"/>
            </w:tcBorders>
            <w:shd w:val="clear" w:color="000000" w:fill="000000"/>
            <w:noWrap/>
            <w:vAlign w:val="bottom"/>
            <w:hideMark/>
          </w:tcPr>
          <w:p w:rsidR="00B9003F" w:rsidRPr="00C82570" w:rsidRDefault="00B9003F" w:rsidP="0068702B">
            <w:pPr>
              <w:spacing w:after="0" w:line="240" w:lineRule="auto"/>
              <w:jc w:val="center"/>
              <w:rPr>
                <w:rFonts w:eastAsia="Times New Roman"/>
                <w:b/>
                <w:bCs/>
                <w:color w:val="FFFFFF"/>
              </w:rPr>
            </w:pPr>
            <w:r w:rsidRPr="00C82570">
              <w:rPr>
                <w:rFonts w:eastAsia="Times New Roman"/>
                <w:b/>
                <w:bCs/>
                <w:color w:val="FFFFFF"/>
              </w:rPr>
              <w:t>Eje temático:</w:t>
            </w:r>
            <w:r>
              <w:rPr>
                <w:rFonts w:eastAsia="Times New Roman"/>
                <w:b/>
                <w:bCs/>
                <w:color w:val="FFFFFF"/>
              </w:rPr>
              <w:t xml:space="preserve"> </w:t>
            </w:r>
            <w:r w:rsidRPr="00C82570">
              <w:rPr>
                <w:rFonts w:eastAsia="Times New Roman"/>
                <w:b/>
                <w:bCs/>
                <w:color w:val="FFFFFF"/>
              </w:rPr>
              <w:t>Transparencia Fiscal</w:t>
            </w:r>
            <w:r>
              <w:rPr>
                <w:rFonts w:eastAsia="Times New Roman"/>
                <w:b/>
                <w:bCs/>
                <w:color w:val="FFFFFF"/>
              </w:rPr>
              <w:t xml:space="preserve"> </w:t>
            </w:r>
          </w:p>
        </w:tc>
      </w:tr>
      <w:tr w:rsidR="00B9003F" w:rsidRPr="00C82570" w:rsidTr="00B9003F">
        <w:trPr>
          <w:trHeight w:val="30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B9003F" w:rsidRPr="00C82570" w:rsidRDefault="00B9003F" w:rsidP="00B9003F">
            <w:pPr>
              <w:numPr>
                <w:ilvl w:val="0"/>
                <w:numId w:val="5"/>
              </w:numPr>
              <w:spacing w:after="0" w:line="240" w:lineRule="auto"/>
              <w:contextualSpacing/>
              <w:rPr>
                <w:rFonts w:eastAsia="Times New Roman"/>
                <w:b/>
                <w:color w:val="000000"/>
                <w:szCs w:val="20"/>
              </w:rPr>
            </w:pPr>
            <w:r w:rsidRPr="00C82570">
              <w:rPr>
                <w:rFonts w:eastAsia="Times New Roman"/>
                <w:b/>
                <w:color w:val="000000"/>
                <w:sz w:val="24"/>
                <w:szCs w:val="20"/>
              </w:rPr>
              <w:t xml:space="preserve"> ACCIONES PARA AVANZAR HACIA UN RÉGIMEN DE CONTRATACIONES ABIERTAS </w:t>
            </w:r>
          </w:p>
        </w:tc>
      </w:tr>
      <w:tr w:rsidR="00B9003F" w:rsidRPr="00C82570" w:rsidTr="00B9003F">
        <w:trPr>
          <w:trHeight w:val="300"/>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Entidad (es)</w:t>
            </w:r>
            <w:r>
              <w:rPr>
                <w:rFonts w:eastAsia="Times New Roman"/>
                <w:color w:val="000000"/>
                <w:szCs w:val="20"/>
              </w:rPr>
              <w:t xml:space="preserve"> </w:t>
            </w:r>
            <w:r w:rsidRPr="00C82570">
              <w:rPr>
                <w:rFonts w:eastAsia="Times New Roman"/>
                <w:color w:val="000000"/>
                <w:szCs w:val="20"/>
              </w:rPr>
              <w:t>Responsable (s):</w:t>
            </w:r>
          </w:p>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Entidad de Gobierno, Entidad Pública, Organismo del Estado, entidad</w:t>
            </w:r>
            <w:r>
              <w:rPr>
                <w:rFonts w:eastAsia="Times New Roman"/>
                <w:color w:val="000000"/>
                <w:szCs w:val="20"/>
              </w:rPr>
              <w:t xml:space="preserve"> </w:t>
            </w:r>
            <w:r w:rsidRPr="00C82570">
              <w:rPr>
                <w:rFonts w:eastAsia="Times New Roman"/>
                <w:color w:val="000000"/>
                <w:szCs w:val="20"/>
              </w:rPr>
              <w:t>autónoma,</w:t>
            </w:r>
            <w:r>
              <w:rPr>
                <w:rFonts w:eastAsia="Times New Roman"/>
                <w:color w:val="000000"/>
                <w:szCs w:val="20"/>
              </w:rPr>
              <w:t xml:space="preserve"> </w:t>
            </w:r>
            <w:r w:rsidRPr="00C82570">
              <w:rPr>
                <w:rFonts w:eastAsia="Times New Roman"/>
                <w:color w:val="000000"/>
                <w:szCs w:val="20"/>
              </w:rPr>
              <w:t>Asociación</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Ministerio de Finanzas Públicas - MINFIN</w:t>
            </w:r>
          </w:p>
        </w:tc>
      </w:tr>
      <w:tr w:rsidR="00B9003F" w:rsidRPr="00C82570" w:rsidTr="00B9003F">
        <w:trPr>
          <w:trHeight w:val="300"/>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Nombre de la persona responsable</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B9003F" w:rsidRPr="00C82570" w:rsidRDefault="00B9003F" w:rsidP="00B9003F">
            <w:pPr>
              <w:numPr>
                <w:ilvl w:val="0"/>
                <w:numId w:val="2"/>
              </w:numPr>
              <w:spacing w:after="0" w:line="240" w:lineRule="auto"/>
              <w:contextualSpacing/>
              <w:rPr>
                <w:rFonts w:eastAsia="Times New Roman"/>
                <w:color w:val="000000"/>
                <w:szCs w:val="20"/>
              </w:rPr>
            </w:pPr>
            <w:r w:rsidRPr="00C82570">
              <w:rPr>
                <w:rFonts w:eastAsia="Times New Roman"/>
                <w:color w:val="000000"/>
                <w:szCs w:val="20"/>
              </w:rPr>
              <w:t>Coordinador:</w:t>
            </w:r>
            <w:r>
              <w:rPr>
                <w:rFonts w:eastAsia="Times New Roman"/>
                <w:color w:val="000000"/>
                <w:szCs w:val="20"/>
              </w:rPr>
              <w:t xml:space="preserve"> </w:t>
            </w:r>
            <w:r w:rsidRPr="00C82570">
              <w:rPr>
                <w:rFonts w:eastAsia="Times New Roman"/>
                <w:color w:val="000000"/>
                <w:szCs w:val="20"/>
              </w:rPr>
              <w:t xml:space="preserve"> Lionel López</w:t>
            </w:r>
          </w:p>
          <w:p w:rsidR="00B9003F" w:rsidRPr="00C82570" w:rsidRDefault="00B9003F" w:rsidP="00B9003F">
            <w:pPr>
              <w:numPr>
                <w:ilvl w:val="0"/>
                <w:numId w:val="2"/>
              </w:numPr>
              <w:spacing w:after="0" w:line="240" w:lineRule="auto"/>
              <w:contextualSpacing/>
              <w:jc w:val="both"/>
              <w:rPr>
                <w:rFonts w:eastAsia="Times New Roman"/>
                <w:color w:val="000000"/>
                <w:szCs w:val="20"/>
              </w:rPr>
            </w:pPr>
            <w:r w:rsidRPr="00C82570">
              <w:rPr>
                <w:rFonts w:eastAsia="Times New Roman"/>
                <w:color w:val="000000"/>
                <w:szCs w:val="20"/>
              </w:rPr>
              <w:t xml:space="preserve">Karla Díaz DNCAE, </w:t>
            </w:r>
          </w:p>
          <w:p w:rsidR="00B9003F" w:rsidRPr="00C82570" w:rsidRDefault="00B9003F" w:rsidP="00B9003F">
            <w:pPr>
              <w:numPr>
                <w:ilvl w:val="0"/>
                <w:numId w:val="2"/>
              </w:numPr>
              <w:spacing w:after="0" w:line="240" w:lineRule="auto"/>
              <w:contextualSpacing/>
              <w:jc w:val="both"/>
              <w:rPr>
                <w:rFonts w:eastAsia="Times New Roman"/>
                <w:color w:val="000000"/>
                <w:szCs w:val="20"/>
              </w:rPr>
            </w:pPr>
            <w:r w:rsidRPr="00C82570">
              <w:rPr>
                <w:rFonts w:eastAsia="Times New Roman"/>
                <w:color w:val="000000"/>
                <w:szCs w:val="20"/>
              </w:rPr>
              <w:t xml:space="preserve">Luis Albizurez DTI, </w:t>
            </w:r>
          </w:p>
          <w:p w:rsidR="00B9003F" w:rsidRPr="00C82570" w:rsidRDefault="00B9003F" w:rsidP="00B9003F">
            <w:pPr>
              <w:numPr>
                <w:ilvl w:val="0"/>
                <w:numId w:val="2"/>
              </w:numPr>
              <w:spacing w:after="0" w:line="240" w:lineRule="auto"/>
              <w:contextualSpacing/>
              <w:jc w:val="both"/>
              <w:rPr>
                <w:rFonts w:eastAsia="Times New Roman"/>
                <w:color w:val="000000"/>
                <w:szCs w:val="20"/>
              </w:rPr>
            </w:pPr>
            <w:r w:rsidRPr="00C82570">
              <w:rPr>
                <w:rFonts w:eastAsia="Times New Roman"/>
                <w:color w:val="000000"/>
                <w:szCs w:val="20"/>
              </w:rPr>
              <w:t>Juan Carlos Carrera, DAJ</w:t>
            </w:r>
          </w:p>
        </w:tc>
      </w:tr>
      <w:tr w:rsidR="00B9003F" w:rsidRPr="00C82570" w:rsidTr="00B9003F">
        <w:trPr>
          <w:trHeight w:val="300"/>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Puesto</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B9003F" w:rsidRPr="00C82570" w:rsidRDefault="00B9003F" w:rsidP="00B9003F">
            <w:pPr>
              <w:numPr>
                <w:ilvl w:val="3"/>
                <w:numId w:val="3"/>
              </w:numPr>
              <w:spacing w:after="0" w:line="240" w:lineRule="auto"/>
              <w:ind w:left="677" w:hanging="374"/>
              <w:contextualSpacing/>
              <w:jc w:val="both"/>
              <w:rPr>
                <w:rFonts w:eastAsia="Times New Roman"/>
                <w:color w:val="000000"/>
                <w:szCs w:val="20"/>
              </w:rPr>
            </w:pPr>
            <w:r w:rsidRPr="00C82570">
              <w:rPr>
                <w:rFonts w:eastAsia="Times New Roman"/>
                <w:color w:val="000000"/>
                <w:szCs w:val="20"/>
              </w:rPr>
              <w:t>Coordinador: Viceministro de Ingresos y Evaluación Fiscal</w:t>
            </w:r>
          </w:p>
          <w:p w:rsidR="00B9003F" w:rsidRPr="00C82570" w:rsidRDefault="00B9003F" w:rsidP="00B9003F">
            <w:pPr>
              <w:numPr>
                <w:ilvl w:val="0"/>
                <w:numId w:val="3"/>
              </w:numPr>
              <w:spacing w:after="0" w:line="240" w:lineRule="auto"/>
              <w:contextualSpacing/>
              <w:jc w:val="both"/>
              <w:rPr>
                <w:rFonts w:eastAsia="Times New Roman"/>
                <w:color w:val="000000"/>
                <w:szCs w:val="20"/>
              </w:rPr>
            </w:pPr>
            <w:r w:rsidRPr="00C82570">
              <w:rPr>
                <w:rFonts w:eastAsia="Times New Roman"/>
                <w:color w:val="000000"/>
                <w:szCs w:val="20"/>
              </w:rPr>
              <w:t>2.Directora Normativa de Contrataciones y Adquisiciones del Estado</w:t>
            </w:r>
          </w:p>
          <w:p w:rsidR="00B9003F" w:rsidRPr="00C82570" w:rsidRDefault="00B9003F" w:rsidP="00B9003F">
            <w:pPr>
              <w:numPr>
                <w:ilvl w:val="0"/>
                <w:numId w:val="3"/>
              </w:numPr>
              <w:spacing w:after="0" w:line="240" w:lineRule="auto"/>
              <w:contextualSpacing/>
              <w:jc w:val="both"/>
              <w:rPr>
                <w:rFonts w:eastAsia="Times New Roman"/>
                <w:color w:val="000000"/>
                <w:szCs w:val="20"/>
              </w:rPr>
            </w:pPr>
            <w:r w:rsidRPr="00C82570">
              <w:rPr>
                <w:rFonts w:eastAsia="Times New Roman"/>
                <w:color w:val="000000"/>
                <w:szCs w:val="20"/>
              </w:rPr>
              <w:t>Director de Tecnologías de la Información</w:t>
            </w:r>
          </w:p>
          <w:p w:rsidR="00B9003F" w:rsidRPr="00C82570" w:rsidRDefault="00B9003F" w:rsidP="00B9003F">
            <w:pPr>
              <w:numPr>
                <w:ilvl w:val="0"/>
                <w:numId w:val="3"/>
              </w:numPr>
              <w:spacing w:after="0" w:line="240" w:lineRule="auto"/>
              <w:contextualSpacing/>
              <w:jc w:val="both"/>
              <w:rPr>
                <w:rFonts w:eastAsia="Times New Roman"/>
                <w:color w:val="000000"/>
                <w:szCs w:val="20"/>
              </w:rPr>
            </w:pPr>
            <w:r w:rsidRPr="00C82570">
              <w:rPr>
                <w:rFonts w:eastAsia="Times New Roman"/>
                <w:color w:val="000000"/>
                <w:szCs w:val="20"/>
              </w:rPr>
              <w:t>Director de Asesoría Jurídica</w:t>
            </w:r>
          </w:p>
        </w:tc>
      </w:tr>
      <w:tr w:rsidR="00B9003F" w:rsidRPr="00C82570" w:rsidTr="00B9003F">
        <w:trPr>
          <w:trHeight w:val="300"/>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Correo electrónico</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B9003F" w:rsidRPr="00C82570" w:rsidRDefault="00B9003F" w:rsidP="00B9003F">
            <w:pPr>
              <w:numPr>
                <w:ilvl w:val="0"/>
                <w:numId w:val="4"/>
              </w:numPr>
              <w:spacing w:after="0" w:line="240" w:lineRule="auto"/>
              <w:contextualSpacing/>
              <w:jc w:val="both"/>
              <w:rPr>
                <w:rFonts w:eastAsia="Times New Roman"/>
                <w:szCs w:val="20"/>
              </w:rPr>
            </w:pPr>
            <w:r w:rsidRPr="00C82570">
              <w:rPr>
                <w:rFonts w:eastAsia="Times New Roman"/>
                <w:szCs w:val="20"/>
              </w:rPr>
              <w:t xml:space="preserve">Coordinador: </w:t>
            </w:r>
            <w:hyperlink r:id="rId7" w:history="1">
              <w:r w:rsidRPr="00C82570">
                <w:rPr>
                  <w:rFonts w:eastAsia="Times New Roman"/>
                  <w:color w:val="0563C1"/>
                  <w:szCs w:val="20"/>
                  <w:u w:val="single"/>
                </w:rPr>
                <w:t>llopez@minfin.gob.gt</w:t>
              </w:r>
            </w:hyperlink>
            <w:r w:rsidRPr="00C82570">
              <w:rPr>
                <w:rFonts w:eastAsia="Times New Roman"/>
                <w:szCs w:val="20"/>
              </w:rPr>
              <w:t xml:space="preserve"> </w:t>
            </w:r>
          </w:p>
          <w:p w:rsidR="00B9003F" w:rsidRPr="00C82570" w:rsidRDefault="00B9003F" w:rsidP="00B9003F">
            <w:pPr>
              <w:numPr>
                <w:ilvl w:val="0"/>
                <w:numId w:val="4"/>
              </w:numPr>
              <w:spacing w:after="0" w:line="240" w:lineRule="auto"/>
              <w:contextualSpacing/>
              <w:jc w:val="both"/>
              <w:rPr>
                <w:rFonts w:eastAsia="Times New Roman"/>
                <w:szCs w:val="20"/>
              </w:rPr>
            </w:pPr>
            <w:r w:rsidRPr="00C82570">
              <w:rPr>
                <w:rFonts w:eastAsia="Times New Roman"/>
                <w:szCs w:val="20"/>
              </w:rPr>
              <w:t>kdiaz@minfin.gob.gt</w:t>
            </w:r>
          </w:p>
          <w:p w:rsidR="00B9003F" w:rsidRPr="00C82570" w:rsidRDefault="00B9003F" w:rsidP="00B9003F">
            <w:pPr>
              <w:numPr>
                <w:ilvl w:val="0"/>
                <w:numId w:val="4"/>
              </w:numPr>
              <w:spacing w:after="0" w:line="240" w:lineRule="auto"/>
              <w:contextualSpacing/>
              <w:jc w:val="both"/>
              <w:rPr>
                <w:rFonts w:eastAsia="Times New Roman"/>
                <w:color w:val="0563C1"/>
                <w:szCs w:val="20"/>
                <w:u w:val="single"/>
              </w:rPr>
            </w:pPr>
            <w:hyperlink r:id="rId8" w:history="1">
              <w:r w:rsidRPr="00C82570">
                <w:rPr>
                  <w:rFonts w:eastAsia="Times New Roman"/>
                  <w:color w:val="0563C1"/>
                  <w:szCs w:val="20"/>
                  <w:u w:val="single"/>
                </w:rPr>
                <w:t>lalbizurez@minfin.gob.gt</w:t>
              </w:r>
            </w:hyperlink>
            <w:r>
              <w:rPr>
                <w:rFonts w:eastAsia="Times New Roman"/>
                <w:szCs w:val="20"/>
              </w:rPr>
              <w:t xml:space="preserve"> </w:t>
            </w:r>
          </w:p>
          <w:p w:rsidR="00B9003F" w:rsidRPr="00C82570" w:rsidRDefault="00B9003F" w:rsidP="00B9003F">
            <w:pPr>
              <w:numPr>
                <w:ilvl w:val="0"/>
                <w:numId w:val="4"/>
              </w:numPr>
              <w:spacing w:after="0" w:line="240" w:lineRule="auto"/>
              <w:contextualSpacing/>
              <w:jc w:val="both"/>
              <w:rPr>
                <w:rFonts w:eastAsia="Times New Roman"/>
                <w:szCs w:val="20"/>
              </w:rPr>
            </w:pPr>
            <w:r w:rsidRPr="00C82570">
              <w:rPr>
                <w:rFonts w:eastAsia="Times New Roman"/>
                <w:color w:val="0563C1"/>
                <w:szCs w:val="20"/>
                <w:u w:val="single"/>
              </w:rPr>
              <w:t>jcarrera@minfin.gob.gt</w:t>
            </w:r>
          </w:p>
          <w:p w:rsidR="00B9003F" w:rsidRPr="00C82570" w:rsidRDefault="00B9003F" w:rsidP="0068702B">
            <w:pPr>
              <w:spacing w:after="0" w:line="240" w:lineRule="auto"/>
              <w:ind w:left="720"/>
              <w:contextualSpacing/>
              <w:jc w:val="both"/>
              <w:rPr>
                <w:rFonts w:eastAsia="Times New Roman"/>
                <w:color w:val="000000"/>
                <w:szCs w:val="20"/>
              </w:rPr>
            </w:pPr>
          </w:p>
        </w:tc>
      </w:tr>
      <w:tr w:rsidR="00B9003F" w:rsidRPr="00C82570" w:rsidTr="00B9003F">
        <w:trPr>
          <w:trHeight w:val="300"/>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Teléfono</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B9003F" w:rsidRPr="00C82570" w:rsidRDefault="00B9003F" w:rsidP="00B9003F">
            <w:pPr>
              <w:numPr>
                <w:ilvl w:val="0"/>
                <w:numId w:val="1"/>
              </w:numPr>
              <w:spacing w:after="0" w:line="240" w:lineRule="auto"/>
              <w:contextualSpacing/>
              <w:jc w:val="both"/>
              <w:rPr>
                <w:rFonts w:eastAsia="Times New Roman"/>
                <w:color w:val="000000"/>
                <w:szCs w:val="20"/>
              </w:rPr>
            </w:pPr>
            <w:r w:rsidRPr="00C82570">
              <w:rPr>
                <w:rFonts w:eastAsia="Times New Roman"/>
                <w:color w:val="000000"/>
                <w:szCs w:val="20"/>
              </w:rPr>
              <w:t>Coordinador: 23228888</w:t>
            </w:r>
          </w:p>
          <w:p w:rsidR="00B9003F" w:rsidRPr="00C82570" w:rsidRDefault="00B9003F" w:rsidP="00B9003F">
            <w:pPr>
              <w:numPr>
                <w:ilvl w:val="0"/>
                <w:numId w:val="1"/>
              </w:numPr>
              <w:spacing w:after="0" w:line="240" w:lineRule="auto"/>
              <w:contextualSpacing/>
              <w:jc w:val="both"/>
              <w:rPr>
                <w:rFonts w:eastAsia="Times New Roman"/>
                <w:color w:val="000000"/>
                <w:szCs w:val="20"/>
              </w:rPr>
            </w:pPr>
            <w:r w:rsidRPr="00C82570">
              <w:rPr>
                <w:rFonts w:eastAsia="Times New Roman"/>
                <w:color w:val="000000"/>
                <w:szCs w:val="20"/>
              </w:rPr>
              <w:t>Todos: 23228888</w:t>
            </w:r>
          </w:p>
        </w:tc>
      </w:tr>
      <w:tr w:rsidR="00B9003F" w:rsidRPr="00C82570" w:rsidTr="00B9003F">
        <w:trPr>
          <w:trHeight w:val="300"/>
          <w:jc w:val="center"/>
        </w:trPr>
        <w:tc>
          <w:tcPr>
            <w:tcW w:w="517" w:type="pct"/>
            <w:gridSpan w:val="2"/>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Otros actores</w:t>
            </w:r>
          </w:p>
        </w:tc>
        <w:tc>
          <w:tcPr>
            <w:tcW w:w="1102" w:type="pct"/>
            <w:tcBorders>
              <w:top w:val="nil"/>
              <w:left w:val="nil"/>
              <w:bottom w:val="single" w:sz="4" w:space="0" w:color="auto"/>
              <w:right w:val="single" w:sz="4" w:space="0" w:color="auto"/>
            </w:tcBorders>
            <w:shd w:val="clear" w:color="auto" w:fill="D9D9D9" w:themeFill="background1" w:themeFillShade="D9"/>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Entidad Pública /Organismo de Estado</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B9003F" w:rsidRPr="00C82570" w:rsidRDefault="00B9003F" w:rsidP="0068702B">
            <w:pPr>
              <w:spacing w:after="0" w:line="240" w:lineRule="auto"/>
              <w:rPr>
                <w:rFonts w:eastAsia="Times New Roman"/>
                <w:color w:val="000000"/>
                <w:szCs w:val="20"/>
              </w:rPr>
            </w:pPr>
            <w:r w:rsidRPr="00C82570">
              <w:rPr>
                <w:rFonts w:eastAsia="Times New Roman"/>
                <w:color w:val="000000"/>
                <w:szCs w:val="20"/>
              </w:rPr>
              <w:t>Instituto Nacional de Administración Pública (INAP)</w:t>
            </w:r>
          </w:p>
        </w:tc>
      </w:tr>
      <w:tr w:rsidR="00B9003F" w:rsidRPr="00C82570" w:rsidTr="00B9003F">
        <w:trPr>
          <w:trHeight w:val="1023"/>
          <w:jc w:val="center"/>
        </w:trPr>
        <w:tc>
          <w:tcPr>
            <w:tcW w:w="517" w:type="pct"/>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rPr>
                <w:rFonts w:eastAsia="Times New Roman"/>
                <w:color w:val="000000"/>
                <w:szCs w:val="20"/>
              </w:rPr>
            </w:pPr>
          </w:p>
        </w:tc>
        <w:tc>
          <w:tcPr>
            <w:tcW w:w="1102" w:type="pct"/>
            <w:tcBorders>
              <w:top w:val="nil"/>
              <w:left w:val="nil"/>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Sociedad civil,</w:t>
            </w:r>
            <w:r>
              <w:rPr>
                <w:rFonts w:eastAsia="Times New Roman"/>
                <w:color w:val="000000"/>
                <w:szCs w:val="20"/>
              </w:rPr>
              <w:t xml:space="preserve"> </w:t>
            </w:r>
            <w:r w:rsidRPr="00C82570">
              <w:rPr>
                <w:rFonts w:eastAsia="Times New Roman"/>
                <w:color w:val="000000"/>
                <w:szCs w:val="20"/>
              </w:rPr>
              <w:t>Asociaciones, Iniciativa privada, grupos de trabajo y multilaterales</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Organizaciones de sociedad civil que participan en Gobierno Abierto y otras interesadas.</w:t>
            </w:r>
          </w:p>
        </w:tc>
      </w:tr>
      <w:tr w:rsidR="00B9003F" w:rsidRPr="00C82570" w:rsidTr="00B9003F">
        <w:trPr>
          <w:trHeight w:val="587"/>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Status quo o problema que se quiere resolver</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B9003F" w:rsidRPr="00C82570" w:rsidRDefault="00B9003F" w:rsidP="0068702B">
            <w:pPr>
              <w:jc w:val="both"/>
              <w:rPr>
                <w:rFonts w:eastAsia="Times New Roman"/>
                <w:color w:val="000000"/>
                <w:szCs w:val="20"/>
              </w:rPr>
            </w:pPr>
            <w:r w:rsidRPr="00C82570">
              <w:rPr>
                <w:rFonts w:eastAsia="Times New Roman"/>
                <w:color w:val="000000"/>
                <w:szCs w:val="20"/>
              </w:rPr>
              <w:t>Persisten limitaciones para avanzar hacia un régimen de contrataciones abiertas, dado que no</w:t>
            </w:r>
            <w:r>
              <w:rPr>
                <w:rFonts w:eastAsia="Times New Roman"/>
                <w:color w:val="000000"/>
                <w:szCs w:val="20"/>
              </w:rPr>
              <w:t xml:space="preserve"> </w:t>
            </w:r>
            <w:r w:rsidRPr="00C82570">
              <w:rPr>
                <w:rFonts w:eastAsia="Times New Roman"/>
                <w:color w:val="000000"/>
                <w:szCs w:val="20"/>
              </w:rPr>
              <w:t xml:space="preserve"> existe una estandarización de los documentos que establezcan formatos homogéneos para que las diferentes instituciones ejecutoras del gobierno, sigan los mismos criterios en las adquisiciones del Estado, que fortalezcan la institucionalidad en esta materia.</w:t>
            </w:r>
          </w:p>
        </w:tc>
      </w:tr>
      <w:tr w:rsidR="00B9003F" w:rsidRPr="00C82570" w:rsidTr="00B9003F">
        <w:trPr>
          <w:trHeight w:val="1613"/>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Objetivo principal</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rsidR="00B9003F" w:rsidRPr="00C82570" w:rsidRDefault="00B9003F" w:rsidP="0068702B">
            <w:pPr>
              <w:spacing w:after="0" w:line="240" w:lineRule="auto"/>
              <w:jc w:val="both"/>
              <w:rPr>
                <w:rFonts w:eastAsia="Times New Roman"/>
                <w:color w:val="000000"/>
                <w:szCs w:val="20"/>
              </w:rPr>
            </w:pPr>
            <w:r w:rsidRPr="00C82570">
              <w:rPr>
                <w:rFonts w:eastAsia="Times New Roman"/>
                <w:color w:val="000000"/>
                <w:szCs w:val="20"/>
              </w:rPr>
              <w:t>Implementar las disposiciones y procedimientos que actualizan los módulos de Guatecompras, de conformidad a las reformas de la Ley de Contrataciones del Estado, y evaluar la conveniencia de adoptar el Estándar de Datos Abiertos para las Contrataciones Abiertas, garantizando la</w:t>
            </w:r>
            <w:r>
              <w:rPr>
                <w:rFonts w:eastAsia="Times New Roman"/>
                <w:color w:val="000000"/>
                <w:szCs w:val="20"/>
              </w:rPr>
              <w:t xml:space="preserve"> </w:t>
            </w:r>
            <w:r w:rsidRPr="00C82570">
              <w:rPr>
                <w:rFonts w:eastAsia="Times New Roman"/>
                <w:color w:val="000000"/>
                <w:szCs w:val="20"/>
              </w:rPr>
              <w:t>transparencia y la rendición de cuentas.</w:t>
            </w:r>
            <w:r>
              <w:rPr>
                <w:rFonts w:eastAsia="Times New Roman"/>
                <w:color w:val="000000"/>
                <w:szCs w:val="20"/>
              </w:rPr>
              <w:t xml:space="preserve"> </w:t>
            </w:r>
          </w:p>
        </w:tc>
      </w:tr>
      <w:tr w:rsidR="00B9003F" w:rsidRPr="00C82570" w:rsidTr="00B9003F">
        <w:trPr>
          <w:trHeight w:val="602"/>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lastRenderedPageBreak/>
              <w:t>Breve descripción del compromiso</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B9003F" w:rsidRPr="00C82570" w:rsidRDefault="00B9003F" w:rsidP="0068702B">
            <w:pPr>
              <w:spacing w:after="0" w:line="240" w:lineRule="auto"/>
              <w:jc w:val="both"/>
              <w:rPr>
                <w:color w:val="000000"/>
              </w:rPr>
            </w:pPr>
            <w:r w:rsidRPr="00C82570">
              <w:rPr>
                <w:color w:val="000000"/>
              </w:rPr>
              <w:t>Estandarizar los formatos para las distintas modalidades de adquisiciones del Estado, e implementar la subasta electrónica inversa y el Registro General de Adquisiciones del Estado.</w:t>
            </w:r>
          </w:p>
        </w:tc>
      </w:tr>
      <w:tr w:rsidR="00B9003F" w:rsidRPr="00C82570" w:rsidTr="00B9003F">
        <w:trPr>
          <w:trHeight w:val="300"/>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Desafío de OGP atendido por el compromiso</w:t>
            </w:r>
          </w:p>
        </w:tc>
        <w:tc>
          <w:tcPr>
            <w:tcW w:w="3381" w:type="pct"/>
            <w:gridSpan w:val="5"/>
            <w:tcBorders>
              <w:top w:val="single" w:sz="4" w:space="0" w:color="auto"/>
              <w:left w:val="nil"/>
              <w:bottom w:val="single" w:sz="4" w:space="0" w:color="auto"/>
              <w:right w:val="single" w:sz="4" w:space="0" w:color="auto"/>
            </w:tcBorders>
            <w:shd w:val="clear" w:color="000000" w:fill="FFFFFF" w:themeFill="background1"/>
            <w:noWrap/>
            <w:vAlign w:val="bottom"/>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Gestión efectiva de los recursos públicos e incrementar la integridad pública.</w:t>
            </w:r>
          </w:p>
        </w:tc>
      </w:tr>
      <w:tr w:rsidR="00B9003F" w:rsidRPr="00C82570" w:rsidTr="00B9003F">
        <w:trPr>
          <w:trHeight w:val="697"/>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Relevancia</w:t>
            </w:r>
          </w:p>
        </w:tc>
        <w:tc>
          <w:tcPr>
            <w:tcW w:w="3381" w:type="pct"/>
            <w:gridSpan w:val="5"/>
            <w:tcBorders>
              <w:top w:val="single" w:sz="4" w:space="0" w:color="auto"/>
              <w:left w:val="nil"/>
              <w:bottom w:val="single" w:sz="4" w:space="0" w:color="auto"/>
              <w:right w:val="single" w:sz="4" w:space="0" w:color="auto"/>
            </w:tcBorders>
            <w:shd w:val="clear" w:color="auto" w:fill="auto"/>
            <w:noWrap/>
            <w:vAlign w:val="bottom"/>
            <w:hideMark/>
          </w:tcPr>
          <w:p w:rsidR="00B9003F" w:rsidRPr="00C82570" w:rsidRDefault="00B9003F" w:rsidP="0068702B">
            <w:pPr>
              <w:spacing w:after="0" w:line="240" w:lineRule="auto"/>
              <w:jc w:val="both"/>
              <w:rPr>
                <w:rFonts w:eastAsia="Times New Roman"/>
                <w:color w:val="000000"/>
                <w:szCs w:val="20"/>
              </w:rPr>
            </w:pPr>
            <w:r w:rsidRPr="00C82570">
              <w:rPr>
                <w:rFonts w:eastAsia="Times New Roman"/>
                <w:color w:val="000000"/>
                <w:szCs w:val="20"/>
              </w:rPr>
              <w:t>La transparencia del sistema de contrataciones públicas, y la implementación del Registro General de Adquisiciones del Estado por parte del Ministerio de Finanzas Públicas, contribuye a tener mejor información sobre los proveedores y contratistas que pueden negociar, así como acerca de su experiencia, capacidad técnica y financiera, por lo que puede conocerse de antemano si se encuentran habilitados o no para ser contratados.</w:t>
            </w:r>
            <w:r>
              <w:rPr>
                <w:rFonts w:eastAsia="Times New Roman"/>
                <w:color w:val="000000"/>
                <w:szCs w:val="20"/>
              </w:rPr>
              <w:t xml:space="preserve"> </w:t>
            </w:r>
            <w:r w:rsidRPr="00C82570">
              <w:rPr>
                <w:rFonts w:eastAsia="Times New Roman"/>
                <w:color w:val="000000"/>
                <w:szCs w:val="20"/>
              </w:rPr>
              <w:t>Dicha información contribuye a la transparencia fiscal, rendición de cuentas y participación ciudadana.</w:t>
            </w:r>
          </w:p>
        </w:tc>
      </w:tr>
      <w:tr w:rsidR="00B9003F" w:rsidRPr="00C82570" w:rsidTr="00B9003F">
        <w:trPr>
          <w:trHeight w:val="1340"/>
          <w:jc w:val="center"/>
        </w:trPr>
        <w:tc>
          <w:tcPr>
            <w:tcW w:w="161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Ambición</w:t>
            </w:r>
          </w:p>
        </w:tc>
        <w:tc>
          <w:tcPr>
            <w:tcW w:w="3381" w:type="pct"/>
            <w:gridSpan w:val="5"/>
            <w:tcBorders>
              <w:top w:val="single" w:sz="4" w:space="0" w:color="auto"/>
              <w:left w:val="nil"/>
              <w:bottom w:val="single" w:sz="4" w:space="0" w:color="auto"/>
              <w:right w:val="single" w:sz="4" w:space="0" w:color="auto"/>
            </w:tcBorders>
            <w:shd w:val="clear" w:color="auto" w:fill="auto"/>
            <w:noWrap/>
            <w:vAlign w:val="bottom"/>
            <w:hideMark/>
          </w:tcPr>
          <w:p w:rsidR="00B9003F" w:rsidRPr="00C82570" w:rsidRDefault="00B9003F" w:rsidP="0068702B">
            <w:pPr>
              <w:spacing w:after="0" w:line="240" w:lineRule="auto"/>
              <w:jc w:val="both"/>
              <w:rPr>
                <w:rFonts w:eastAsia="Times New Roman"/>
                <w:color w:val="000000"/>
                <w:szCs w:val="20"/>
              </w:rPr>
            </w:pPr>
            <w:r w:rsidRPr="00C82570">
              <w:rPr>
                <w:rFonts w:eastAsia="Times New Roman"/>
                <w:color w:val="000000"/>
                <w:szCs w:val="20"/>
              </w:rPr>
              <w:t>Aplicar las reformas realizadas a la Ley de Contrataciones del Estado en lo relacionado a la estandarización de bases para las adquisiciones del Estado y aplicación de la subasta electrónica inversa, a fin de eficientar el gasto público.</w:t>
            </w:r>
          </w:p>
          <w:p w:rsidR="00B9003F" w:rsidRPr="00C82570" w:rsidRDefault="00B9003F" w:rsidP="0068702B">
            <w:pPr>
              <w:spacing w:after="0" w:line="240" w:lineRule="auto"/>
              <w:jc w:val="both"/>
              <w:rPr>
                <w:rFonts w:eastAsia="Times New Roman"/>
                <w:color w:val="000000"/>
                <w:szCs w:val="20"/>
              </w:rPr>
            </w:pPr>
          </w:p>
          <w:p w:rsidR="00B9003F" w:rsidRPr="00C82570" w:rsidRDefault="00B9003F" w:rsidP="0068702B">
            <w:pPr>
              <w:spacing w:after="0" w:line="240" w:lineRule="auto"/>
              <w:jc w:val="both"/>
              <w:rPr>
                <w:rFonts w:eastAsia="Times New Roman"/>
                <w:szCs w:val="20"/>
              </w:rPr>
            </w:pPr>
            <w:r w:rsidRPr="00C82570">
              <w:rPr>
                <w:rFonts w:eastAsia="Times New Roman"/>
                <w:szCs w:val="20"/>
              </w:rPr>
              <w:t>El Registro General de Adquisiciones del Estado en pleno funcionamiento, hará que el gobierno lleve un control adecuado de sus proveedores y permitirá una competencia entre los mismos, conociendo de las capacidades técnicas, financieras y de cualquier requisito para contratarlos, permitiendo una mayor apertura para la sociedad civil que pretenda monitorear el registro y tener acceso a la información que necesite del sistema de contrataciones.</w:t>
            </w:r>
          </w:p>
          <w:p w:rsidR="00B9003F" w:rsidRPr="00C82570" w:rsidRDefault="00B9003F" w:rsidP="0068702B">
            <w:pPr>
              <w:spacing w:after="0" w:line="240" w:lineRule="auto"/>
              <w:jc w:val="both"/>
              <w:rPr>
                <w:rFonts w:eastAsia="Times New Roman"/>
                <w:szCs w:val="20"/>
              </w:rPr>
            </w:pPr>
          </w:p>
          <w:p w:rsidR="00B9003F" w:rsidRPr="00C82570" w:rsidRDefault="00B9003F" w:rsidP="0068702B">
            <w:pPr>
              <w:spacing w:after="0" w:line="240" w:lineRule="auto"/>
              <w:jc w:val="both"/>
              <w:rPr>
                <w:rFonts w:eastAsia="Times New Roman"/>
                <w:color w:val="C00000"/>
                <w:szCs w:val="20"/>
              </w:rPr>
            </w:pPr>
            <w:r w:rsidRPr="00C82570">
              <w:rPr>
                <w:rFonts w:eastAsia="Times New Roman"/>
                <w:color w:val="000000"/>
                <w:szCs w:val="20"/>
              </w:rPr>
              <w:t>Al mismo tiempo, Guatemala evaluará la conveniencia de publicar datos alineados al Estándar de Datos Abiertos para las Contrataciones Abiertas, que está siendo ampliamente implementado y que permite mayor transparencia e involucramiento de sociedad civil y al mismo tiempo permite ahorrar recursos públicos.</w:t>
            </w:r>
          </w:p>
        </w:tc>
      </w:tr>
      <w:tr w:rsidR="00B9003F" w:rsidRPr="00C82570" w:rsidTr="00B9003F">
        <w:trPr>
          <w:trHeight w:val="617"/>
          <w:jc w:val="center"/>
        </w:trPr>
        <w:tc>
          <w:tcPr>
            <w:tcW w:w="2448"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Hitos, Metas preliminares y finales que permitan verificar el cumplimiento del compromiso (mecanismos)</w:t>
            </w:r>
          </w:p>
        </w:tc>
        <w:tc>
          <w:tcPr>
            <w:tcW w:w="62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Entidad Responsable</w:t>
            </w:r>
          </w:p>
        </w:tc>
        <w:tc>
          <w:tcPr>
            <w:tcW w:w="6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Compromiso en curso o nuevo</w:t>
            </w:r>
          </w:p>
        </w:tc>
        <w:tc>
          <w:tcPr>
            <w:tcW w:w="552" w:type="pct"/>
            <w:tcBorders>
              <w:top w:val="nil"/>
              <w:left w:val="nil"/>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Fecha de inicio</w:t>
            </w:r>
          </w:p>
        </w:tc>
        <w:tc>
          <w:tcPr>
            <w:tcW w:w="690" w:type="pct"/>
            <w:tcBorders>
              <w:top w:val="nil"/>
              <w:left w:val="nil"/>
              <w:bottom w:val="single" w:sz="4" w:space="0" w:color="auto"/>
              <w:right w:val="single" w:sz="4" w:space="0" w:color="auto"/>
            </w:tcBorders>
            <w:shd w:val="clear" w:color="auto" w:fill="D9D9D9" w:themeFill="background1" w:themeFillShade="D9"/>
            <w:vAlign w:val="center"/>
            <w:hideMark/>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Fecha final</w:t>
            </w:r>
          </w:p>
        </w:tc>
      </w:tr>
      <w:tr w:rsidR="00B9003F" w:rsidRPr="00C82570" w:rsidTr="0068702B">
        <w:trPr>
          <w:trHeight w:val="602"/>
          <w:jc w:val="center"/>
        </w:trPr>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B9003F" w:rsidRPr="00C82570" w:rsidRDefault="00B9003F" w:rsidP="0068702B">
            <w:pPr>
              <w:spacing w:after="0" w:line="240" w:lineRule="auto"/>
              <w:rPr>
                <w:rFonts w:eastAsia="Times New Roman"/>
                <w:color w:val="000000"/>
                <w:szCs w:val="20"/>
              </w:rPr>
            </w:pPr>
            <w:r w:rsidRPr="00C82570">
              <w:rPr>
                <w:rFonts w:eastAsia="Times New Roman"/>
                <w:color w:val="000000"/>
                <w:szCs w:val="20"/>
              </w:rPr>
              <w:t>1.</w:t>
            </w:r>
          </w:p>
        </w:tc>
        <w:tc>
          <w:tcPr>
            <w:tcW w:w="220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003F" w:rsidRPr="00C82570" w:rsidRDefault="00B9003F" w:rsidP="0068702B">
            <w:pPr>
              <w:jc w:val="both"/>
              <w:rPr>
                <w:rFonts w:eastAsia="Times New Roman"/>
                <w:color w:val="000000"/>
                <w:szCs w:val="20"/>
              </w:rPr>
            </w:pPr>
            <w:r w:rsidRPr="00C82570">
              <w:rPr>
                <w:rFonts w:eastAsia="Times New Roman"/>
                <w:color w:val="000000"/>
                <w:szCs w:val="20"/>
              </w:rPr>
              <w:t>Se implementan nuevas disposiciones y procedimientos que actualizan los módulos de Guatecompras, de conformidad a las reformas de la Ley de Contrataciones del Estado, garantizando la</w:t>
            </w:r>
            <w:r>
              <w:rPr>
                <w:rFonts w:eastAsia="Times New Roman"/>
                <w:color w:val="000000"/>
                <w:szCs w:val="20"/>
              </w:rPr>
              <w:t xml:space="preserve"> </w:t>
            </w:r>
            <w:r w:rsidRPr="00C82570">
              <w:rPr>
                <w:rFonts w:eastAsia="Times New Roman"/>
                <w:color w:val="000000"/>
                <w:szCs w:val="20"/>
              </w:rPr>
              <w:t>transparencia y la rendición de cuentas en el proceso.</w:t>
            </w:r>
          </w:p>
        </w:tc>
        <w:tc>
          <w:tcPr>
            <w:tcW w:w="620" w:type="pct"/>
            <w:tcBorders>
              <w:top w:val="single" w:sz="4" w:space="0" w:color="auto"/>
              <w:left w:val="nil"/>
              <w:bottom w:val="single" w:sz="4" w:space="0" w:color="auto"/>
              <w:right w:val="single" w:sz="4" w:space="0" w:color="auto"/>
            </w:tcBorders>
            <w:shd w:val="clear" w:color="000000" w:fill="FFFFFF"/>
            <w:noWrap/>
            <w:vAlign w:val="center"/>
            <w:hideMark/>
          </w:tcPr>
          <w:p w:rsidR="00B9003F" w:rsidRPr="00C82570" w:rsidRDefault="00B9003F" w:rsidP="0068702B">
            <w:pPr>
              <w:spacing w:after="0" w:line="240" w:lineRule="auto"/>
              <w:jc w:val="center"/>
              <w:rPr>
                <w:rFonts w:eastAsia="Times New Roman"/>
                <w:color w:val="000000"/>
                <w:szCs w:val="20"/>
              </w:rPr>
            </w:pPr>
          </w:p>
        </w:tc>
        <w:tc>
          <w:tcPr>
            <w:tcW w:w="690" w:type="pct"/>
            <w:tcBorders>
              <w:top w:val="single" w:sz="4" w:space="0" w:color="auto"/>
              <w:left w:val="nil"/>
              <w:bottom w:val="single" w:sz="4" w:space="0" w:color="auto"/>
              <w:right w:val="single" w:sz="4" w:space="0" w:color="auto"/>
            </w:tcBorders>
            <w:shd w:val="clear" w:color="000000" w:fill="FFFFFF"/>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552" w:type="pct"/>
            <w:tcBorders>
              <w:top w:val="single" w:sz="4" w:space="0" w:color="auto"/>
              <w:left w:val="nil"/>
              <w:bottom w:val="single" w:sz="4" w:space="0" w:color="auto"/>
              <w:right w:val="single" w:sz="4" w:space="0" w:color="auto"/>
            </w:tcBorders>
            <w:shd w:val="clear" w:color="000000" w:fill="FFFFFF"/>
            <w:noWrap/>
            <w:vAlign w:val="center"/>
            <w:hideMark/>
          </w:tcPr>
          <w:p w:rsidR="00B9003F" w:rsidRPr="00C82570" w:rsidRDefault="00B9003F" w:rsidP="0068702B">
            <w:pPr>
              <w:jc w:val="center"/>
            </w:pPr>
            <w:r w:rsidRPr="00C82570">
              <w:rPr>
                <w:rFonts w:eastAsia="Times New Roman"/>
                <w:color w:val="000000"/>
                <w:szCs w:val="20"/>
              </w:rPr>
              <w:t>Agosto 2016</w:t>
            </w:r>
          </w:p>
        </w:tc>
        <w:tc>
          <w:tcPr>
            <w:tcW w:w="690" w:type="pct"/>
            <w:tcBorders>
              <w:top w:val="single" w:sz="4" w:space="0" w:color="auto"/>
              <w:left w:val="nil"/>
              <w:bottom w:val="single" w:sz="4" w:space="0" w:color="auto"/>
              <w:right w:val="single" w:sz="4" w:space="0" w:color="auto"/>
            </w:tcBorders>
            <w:shd w:val="clear" w:color="000000" w:fill="FFFFFF"/>
            <w:noWrap/>
            <w:vAlign w:val="center"/>
            <w:hideMark/>
          </w:tcPr>
          <w:p w:rsidR="00B9003F" w:rsidRPr="00C82570" w:rsidRDefault="00B9003F" w:rsidP="0068702B">
            <w:pPr>
              <w:jc w:val="center"/>
            </w:pPr>
            <w:r w:rsidRPr="00C82570">
              <w:rPr>
                <w:rFonts w:eastAsia="Times New Roman"/>
                <w:color w:val="000000"/>
                <w:szCs w:val="20"/>
              </w:rPr>
              <w:t>Junio 2018</w:t>
            </w:r>
          </w:p>
        </w:tc>
      </w:tr>
      <w:tr w:rsidR="00B9003F" w:rsidRPr="00C82570" w:rsidTr="0068702B">
        <w:trPr>
          <w:trHeight w:val="602"/>
          <w:jc w:val="center"/>
        </w:trPr>
        <w:tc>
          <w:tcPr>
            <w:tcW w:w="241" w:type="pct"/>
            <w:tcBorders>
              <w:top w:val="single" w:sz="4" w:space="0" w:color="auto"/>
              <w:left w:val="single" w:sz="4" w:space="0" w:color="auto"/>
              <w:bottom w:val="single" w:sz="4" w:space="0" w:color="auto"/>
              <w:right w:val="single" w:sz="4" w:space="0" w:color="auto"/>
            </w:tcBorders>
            <w:shd w:val="clear" w:color="000000" w:fill="FFFFFF"/>
            <w:noWrap/>
          </w:tcPr>
          <w:p w:rsidR="00B9003F" w:rsidRPr="00C82570" w:rsidRDefault="00B9003F" w:rsidP="0068702B">
            <w:pPr>
              <w:spacing w:after="0" w:line="240" w:lineRule="auto"/>
              <w:rPr>
                <w:rFonts w:eastAsia="Times New Roman"/>
                <w:color w:val="000000"/>
                <w:szCs w:val="20"/>
              </w:rPr>
            </w:pPr>
            <w:r w:rsidRPr="00C82570">
              <w:rPr>
                <w:rFonts w:eastAsia="Times New Roman"/>
                <w:color w:val="000000"/>
                <w:szCs w:val="20"/>
              </w:rPr>
              <w:t>2.</w:t>
            </w:r>
          </w:p>
        </w:tc>
        <w:tc>
          <w:tcPr>
            <w:tcW w:w="220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003F" w:rsidRPr="00C82570" w:rsidRDefault="00B9003F" w:rsidP="0068702B">
            <w:pPr>
              <w:jc w:val="both"/>
              <w:rPr>
                <w:rFonts w:eastAsia="Times New Roman"/>
                <w:color w:val="000000"/>
                <w:szCs w:val="20"/>
              </w:rPr>
            </w:pPr>
            <w:r w:rsidRPr="00C82570">
              <w:rPr>
                <w:rFonts w:eastAsia="Times New Roman"/>
                <w:color w:val="000000"/>
                <w:szCs w:val="20"/>
              </w:rPr>
              <w:t xml:space="preserve">Estandarización de formatos para las adquisiciones del Estado, según modalidad de compra y tipo de bien o </w:t>
            </w:r>
            <w:r w:rsidRPr="00C82570">
              <w:rPr>
                <w:rFonts w:eastAsia="Times New Roman"/>
                <w:color w:val="000000"/>
                <w:szCs w:val="20"/>
              </w:rPr>
              <w:lastRenderedPageBreak/>
              <w:t>servicio.</w:t>
            </w:r>
          </w:p>
        </w:tc>
        <w:tc>
          <w:tcPr>
            <w:tcW w:w="62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lastRenderedPageBreak/>
              <w:t>MINFIN (DNCAE</w:t>
            </w:r>
          </w:p>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DTI)</w:t>
            </w:r>
          </w:p>
        </w:tc>
        <w:tc>
          <w:tcPr>
            <w:tcW w:w="690" w:type="pct"/>
            <w:tcBorders>
              <w:top w:val="single" w:sz="4" w:space="0" w:color="auto"/>
              <w:left w:val="nil"/>
              <w:bottom w:val="single" w:sz="4" w:space="0" w:color="auto"/>
              <w:right w:val="single" w:sz="4" w:space="0" w:color="auto"/>
            </w:tcBorders>
            <w:shd w:val="clear" w:color="000000" w:fill="FFFFFF"/>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En curso</w:t>
            </w:r>
          </w:p>
        </w:tc>
        <w:tc>
          <w:tcPr>
            <w:tcW w:w="552"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rPr>
                <w:rFonts w:eastAsia="Times New Roman"/>
                <w:color w:val="000000"/>
                <w:szCs w:val="20"/>
              </w:rPr>
            </w:pPr>
            <w:r w:rsidRPr="00C82570">
              <w:rPr>
                <w:rFonts w:eastAsia="Times New Roman"/>
                <w:color w:val="000000"/>
                <w:szCs w:val="20"/>
              </w:rPr>
              <w:t>Agosto 2016</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rPr>
                <w:rFonts w:eastAsia="Times New Roman"/>
                <w:color w:val="000000"/>
                <w:szCs w:val="20"/>
              </w:rPr>
            </w:pPr>
            <w:r w:rsidRPr="00C82570">
              <w:rPr>
                <w:rFonts w:eastAsia="Times New Roman"/>
                <w:color w:val="000000"/>
                <w:szCs w:val="20"/>
              </w:rPr>
              <w:t>Junio 2018</w:t>
            </w:r>
          </w:p>
        </w:tc>
      </w:tr>
      <w:tr w:rsidR="00B9003F" w:rsidRPr="00C82570" w:rsidTr="0068702B">
        <w:trPr>
          <w:trHeight w:val="602"/>
          <w:jc w:val="center"/>
        </w:trPr>
        <w:tc>
          <w:tcPr>
            <w:tcW w:w="241" w:type="pct"/>
            <w:tcBorders>
              <w:top w:val="single" w:sz="4" w:space="0" w:color="auto"/>
              <w:left w:val="single" w:sz="4" w:space="0" w:color="auto"/>
              <w:bottom w:val="single" w:sz="4" w:space="0" w:color="auto"/>
              <w:right w:val="single" w:sz="4" w:space="0" w:color="auto"/>
            </w:tcBorders>
            <w:shd w:val="clear" w:color="000000" w:fill="FFFFFF"/>
            <w:noWrap/>
          </w:tcPr>
          <w:p w:rsidR="00B9003F" w:rsidRPr="00C82570" w:rsidRDefault="00B9003F" w:rsidP="0068702B">
            <w:pPr>
              <w:spacing w:after="0" w:line="240" w:lineRule="auto"/>
              <w:rPr>
                <w:rFonts w:eastAsia="Times New Roman"/>
                <w:color w:val="000000"/>
                <w:szCs w:val="20"/>
              </w:rPr>
            </w:pPr>
            <w:r w:rsidRPr="00C82570">
              <w:rPr>
                <w:rFonts w:eastAsia="Times New Roman"/>
                <w:color w:val="000000"/>
                <w:szCs w:val="20"/>
              </w:rPr>
              <w:lastRenderedPageBreak/>
              <w:t>3.</w:t>
            </w:r>
          </w:p>
        </w:tc>
        <w:tc>
          <w:tcPr>
            <w:tcW w:w="220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003F" w:rsidRPr="00C82570" w:rsidRDefault="00B9003F" w:rsidP="0068702B">
            <w:pPr>
              <w:jc w:val="both"/>
              <w:rPr>
                <w:rFonts w:eastAsia="Times New Roman"/>
                <w:color w:val="000000"/>
                <w:szCs w:val="20"/>
              </w:rPr>
            </w:pPr>
            <w:r w:rsidRPr="00C82570">
              <w:rPr>
                <w:rFonts w:eastAsia="Times New Roman"/>
                <w:color w:val="000000"/>
                <w:szCs w:val="20"/>
              </w:rPr>
              <w:t>Diseño e implementación del módulo de subasta electrónica inversa.</w:t>
            </w:r>
          </w:p>
        </w:tc>
        <w:tc>
          <w:tcPr>
            <w:tcW w:w="62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MINFIN (DNCAE</w:t>
            </w:r>
          </w:p>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DTI)</w:t>
            </w:r>
          </w:p>
        </w:tc>
        <w:tc>
          <w:tcPr>
            <w:tcW w:w="690" w:type="pct"/>
            <w:tcBorders>
              <w:top w:val="single" w:sz="4" w:space="0" w:color="auto"/>
              <w:left w:val="nil"/>
              <w:bottom w:val="single" w:sz="4" w:space="0" w:color="auto"/>
              <w:right w:val="single" w:sz="4" w:space="0" w:color="auto"/>
            </w:tcBorders>
            <w:shd w:val="clear" w:color="000000" w:fill="FFFFFF"/>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552"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rPr>
                <w:rFonts w:eastAsia="Times New Roman"/>
                <w:color w:val="000000"/>
                <w:szCs w:val="20"/>
              </w:rPr>
            </w:pPr>
            <w:r w:rsidRPr="00C82570">
              <w:rPr>
                <w:rFonts w:eastAsia="Times New Roman"/>
                <w:color w:val="000000"/>
                <w:szCs w:val="20"/>
              </w:rPr>
              <w:t>Agosto 2016</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rPr>
                <w:rFonts w:eastAsia="Times New Roman"/>
                <w:color w:val="000000"/>
                <w:szCs w:val="20"/>
              </w:rPr>
            </w:pPr>
            <w:r w:rsidRPr="00C82570">
              <w:rPr>
                <w:rFonts w:eastAsia="Times New Roman"/>
                <w:color w:val="000000"/>
                <w:szCs w:val="20"/>
              </w:rPr>
              <w:t>Junio 2018</w:t>
            </w:r>
          </w:p>
        </w:tc>
      </w:tr>
      <w:tr w:rsidR="00B9003F" w:rsidRPr="00C82570" w:rsidTr="0068702B">
        <w:trPr>
          <w:trHeight w:val="602"/>
          <w:jc w:val="center"/>
        </w:trPr>
        <w:tc>
          <w:tcPr>
            <w:tcW w:w="241" w:type="pct"/>
            <w:tcBorders>
              <w:top w:val="single" w:sz="4" w:space="0" w:color="auto"/>
              <w:left w:val="single" w:sz="4" w:space="0" w:color="auto"/>
              <w:bottom w:val="single" w:sz="4" w:space="0" w:color="auto"/>
              <w:right w:val="single" w:sz="4" w:space="0" w:color="auto"/>
            </w:tcBorders>
            <w:shd w:val="clear" w:color="000000" w:fill="FFFFFF"/>
            <w:noWrap/>
          </w:tcPr>
          <w:p w:rsidR="00B9003F" w:rsidRPr="00C82570" w:rsidRDefault="00B9003F" w:rsidP="0068702B">
            <w:pPr>
              <w:spacing w:after="0" w:line="240" w:lineRule="auto"/>
              <w:rPr>
                <w:rFonts w:eastAsia="Times New Roman"/>
                <w:color w:val="000000"/>
                <w:szCs w:val="20"/>
              </w:rPr>
            </w:pPr>
            <w:r w:rsidRPr="00C82570">
              <w:rPr>
                <w:rFonts w:eastAsia="Times New Roman"/>
                <w:color w:val="000000"/>
                <w:szCs w:val="20"/>
              </w:rPr>
              <w:t>4.</w:t>
            </w:r>
          </w:p>
        </w:tc>
        <w:tc>
          <w:tcPr>
            <w:tcW w:w="220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003F" w:rsidRPr="00C82570" w:rsidRDefault="00B9003F" w:rsidP="0068702B">
            <w:pPr>
              <w:spacing w:after="0" w:line="240" w:lineRule="auto"/>
              <w:jc w:val="both"/>
              <w:rPr>
                <w:rFonts w:eastAsia="Times New Roman"/>
                <w:color w:val="000000"/>
                <w:szCs w:val="20"/>
              </w:rPr>
            </w:pPr>
            <w:r w:rsidRPr="00C82570">
              <w:rPr>
                <w:rFonts w:eastAsia="Times New Roman"/>
                <w:color w:val="000000"/>
                <w:szCs w:val="20"/>
              </w:rPr>
              <w:t xml:space="preserve">Diseño, creación e implementación de la plataforma electrónica del Registro General de Adquisiciones del Estado. </w:t>
            </w:r>
          </w:p>
        </w:tc>
        <w:tc>
          <w:tcPr>
            <w:tcW w:w="62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MINFIN (DNCAE</w:t>
            </w:r>
          </w:p>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DTI)</w:t>
            </w:r>
          </w:p>
        </w:tc>
        <w:tc>
          <w:tcPr>
            <w:tcW w:w="690" w:type="pct"/>
            <w:tcBorders>
              <w:top w:val="single" w:sz="4" w:space="0" w:color="auto"/>
              <w:left w:val="nil"/>
              <w:bottom w:val="single" w:sz="4" w:space="0" w:color="auto"/>
              <w:right w:val="single" w:sz="4" w:space="0" w:color="auto"/>
            </w:tcBorders>
            <w:shd w:val="clear" w:color="000000" w:fill="FFFFFF"/>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552"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pPr>
            <w:r w:rsidRPr="00C82570">
              <w:rPr>
                <w:rFonts w:eastAsia="Times New Roman"/>
                <w:color w:val="000000"/>
                <w:szCs w:val="20"/>
              </w:rPr>
              <w:t>Agosto 2016</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pPr>
            <w:r w:rsidRPr="00C82570">
              <w:rPr>
                <w:rFonts w:eastAsia="Times New Roman"/>
                <w:color w:val="000000"/>
                <w:szCs w:val="20"/>
              </w:rPr>
              <w:t>Junio 2018</w:t>
            </w:r>
          </w:p>
        </w:tc>
      </w:tr>
      <w:tr w:rsidR="00B9003F" w:rsidRPr="00C82570" w:rsidTr="0068702B">
        <w:trPr>
          <w:trHeight w:val="602"/>
          <w:jc w:val="center"/>
        </w:trPr>
        <w:tc>
          <w:tcPr>
            <w:tcW w:w="241" w:type="pct"/>
            <w:tcBorders>
              <w:top w:val="single" w:sz="4" w:space="0" w:color="auto"/>
              <w:left w:val="single" w:sz="4" w:space="0" w:color="auto"/>
              <w:bottom w:val="single" w:sz="4" w:space="0" w:color="auto"/>
              <w:right w:val="single" w:sz="4" w:space="0" w:color="auto"/>
            </w:tcBorders>
            <w:shd w:val="clear" w:color="000000" w:fill="FFFFFF"/>
            <w:noWrap/>
          </w:tcPr>
          <w:p w:rsidR="00B9003F" w:rsidRPr="00C82570" w:rsidRDefault="00B9003F" w:rsidP="0068702B">
            <w:pPr>
              <w:spacing w:after="0" w:line="240" w:lineRule="auto"/>
              <w:rPr>
                <w:rFonts w:eastAsia="Times New Roman"/>
                <w:color w:val="000000"/>
                <w:szCs w:val="20"/>
              </w:rPr>
            </w:pPr>
            <w:r w:rsidRPr="00C82570">
              <w:rPr>
                <w:rFonts w:eastAsia="Times New Roman"/>
                <w:color w:val="000000"/>
                <w:szCs w:val="20"/>
              </w:rPr>
              <w:t>5.</w:t>
            </w:r>
          </w:p>
        </w:tc>
        <w:tc>
          <w:tcPr>
            <w:tcW w:w="220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9003F" w:rsidRPr="00C82570" w:rsidRDefault="00B9003F" w:rsidP="0068702B">
            <w:pPr>
              <w:jc w:val="both"/>
              <w:rPr>
                <w:rFonts w:eastAsia="Times New Roman"/>
                <w:color w:val="000000"/>
                <w:szCs w:val="20"/>
              </w:rPr>
            </w:pPr>
            <w:r w:rsidRPr="00C82570">
              <w:rPr>
                <w:rFonts w:eastAsia="Times New Roman"/>
                <w:color w:val="000000"/>
                <w:szCs w:val="20"/>
              </w:rPr>
              <w:t>Capacitación a funcionarios públicos, sociedad civil a cerca del Registro General de Adquisiciones del Estado.</w:t>
            </w:r>
          </w:p>
        </w:tc>
        <w:tc>
          <w:tcPr>
            <w:tcW w:w="62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MINFIN (DNCAE)/ INAP</w:t>
            </w:r>
          </w:p>
        </w:tc>
        <w:tc>
          <w:tcPr>
            <w:tcW w:w="690" w:type="pct"/>
            <w:tcBorders>
              <w:top w:val="single" w:sz="4" w:space="0" w:color="auto"/>
              <w:left w:val="nil"/>
              <w:bottom w:val="single" w:sz="4" w:space="0" w:color="auto"/>
              <w:right w:val="single" w:sz="4" w:space="0" w:color="auto"/>
            </w:tcBorders>
            <w:shd w:val="clear" w:color="000000" w:fill="FFFFFF"/>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552"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pPr>
            <w:r w:rsidRPr="00C82570">
              <w:rPr>
                <w:rFonts w:eastAsia="Times New Roman"/>
                <w:color w:val="000000"/>
                <w:szCs w:val="20"/>
              </w:rPr>
              <w:t>Agosto 2016</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pPr>
            <w:r w:rsidRPr="00C82570">
              <w:rPr>
                <w:rFonts w:eastAsia="Times New Roman"/>
                <w:color w:val="000000"/>
                <w:szCs w:val="20"/>
              </w:rPr>
              <w:t>Junio 2018</w:t>
            </w:r>
          </w:p>
        </w:tc>
      </w:tr>
      <w:tr w:rsidR="00B9003F" w:rsidRPr="00C82570" w:rsidTr="0068702B">
        <w:trPr>
          <w:trHeight w:val="602"/>
          <w:jc w:val="center"/>
        </w:trPr>
        <w:tc>
          <w:tcPr>
            <w:tcW w:w="241" w:type="pct"/>
            <w:tcBorders>
              <w:top w:val="single" w:sz="4" w:space="0" w:color="auto"/>
              <w:left w:val="single" w:sz="4" w:space="0" w:color="auto"/>
              <w:bottom w:val="single" w:sz="4" w:space="0" w:color="auto"/>
              <w:right w:val="single" w:sz="4" w:space="0" w:color="auto"/>
            </w:tcBorders>
            <w:shd w:val="clear" w:color="000000" w:fill="FFFFFF"/>
            <w:noWrap/>
          </w:tcPr>
          <w:p w:rsidR="00B9003F" w:rsidRPr="00C82570" w:rsidRDefault="00B9003F" w:rsidP="0068702B">
            <w:pPr>
              <w:spacing w:after="0" w:line="240" w:lineRule="auto"/>
              <w:rPr>
                <w:rFonts w:eastAsia="Times New Roman"/>
                <w:szCs w:val="20"/>
              </w:rPr>
            </w:pPr>
            <w:r w:rsidRPr="00C82570">
              <w:rPr>
                <w:rFonts w:eastAsia="Times New Roman"/>
                <w:szCs w:val="20"/>
              </w:rPr>
              <w:t>6.</w:t>
            </w:r>
          </w:p>
        </w:tc>
        <w:tc>
          <w:tcPr>
            <w:tcW w:w="220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03F" w:rsidRPr="00C82570" w:rsidRDefault="00B9003F" w:rsidP="0068702B">
            <w:pPr>
              <w:jc w:val="both"/>
              <w:rPr>
                <w:rFonts w:eastAsia="Times New Roman"/>
                <w:color w:val="000000"/>
                <w:szCs w:val="20"/>
              </w:rPr>
            </w:pPr>
            <w:r w:rsidRPr="00C82570">
              <w:rPr>
                <w:rFonts w:eastAsia="Times New Roman"/>
                <w:color w:val="000000"/>
                <w:szCs w:val="20"/>
              </w:rPr>
              <w:t>Evaluar la conveniencia de adoptar la contratación abierta y el uso de datos de contratos públicos (open contracting) y publicar un informe</w:t>
            </w:r>
            <w:r>
              <w:rPr>
                <w:rFonts w:eastAsia="Times New Roman"/>
                <w:color w:val="000000"/>
                <w:szCs w:val="20"/>
              </w:rPr>
              <w:t xml:space="preserve"> </w:t>
            </w:r>
            <w:r w:rsidRPr="00C82570">
              <w:rPr>
                <w:rFonts w:eastAsia="Times New Roman"/>
                <w:color w:val="000000"/>
                <w:szCs w:val="20"/>
              </w:rPr>
              <w:t>sobre la evaluación.</w:t>
            </w:r>
          </w:p>
        </w:tc>
        <w:tc>
          <w:tcPr>
            <w:tcW w:w="62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MINFIN (DNCAE)</w:t>
            </w:r>
          </w:p>
        </w:tc>
        <w:tc>
          <w:tcPr>
            <w:tcW w:w="690" w:type="pct"/>
            <w:tcBorders>
              <w:top w:val="single" w:sz="4" w:space="0" w:color="auto"/>
              <w:left w:val="nil"/>
              <w:bottom w:val="single" w:sz="4" w:space="0" w:color="auto"/>
              <w:right w:val="single" w:sz="4" w:space="0" w:color="auto"/>
            </w:tcBorders>
            <w:shd w:val="clear" w:color="000000" w:fill="FFFFFF"/>
            <w:vAlign w:val="center"/>
          </w:tcPr>
          <w:p w:rsidR="00B9003F" w:rsidRPr="00C82570" w:rsidRDefault="00B9003F" w:rsidP="0068702B">
            <w:pPr>
              <w:spacing w:after="0" w:line="240" w:lineRule="auto"/>
              <w:jc w:val="center"/>
              <w:rPr>
                <w:rFonts w:eastAsia="Times New Roman"/>
                <w:color w:val="000000"/>
                <w:szCs w:val="20"/>
              </w:rPr>
            </w:pPr>
            <w:r w:rsidRPr="00C82570">
              <w:rPr>
                <w:rFonts w:eastAsia="Times New Roman"/>
                <w:color w:val="000000"/>
                <w:szCs w:val="20"/>
              </w:rPr>
              <w:t>Nuevo</w:t>
            </w:r>
          </w:p>
        </w:tc>
        <w:tc>
          <w:tcPr>
            <w:tcW w:w="552"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pPr>
            <w:r w:rsidRPr="00C82570">
              <w:rPr>
                <w:rFonts w:eastAsia="Times New Roman"/>
                <w:color w:val="000000"/>
                <w:szCs w:val="20"/>
              </w:rPr>
              <w:t>Agosto 2016</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rsidR="00B9003F" w:rsidRPr="00C82570" w:rsidRDefault="00B9003F" w:rsidP="0068702B">
            <w:pPr>
              <w:jc w:val="center"/>
            </w:pPr>
            <w:r w:rsidRPr="00C82570">
              <w:rPr>
                <w:rFonts w:eastAsia="Times New Roman"/>
                <w:color w:val="000000"/>
                <w:szCs w:val="20"/>
              </w:rPr>
              <w:t>Junio 2018</w:t>
            </w:r>
          </w:p>
        </w:tc>
      </w:tr>
    </w:tbl>
    <w:p w:rsidR="00B9003F" w:rsidRDefault="00B9003F" w:rsidP="00B9003F">
      <w:pPr>
        <w:rPr>
          <w:lang w:val="es-ES" w:eastAsia="es-ES"/>
        </w:rPr>
      </w:pPr>
    </w:p>
    <w:p w:rsidR="00B9003F" w:rsidRPr="00B9003F" w:rsidRDefault="00B9003F"/>
    <w:sectPr w:rsidR="00B9003F" w:rsidRPr="00B9003F" w:rsidSect="007E6A41">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2F" w:rsidRDefault="00BD2F2F" w:rsidP="00B80C88">
      <w:pPr>
        <w:spacing w:after="0" w:line="240" w:lineRule="auto"/>
      </w:pPr>
      <w:r>
        <w:separator/>
      </w:r>
    </w:p>
  </w:endnote>
  <w:endnote w:type="continuationSeparator" w:id="0">
    <w:p w:rsidR="00BD2F2F" w:rsidRDefault="00BD2F2F" w:rsidP="00B80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6800"/>
      <w:docPartObj>
        <w:docPartGallery w:val="Page Numbers (Bottom of Page)"/>
        <w:docPartUnique/>
      </w:docPartObj>
    </w:sdtPr>
    <w:sdtContent>
      <w:p w:rsidR="00B80C88" w:rsidRDefault="00B80C88">
        <w:pPr>
          <w:pStyle w:val="Piedepgina"/>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80C88" w:rsidRDefault="00B80C88">
                    <w:pPr>
                      <w:jc w:val="center"/>
                      <w:rPr>
                        <w:lang w:val="es-ES"/>
                      </w:rPr>
                    </w:pPr>
                    <w:r>
                      <w:rPr>
                        <w:lang w:val="es-ES"/>
                      </w:rPr>
                      <w:fldChar w:fldCharType="begin"/>
                    </w:r>
                    <w:r>
                      <w:rPr>
                        <w:lang w:val="es-ES"/>
                      </w:rPr>
                      <w:instrText xml:space="preserve"> PAGE    \* MERGEFORMAT </w:instrText>
                    </w:r>
                    <w:r>
                      <w:rPr>
                        <w:lang w:val="es-ES"/>
                      </w:rPr>
                      <w:fldChar w:fldCharType="separate"/>
                    </w:r>
                    <w:r w:rsidRPr="00B80C88">
                      <w:rPr>
                        <w:noProof/>
                        <w:sz w:val="16"/>
                        <w:szCs w:val="16"/>
                      </w:rPr>
                      <w:t>1</w:t>
                    </w:r>
                    <w:r>
                      <w:rPr>
                        <w:lang w:val="es-ES"/>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2F" w:rsidRDefault="00BD2F2F" w:rsidP="00B80C88">
      <w:pPr>
        <w:spacing w:after="0" w:line="240" w:lineRule="auto"/>
      </w:pPr>
      <w:r>
        <w:separator/>
      </w:r>
    </w:p>
  </w:footnote>
  <w:footnote w:type="continuationSeparator" w:id="0">
    <w:p w:rsidR="00BD2F2F" w:rsidRDefault="00BD2F2F" w:rsidP="00B80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50A10"/>
    <w:multiLevelType w:val="hybridMultilevel"/>
    <w:tmpl w:val="C4AA5F2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3EE5087E"/>
    <w:multiLevelType w:val="hybridMultilevel"/>
    <w:tmpl w:val="D9D43FE6"/>
    <w:lvl w:ilvl="0" w:tplc="19427B2C">
      <w:start w:val="19"/>
      <w:numFmt w:val="decimal"/>
      <w:lvlText w:val="%1."/>
      <w:lvlJc w:val="left"/>
      <w:pPr>
        <w:ind w:left="1440" w:hanging="360"/>
      </w:pPr>
      <w:rPr>
        <w:rFonts w:hint="default"/>
        <w:sz w:val="24"/>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
    <w:nsid w:val="56A12D97"/>
    <w:multiLevelType w:val="hybridMultilevel"/>
    <w:tmpl w:val="639601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57C86A9A"/>
    <w:multiLevelType w:val="hybridMultilevel"/>
    <w:tmpl w:val="46DA922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686248D3"/>
    <w:multiLevelType w:val="hybridMultilevel"/>
    <w:tmpl w:val="4F40A2B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9003F"/>
    <w:rsid w:val="007E6A41"/>
    <w:rsid w:val="00B80C88"/>
    <w:rsid w:val="00B9003F"/>
    <w:rsid w:val="00BD2F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3F"/>
    <w:pPr>
      <w:spacing w:after="160" w:line="259" w:lineRule="auto"/>
    </w:pPr>
    <w:rPr>
      <w:rFonts w:ascii="Calibri" w:eastAsia="Calibri" w:hAnsi="Calibri" w:cs="Times New Roman"/>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80C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80C88"/>
    <w:rPr>
      <w:rFonts w:ascii="Calibri" w:eastAsia="Calibri" w:hAnsi="Calibri" w:cs="Times New Roman"/>
      <w:lang w:val="es-GT"/>
    </w:rPr>
  </w:style>
  <w:style w:type="paragraph" w:styleId="Piedepgina">
    <w:name w:val="footer"/>
    <w:basedOn w:val="Normal"/>
    <w:link w:val="PiedepginaCar"/>
    <w:uiPriority w:val="99"/>
    <w:semiHidden/>
    <w:unhideWhenUsed/>
    <w:rsid w:val="00B80C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80C88"/>
    <w:rPr>
      <w:rFonts w:ascii="Calibri" w:eastAsia="Calibri" w:hAnsi="Calibri" w:cs="Times New Roman"/>
      <w:lang w:val="es-G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bizurez@minfin.gob.gt" TargetMode="External"/><Relationship Id="rId3" Type="http://schemas.openxmlformats.org/officeDocument/2006/relationships/settings" Target="settings.xml"/><Relationship Id="rId7" Type="http://schemas.openxmlformats.org/officeDocument/2006/relationships/hyperlink" Target="mailto:llopez@minfin.gob.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4289</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transpfis08</dc:creator>
  <cp:keywords/>
  <dc:description/>
  <cp:lastModifiedBy>transpfis08</cp:lastModifiedBy>
  <cp:revision>2</cp:revision>
  <dcterms:created xsi:type="dcterms:W3CDTF">2016-09-30T16:52:00Z</dcterms:created>
  <dcterms:modified xsi:type="dcterms:W3CDTF">2016-09-30T16:54:00Z</dcterms:modified>
</cp:coreProperties>
</file>