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004" w:rsidRDefault="00022004" w:rsidP="0011733C">
      <w:pPr>
        <w:pStyle w:val="Sinespaciado"/>
        <w:jc w:val="both"/>
        <w:rPr>
          <w:rFonts w:ascii="Times New Roman" w:hAnsi="Times New Roman" w:cs="Times New Roman"/>
          <w:b/>
          <w:sz w:val="24"/>
          <w:lang w:val="es-MX"/>
        </w:rPr>
      </w:pPr>
      <w:bookmarkStart w:id="0" w:name="_GoBack"/>
      <w:bookmarkEnd w:id="0"/>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022004">
      <w:pPr>
        <w:pStyle w:val="Sinespaciado"/>
        <w:jc w:val="center"/>
        <w:rPr>
          <w:rFonts w:ascii="Times New Roman" w:hAnsi="Times New Roman" w:cs="Times New Roman"/>
          <w:b/>
          <w:sz w:val="56"/>
          <w:lang w:val="es-MX"/>
        </w:rPr>
      </w:pPr>
      <w:r>
        <w:rPr>
          <w:rFonts w:ascii="Times New Roman" w:hAnsi="Times New Roman" w:cs="Times New Roman"/>
          <w:b/>
          <w:sz w:val="56"/>
          <w:lang w:val="es-MX"/>
        </w:rPr>
        <w:t>Informe Sobre</w:t>
      </w:r>
      <w:r w:rsidRPr="00022004">
        <w:rPr>
          <w:rFonts w:ascii="Times New Roman" w:hAnsi="Times New Roman" w:cs="Times New Roman"/>
          <w:b/>
          <w:sz w:val="56"/>
          <w:lang w:val="es-MX"/>
        </w:rPr>
        <w:t xml:space="preserve"> Riesgos Fiscales</w:t>
      </w:r>
    </w:p>
    <w:p w:rsidR="00022004" w:rsidRPr="00022004" w:rsidRDefault="00022004" w:rsidP="00022004">
      <w:pPr>
        <w:pStyle w:val="Sinespaciado"/>
        <w:jc w:val="center"/>
        <w:rPr>
          <w:rFonts w:ascii="Times New Roman" w:hAnsi="Times New Roman" w:cs="Times New Roman"/>
          <w:b/>
          <w:sz w:val="56"/>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Pr="00333BD0" w:rsidRDefault="00333BD0" w:rsidP="00333BD0">
      <w:pPr>
        <w:pStyle w:val="Sinespaciado"/>
        <w:jc w:val="center"/>
        <w:rPr>
          <w:rFonts w:ascii="Times New Roman" w:hAnsi="Times New Roman" w:cs="Times New Roman"/>
          <w:sz w:val="24"/>
          <w:lang w:val="es-MX"/>
        </w:rPr>
      </w:pPr>
      <w:r w:rsidRPr="00333BD0">
        <w:rPr>
          <w:rFonts w:ascii="Times New Roman" w:hAnsi="Times New Roman" w:cs="Times New Roman"/>
          <w:sz w:val="24"/>
          <w:lang w:val="es-MX"/>
        </w:rPr>
        <w:t>Guatemala, marzo 2018</w:t>
      </w:r>
    </w:p>
    <w:p w:rsidR="00333BD0" w:rsidRDefault="00333BD0"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sdt>
      <w:sdtPr>
        <w:rPr>
          <w:rFonts w:asciiTheme="minorHAnsi" w:eastAsiaTheme="minorEastAsia" w:hAnsiTheme="minorHAnsi" w:cstheme="minorBidi"/>
          <w:color w:val="auto"/>
          <w:sz w:val="21"/>
          <w:szCs w:val="21"/>
          <w:lang w:val="es-ES"/>
        </w:rPr>
        <w:id w:val="-1456555278"/>
        <w:docPartObj>
          <w:docPartGallery w:val="Table of Contents"/>
          <w:docPartUnique/>
        </w:docPartObj>
      </w:sdtPr>
      <w:sdtEndPr>
        <w:rPr>
          <w:b/>
          <w:bCs/>
        </w:rPr>
      </w:sdtEndPr>
      <w:sdtContent>
        <w:p w:rsidR="00285C61" w:rsidRPr="00C8516B" w:rsidRDefault="00285C61" w:rsidP="00CE6196">
          <w:pPr>
            <w:pStyle w:val="TtulodeTDC"/>
            <w:spacing w:before="0" w:after="0"/>
            <w:rPr>
              <w:rFonts w:ascii="Times New Roman" w:hAnsi="Times New Roman" w:cs="Times New Roman"/>
              <w:b/>
              <w:color w:val="auto"/>
              <w:sz w:val="24"/>
              <w:szCs w:val="24"/>
              <w:lang w:val="es-ES"/>
            </w:rPr>
          </w:pPr>
          <w:r w:rsidRPr="00C8516B">
            <w:rPr>
              <w:rFonts w:ascii="Times New Roman" w:hAnsi="Times New Roman" w:cs="Times New Roman"/>
              <w:b/>
              <w:color w:val="auto"/>
              <w:sz w:val="24"/>
              <w:szCs w:val="24"/>
              <w:lang w:val="es-ES"/>
            </w:rPr>
            <w:t>Contenido</w:t>
          </w:r>
        </w:p>
        <w:p w:rsidR="0059661F" w:rsidRPr="00C8516B" w:rsidRDefault="0059661F" w:rsidP="0059661F">
          <w:pPr>
            <w:rPr>
              <w:rFonts w:ascii="Times New Roman" w:hAnsi="Times New Roman" w:cs="Times New Roman"/>
              <w:sz w:val="24"/>
              <w:szCs w:val="24"/>
              <w:lang w:val="es-ES"/>
            </w:rPr>
          </w:pPr>
        </w:p>
        <w:p w:rsidR="00C8516B" w:rsidRPr="00C8516B" w:rsidRDefault="00285C61">
          <w:pPr>
            <w:pStyle w:val="TDC1"/>
            <w:tabs>
              <w:tab w:val="right" w:leader="dot" w:pos="8828"/>
            </w:tabs>
            <w:rPr>
              <w:rFonts w:ascii="Times New Roman" w:hAnsi="Times New Roman" w:cs="Times New Roman"/>
              <w:noProof/>
              <w:sz w:val="24"/>
              <w:szCs w:val="24"/>
              <w:lang w:eastAsia="es-GT"/>
            </w:rPr>
          </w:pPr>
          <w:r w:rsidRPr="00C8516B">
            <w:rPr>
              <w:rFonts w:ascii="Times New Roman" w:hAnsi="Times New Roman" w:cs="Times New Roman"/>
              <w:sz w:val="24"/>
              <w:szCs w:val="24"/>
            </w:rPr>
            <w:fldChar w:fldCharType="begin"/>
          </w:r>
          <w:r w:rsidRPr="00C8516B">
            <w:rPr>
              <w:rFonts w:ascii="Times New Roman" w:hAnsi="Times New Roman" w:cs="Times New Roman"/>
              <w:sz w:val="24"/>
              <w:szCs w:val="24"/>
            </w:rPr>
            <w:instrText xml:space="preserve"> TOC \o "1-3" \h \z \u </w:instrText>
          </w:r>
          <w:r w:rsidRPr="00C8516B">
            <w:rPr>
              <w:rFonts w:ascii="Times New Roman" w:hAnsi="Times New Roman" w:cs="Times New Roman"/>
              <w:sz w:val="24"/>
              <w:szCs w:val="24"/>
            </w:rPr>
            <w:fldChar w:fldCharType="separate"/>
          </w:r>
          <w:hyperlink w:anchor="_Toc509214730" w:history="1">
            <w:r w:rsidR="00C8516B" w:rsidRPr="00C8516B">
              <w:rPr>
                <w:rStyle w:val="Hipervnculo"/>
                <w:rFonts w:ascii="Times New Roman" w:hAnsi="Times New Roman" w:cs="Times New Roman"/>
                <w:noProof/>
                <w:sz w:val="24"/>
                <w:szCs w:val="24"/>
                <w:lang w:val="es-MX"/>
              </w:rPr>
              <w:t>Introducción</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_Toc509214730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3</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1"/>
            <w:tabs>
              <w:tab w:val="left" w:pos="420"/>
              <w:tab w:val="right" w:leader="dot" w:pos="8828"/>
            </w:tabs>
            <w:rPr>
              <w:rFonts w:ascii="Times New Roman" w:hAnsi="Times New Roman" w:cs="Times New Roman"/>
              <w:noProof/>
              <w:sz w:val="24"/>
              <w:szCs w:val="24"/>
              <w:lang w:eastAsia="es-GT"/>
            </w:rPr>
          </w:pPr>
          <w:hyperlink w:anchor="_Toc509214731" w:history="1">
            <w:r w:rsidR="00C8516B" w:rsidRPr="00C8516B">
              <w:rPr>
                <w:rStyle w:val="Hipervnculo"/>
                <w:rFonts w:ascii="Times New Roman" w:hAnsi="Times New Roman" w:cs="Times New Roman"/>
                <w:noProof/>
                <w:sz w:val="24"/>
                <w:szCs w:val="24"/>
                <w:lang w:val="es-MX"/>
              </w:rPr>
              <w:t>I.</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Riesgos Fiscales Macroeconómicos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_Toc509214731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4</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32" w:history="1">
            <w:r w:rsidR="00C8516B" w:rsidRPr="00C8516B">
              <w:rPr>
                <w:rStyle w:val="Hipervnculo"/>
                <w:rFonts w:ascii="Times New Roman" w:hAnsi="Times New Roman" w:cs="Times New Roman"/>
                <w:noProof/>
                <w:sz w:val="24"/>
                <w:szCs w:val="24"/>
                <w:lang w:val="es-MX"/>
              </w:rPr>
              <w:t>1.1</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Comportamiento histórico reciente de las variables macroeconómicas y fiscales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_Toc509214732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4</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33" w:history="1">
            <w:r w:rsidR="00C8516B" w:rsidRPr="00C8516B">
              <w:rPr>
                <w:rStyle w:val="Hipervnculo"/>
                <w:rFonts w:ascii="Times New Roman" w:hAnsi="Times New Roman" w:cs="Times New Roman"/>
                <w:noProof/>
                <w:sz w:val="24"/>
                <w:szCs w:val="24"/>
                <w:lang w:val="es-MX"/>
              </w:rPr>
              <w:t>1.2</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Desviación entre el pronóstico y lo observado</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_Toc509214733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7</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34" w:history="1">
            <w:r w:rsidR="00C8516B" w:rsidRPr="00C8516B">
              <w:rPr>
                <w:rStyle w:val="Hipervnculo"/>
                <w:rFonts w:ascii="Times New Roman" w:hAnsi="Times New Roman" w:cs="Times New Roman"/>
                <w:noProof/>
                <w:sz w:val="24"/>
                <w:szCs w:val="24"/>
                <w:lang w:val="es-MX"/>
              </w:rPr>
              <w:t>1.3</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Entorno Internacional y Riesgos Asociados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_Toc509214734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12</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39" w:history="1">
            <w:r w:rsidR="00C8516B" w:rsidRPr="00C8516B">
              <w:rPr>
                <w:rStyle w:val="Hipervnculo"/>
                <w:rFonts w:ascii="Times New Roman" w:hAnsi="Times New Roman" w:cs="Times New Roman"/>
                <w:noProof/>
                <w:sz w:val="24"/>
                <w:szCs w:val="24"/>
                <w:lang w:val="es-MX"/>
              </w:rPr>
              <w:t>1.4</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Perspectivas económicas nacionales 2018-2022</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_Toc509214739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16</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40" w:history="1">
            <w:r w:rsidR="00C8516B" w:rsidRPr="00C8516B">
              <w:rPr>
                <w:rStyle w:val="Hipervnculo"/>
                <w:rFonts w:ascii="Times New Roman" w:hAnsi="Times New Roman" w:cs="Times New Roman"/>
                <w:noProof/>
                <w:sz w:val="24"/>
                <w:szCs w:val="24"/>
                <w:lang w:val="es-MX"/>
              </w:rPr>
              <w:t>1.5</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Riesgos Fiscales de la Deuda Pública</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_Toc509214740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17</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3"/>
            <w:tabs>
              <w:tab w:val="left" w:pos="1100"/>
              <w:tab w:val="right" w:leader="dot" w:pos="8828"/>
            </w:tabs>
            <w:rPr>
              <w:rFonts w:ascii="Times New Roman" w:hAnsi="Times New Roman" w:cs="Times New Roman"/>
              <w:noProof/>
              <w:sz w:val="24"/>
              <w:szCs w:val="24"/>
              <w:lang w:eastAsia="es-GT"/>
            </w:rPr>
          </w:pPr>
          <w:hyperlink w:anchor="_Toc509214747" w:history="1">
            <w:r w:rsidR="005F7830">
              <w:rPr>
                <w:rStyle w:val="Hipervnculo"/>
                <w:rFonts w:ascii="Times New Roman" w:hAnsi="Times New Roman" w:cs="Times New Roman"/>
                <w:noProof/>
                <w:sz w:val="24"/>
                <w:szCs w:val="24"/>
                <w:lang w:val="es-MX"/>
              </w:rPr>
              <w:t>1</w:t>
            </w:r>
            <w:r w:rsidR="00C8516B" w:rsidRPr="00C8516B">
              <w:rPr>
                <w:rStyle w:val="Hipervnculo"/>
                <w:rFonts w:ascii="Times New Roman" w:hAnsi="Times New Roman" w:cs="Times New Roman"/>
                <w:noProof/>
                <w:sz w:val="24"/>
                <w:szCs w:val="24"/>
                <w:lang w:val="es-MX"/>
              </w:rPr>
              <w:t>.5.1</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Perspectivas del endeudamiento</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_Toc509214747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17</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1"/>
            <w:tabs>
              <w:tab w:val="left" w:pos="660"/>
              <w:tab w:val="right" w:leader="dot" w:pos="8828"/>
            </w:tabs>
            <w:rPr>
              <w:rFonts w:ascii="Times New Roman" w:hAnsi="Times New Roman" w:cs="Times New Roman"/>
              <w:noProof/>
              <w:sz w:val="24"/>
              <w:szCs w:val="24"/>
              <w:lang w:eastAsia="es-GT"/>
            </w:rPr>
          </w:pPr>
          <w:hyperlink w:anchor="_Toc509214748" w:history="1">
            <w:r w:rsidR="00C8516B" w:rsidRPr="00C8516B">
              <w:rPr>
                <w:rStyle w:val="Hipervnculo"/>
                <w:rFonts w:ascii="Times New Roman" w:hAnsi="Times New Roman" w:cs="Times New Roman"/>
                <w:noProof/>
                <w:sz w:val="24"/>
                <w:szCs w:val="24"/>
                <w:lang w:val="es-MX"/>
              </w:rPr>
              <w:t>II.</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Análisis de Sostenibilidad de la Deuda</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_Toc509214748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19</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51" w:history="1">
            <w:r w:rsidR="00C8516B" w:rsidRPr="00C8516B">
              <w:rPr>
                <w:rStyle w:val="Hipervnculo"/>
                <w:rFonts w:ascii="Times New Roman" w:hAnsi="Times New Roman" w:cs="Times New Roman"/>
                <w:noProof/>
                <w:sz w:val="24"/>
                <w:szCs w:val="24"/>
                <w:lang w:val="es-MX"/>
              </w:rPr>
              <w:t>2.1</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Análisis de Mediano Plazo</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_Toc509214751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19</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55" w:history="1">
            <w:r w:rsidR="00C8516B" w:rsidRPr="00C8516B">
              <w:rPr>
                <w:rStyle w:val="Hipervnculo"/>
                <w:rFonts w:ascii="Times New Roman" w:hAnsi="Times New Roman" w:cs="Times New Roman"/>
                <w:noProof/>
                <w:sz w:val="24"/>
                <w:szCs w:val="24"/>
                <w:lang w:val="es-MX"/>
              </w:rPr>
              <w:t>2.2</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Análisis de Largo Plazo</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_Toc509214755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23</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56" w:history="1">
            <w:r w:rsidR="00C8516B" w:rsidRPr="00C8516B">
              <w:rPr>
                <w:rStyle w:val="Hipervnculo"/>
                <w:rFonts w:ascii="Times New Roman" w:hAnsi="Times New Roman" w:cs="Times New Roman"/>
                <w:noProof/>
                <w:sz w:val="24"/>
                <w:szCs w:val="24"/>
                <w:lang w:val="es-MX"/>
              </w:rPr>
              <w:t>2.3</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Aspectos generales para la mitigación</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_Toc509214756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25</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1"/>
            <w:tabs>
              <w:tab w:val="left" w:pos="660"/>
              <w:tab w:val="right" w:leader="dot" w:pos="8828"/>
            </w:tabs>
            <w:rPr>
              <w:rFonts w:ascii="Times New Roman" w:hAnsi="Times New Roman" w:cs="Times New Roman"/>
              <w:noProof/>
              <w:sz w:val="24"/>
              <w:szCs w:val="24"/>
              <w:lang w:eastAsia="es-GT"/>
            </w:rPr>
          </w:pPr>
          <w:hyperlink w:anchor="_Toc509214757" w:history="1">
            <w:r w:rsidR="00C8516B" w:rsidRPr="00C8516B">
              <w:rPr>
                <w:rStyle w:val="Hipervnculo"/>
                <w:rFonts w:ascii="Times New Roman" w:hAnsi="Times New Roman" w:cs="Times New Roman"/>
                <w:noProof/>
                <w:sz w:val="24"/>
                <w:szCs w:val="24"/>
              </w:rPr>
              <w:t>III.</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rPr>
              <w:t>Riesgos fiscales que generan los desastres provocados por fenómenos naturales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_Toc509214757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26</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59" w:history="1">
            <w:r w:rsidR="00C8516B" w:rsidRPr="00C8516B">
              <w:rPr>
                <w:rStyle w:val="Hipervnculo"/>
                <w:rFonts w:ascii="Times New Roman" w:hAnsi="Times New Roman" w:cs="Times New Roman"/>
                <w:noProof/>
                <w:sz w:val="24"/>
                <w:szCs w:val="24"/>
              </w:rPr>
              <w:t>3.1</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Antecedentes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_Toc509214759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26</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60" w:history="1">
            <w:r w:rsidR="00C8516B" w:rsidRPr="00C8516B">
              <w:rPr>
                <w:rStyle w:val="Hipervnculo"/>
                <w:rFonts w:ascii="Times New Roman" w:hAnsi="Times New Roman" w:cs="Times New Roman"/>
                <w:noProof/>
                <w:sz w:val="24"/>
                <w:szCs w:val="24"/>
              </w:rPr>
              <w:t>3.2</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Vulnerabilidad fiscal ante los desastres ocasionados por fenómenos naturales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_Toc509214760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31</w:t>
            </w:r>
            <w:r w:rsidR="00C8516B" w:rsidRPr="00C8516B">
              <w:rPr>
                <w:rFonts w:ascii="Times New Roman" w:hAnsi="Times New Roman" w:cs="Times New Roman"/>
                <w:noProof/>
                <w:webHidden/>
                <w:sz w:val="24"/>
                <w:szCs w:val="24"/>
              </w:rPr>
              <w:fldChar w:fldCharType="end"/>
            </w:r>
          </w:hyperlink>
        </w:p>
        <w:p w:rsidR="00C8516B" w:rsidRPr="00C8516B" w:rsidRDefault="00E85236" w:rsidP="00BC6054">
          <w:pPr>
            <w:pStyle w:val="TDC2"/>
            <w:tabs>
              <w:tab w:val="left" w:pos="880"/>
              <w:tab w:val="right" w:leader="dot" w:pos="8828"/>
            </w:tabs>
            <w:ind w:left="880" w:hanging="670"/>
            <w:rPr>
              <w:rFonts w:ascii="Times New Roman" w:hAnsi="Times New Roman" w:cs="Times New Roman"/>
              <w:noProof/>
              <w:sz w:val="24"/>
              <w:szCs w:val="24"/>
              <w:lang w:eastAsia="es-GT"/>
            </w:rPr>
          </w:pPr>
          <w:hyperlink w:anchor="_Toc509214761" w:history="1">
            <w:r w:rsidR="00C8516B" w:rsidRPr="00C8516B">
              <w:rPr>
                <w:rStyle w:val="Hipervnculo"/>
                <w:rFonts w:ascii="Times New Roman" w:hAnsi="Times New Roman" w:cs="Times New Roman"/>
                <w:noProof/>
                <w:sz w:val="24"/>
                <w:szCs w:val="24"/>
                <w:lang w:val="es-MX"/>
              </w:rPr>
              <w:t>3.3</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Importancia de implementar una estrategia financiera para la gestión de riesgo de desastres provocados por fenómenos naturales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_Toc509214761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32</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68" w:history="1">
            <w:r w:rsidR="00C8516B" w:rsidRPr="00C8516B">
              <w:rPr>
                <w:rStyle w:val="Hipervnculo"/>
                <w:rFonts w:ascii="Times New Roman" w:hAnsi="Times New Roman" w:cs="Times New Roman"/>
                <w:noProof/>
                <w:sz w:val="24"/>
                <w:szCs w:val="24"/>
                <w:lang w:val="es-MX"/>
              </w:rPr>
              <w:t>3.4</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Aspectos generales para la mitigación</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_Toc509214768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33</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1"/>
            <w:tabs>
              <w:tab w:val="left" w:pos="660"/>
              <w:tab w:val="right" w:leader="dot" w:pos="8828"/>
            </w:tabs>
            <w:rPr>
              <w:rFonts w:ascii="Times New Roman" w:hAnsi="Times New Roman" w:cs="Times New Roman"/>
              <w:noProof/>
              <w:sz w:val="24"/>
              <w:szCs w:val="24"/>
              <w:lang w:eastAsia="es-GT"/>
            </w:rPr>
          </w:pPr>
          <w:hyperlink w:anchor="_Toc509214769" w:history="1">
            <w:r w:rsidR="00C8516B" w:rsidRPr="00C8516B">
              <w:rPr>
                <w:rStyle w:val="Hipervnculo"/>
                <w:rFonts w:ascii="Times New Roman" w:hAnsi="Times New Roman" w:cs="Times New Roman"/>
                <w:noProof/>
                <w:sz w:val="24"/>
                <w:szCs w:val="24"/>
                <w:lang w:val="es-MX"/>
              </w:rPr>
              <w:t>IV.</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Sistemas de pensiones: Régimen de Clases Pasivas Civiles del Estado</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_Toc509214769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34</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74" w:history="1">
            <w:r w:rsidR="00C8516B" w:rsidRPr="00C8516B">
              <w:rPr>
                <w:rStyle w:val="Hipervnculo"/>
                <w:rFonts w:ascii="Times New Roman" w:hAnsi="Times New Roman" w:cs="Times New Roman"/>
                <w:noProof/>
                <w:sz w:val="24"/>
                <w:szCs w:val="24"/>
                <w:lang w:val="es-MX"/>
              </w:rPr>
              <w:t>4.1</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Antecedentes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_Toc509214774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34</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82" w:history="1">
            <w:r w:rsidR="00C8516B" w:rsidRPr="00C8516B">
              <w:rPr>
                <w:rStyle w:val="Hipervnculo"/>
                <w:rFonts w:ascii="Times New Roman" w:hAnsi="Times New Roman" w:cs="Times New Roman"/>
                <w:noProof/>
                <w:sz w:val="24"/>
                <w:szCs w:val="24"/>
                <w:lang w:val="es-MX"/>
              </w:rPr>
              <w:t>4.2</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Situación actual del Régimen de Clases Pasivas Civiles del Estado</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_Toc509214782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35</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2"/>
            <w:tabs>
              <w:tab w:val="left" w:pos="880"/>
              <w:tab w:val="right" w:leader="dot" w:pos="8828"/>
            </w:tabs>
            <w:rPr>
              <w:rFonts w:ascii="Times New Roman" w:hAnsi="Times New Roman" w:cs="Times New Roman"/>
              <w:noProof/>
              <w:sz w:val="24"/>
              <w:szCs w:val="24"/>
              <w:lang w:eastAsia="es-GT"/>
            </w:rPr>
          </w:pPr>
          <w:hyperlink w:anchor="_Toc509214789" w:history="1">
            <w:r w:rsidR="00C8516B" w:rsidRPr="00C8516B">
              <w:rPr>
                <w:rStyle w:val="Hipervnculo"/>
                <w:rFonts w:ascii="Times New Roman" w:hAnsi="Times New Roman" w:cs="Times New Roman"/>
                <w:noProof/>
                <w:sz w:val="24"/>
                <w:szCs w:val="24"/>
                <w:lang w:val="es-MX"/>
              </w:rPr>
              <w:t>4.3</w:t>
            </w:r>
            <w:r w:rsidR="00C8516B" w:rsidRPr="00C8516B">
              <w:rPr>
                <w:rFonts w:ascii="Times New Roman" w:hAnsi="Times New Roman" w:cs="Times New Roman"/>
                <w:noProof/>
                <w:sz w:val="24"/>
                <w:szCs w:val="24"/>
                <w:lang w:eastAsia="es-GT"/>
              </w:rPr>
              <w:tab/>
            </w:r>
            <w:r w:rsidR="00C8516B" w:rsidRPr="00C8516B">
              <w:rPr>
                <w:rStyle w:val="Hipervnculo"/>
                <w:rFonts w:ascii="Times New Roman" w:hAnsi="Times New Roman" w:cs="Times New Roman"/>
                <w:noProof/>
                <w:sz w:val="24"/>
                <w:szCs w:val="24"/>
                <w:lang w:val="es-MX"/>
              </w:rPr>
              <w:t>Aspectos generales para la mitigación</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_Toc509214789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39</w:t>
            </w:r>
            <w:r w:rsidR="00C8516B" w:rsidRPr="00C8516B">
              <w:rPr>
                <w:rFonts w:ascii="Times New Roman" w:hAnsi="Times New Roman" w:cs="Times New Roman"/>
                <w:noProof/>
                <w:webHidden/>
                <w:sz w:val="24"/>
                <w:szCs w:val="24"/>
              </w:rPr>
              <w:fldChar w:fldCharType="end"/>
            </w:r>
          </w:hyperlink>
        </w:p>
        <w:p w:rsidR="00C8516B" w:rsidRPr="00C8516B" w:rsidRDefault="00E85236">
          <w:pPr>
            <w:pStyle w:val="TDC1"/>
            <w:tabs>
              <w:tab w:val="right" w:leader="dot" w:pos="8828"/>
            </w:tabs>
            <w:rPr>
              <w:rFonts w:ascii="Times New Roman" w:hAnsi="Times New Roman" w:cs="Times New Roman"/>
              <w:noProof/>
              <w:sz w:val="24"/>
              <w:szCs w:val="24"/>
              <w:lang w:eastAsia="es-GT"/>
            </w:rPr>
          </w:pPr>
          <w:hyperlink w:anchor="_Toc509214790" w:history="1">
            <w:r w:rsidR="00600380">
              <w:rPr>
                <w:rStyle w:val="Hipervnculo"/>
                <w:rFonts w:ascii="Times New Roman" w:hAnsi="Times New Roman" w:cs="Times New Roman"/>
                <w:noProof/>
                <w:sz w:val="24"/>
                <w:szCs w:val="24"/>
                <w:lang w:val="es-MX"/>
              </w:rPr>
              <w:t>ANEXOS</w:t>
            </w:r>
            <w:r w:rsidR="00C8516B" w:rsidRPr="00C8516B">
              <w:rPr>
                <w:rFonts w:ascii="Times New Roman" w:hAnsi="Times New Roman" w:cs="Times New Roman"/>
                <w:noProof/>
                <w:webHidden/>
                <w:sz w:val="24"/>
                <w:szCs w:val="24"/>
              </w:rPr>
              <w:tab/>
            </w:r>
            <w:r w:rsidR="00C8516B" w:rsidRPr="00C8516B">
              <w:rPr>
                <w:rFonts w:ascii="Times New Roman" w:hAnsi="Times New Roman" w:cs="Times New Roman"/>
                <w:noProof/>
                <w:webHidden/>
                <w:sz w:val="24"/>
                <w:szCs w:val="24"/>
              </w:rPr>
              <w:fldChar w:fldCharType="begin"/>
            </w:r>
            <w:r w:rsidR="00C8516B" w:rsidRPr="00C8516B">
              <w:rPr>
                <w:rFonts w:ascii="Times New Roman" w:hAnsi="Times New Roman" w:cs="Times New Roman"/>
                <w:noProof/>
                <w:webHidden/>
                <w:sz w:val="24"/>
                <w:szCs w:val="24"/>
              </w:rPr>
              <w:instrText xml:space="preserve"> PAGEREF _Toc509214790 \h </w:instrText>
            </w:r>
            <w:r w:rsidR="00C8516B" w:rsidRPr="00C8516B">
              <w:rPr>
                <w:rFonts w:ascii="Times New Roman" w:hAnsi="Times New Roman" w:cs="Times New Roman"/>
                <w:noProof/>
                <w:webHidden/>
                <w:sz w:val="24"/>
                <w:szCs w:val="24"/>
              </w:rPr>
            </w:r>
            <w:r w:rsidR="00C8516B" w:rsidRPr="00C8516B">
              <w:rPr>
                <w:rFonts w:ascii="Times New Roman" w:hAnsi="Times New Roman" w:cs="Times New Roman"/>
                <w:noProof/>
                <w:webHidden/>
                <w:sz w:val="24"/>
                <w:szCs w:val="24"/>
              </w:rPr>
              <w:fldChar w:fldCharType="separate"/>
            </w:r>
            <w:r w:rsidR="00B326C5">
              <w:rPr>
                <w:rFonts w:ascii="Times New Roman" w:hAnsi="Times New Roman" w:cs="Times New Roman"/>
                <w:noProof/>
                <w:webHidden/>
                <w:sz w:val="24"/>
                <w:szCs w:val="24"/>
              </w:rPr>
              <w:t>40</w:t>
            </w:r>
            <w:r w:rsidR="00C8516B" w:rsidRPr="00C8516B">
              <w:rPr>
                <w:rFonts w:ascii="Times New Roman" w:hAnsi="Times New Roman" w:cs="Times New Roman"/>
                <w:noProof/>
                <w:webHidden/>
                <w:sz w:val="24"/>
                <w:szCs w:val="24"/>
              </w:rPr>
              <w:fldChar w:fldCharType="end"/>
            </w:r>
          </w:hyperlink>
        </w:p>
        <w:p w:rsidR="00285C61" w:rsidRDefault="00285C61">
          <w:r w:rsidRPr="00C8516B">
            <w:rPr>
              <w:rFonts w:ascii="Times New Roman" w:hAnsi="Times New Roman" w:cs="Times New Roman"/>
              <w:bCs/>
              <w:sz w:val="24"/>
              <w:szCs w:val="24"/>
              <w:lang w:val="es-ES"/>
            </w:rPr>
            <w:fldChar w:fldCharType="end"/>
          </w:r>
        </w:p>
      </w:sdtContent>
    </w:sdt>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022004" w:rsidRDefault="00022004" w:rsidP="0011733C">
      <w:pPr>
        <w:pStyle w:val="Sinespaciado"/>
        <w:jc w:val="both"/>
        <w:rPr>
          <w:rFonts w:ascii="Times New Roman" w:hAnsi="Times New Roman" w:cs="Times New Roman"/>
          <w:b/>
          <w:sz w:val="24"/>
          <w:lang w:val="es-MX"/>
        </w:rPr>
      </w:pPr>
    </w:p>
    <w:p w:rsidR="00F511D6" w:rsidRDefault="00F511D6" w:rsidP="0011733C">
      <w:pPr>
        <w:pStyle w:val="Sinespaciado"/>
        <w:jc w:val="both"/>
        <w:rPr>
          <w:rFonts w:ascii="Times New Roman" w:hAnsi="Times New Roman" w:cs="Times New Roman"/>
          <w:b/>
          <w:sz w:val="24"/>
          <w:lang w:val="es-MX"/>
        </w:rPr>
      </w:pPr>
    </w:p>
    <w:p w:rsidR="00022004" w:rsidRPr="00022004" w:rsidRDefault="00022004" w:rsidP="00285C61">
      <w:pPr>
        <w:pStyle w:val="Sinespaciado"/>
        <w:jc w:val="both"/>
        <w:outlineLvl w:val="0"/>
        <w:rPr>
          <w:rFonts w:ascii="Times New Roman" w:hAnsi="Times New Roman" w:cs="Times New Roman"/>
          <w:b/>
          <w:sz w:val="24"/>
          <w:lang w:val="es-MX"/>
        </w:rPr>
      </w:pPr>
      <w:bookmarkStart w:id="1" w:name="_Toc509214730"/>
      <w:r w:rsidRPr="00022004">
        <w:rPr>
          <w:rFonts w:ascii="Times New Roman" w:hAnsi="Times New Roman" w:cs="Times New Roman"/>
          <w:b/>
          <w:sz w:val="24"/>
          <w:lang w:val="es-MX"/>
        </w:rPr>
        <w:t>Introducción</w:t>
      </w:r>
      <w:bookmarkEnd w:id="1"/>
    </w:p>
    <w:p w:rsidR="00022004" w:rsidRDefault="00022004" w:rsidP="0011733C">
      <w:pPr>
        <w:pStyle w:val="Sinespaciado"/>
        <w:jc w:val="both"/>
        <w:rPr>
          <w:rFonts w:ascii="Times New Roman" w:hAnsi="Times New Roman" w:cs="Times New Roman"/>
          <w:sz w:val="24"/>
          <w:lang w:val="es-MX"/>
        </w:rPr>
      </w:pPr>
    </w:p>
    <w:p w:rsidR="0011733C" w:rsidRDefault="0011733C" w:rsidP="0011733C">
      <w:pPr>
        <w:pStyle w:val="Sinespaciado"/>
        <w:jc w:val="both"/>
        <w:rPr>
          <w:rFonts w:ascii="Times New Roman" w:hAnsi="Times New Roman" w:cs="Times New Roman"/>
          <w:sz w:val="24"/>
          <w:lang w:val="es-MX"/>
        </w:rPr>
      </w:pPr>
      <w:r w:rsidRPr="0011733C">
        <w:rPr>
          <w:rFonts w:ascii="Times New Roman" w:hAnsi="Times New Roman" w:cs="Times New Roman"/>
          <w:sz w:val="24"/>
          <w:lang w:val="es-MX"/>
        </w:rPr>
        <w:t xml:space="preserve">El fortalecimiento de la transparencia fiscal es una de las principales agendas de la actual administración del Gobierno de la República de Guatemala por medio del Ministerio de Finanzas Públicas (MINFIN). El Fondo Monetario Internacional (FMI) define la transparencia fiscal como:  </w:t>
      </w:r>
      <w:r>
        <w:rPr>
          <w:rFonts w:ascii="Times New Roman" w:hAnsi="Times New Roman" w:cs="Times New Roman"/>
          <w:sz w:val="24"/>
          <w:lang w:val="es-MX"/>
        </w:rPr>
        <w:t xml:space="preserve"> </w:t>
      </w:r>
    </w:p>
    <w:p w:rsidR="0011733C" w:rsidRPr="0011733C" w:rsidRDefault="0011733C" w:rsidP="0011733C">
      <w:pPr>
        <w:pStyle w:val="Sinespaciado"/>
        <w:jc w:val="both"/>
        <w:rPr>
          <w:rFonts w:ascii="Times New Roman" w:hAnsi="Times New Roman" w:cs="Times New Roman"/>
          <w:sz w:val="24"/>
          <w:lang w:val="es-MX"/>
        </w:rPr>
      </w:pPr>
    </w:p>
    <w:p w:rsidR="0011733C" w:rsidRDefault="0011733C" w:rsidP="0011733C">
      <w:pPr>
        <w:pStyle w:val="Sinespaciado"/>
        <w:ind w:left="708"/>
        <w:jc w:val="both"/>
        <w:rPr>
          <w:rFonts w:ascii="Times New Roman" w:hAnsi="Times New Roman" w:cs="Times New Roman"/>
          <w:sz w:val="24"/>
          <w:lang w:val="es-MX"/>
        </w:rPr>
      </w:pPr>
      <w:r w:rsidRPr="0011733C">
        <w:rPr>
          <w:rFonts w:ascii="Times New Roman" w:hAnsi="Times New Roman" w:cs="Times New Roman"/>
          <w:sz w:val="24"/>
          <w:lang w:val="es-MX"/>
        </w:rPr>
        <w:t>“La claridad, confiabilidad, frecuencia, puntualidad y pertinencia de los informes fiscales públicos y la apertura al público del proceso de formulación de política fiscal del gobierno. La transparencia fiscal ayuda a garantizar que las decisiones de los gobiernos en materia de economía se informen en una evaluación compartida y exacta de la posición fiscal actual los costos y beneficios de cualquier modificación de la política y los riesgos potenciales para las perspectivas fiscales. Además, la transparencia fiscal brinda a las legislaturas, mercados y ciudadanos la información necesaria para tomar decisiones financieras eficientes y para responsabilizar al gobierno por el desempeño fiscal y la utilización de los recursos públicos. Por último, la transparencia fiscal facilita la vigilancia internacional de los acontecimientos fiscales y ayuda a mitigar la transmisión de c</w:t>
      </w:r>
      <w:r>
        <w:rPr>
          <w:rFonts w:ascii="Times New Roman" w:hAnsi="Times New Roman" w:cs="Times New Roman"/>
          <w:sz w:val="24"/>
          <w:lang w:val="es-MX"/>
        </w:rPr>
        <w:t>ontagio fiscal entre países.”</w:t>
      </w:r>
      <w:r w:rsidR="00022004">
        <w:rPr>
          <w:rStyle w:val="Refdenotaalpie"/>
          <w:rFonts w:ascii="Times New Roman" w:hAnsi="Times New Roman" w:cs="Times New Roman"/>
          <w:sz w:val="24"/>
          <w:lang w:val="es-MX"/>
        </w:rPr>
        <w:footnoteReference w:id="1"/>
      </w:r>
    </w:p>
    <w:p w:rsidR="0011733C" w:rsidRPr="0011733C" w:rsidRDefault="0011733C" w:rsidP="0011733C">
      <w:pPr>
        <w:pStyle w:val="Sinespaciado"/>
        <w:jc w:val="both"/>
        <w:rPr>
          <w:rFonts w:ascii="Times New Roman" w:hAnsi="Times New Roman" w:cs="Times New Roman"/>
          <w:sz w:val="24"/>
          <w:lang w:val="es-MX"/>
        </w:rPr>
      </w:pPr>
    </w:p>
    <w:p w:rsidR="0011733C" w:rsidRDefault="0011733C" w:rsidP="0011733C">
      <w:pPr>
        <w:pStyle w:val="Sinespaciado"/>
        <w:jc w:val="both"/>
        <w:rPr>
          <w:rFonts w:ascii="Times New Roman" w:hAnsi="Times New Roman" w:cs="Times New Roman"/>
          <w:sz w:val="24"/>
          <w:lang w:val="es-MX"/>
        </w:rPr>
      </w:pPr>
      <w:r w:rsidRPr="0011733C">
        <w:rPr>
          <w:rFonts w:ascii="Times New Roman" w:hAnsi="Times New Roman" w:cs="Times New Roman"/>
          <w:sz w:val="24"/>
          <w:lang w:val="es-MX"/>
        </w:rPr>
        <w:t>Por ello, el MINFIN solicitó al FMI una evaluación formal sobre transparencia fiscal, la cual fue realizada en 2016, y atendiendo a sus recomendaciones se decidió incluir como separata en el Presupuesto General de Ingresos y Egresos de la Nación para el año 2017 un informe que identificó los principales riesgos fiscales que enfrenta el Estado guatemalteco. Por riesgos fiscales, el FMI entiende aquello</w:t>
      </w:r>
      <w:r w:rsidR="00022004">
        <w:rPr>
          <w:rFonts w:ascii="Times New Roman" w:hAnsi="Times New Roman" w:cs="Times New Roman"/>
          <w:sz w:val="24"/>
          <w:lang w:val="es-MX"/>
        </w:rPr>
        <w:t>s</w:t>
      </w:r>
      <w:r w:rsidRPr="0011733C">
        <w:rPr>
          <w:rFonts w:ascii="Times New Roman" w:hAnsi="Times New Roman" w:cs="Times New Roman"/>
          <w:sz w:val="24"/>
          <w:lang w:val="es-MX"/>
        </w:rPr>
        <w:t xml:space="preserve"> factores que:   </w:t>
      </w:r>
    </w:p>
    <w:p w:rsidR="0011733C" w:rsidRPr="0011733C" w:rsidRDefault="0011733C" w:rsidP="0011733C">
      <w:pPr>
        <w:pStyle w:val="Sinespaciado"/>
        <w:jc w:val="both"/>
        <w:rPr>
          <w:rFonts w:ascii="Times New Roman" w:hAnsi="Times New Roman" w:cs="Times New Roman"/>
          <w:sz w:val="24"/>
          <w:lang w:val="es-MX"/>
        </w:rPr>
      </w:pPr>
    </w:p>
    <w:p w:rsidR="0011733C" w:rsidRDefault="0011733C" w:rsidP="00E83DF1">
      <w:pPr>
        <w:pStyle w:val="Sinespaciado"/>
        <w:ind w:left="708"/>
        <w:jc w:val="both"/>
        <w:rPr>
          <w:rFonts w:ascii="Times New Roman" w:hAnsi="Times New Roman" w:cs="Times New Roman"/>
          <w:sz w:val="24"/>
          <w:lang w:val="es-MX"/>
        </w:rPr>
      </w:pPr>
      <w:r w:rsidRPr="0011733C">
        <w:rPr>
          <w:rFonts w:ascii="Times New Roman" w:hAnsi="Times New Roman" w:cs="Times New Roman"/>
          <w:sz w:val="24"/>
          <w:lang w:val="es-MX"/>
        </w:rPr>
        <w:t xml:space="preserve">“Promueven las diferencias entre la posición fiscal proyectada por un gobierno y la real. Esas diferencias pueden derivar de i) un conocimiento incompleto de la posición fiscal subyacente del gobierno; ii) shocks exógenos de las finanzas públicas, o iii) cambios endógenos en la configuración de la política fiscal. Si bien el aumento de la transparencia fiscal no puede eliminar esos riesgos, puede ayudar a las autoridades responsables de la política económica y al público </w:t>
      </w:r>
      <w:r>
        <w:rPr>
          <w:rFonts w:ascii="Times New Roman" w:hAnsi="Times New Roman" w:cs="Times New Roman"/>
          <w:sz w:val="24"/>
          <w:lang w:val="es-MX"/>
        </w:rPr>
        <w:t>a comprenderlos y resolverlos.”</w:t>
      </w:r>
      <w:r w:rsidR="00022004">
        <w:rPr>
          <w:rStyle w:val="Refdenotaalpie"/>
          <w:rFonts w:ascii="Times New Roman" w:hAnsi="Times New Roman" w:cs="Times New Roman"/>
          <w:sz w:val="24"/>
          <w:lang w:val="es-MX"/>
        </w:rPr>
        <w:footnoteReference w:id="2"/>
      </w:r>
    </w:p>
    <w:p w:rsidR="0011733C" w:rsidRPr="0011733C" w:rsidRDefault="0011733C" w:rsidP="0011733C">
      <w:pPr>
        <w:pStyle w:val="Sinespaciado"/>
        <w:jc w:val="both"/>
        <w:rPr>
          <w:rFonts w:ascii="Times New Roman" w:hAnsi="Times New Roman" w:cs="Times New Roman"/>
          <w:sz w:val="24"/>
          <w:lang w:val="es-MX"/>
        </w:rPr>
      </w:pPr>
      <w:r w:rsidRPr="0011733C">
        <w:rPr>
          <w:rFonts w:ascii="Times New Roman" w:hAnsi="Times New Roman" w:cs="Times New Roman"/>
          <w:sz w:val="24"/>
          <w:lang w:val="es-MX"/>
        </w:rPr>
        <w:t xml:space="preserve">   </w:t>
      </w:r>
    </w:p>
    <w:p w:rsidR="0011733C" w:rsidRPr="0011733C" w:rsidRDefault="0011733C" w:rsidP="0011733C">
      <w:pPr>
        <w:pStyle w:val="Sinespaciado"/>
        <w:jc w:val="both"/>
        <w:rPr>
          <w:rFonts w:ascii="Times New Roman" w:hAnsi="Times New Roman" w:cs="Times New Roman"/>
          <w:sz w:val="24"/>
          <w:lang w:val="es-MX"/>
        </w:rPr>
      </w:pPr>
      <w:r w:rsidRPr="0011733C">
        <w:rPr>
          <w:rFonts w:ascii="Times New Roman" w:hAnsi="Times New Roman" w:cs="Times New Roman"/>
          <w:sz w:val="24"/>
          <w:lang w:val="es-MX"/>
        </w:rPr>
        <w:t>El MINFIN reconoce que las finanzas públicas están expuestas a determinados riesgos fiscales y por ello mantiene el interés en su seguimiento y cuantificación, especialmente de aquellos que por su recurrencia e intensidad se constituyen en las principales fuentes de amenaza para</w:t>
      </w:r>
      <w:r w:rsidR="00022004">
        <w:rPr>
          <w:rFonts w:ascii="Times New Roman" w:hAnsi="Times New Roman" w:cs="Times New Roman"/>
          <w:sz w:val="24"/>
          <w:lang w:val="es-MX"/>
        </w:rPr>
        <w:t xml:space="preserve"> el presupuesto del Estado.  De esa cuenta se elabora documento</w:t>
      </w:r>
      <w:r w:rsidRPr="0011733C">
        <w:rPr>
          <w:rFonts w:ascii="Times New Roman" w:hAnsi="Times New Roman" w:cs="Times New Roman"/>
          <w:sz w:val="24"/>
          <w:lang w:val="es-MX"/>
        </w:rPr>
        <w:t xml:space="preserve"> </w:t>
      </w:r>
      <w:r w:rsidR="00022004">
        <w:rPr>
          <w:rFonts w:ascii="Times New Roman" w:hAnsi="Times New Roman" w:cs="Times New Roman"/>
          <w:sz w:val="24"/>
          <w:lang w:val="es-MX"/>
        </w:rPr>
        <w:t xml:space="preserve">que contiene un breve </w:t>
      </w:r>
      <w:r w:rsidRPr="0011733C">
        <w:rPr>
          <w:rFonts w:ascii="Times New Roman" w:hAnsi="Times New Roman" w:cs="Times New Roman"/>
          <w:sz w:val="24"/>
          <w:lang w:val="es-MX"/>
        </w:rPr>
        <w:t>análisis de los riesgos provocados por shocks macroeconómicos, cl</w:t>
      </w:r>
      <w:r w:rsidR="00022004">
        <w:rPr>
          <w:rFonts w:ascii="Times New Roman" w:hAnsi="Times New Roman" w:cs="Times New Roman"/>
          <w:sz w:val="24"/>
          <w:lang w:val="es-MX"/>
        </w:rPr>
        <w:t>ases pasivas civiles del Estado y</w:t>
      </w:r>
      <w:r w:rsidRPr="0011733C">
        <w:rPr>
          <w:rFonts w:ascii="Times New Roman" w:hAnsi="Times New Roman" w:cs="Times New Roman"/>
          <w:sz w:val="24"/>
          <w:lang w:val="es-MX"/>
        </w:rPr>
        <w:t xml:space="preserve"> desastres ocasionados por fenómenos naturales. Es un paso más en función de la definición de una estrategia integral para mitigar dichos riesgos.</w:t>
      </w:r>
    </w:p>
    <w:p w:rsidR="0011733C" w:rsidRPr="0011733C" w:rsidRDefault="0011733C" w:rsidP="00490393">
      <w:pPr>
        <w:pStyle w:val="Sinespaciado"/>
        <w:jc w:val="both"/>
        <w:rPr>
          <w:rFonts w:ascii="Times New Roman" w:hAnsi="Times New Roman" w:cs="Times New Roman"/>
          <w:sz w:val="24"/>
          <w:lang w:val="es-MX"/>
        </w:rPr>
      </w:pPr>
    </w:p>
    <w:p w:rsidR="00022004" w:rsidRDefault="00022004" w:rsidP="00490393">
      <w:pPr>
        <w:pStyle w:val="Sinespaciado"/>
        <w:jc w:val="both"/>
        <w:rPr>
          <w:rFonts w:ascii="Times New Roman" w:hAnsi="Times New Roman" w:cs="Times New Roman"/>
          <w:b/>
          <w:sz w:val="24"/>
          <w:lang w:val="es-MX"/>
        </w:rPr>
      </w:pPr>
    </w:p>
    <w:p w:rsidR="002A6DBD" w:rsidRPr="00880D9D" w:rsidRDefault="002E6A45" w:rsidP="00E83DF1">
      <w:pPr>
        <w:pStyle w:val="Sinespaciado"/>
        <w:numPr>
          <w:ilvl w:val="0"/>
          <w:numId w:val="7"/>
        </w:numPr>
        <w:ind w:left="426" w:hanging="284"/>
        <w:jc w:val="both"/>
        <w:outlineLvl w:val="0"/>
        <w:rPr>
          <w:rFonts w:ascii="Times New Roman" w:hAnsi="Times New Roman" w:cs="Times New Roman"/>
          <w:b/>
          <w:lang w:val="es-MX"/>
        </w:rPr>
      </w:pPr>
      <w:bookmarkStart w:id="2" w:name="_Toc509214731"/>
      <w:r w:rsidRPr="00D755AF">
        <w:rPr>
          <w:rFonts w:ascii="Times New Roman" w:hAnsi="Times New Roman" w:cs="Times New Roman"/>
          <w:b/>
          <w:sz w:val="24"/>
          <w:lang w:val="es-MX"/>
        </w:rPr>
        <w:t>Riesgos Fiscales</w:t>
      </w:r>
      <w:r w:rsidR="00AD1595" w:rsidRPr="00D755AF">
        <w:rPr>
          <w:rFonts w:ascii="Times New Roman" w:hAnsi="Times New Roman" w:cs="Times New Roman"/>
          <w:b/>
          <w:sz w:val="24"/>
          <w:lang w:val="es-MX"/>
        </w:rPr>
        <w:t xml:space="preserve"> Macroeconómicos</w:t>
      </w:r>
      <w:bookmarkEnd w:id="2"/>
    </w:p>
    <w:p w:rsidR="002E6A45" w:rsidRPr="00880D9D" w:rsidRDefault="002E6A45" w:rsidP="00490393">
      <w:pPr>
        <w:pStyle w:val="Sinespaciado"/>
        <w:jc w:val="both"/>
        <w:rPr>
          <w:rFonts w:ascii="Times New Roman" w:hAnsi="Times New Roman" w:cs="Times New Roman"/>
          <w:lang w:val="es-MX"/>
        </w:rPr>
      </w:pPr>
    </w:p>
    <w:p w:rsidR="00AC131E" w:rsidRPr="00F13E77" w:rsidRDefault="004B6F44" w:rsidP="00AC131E">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L</w:t>
      </w:r>
      <w:r w:rsidR="00AC131E" w:rsidRPr="00F13E77">
        <w:rPr>
          <w:rFonts w:ascii="Times New Roman" w:hAnsi="Times New Roman" w:cs="Times New Roman"/>
          <w:sz w:val="24"/>
          <w:lang w:val="es-MX"/>
        </w:rPr>
        <w:t xml:space="preserve">os riesgos fiscales </w:t>
      </w:r>
      <w:r w:rsidRPr="00F13E77">
        <w:rPr>
          <w:rFonts w:ascii="Times New Roman" w:hAnsi="Times New Roman" w:cs="Times New Roman"/>
          <w:sz w:val="24"/>
          <w:lang w:val="es-MX"/>
        </w:rPr>
        <w:t>podrían definirse</w:t>
      </w:r>
      <w:r w:rsidR="00AC131E" w:rsidRPr="00F13E77">
        <w:rPr>
          <w:rFonts w:ascii="Times New Roman" w:hAnsi="Times New Roman" w:cs="Times New Roman"/>
          <w:sz w:val="24"/>
          <w:lang w:val="es-MX"/>
        </w:rPr>
        <w:t xml:space="preserve"> como los factores que promueven las diferencias entre la posición fiscal proyectada por un Gobierno y la obs</w:t>
      </w:r>
      <w:r w:rsidR="004E1C7B" w:rsidRPr="00F13E77">
        <w:rPr>
          <w:rFonts w:ascii="Times New Roman" w:hAnsi="Times New Roman" w:cs="Times New Roman"/>
          <w:sz w:val="24"/>
          <w:lang w:val="es-MX"/>
        </w:rPr>
        <w:t xml:space="preserve">ervada. Estos pueden deberse a </w:t>
      </w:r>
      <w:r w:rsidR="00AC131E" w:rsidRPr="00F13E77">
        <w:rPr>
          <w:rFonts w:ascii="Times New Roman" w:hAnsi="Times New Roman" w:cs="Times New Roman"/>
          <w:sz w:val="24"/>
          <w:lang w:val="es-MX"/>
        </w:rPr>
        <w:t>una subestimación de la magnitud y probabilidad de eventos adversos para las finanzas públicas. En el caso de los riesgos macroeconó</w:t>
      </w:r>
      <w:r w:rsidR="004E1C7B" w:rsidRPr="00F13E77">
        <w:rPr>
          <w:rFonts w:ascii="Times New Roman" w:hAnsi="Times New Roman" w:cs="Times New Roman"/>
          <w:sz w:val="24"/>
          <w:lang w:val="es-MX"/>
        </w:rPr>
        <w:t>micos está</w:t>
      </w:r>
      <w:r w:rsidR="008B11B9" w:rsidRPr="00F13E77">
        <w:rPr>
          <w:rFonts w:ascii="Times New Roman" w:hAnsi="Times New Roman" w:cs="Times New Roman"/>
          <w:sz w:val="24"/>
          <w:lang w:val="es-MX"/>
        </w:rPr>
        <w:t>n</w:t>
      </w:r>
      <w:r w:rsidR="004E1C7B" w:rsidRPr="00F13E77">
        <w:rPr>
          <w:rFonts w:ascii="Times New Roman" w:hAnsi="Times New Roman" w:cs="Times New Roman"/>
          <w:sz w:val="24"/>
          <w:lang w:val="es-MX"/>
        </w:rPr>
        <w:t xml:space="preserve"> determinado</w:t>
      </w:r>
      <w:r w:rsidR="008B11B9" w:rsidRPr="00F13E77">
        <w:rPr>
          <w:rFonts w:ascii="Times New Roman" w:hAnsi="Times New Roman" w:cs="Times New Roman"/>
          <w:sz w:val="24"/>
          <w:lang w:val="es-MX"/>
        </w:rPr>
        <w:t>s</w:t>
      </w:r>
      <w:r w:rsidR="004E1C7B" w:rsidRPr="00F13E77">
        <w:rPr>
          <w:rFonts w:ascii="Times New Roman" w:hAnsi="Times New Roman" w:cs="Times New Roman"/>
          <w:sz w:val="24"/>
          <w:lang w:val="es-MX"/>
        </w:rPr>
        <w:t xml:space="preserve"> por los </w:t>
      </w:r>
      <w:r w:rsidR="00AC131E" w:rsidRPr="00F13E77">
        <w:rPr>
          <w:rFonts w:ascii="Times New Roman" w:hAnsi="Times New Roman" w:cs="Times New Roman"/>
          <w:sz w:val="24"/>
          <w:lang w:val="es-MX"/>
        </w:rPr>
        <w:t xml:space="preserve">cambios en la trayectoria de las variables macroeconómicas, como el crecimiento nominal y real, el comportamiento de las importaciones que son fundamentales en las estimaciones de recaudación tributaria y algunos precios macroeconómicos como las tasas de interés y el tipo de cambio, y existen otros factores como la liquidez del gobierno y de la economía, así como la materialización de los pasivos contingentes.  </w:t>
      </w:r>
    </w:p>
    <w:p w:rsidR="00AC131E" w:rsidRPr="00F13E77" w:rsidRDefault="00AC131E" w:rsidP="00AC131E">
      <w:pPr>
        <w:pStyle w:val="Sinespaciado"/>
        <w:jc w:val="both"/>
        <w:rPr>
          <w:rFonts w:ascii="Times New Roman" w:hAnsi="Times New Roman" w:cs="Times New Roman"/>
          <w:sz w:val="24"/>
          <w:lang w:val="es-MX"/>
        </w:rPr>
      </w:pPr>
    </w:p>
    <w:p w:rsidR="00AC131E" w:rsidRPr="00F13E77" w:rsidRDefault="00AC131E" w:rsidP="00AC131E">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Es importante mencionar que los shocks externos o internos que afecten la solvencia del sector público pueden perturbar la estabilidad del sector financiero y del sector privado a través de una serie de interconexiones entre los balances del sector público, del sector financiero y las familias.</w:t>
      </w:r>
      <w:r w:rsidR="007904F9" w:rsidRPr="00F13E77">
        <w:rPr>
          <w:rFonts w:ascii="Times New Roman" w:hAnsi="Times New Roman" w:cs="Times New Roman"/>
          <w:sz w:val="24"/>
          <w:lang w:val="es-MX"/>
        </w:rPr>
        <w:t xml:space="preserve"> En la simultaneidad de las variables de los sectores descritos se explican las diferencias y la estabilidad en sus variables determinantes, constituyen los riesgos para las acciones de la política fiscal.</w:t>
      </w:r>
    </w:p>
    <w:p w:rsidR="00AC131E" w:rsidRPr="00F13E77" w:rsidRDefault="00AC131E" w:rsidP="00AC131E">
      <w:pPr>
        <w:pStyle w:val="Sinespaciado"/>
        <w:jc w:val="both"/>
        <w:rPr>
          <w:rFonts w:ascii="Times New Roman" w:hAnsi="Times New Roman" w:cs="Times New Roman"/>
          <w:sz w:val="24"/>
          <w:lang w:val="es-MX"/>
        </w:rPr>
      </w:pPr>
    </w:p>
    <w:p w:rsidR="00BE6A02" w:rsidRPr="00F13E77" w:rsidRDefault="00AC131E" w:rsidP="00AC131E">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La crisis económica internacional</w:t>
      </w:r>
      <w:r w:rsidR="007904F9" w:rsidRPr="00F13E77">
        <w:rPr>
          <w:rFonts w:ascii="Times New Roman" w:hAnsi="Times New Roman" w:cs="Times New Roman"/>
          <w:sz w:val="24"/>
          <w:lang w:val="es-MX"/>
        </w:rPr>
        <w:t>, es un claro ejemplo, toda vez que</w:t>
      </w:r>
      <w:r w:rsidRPr="00F13E77">
        <w:rPr>
          <w:rFonts w:ascii="Times New Roman" w:hAnsi="Times New Roman" w:cs="Times New Roman"/>
          <w:sz w:val="24"/>
          <w:lang w:val="es-MX"/>
        </w:rPr>
        <w:t xml:space="preserve"> afectó severamente a muchos países en 2009, dej</w:t>
      </w:r>
      <w:r w:rsidR="007904F9" w:rsidRPr="00F13E77">
        <w:rPr>
          <w:rFonts w:ascii="Times New Roman" w:hAnsi="Times New Roman" w:cs="Times New Roman"/>
          <w:sz w:val="24"/>
          <w:lang w:val="es-MX"/>
        </w:rPr>
        <w:t>ando</w:t>
      </w:r>
      <w:r w:rsidRPr="00F13E77">
        <w:rPr>
          <w:rFonts w:ascii="Times New Roman" w:hAnsi="Times New Roman" w:cs="Times New Roman"/>
          <w:sz w:val="24"/>
          <w:lang w:val="es-MX"/>
        </w:rPr>
        <w:t xml:space="preserve"> como lección la necesidad de encontrar un equilibrio entre los esfuerzos que se realizan para salvaguardar la estabilidad económica y financiera y el impacto que esta crisis </w:t>
      </w:r>
      <w:r w:rsidR="007904F9" w:rsidRPr="00F13E77">
        <w:rPr>
          <w:rFonts w:ascii="Times New Roman" w:hAnsi="Times New Roman" w:cs="Times New Roman"/>
          <w:sz w:val="24"/>
          <w:lang w:val="es-MX"/>
        </w:rPr>
        <w:t xml:space="preserve">tuvo </w:t>
      </w:r>
      <w:r w:rsidRPr="00F13E77">
        <w:rPr>
          <w:rFonts w:ascii="Times New Roman" w:hAnsi="Times New Roman" w:cs="Times New Roman"/>
          <w:sz w:val="24"/>
          <w:lang w:val="es-MX"/>
        </w:rPr>
        <w:t xml:space="preserve">en la economía, tanto en el balance del sector público como en el del privado (empresas y familias). En </w:t>
      </w:r>
      <w:r w:rsidR="007904F9" w:rsidRPr="00F13E77">
        <w:rPr>
          <w:rFonts w:ascii="Times New Roman" w:hAnsi="Times New Roman" w:cs="Times New Roman"/>
          <w:sz w:val="24"/>
          <w:lang w:val="es-MX"/>
        </w:rPr>
        <w:t xml:space="preserve">este </w:t>
      </w:r>
      <w:r w:rsidRPr="00F13E77">
        <w:rPr>
          <w:rFonts w:ascii="Times New Roman" w:hAnsi="Times New Roman" w:cs="Times New Roman"/>
          <w:sz w:val="24"/>
          <w:lang w:val="es-MX"/>
        </w:rPr>
        <w:t>sentido</w:t>
      </w:r>
      <w:r w:rsidR="00DB1801" w:rsidRPr="00F13E77">
        <w:rPr>
          <w:rFonts w:ascii="Times New Roman" w:hAnsi="Times New Roman" w:cs="Times New Roman"/>
          <w:sz w:val="24"/>
          <w:lang w:val="es-MX"/>
        </w:rPr>
        <w:t>,</w:t>
      </w:r>
      <w:r w:rsidRPr="00F13E77">
        <w:rPr>
          <w:rFonts w:ascii="Times New Roman" w:hAnsi="Times New Roman" w:cs="Times New Roman"/>
          <w:sz w:val="24"/>
          <w:lang w:val="es-MX"/>
        </w:rPr>
        <w:t xml:space="preserve"> </w:t>
      </w:r>
      <w:r w:rsidR="00DB1801" w:rsidRPr="00F13E77">
        <w:rPr>
          <w:rFonts w:ascii="Times New Roman" w:hAnsi="Times New Roman" w:cs="Times New Roman"/>
          <w:sz w:val="24"/>
          <w:lang w:val="es-MX"/>
        </w:rPr>
        <w:t>los</w:t>
      </w:r>
      <w:r w:rsidRPr="00F13E77">
        <w:rPr>
          <w:rFonts w:ascii="Times New Roman" w:hAnsi="Times New Roman" w:cs="Times New Roman"/>
          <w:sz w:val="24"/>
          <w:lang w:val="es-MX"/>
        </w:rPr>
        <w:t xml:space="preserve"> desequilibrios que afecten la solvencia del sector público pueden perturbar la estabilidad del sector financiero y del sector privado a través de una serie de interconexiones y mecanismos de transmisión.   De igual manera, se requiere de un conjunto de políticas que generen los incentivos correctos a los agentes económicos para aprovechar las ventajas y capacidades de cada economía en los momentos de crecimiento, de manera que las mismas permitan contrarrestar los efectos del ciclo económico.</w:t>
      </w:r>
    </w:p>
    <w:p w:rsidR="004E1C7B" w:rsidRPr="000574C8" w:rsidRDefault="004E1C7B" w:rsidP="00AC131E">
      <w:pPr>
        <w:pStyle w:val="Sinespaciado"/>
        <w:jc w:val="both"/>
        <w:rPr>
          <w:rFonts w:ascii="Times New Roman" w:hAnsi="Times New Roman" w:cs="Times New Roman"/>
          <w:sz w:val="24"/>
          <w:lang w:val="es-MX"/>
        </w:rPr>
      </w:pPr>
    </w:p>
    <w:p w:rsidR="00D85493" w:rsidRPr="00557268" w:rsidRDefault="00F23C1F" w:rsidP="00E83DF1">
      <w:pPr>
        <w:pStyle w:val="Ttulo21"/>
        <w:spacing w:after="0"/>
        <w:ind w:left="567" w:hanging="292"/>
        <w:outlineLvl w:val="1"/>
        <w:rPr>
          <w:rFonts w:ascii="Times New Roman" w:hAnsi="Times New Roman" w:cs="Times New Roman"/>
          <w:b/>
          <w:sz w:val="24"/>
          <w:lang w:val="es-MX"/>
        </w:rPr>
      </w:pPr>
      <w:bookmarkStart w:id="3" w:name="_Toc509214732"/>
      <w:r w:rsidRPr="00557268">
        <w:rPr>
          <w:rFonts w:ascii="Times New Roman" w:hAnsi="Times New Roman" w:cs="Times New Roman"/>
          <w:b/>
          <w:sz w:val="24"/>
          <w:lang w:val="es-MX"/>
        </w:rPr>
        <w:t xml:space="preserve">Comportamiento </w:t>
      </w:r>
      <w:r w:rsidR="00E23518" w:rsidRPr="00557268">
        <w:rPr>
          <w:rFonts w:ascii="Times New Roman" w:hAnsi="Times New Roman" w:cs="Times New Roman"/>
          <w:b/>
          <w:sz w:val="24"/>
          <w:lang w:val="es-MX"/>
        </w:rPr>
        <w:t>h</w:t>
      </w:r>
      <w:r w:rsidR="0077110C" w:rsidRPr="00557268">
        <w:rPr>
          <w:rFonts w:ascii="Times New Roman" w:hAnsi="Times New Roman" w:cs="Times New Roman"/>
          <w:b/>
          <w:sz w:val="24"/>
          <w:lang w:val="es-MX"/>
        </w:rPr>
        <w:t xml:space="preserve">istórico </w:t>
      </w:r>
      <w:r w:rsidR="00E23518" w:rsidRPr="00557268">
        <w:rPr>
          <w:rFonts w:ascii="Times New Roman" w:hAnsi="Times New Roman" w:cs="Times New Roman"/>
          <w:b/>
          <w:sz w:val="24"/>
          <w:lang w:val="es-MX"/>
        </w:rPr>
        <w:t xml:space="preserve">reciente </w:t>
      </w:r>
      <w:r w:rsidRPr="00557268">
        <w:rPr>
          <w:rFonts w:ascii="Times New Roman" w:hAnsi="Times New Roman" w:cs="Times New Roman"/>
          <w:b/>
          <w:sz w:val="24"/>
          <w:lang w:val="es-MX"/>
        </w:rPr>
        <w:t xml:space="preserve">de las </w:t>
      </w:r>
      <w:r w:rsidR="00E23518" w:rsidRPr="00557268">
        <w:rPr>
          <w:rFonts w:ascii="Times New Roman" w:hAnsi="Times New Roman" w:cs="Times New Roman"/>
          <w:b/>
          <w:sz w:val="24"/>
          <w:lang w:val="es-MX"/>
        </w:rPr>
        <w:t>v</w:t>
      </w:r>
      <w:r w:rsidR="00D85493" w:rsidRPr="00557268">
        <w:rPr>
          <w:rFonts w:ascii="Times New Roman" w:hAnsi="Times New Roman" w:cs="Times New Roman"/>
          <w:b/>
          <w:sz w:val="24"/>
          <w:lang w:val="es-MX"/>
        </w:rPr>
        <w:t xml:space="preserve">ariables </w:t>
      </w:r>
      <w:r w:rsidR="00E23518" w:rsidRPr="00557268">
        <w:rPr>
          <w:rFonts w:ascii="Times New Roman" w:hAnsi="Times New Roman" w:cs="Times New Roman"/>
          <w:b/>
          <w:sz w:val="24"/>
          <w:lang w:val="es-MX"/>
        </w:rPr>
        <w:t>ma</w:t>
      </w:r>
      <w:r w:rsidR="00D85493" w:rsidRPr="00557268">
        <w:rPr>
          <w:rFonts w:ascii="Times New Roman" w:hAnsi="Times New Roman" w:cs="Times New Roman"/>
          <w:b/>
          <w:sz w:val="24"/>
          <w:lang w:val="es-MX"/>
        </w:rPr>
        <w:t>croeconómicas</w:t>
      </w:r>
      <w:r w:rsidR="003B5A22" w:rsidRPr="00557268">
        <w:rPr>
          <w:rFonts w:ascii="Times New Roman" w:hAnsi="Times New Roman" w:cs="Times New Roman"/>
          <w:b/>
          <w:sz w:val="24"/>
          <w:lang w:val="es-MX"/>
        </w:rPr>
        <w:t xml:space="preserve"> y fiscales</w:t>
      </w:r>
      <w:bookmarkEnd w:id="3"/>
      <w:r w:rsidR="00D85493" w:rsidRPr="00557268">
        <w:rPr>
          <w:rFonts w:ascii="Times New Roman" w:hAnsi="Times New Roman" w:cs="Times New Roman"/>
          <w:b/>
          <w:sz w:val="24"/>
          <w:lang w:val="es-MX"/>
        </w:rPr>
        <w:t xml:space="preserve"> </w:t>
      </w:r>
    </w:p>
    <w:p w:rsidR="00490393" w:rsidRPr="00880D9D" w:rsidRDefault="00490393" w:rsidP="00490393">
      <w:pPr>
        <w:pStyle w:val="Sinespaciado"/>
        <w:jc w:val="both"/>
        <w:rPr>
          <w:rFonts w:ascii="Times New Roman" w:hAnsi="Times New Roman" w:cs="Times New Roman"/>
          <w:b/>
          <w:sz w:val="24"/>
          <w:lang w:val="es-MX"/>
        </w:rPr>
      </w:pPr>
    </w:p>
    <w:p w:rsidR="004E1C7B" w:rsidRDefault="004E1C7B" w:rsidP="004E1C7B">
      <w:pPr>
        <w:pStyle w:val="Sinespaciado"/>
        <w:jc w:val="both"/>
        <w:rPr>
          <w:rFonts w:ascii="Times New Roman" w:hAnsi="Times New Roman" w:cs="Times New Roman"/>
          <w:sz w:val="24"/>
          <w:lang w:val="es-MX"/>
        </w:rPr>
      </w:pPr>
      <w:r>
        <w:rPr>
          <w:rFonts w:ascii="Times New Roman" w:hAnsi="Times New Roman" w:cs="Times New Roman"/>
          <w:sz w:val="24"/>
          <w:lang w:val="es-MX"/>
        </w:rPr>
        <w:t>Como se ha indicado, uno de los principales elementos para el análisis de riesgo fiscal macroeconómico, es el seguimiento de</w:t>
      </w:r>
      <w:r w:rsidRPr="00490393">
        <w:rPr>
          <w:rFonts w:ascii="Times New Roman" w:hAnsi="Times New Roman" w:cs="Times New Roman"/>
          <w:sz w:val="24"/>
          <w:lang w:val="es-MX"/>
        </w:rPr>
        <w:t>l comportamiento de las principales variables macroeconómicas</w:t>
      </w:r>
      <w:r>
        <w:rPr>
          <w:rFonts w:ascii="Times New Roman" w:hAnsi="Times New Roman" w:cs="Times New Roman"/>
          <w:sz w:val="24"/>
          <w:lang w:val="es-MX"/>
        </w:rPr>
        <w:t>, ya que brinda elementos para evaluar a priori la volatilidad en el comportamiento de estas variables que son importantes para las estimaciones fiscales principalmente la recaudación tributaria y el análisis de sostenibilidad de deuda.</w:t>
      </w:r>
    </w:p>
    <w:p w:rsidR="004E1C7B" w:rsidRDefault="004E1C7B" w:rsidP="004E1C7B">
      <w:pPr>
        <w:pStyle w:val="Sinespaciado"/>
        <w:jc w:val="both"/>
        <w:rPr>
          <w:rFonts w:ascii="Times New Roman" w:hAnsi="Times New Roman" w:cs="Times New Roman"/>
          <w:sz w:val="24"/>
          <w:lang w:val="es-MX"/>
        </w:rPr>
      </w:pPr>
    </w:p>
    <w:p w:rsidR="004E1C7B" w:rsidRDefault="004E1C7B" w:rsidP="004E1C7B">
      <w:pPr>
        <w:pStyle w:val="Sinespaciado"/>
        <w:jc w:val="both"/>
        <w:rPr>
          <w:rFonts w:ascii="Times New Roman" w:hAnsi="Times New Roman" w:cs="Times New Roman"/>
          <w:sz w:val="24"/>
          <w:lang w:val="es-MX"/>
        </w:rPr>
      </w:pPr>
      <w:r>
        <w:rPr>
          <w:rFonts w:ascii="Times New Roman" w:hAnsi="Times New Roman" w:cs="Times New Roman"/>
          <w:sz w:val="24"/>
          <w:lang w:val="es-MX"/>
        </w:rPr>
        <w:t>P</w:t>
      </w:r>
      <w:r w:rsidRPr="00490393">
        <w:rPr>
          <w:rFonts w:ascii="Times New Roman" w:hAnsi="Times New Roman" w:cs="Times New Roman"/>
          <w:sz w:val="24"/>
          <w:lang w:val="es-MX"/>
        </w:rPr>
        <w:t>ara</w:t>
      </w:r>
      <w:r>
        <w:rPr>
          <w:rFonts w:ascii="Times New Roman" w:hAnsi="Times New Roman" w:cs="Times New Roman"/>
          <w:sz w:val="24"/>
          <w:lang w:val="es-MX"/>
        </w:rPr>
        <w:t xml:space="preserve"> el efecto, para el caso de Guatemala, se analiza brevemente el comportamiento de las principales variables macroeconómicas para</w:t>
      </w:r>
      <w:r w:rsidRPr="00490393">
        <w:rPr>
          <w:rFonts w:ascii="Times New Roman" w:hAnsi="Times New Roman" w:cs="Times New Roman"/>
          <w:sz w:val="24"/>
          <w:lang w:val="es-MX"/>
        </w:rPr>
        <w:t xml:space="preserve"> el período 2000-2016</w:t>
      </w:r>
      <w:r>
        <w:rPr>
          <w:rFonts w:ascii="Times New Roman" w:hAnsi="Times New Roman" w:cs="Times New Roman"/>
          <w:sz w:val="24"/>
          <w:lang w:val="es-MX"/>
        </w:rPr>
        <w:t>.   Este comportamiento muestra</w:t>
      </w:r>
      <w:r w:rsidRPr="00490393">
        <w:rPr>
          <w:rFonts w:ascii="Times New Roman" w:hAnsi="Times New Roman" w:cs="Times New Roman"/>
          <w:sz w:val="24"/>
          <w:lang w:val="es-MX"/>
        </w:rPr>
        <w:t xml:space="preserve"> que las variaciones en los años 2007-2009 son las que registran la mayor volatilidad, ya que en 2007 se dio el mayor dinamismo de la actividad económica (crecimiento real interanual de 6.8%) motivado por factores externos principalmente el auge en la economía estadounidense que se dio en los años 2006-2007.  Asimismo, en 2009 se da el más bajo rendimiento de la producción nacional (crecimiento real del PIB de 0.5%), resultado de la crisis económica internacional que se inició en 2008 pero que afectó severamente al país hasta en 2009, </w:t>
      </w:r>
      <w:r>
        <w:rPr>
          <w:rFonts w:ascii="Times New Roman" w:hAnsi="Times New Roman" w:cs="Times New Roman"/>
          <w:sz w:val="24"/>
          <w:lang w:val="es-MX"/>
        </w:rPr>
        <w:t xml:space="preserve">el efecto se observó con una fuerte reducción de las exportaciones, en la inversión extranjera directa, las </w:t>
      </w:r>
      <w:r w:rsidRPr="00490393">
        <w:rPr>
          <w:rFonts w:ascii="Times New Roman" w:hAnsi="Times New Roman" w:cs="Times New Roman"/>
          <w:sz w:val="24"/>
          <w:lang w:val="es-MX"/>
        </w:rPr>
        <w:t>remesas familiares</w:t>
      </w:r>
      <w:r>
        <w:rPr>
          <w:rFonts w:ascii="Times New Roman" w:hAnsi="Times New Roman" w:cs="Times New Roman"/>
          <w:sz w:val="24"/>
          <w:lang w:val="es-MX"/>
        </w:rPr>
        <w:t xml:space="preserve"> y el turismo</w:t>
      </w:r>
      <w:r w:rsidRPr="00490393">
        <w:rPr>
          <w:rFonts w:ascii="Times New Roman" w:hAnsi="Times New Roman" w:cs="Times New Roman"/>
          <w:sz w:val="24"/>
          <w:lang w:val="es-MX"/>
        </w:rPr>
        <w:t>,</w:t>
      </w:r>
      <w:r>
        <w:rPr>
          <w:rFonts w:ascii="Times New Roman" w:hAnsi="Times New Roman" w:cs="Times New Roman"/>
          <w:sz w:val="24"/>
          <w:lang w:val="es-MX"/>
        </w:rPr>
        <w:t xml:space="preserve"> que influyó en un deterioro en las cuentas del sector externo.  Por su parte, en el mercado interno esta situación afectó</w:t>
      </w:r>
      <w:r w:rsidRPr="00490393">
        <w:rPr>
          <w:rFonts w:ascii="Times New Roman" w:hAnsi="Times New Roman" w:cs="Times New Roman"/>
          <w:sz w:val="24"/>
          <w:lang w:val="es-MX"/>
        </w:rPr>
        <w:t xml:space="preserve"> el consumo y la inversión privada.  En ese sentido, e</w:t>
      </w:r>
      <w:r>
        <w:rPr>
          <w:rFonts w:ascii="Times New Roman" w:hAnsi="Times New Roman" w:cs="Times New Roman"/>
          <w:sz w:val="24"/>
          <w:lang w:val="es-MX"/>
        </w:rPr>
        <w:t>s importante indicar que</w:t>
      </w:r>
      <w:r w:rsidR="009E39EB">
        <w:rPr>
          <w:rFonts w:ascii="Times New Roman" w:hAnsi="Times New Roman" w:cs="Times New Roman"/>
          <w:sz w:val="24"/>
          <w:lang w:val="es-MX"/>
        </w:rPr>
        <w:t>,</w:t>
      </w:r>
      <w:r>
        <w:rPr>
          <w:rFonts w:ascii="Times New Roman" w:hAnsi="Times New Roman" w:cs="Times New Roman"/>
          <w:sz w:val="24"/>
          <w:lang w:val="es-MX"/>
        </w:rPr>
        <w:t xml:space="preserve"> en ese</w:t>
      </w:r>
      <w:r w:rsidRPr="00490393">
        <w:rPr>
          <w:rFonts w:ascii="Times New Roman" w:hAnsi="Times New Roman" w:cs="Times New Roman"/>
          <w:sz w:val="24"/>
          <w:lang w:val="es-MX"/>
        </w:rPr>
        <w:t xml:space="preserve"> año, el principal factor que evitó una contracción económica en el país fue la aplicación de una política fiscal contra cíclica que a pesar de la caída en la recaudación tributaria se </w:t>
      </w:r>
      <w:r>
        <w:rPr>
          <w:rFonts w:ascii="Times New Roman" w:hAnsi="Times New Roman" w:cs="Times New Roman"/>
          <w:sz w:val="24"/>
          <w:lang w:val="es-MX"/>
        </w:rPr>
        <w:t>expandió</w:t>
      </w:r>
      <w:r w:rsidRPr="00490393">
        <w:rPr>
          <w:rFonts w:ascii="Times New Roman" w:hAnsi="Times New Roman" w:cs="Times New Roman"/>
          <w:sz w:val="24"/>
          <w:lang w:val="es-MX"/>
        </w:rPr>
        <w:t xml:space="preserve"> el gasto público</w:t>
      </w:r>
      <w:r>
        <w:rPr>
          <w:rFonts w:ascii="Times New Roman" w:hAnsi="Times New Roman" w:cs="Times New Roman"/>
          <w:sz w:val="24"/>
          <w:lang w:val="es-MX"/>
        </w:rPr>
        <w:t>,</w:t>
      </w:r>
      <w:r w:rsidRPr="00490393">
        <w:rPr>
          <w:rFonts w:ascii="Times New Roman" w:hAnsi="Times New Roman" w:cs="Times New Roman"/>
          <w:sz w:val="24"/>
          <w:lang w:val="es-MX"/>
        </w:rPr>
        <w:t xml:space="preserve"> orientado a la inversión en infraestructura y programas sociales que buscaban mitigar el efecto de la crisis so</w:t>
      </w:r>
      <w:r>
        <w:rPr>
          <w:rFonts w:ascii="Times New Roman" w:hAnsi="Times New Roman" w:cs="Times New Roman"/>
          <w:sz w:val="24"/>
          <w:lang w:val="es-MX"/>
        </w:rPr>
        <w:t>bre la población más vulnerable, mediante programas sociales y proyectos de inversión que aumentaran el empleo.</w:t>
      </w:r>
      <w:r w:rsidRPr="00490393">
        <w:rPr>
          <w:rFonts w:ascii="Times New Roman" w:hAnsi="Times New Roman" w:cs="Times New Roman"/>
          <w:sz w:val="24"/>
          <w:lang w:val="es-MX"/>
        </w:rPr>
        <w:t xml:space="preserve"> </w:t>
      </w:r>
    </w:p>
    <w:p w:rsidR="004E1C7B" w:rsidRPr="00490393" w:rsidRDefault="004E1C7B" w:rsidP="004E1C7B">
      <w:pPr>
        <w:pStyle w:val="Sinespaciado"/>
        <w:jc w:val="both"/>
        <w:rPr>
          <w:rFonts w:ascii="Times New Roman" w:hAnsi="Times New Roman" w:cs="Times New Roman"/>
          <w:sz w:val="24"/>
          <w:lang w:val="es-MX"/>
        </w:rPr>
      </w:pPr>
    </w:p>
    <w:p w:rsidR="004E1C7B" w:rsidRDefault="004E1C7B" w:rsidP="004E1C7B">
      <w:pPr>
        <w:pStyle w:val="Sinespaciado"/>
        <w:jc w:val="both"/>
        <w:rPr>
          <w:rFonts w:ascii="Times New Roman" w:hAnsi="Times New Roman" w:cs="Times New Roman"/>
          <w:sz w:val="24"/>
          <w:lang w:val="es-MX"/>
        </w:rPr>
      </w:pPr>
      <w:r w:rsidRPr="00490393">
        <w:rPr>
          <w:rFonts w:ascii="Times New Roman" w:hAnsi="Times New Roman" w:cs="Times New Roman"/>
          <w:sz w:val="24"/>
          <w:lang w:val="es-MX"/>
        </w:rPr>
        <w:t xml:space="preserve">Posterior a la crisis económica internacional, el país recuperó el desempeño que venía observando previó al 2007, es decir, el crecimiento económico se </w:t>
      </w:r>
      <w:r>
        <w:rPr>
          <w:rFonts w:ascii="Times New Roman" w:hAnsi="Times New Roman" w:cs="Times New Roman"/>
          <w:sz w:val="24"/>
          <w:lang w:val="es-MX"/>
        </w:rPr>
        <w:t>ubicó</w:t>
      </w:r>
      <w:r w:rsidRPr="00490393">
        <w:rPr>
          <w:rFonts w:ascii="Times New Roman" w:hAnsi="Times New Roman" w:cs="Times New Roman"/>
          <w:sz w:val="24"/>
          <w:lang w:val="es-MX"/>
        </w:rPr>
        <w:t xml:space="preserve"> entre 3.0% y 4.1%.  Sin embargo, las importaciones, uno de los principales determinantes de la recaudación tributaria, muestra crecimientos moderados después de la crisis, aunque en los dos últimos años muestra niveles negativos, asociados a la reducción de los precios internacionales del petróleo, situación que ha incidido en el nivel del tipo de cambio, que en términos generales se ha mantenido relativamente estable, aunque con una moderada tendencia hacia la apreciación, derivado de la reducción en la importaciones</w:t>
      </w:r>
      <w:r>
        <w:rPr>
          <w:rFonts w:ascii="Times New Roman" w:hAnsi="Times New Roman" w:cs="Times New Roman"/>
          <w:sz w:val="24"/>
          <w:lang w:val="es-MX"/>
        </w:rPr>
        <w:t xml:space="preserve"> principalmente por el efecto precio que es determinado por la caída en los precios internacionales del petróleo, además de</w:t>
      </w:r>
      <w:r w:rsidRPr="00490393">
        <w:rPr>
          <w:rFonts w:ascii="Times New Roman" w:hAnsi="Times New Roman" w:cs="Times New Roman"/>
          <w:sz w:val="24"/>
          <w:lang w:val="es-MX"/>
        </w:rPr>
        <w:t xml:space="preserve"> un comportamiento bastante modesto de las exportaciones,  aunado a un alto flujo de remesas familiares procedente de los Estados Unidos de América.</w:t>
      </w:r>
    </w:p>
    <w:p w:rsidR="004E1C7B" w:rsidRPr="00490393" w:rsidRDefault="004E1C7B" w:rsidP="004E1C7B">
      <w:pPr>
        <w:pStyle w:val="Sinespaciado"/>
        <w:jc w:val="both"/>
        <w:rPr>
          <w:rFonts w:ascii="Times New Roman" w:hAnsi="Times New Roman" w:cs="Times New Roman"/>
          <w:sz w:val="24"/>
          <w:lang w:val="es-MX"/>
        </w:rPr>
      </w:pPr>
      <w:r w:rsidRPr="00490393">
        <w:rPr>
          <w:rFonts w:ascii="Times New Roman" w:hAnsi="Times New Roman" w:cs="Times New Roman"/>
          <w:sz w:val="24"/>
          <w:lang w:val="es-MX"/>
        </w:rPr>
        <w:t xml:space="preserve"> </w:t>
      </w:r>
    </w:p>
    <w:p w:rsidR="004E1C7B" w:rsidRDefault="004E1C7B" w:rsidP="004E1C7B">
      <w:pPr>
        <w:pStyle w:val="Sinespaciado"/>
        <w:jc w:val="both"/>
        <w:rPr>
          <w:rFonts w:ascii="Times New Roman" w:hAnsi="Times New Roman" w:cs="Times New Roman"/>
          <w:sz w:val="24"/>
          <w:lang w:val="es-MX"/>
        </w:rPr>
      </w:pPr>
      <w:r w:rsidRPr="00490393">
        <w:rPr>
          <w:rFonts w:ascii="Times New Roman" w:hAnsi="Times New Roman" w:cs="Times New Roman"/>
          <w:sz w:val="24"/>
          <w:lang w:val="es-MX"/>
        </w:rPr>
        <w:t>La inflación por su parte, previo a la crisis financiera</w:t>
      </w:r>
      <w:r>
        <w:rPr>
          <w:rFonts w:ascii="Times New Roman" w:hAnsi="Times New Roman" w:cs="Times New Roman"/>
          <w:sz w:val="24"/>
          <w:lang w:val="es-MX"/>
        </w:rPr>
        <w:t xml:space="preserve"> internacional,</w:t>
      </w:r>
      <w:r w:rsidRPr="00490393">
        <w:rPr>
          <w:rFonts w:ascii="Times New Roman" w:hAnsi="Times New Roman" w:cs="Times New Roman"/>
          <w:sz w:val="24"/>
          <w:lang w:val="es-MX"/>
        </w:rPr>
        <w:t xml:space="preserve"> se ubicó en niveles entre 6% -10% y después de 2009, la inflación se redujo y se mantuvo estable, en la mayoría de los años ha estado por debajo del 5% y algo a destacar es que desde 2012 la inflación prácticamente se ha ubicado dentro del rango de metas de inflación (3% - 5%)</w:t>
      </w:r>
      <w:r>
        <w:rPr>
          <w:rFonts w:ascii="Times New Roman" w:hAnsi="Times New Roman" w:cs="Times New Roman"/>
          <w:sz w:val="24"/>
          <w:lang w:val="es-MX"/>
        </w:rPr>
        <w:t>.</w:t>
      </w:r>
    </w:p>
    <w:p w:rsidR="004E1C7B" w:rsidRDefault="004E1C7B" w:rsidP="004E1C7B">
      <w:pPr>
        <w:pStyle w:val="Sinespaciado"/>
        <w:jc w:val="both"/>
        <w:rPr>
          <w:rFonts w:ascii="Times New Roman" w:hAnsi="Times New Roman" w:cs="Times New Roman"/>
          <w:sz w:val="24"/>
          <w:lang w:val="es-MX"/>
        </w:rPr>
      </w:pPr>
    </w:p>
    <w:p w:rsidR="004E1C7B" w:rsidRDefault="004E1C7B" w:rsidP="004E1C7B">
      <w:pPr>
        <w:pStyle w:val="Sinespaciado"/>
        <w:jc w:val="both"/>
        <w:rPr>
          <w:rFonts w:ascii="Times New Roman" w:hAnsi="Times New Roman" w:cs="Times New Roman"/>
          <w:sz w:val="24"/>
          <w:lang w:val="es-MX"/>
        </w:rPr>
      </w:pPr>
      <w:r>
        <w:rPr>
          <w:rFonts w:ascii="Times New Roman" w:hAnsi="Times New Roman" w:cs="Times New Roman"/>
          <w:sz w:val="24"/>
          <w:lang w:val="es-MX"/>
        </w:rPr>
        <w:t xml:space="preserve">Lo anterior muestra, que la volatilidad de las principales variables económicas que tiene alguna incidencia en el comportamiento de las cuentas fiscales, no ha sido severa y después de 2009 se ha mantenido relativamente estable, lo que ha permitido mantener un clima económico propicio para que los agentes económicos puedan tomar decisiones certeras de inversión. </w:t>
      </w:r>
    </w:p>
    <w:p w:rsidR="00655131" w:rsidRDefault="00655131"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D755AF" w:rsidRDefault="00D755AF" w:rsidP="004E1C7B">
      <w:pPr>
        <w:pStyle w:val="Sinespaciado"/>
        <w:jc w:val="both"/>
        <w:rPr>
          <w:rFonts w:ascii="Times New Roman" w:hAnsi="Times New Roman" w:cs="Times New Roman"/>
          <w:sz w:val="24"/>
          <w:lang w:val="es-MX"/>
        </w:rPr>
      </w:pPr>
    </w:p>
    <w:p w:rsidR="003845CA" w:rsidRDefault="003845CA" w:rsidP="004E1C7B">
      <w:pPr>
        <w:pStyle w:val="Sinespaciado"/>
        <w:jc w:val="both"/>
        <w:rPr>
          <w:rFonts w:ascii="Times New Roman" w:hAnsi="Times New Roman" w:cs="Times New Roman"/>
          <w:sz w:val="24"/>
          <w:lang w:val="es-MX"/>
        </w:rPr>
      </w:pPr>
    </w:p>
    <w:p w:rsidR="003845CA" w:rsidRDefault="003845CA" w:rsidP="004E1C7B">
      <w:pPr>
        <w:pStyle w:val="Sinespaciado"/>
        <w:jc w:val="both"/>
        <w:rPr>
          <w:rFonts w:ascii="Times New Roman" w:hAnsi="Times New Roman" w:cs="Times New Roman"/>
          <w:sz w:val="24"/>
          <w:lang w:val="es-MX"/>
        </w:rPr>
      </w:pPr>
    </w:p>
    <w:p w:rsidR="00EB26F9" w:rsidRDefault="00EB26F9" w:rsidP="00655131">
      <w:pPr>
        <w:pStyle w:val="Sinespaciado"/>
        <w:jc w:val="center"/>
        <w:rPr>
          <w:rFonts w:ascii="Times New Roman" w:hAnsi="Times New Roman" w:cs="Times New Roman"/>
          <w:b/>
          <w:sz w:val="24"/>
          <w:lang w:val="es-MX"/>
        </w:rPr>
      </w:pPr>
      <w:r>
        <w:rPr>
          <w:rFonts w:ascii="Times New Roman" w:hAnsi="Times New Roman" w:cs="Times New Roman"/>
          <w:b/>
          <w:sz w:val="24"/>
          <w:lang w:val="es-MX"/>
        </w:rPr>
        <w:t>Gráfica 1</w:t>
      </w:r>
    </w:p>
    <w:p w:rsidR="00655131" w:rsidRPr="001E64E6" w:rsidRDefault="00655131" w:rsidP="00655131">
      <w:pPr>
        <w:pStyle w:val="Sinespaciado"/>
        <w:jc w:val="center"/>
        <w:rPr>
          <w:rFonts w:ascii="Times New Roman" w:hAnsi="Times New Roman" w:cs="Times New Roman"/>
          <w:b/>
          <w:sz w:val="24"/>
          <w:lang w:val="es-MX"/>
        </w:rPr>
      </w:pPr>
      <w:r w:rsidRPr="001E64E6">
        <w:rPr>
          <w:rFonts w:ascii="Times New Roman" w:hAnsi="Times New Roman" w:cs="Times New Roman"/>
          <w:b/>
          <w:sz w:val="24"/>
          <w:lang w:val="es-MX"/>
        </w:rPr>
        <w:t>Comportamiento de las</w:t>
      </w:r>
      <w:r>
        <w:rPr>
          <w:rFonts w:ascii="Times New Roman" w:hAnsi="Times New Roman" w:cs="Times New Roman"/>
          <w:b/>
          <w:sz w:val="24"/>
          <w:lang w:val="es-MX"/>
        </w:rPr>
        <w:t xml:space="preserve"> Principales</w:t>
      </w:r>
      <w:r w:rsidRPr="001E64E6">
        <w:rPr>
          <w:rFonts w:ascii="Times New Roman" w:hAnsi="Times New Roman" w:cs="Times New Roman"/>
          <w:b/>
          <w:sz w:val="24"/>
          <w:lang w:val="es-MX"/>
        </w:rPr>
        <w:t xml:space="preserve"> Variables Macroeconómicas</w:t>
      </w:r>
    </w:p>
    <w:p w:rsidR="00655131" w:rsidRPr="000574C8" w:rsidRDefault="00655131" w:rsidP="00655131">
      <w:pPr>
        <w:pStyle w:val="Sinespaciado"/>
        <w:jc w:val="center"/>
        <w:rPr>
          <w:rFonts w:ascii="Times New Roman" w:hAnsi="Times New Roman" w:cs="Times New Roman"/>
          <w:sz w:val="20"/>
          <w:lang w:val="es-MX"/>
        </w:rPr>
      </w:pPr>
      <w:r w:rsidRPr="000574C8">
        <w:rPr>
          <w:rFonts w:ascii="Times New Roman" w:hAnsi="Times New Roman" w:cs="Times New Roman"/>
          <w:sz w:val="20"/>
          <w:lang w:val="es-MX"/>
        </w:rPr>
        <w:t>2000 - 2016</w:t>
      </w:r>
    </w:p>
    <w:p w:rsidR="00655131" w:rsidRPr="003845CA" w:rsidRDefault="00655131" w:rsidP="003845CA">
      <w:pPr>
        <w:spacing w:after="0"/>
        <w:jc w:val="center"/>
        <w:rPr>
          <w:rFonts w:ascii="Times New Roman" w:hAnsi="Times New Roman" w:cs="Times New Roman"/>
          <w:sz w:val="18"/>
          <w:lang w:val="es-MX"/>
        </w:rPr>
      </w:pPr>
      <w:r w:rsidRPr="001E64E6">
        <w:rPr>
          <w:noProof/>
          <w:lang w:eastAsia="es-GT"/>
        </w:rPr>
        <w:drawing>
          <wp:inline distT="0" distB="0" distL="0" distR="0" wp14:anchorId="41CCC069" wp14:editId="66FE5635">
            <wp:extent cx="5612130" cy="2833380"/>
            <wp:effectExtent l="0" t="0" r="508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833380"/>
                    </a:xfrm>
                    <a:prstGeom prst="rect">
                      <a:avLst/>
                    </a:prstGeom>
                    <a:noFill/>
                    <a:ln>
                      <a:noFill/>
                    </a:ln>
                  </pic:spPr>
                </pic:pic>
              </a:graphicData>
            </a:graphic>
          </wp:inline>
        </w:drawing>
      </w:r>
      <w:r w:rsidRPr="000574C8">
        <w:rPr>
          <w:rFonts w:ascii="Times New Roman" w:hAnsi="Times New Roman" w:cs="Times New Roman"/>
          <w:sz w:val="16"/>
          <w:lang w:val="es-MX"/>
        </w:rPr>
        <w:t>Fuente: Elaboración propia con datos obtenidos del portal de internet del Banco de Guatemala.</w:t>
      </w:r>
    </w:p>
    <w:p w:rsidR="000574C8" w:rsidRDefault="000574C8" w:rsidP="004E1C7B">
      <w:pPr>
        <w:pStyle w:val="Sinespaciado"/>
        <w:jc w:val="both"/>
        <w:rPr>
          <w:rFonts w:ascii="Times New Roman" w:hAnsi="Times New Roman" w:cs="Times New Roman"/>
          <w:sz w:val="24"/>
          <w:lang w:val="es-MX"/>
        </w:rPr>
      </w:pPr>
    </w:p>
    <w:p w:rsidR="004E1C7B" w:rsidRDefault="004E1C7B" w:rsidP="004E1C7B">
      <w:pPr>
        <w:pStyle w:val="Sinespaciado"/>
        <w:jc w:val="both"/>
        <w:rPr>
          <w:rFonts w:ascii="Times New Roman" w:hAnsi="Times New Roman" w:cs="Times New Roman"/>
          <w:sz w:val="24"/>
          <w:lang w:val="es-MX"/>
        </w:rPr>
      </w:pPr>
      <w:r>
        <w:rPr>
          <w:rFonts w:ascii="Times New Roman" w:hAnsi="Times New Roman" w:cs="Times New Roman"/>
          <w:sz w:val="24"/>
          <w:lang w:val="es-MX"/>
        </w:rPr>
        <w:t>Por otro lado, este comportamiento de la actividad económica ha tenido una incidencia en la evolución de los principales indicadores fiscales, cuando la economía mostró períodos de auge (2006-2007) se observaron los niveles más altos de recaudación tributaria, en 2007</w:t>
      </w:r>
      <w:r w:rsidR="00ED1493">
        <w:rPr>
          <w:rFonts w:ascii="Times New Roman" w:hAnsi="Times New Roman" w:cs="Times New Roman"/>
          <w:sz w:val="24"/>
          <w:lang w:val="es-MX"/>
        </w:rPr>
        <w:t>, la carga tributaria</w:t>
      </w:r>
      <w:r>
        <w:rPr>
          <w:rFonts w:ascii="Times New Roman" w:hAnsi="Times New Roman" w:cs="Times New Roman"/>
          <w:sz w:val="24"/>
          <w:lang w:val="es-MX"/>
        </w:rPr>
        <w:t xml:space="preserve"> alcanzó su máximo histórico (12.1%), el gasto público mostr</w:t>
      </w:r>
      <w:r w:rsidR="00ED1493">
        <w:rPr>
          <w:rFonts w:ascii="Times New Roman" w:hAnsi="Times New Roman" w:cs="Times New Roman"/>
          <w:sz w:val="24"/>
          <w:lang w:val="es-MX"/>
        </w:rPr>
        <w:t>ó</w:t>
      </w:r>
      <w:r>
        <w:rPr>
          <w:rFonts w:ascii="Times New Roman" w:hAnsi="Times New Roman" w:cs="Times New Roman"/>
          <w:sz w:val="24"/>
          <w:lang w:val="es-MX"/>
        </w:rPr>
        <w:t xml:space="preserve"> niveles por arriba del 14% y el déficit fiscal fue la relativamente bajo, incidiendo positivamente en el endeudamiento público, en donde el ratio deuda-PIB fue menor del 22%.   Sin embargo, en la época de la crisis económica internacional que afectó al país en 2009 y que un componente importante de secuelas se manifestó aun en 2010, se obtuvo una severa reducción de los ingresos</w:t>
      </w:r>
      <w:r w:rsidR="009E39EB">
        <w:rPr>
          <w:rFonts w:ascii="Times New Roman" w:hAnsi="Times New Roman" w:cs="Times New Roman"/>
          <w:sz w:val="24"/>
          <w:lang w:val="es-MX"/>
        </w:rPr>
        <w:t xml:space="preserve"> </w:t>
      </w:r>
      <w:r>
        <w:rPr>
          <w:rFonts w:ascii="Times New Roman" w:hAnsi="Times New Roman" w:cs="Times New Roman"/>
          <w:sz w:val="24"/>
          <w:lang w:val="es-MX"/>
        </w:rPr>
        <w:t xml:space="preserve">fiscales en donde la carga tributaria se ubicó en 10.2% y a pesar de la fuerte caída de los ingresos el gasto aumentó como parte de la política fiscal contra cíclica que elevó el gasto en programas sociales y mantuvo los niveles de inversión pública, esto propició un aumento considerable en el déficit fiscal por arriba del 3.0% y aumentó la deuda pública en torno al 24.0% del PIB.  </w:t>
      </w:r>
    </w:p>
    <w:p w:rsidR="004E1C7B" w:rsidRDefault="004E1C7B" w:rsidP="004E1C7B">
      <w:pPr>
        <w:pStyle w:val="Sinespaciado"/>
        <w:jc w:val="both"/>
        <w:rPr>
          <w:rFonts w:ascii="Times New Roman" w:hAnsi="Times New Roman" w:cs="Times New Roman"/>
          <w:sz w:val="24"/>
          <w:lang w:val="es-MX"/>
        </w:rPr>
      </w:pPr>
    </w:p>
    <w:p w:rsidR="004E1C7B" w:rsidRDefault="004E1C7B" w:rsidP="004E1C7B">
      <w:pPr>
        <w:pStyle w:val="Sinespaciado"/>
        <w:jc w:val="both"/>
        <w:rPr>
          <w:rFonts w:ascii="Times New Roman" w:hAnsi="Times New Roman" w:cs="Times New Roman"/>
          <w:sz w:val="24"/>
          <w:lang w:val="es-MX"/>
        </w:rPr>
      </w:pPr>
      <w:r>
        <w:rPr>
          <w:rFonts w:ascii="Times New Roman" w:hAnsi="Times New Roman" w:cs="Times New Roman"/>
          <w:sz w:val="24"/>
          <w:lang w:val="es-MX"/>
        </w:rPr>
        <w:t>Posterior a la crisis</w:t>
      </w:r>
      <w:r w:rsidR="009E39EB">
        <w:rPr>
          <w:rFonts w:ascii="Times New Roman" w:hAnsi="Times New Roman" w:cs="Times New Roman"/>
          <w:sz w:val="24"/>
          <w:lang w:val="es-MX"/>
        </w:rPr>
        <w:t>,</w:t>
      </w:r>
      <w:r>
        <w:rPr>
          <w:rFonts w:ascii="Times New Roman" w:hAnsi="Times New Roman" w:cs="Times New Roman"/>
          <w:sz w:val="24"/>
          <w:lang w:val="es-MX"/>
        </w:rPr>
        <w:t xml:space="preserve"> la situación económica mejoró, en términos del producto se ha mantenido en promedio en su nivel potencial, aunque el comercio exterior ha mostrado variaciones bajas o levemente negativas que han sido compensadas con un alto nivel de remesas familiares especialmente en los últimos dos años que ha incidido en una apreciación del quetzal.  Lo anterior, ha afectado los ingresos fiscales, aunado a otros problemas de índole institucional, reduciendo la carga tributaria a 10.2% en 2015, la recuperación de la gobernanza de la administración tributaria ha contribuido a mejorar el espacio perdido y se prevé un aumento gradual en el mediano plazo.   Por su parte el gasto público como reacción a la reducción de los ingresos y a los problemas institucionales, ha disminuido los niveles de ejecución muy por debajo del promedio especialmente en 2015-2016, lo cual se ha reflejado en una fuerte reducción del déficit fiscal, mientras que la deuda pública se ha mantenido estable y recientemente con una leve reducción.</w:t>
      </w:r>
    </w:p>
    <w:p w:rsidR="004E1C7B" w:rsidRDefault="004E1C7B" w:rsidP="004E1C7B">
      <w:pPr>
        <w:pStyle w:val="Sinespaciado"/>
        <w:jc w:val="both"/>
        <w:rPr>
          <w:rFonts w:ascii="Times New Roman" w:hAnsi="Times New Roman" w:cs="Times New Roman"/>
          <w:sz w:val="24"/>
          <w:lang w:val="es-MX"/>
        </w:rPr>
      </w:pPr>
    </w:p>
    <w:p w:rsidR="00EB26F9" w:rsidRDefault="00EB26F9" w:rsidP="00655131">
      <w:pPr>
        <w:pStyle w:val="Sinespaciado"/>
        <w:jc w:val="center"/>
        <w:rPr>
          <w:rFonts w:ascii="Times New Roman" w:hAnsi="Times New Roman" w:cs="Times New Roman"/>
          <w:b/>
          <w:sz w:val="24"/>
          <w:lang w:val="es-MX"/>
        </w:rPr>
      </w:pPr>
      <w:r>
        <w:rPr>
          <w:rFonts w:ascii="Times New Roman" w:hAnsi="Times New Roman" w:cs="Times New Roman"/>
          <w:b/>
          <w:sz w:val="24"/>
          <w:lang w:val="es-MX"/>
        </w:rPr>
        <w:t>Gráfica 2</w:t>
      </w:r>
    </w:p>
    <w:p w:rsidR="00655131" w:rsidRPr="001E64E6" w:rsidRDefault="00655131" w:rsidP="00655131">
      <w:pPr>
        <w:pStyle w:val="Sinespaciado"/>
        <w:jc w:val="center"/>
        <w:rPr>
          <w:rFonts w:ascii="Times New Roman" w:hAnsi="Times New Roman" w:cs="Times New Roman"/>
          <w:b/>
          <w:sz w:val="24"/>
          <w:lang w:val="es-MX"/>
        </w:rPr>
      </w:pPr>
      <w:r w:rsidRPr="001E64E6">
        <w:rPr>
          <w:rFonts w:ascii="Times New Roman" w:hAnsi="Times New Roman" w:cs="Times New Roman"/>
          <w:b/>
          <w:sz w:val="24"/>
          <w:lang w:val="es-MX"/>
        </w:rPr>
        <w:t>Comportamiento de las</w:t>
      </w:r>
      <w:r>
        <w:rPr>
          <w:rFonts w:ascii="Times New Roman" w:hAnsi="Times New Roman" w:cs="Times New Roman"/>
          <w:b/>
          <w:sz w:val="24"/>
          <w:lang w:val="es-MX"/>
        </w:rPr>
        <w:t xml:space="preserve"> Principales</w:t>
      </w:r>
      <w:r w:rsidRPr="001E64E6">
        <w:rPr>
          <w:rFonts w:ascii="Times New Roman" w:hAnsi="Times New Roman" w:cs="Times New Roman"/>
          <w:b/>
          <w:sz w:val="24"/>
          <w:lang w:val="es-MX"/>
        </w:rPr>
        <w:t xml:space="preserve"> Variables </w:t>
      </w:r>
      <w:r>
        <w:rPr>
          <w:rFonts w:ascii="Times New Roman" w:hAnsi="Times New Roman" w:cs="Times New Roman"/>
          <w:b/>
          <w:sz w:val="24"/>
          <w:lang w:val="es-MX"/>
        </w:rPr>
        <w:t>Fiscales</w:t>
      </w:r>
    </w:p>
    <w:p w:rsidR="00655131" w:rsidRPr="000574C8" w:rsidRDefault="00462B38" w:rsidP="00655131">
      <w:pPr>
        <w:pStyle w:val="Sinespaciado"/>
        <w:jc w:val="center"/>
        <w:rPr>
          <w:rFonts w:ascii="Times New Roman" w:hAnsi="Times New Roman" w:cs="Times New Roman"/>
          <w:sz w:val="20"/>
          <w:lang w:val="es-MX"/>
        </w:rPr>
      </w:pPr>
      <w:r w:rsidRPr="000574C8">
        <w:rPr>
          <w:noProof/>
          <w:sz w:val="20"/>
          <w:lang w:eastAsia="es-GT"/>
        </w:rPr>
        <w:drawing>
          <wp:anchor distT="0" distB="0" distL="114300" distR="114300" simplePos="0" relativeHeight="251658240" behindDoc="0" locked="0" layoutInCell="1" allowOverlap="1" wp14:anchorId="463E15D5" wp14:editId="56D85967">
            <wp:simplePos x="0" y="0"/>
            <wp:positionH relativeFrom="margin">
              <wp:posOffset>48730</wp:posOffset>
            </wp:positionH>
            <wp:positionV relativeFrom="paragraph">
              <wp:posOffset>155575</wp:posOffset>
            </wp:positionV>
            <wp:extent cx="5568950" cy="372872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8950" cy="3728720"/>
                    </a:xfrm>
                    <a:prstGeom prst="rect">
                      <a:avLst/>
                    </a:prstGeom>
                    <a:noFill/>
                  </pic:spPr>
                </pic:pic>
              </a:graphicData>
            </a:graphic>
            <wp14:sizeRelH relativeFrom="page">
              <wp14:pctWidth>0</wp14:pctWidth>
            </wp14:sizeRelH>
            <wp14:sizeRelV relativeFrom="page">
              <wp14:pctHeight>0</wp14:pctHeight>
            </wp14:sizeRelV>
          </wp:anchor>
        </w:drawing>
      </w:r>
      <w:r w:rsidR="00655131" w:rsidRPr="000574C8">
        <w:rPr>
          <w:rFonts w:ascii="Times New Roman" w:hAnsi="Times New Roman" w:cs="Times New Roman"/>
          <w:sz w:val="20"/>
          <w:lang w:val="es-MX"/>
        </w:rPr>
        <w:t>2000 - 2016</w:t>
      </w:r>
    </w:p>
    <w:p w:rsidR="00655131" w:rsidRDefault="00655131" w:rsidP="000574C8">
      <w:pPr>
        <w:spacing w:after="0"/>
        <w:ind w:firstLine="708"/>
        <w:rPr>
          <w:rFonts w:ascii="Times New Roman" w:hAnsi="Times New Roman" w:cs="Times New Roman"/>
          <w:sz w:val="16"/>
          <w:lang w:val="es-MX"/>
        </w:rPr>
      </w:pPr>
      <w:r w:rsidRPr="000574C8">
        <w:rPr>
          <w:rFonts w:ascii="Times New Roman" w:hAnsi="Times New Roman" w:cs="Times New Roman"/>
          <w:sz w:val="16"/>
          <w:lang w:val="es-MX"/>
        </w:rPr>
        <w:t>Fuente: Ministerio de Finanzas Públicas.</w:t>
      </w:r>
    </w:p>
    <w:p w:rsidR="000574C8" w:rsidRPr="000574C8" w:rsidRDefault="000574C8" w:rsidP="000574C8">
      <w:pPr>
        <w:spacing w:after="0"/>
        <w:ind w:firstLine="708"/>
        <w:rPr>
          <w:rFonts w:ascii="Times New Roman" w:hAnsi="Times New Roman" w:cs="Times New Roman"/>
          <w:sz w:val="24"/>
          <w:lang w:val="es-MX"/>
        </w:rPr>
      </w:pPr>
    </w:p>
    <w:p w:rsidR="0058784E" w:rsidRPr="00557268" w:rsidRDefault="0058784E" w:rsidP="00E83DF1">
      <w:pPr>
        <w:pStyle w:val="Ttulo21"/>
        <w:spacing w:after="0"/>
        <w:ind w:hanging="292"/>
        <w:outlineLvl w:val="1"/>
        <w:rPr>
          <w:rFonts w:ascii="Times New Roman" w:hAnsi="Times New Roman" w:cs="Times New Roman"/>
          <w:b/>
          <w:sz w:val="24"/>
          <w:lang w:val="es-MX"/>
        </w:rPr>
      </w:pPr>
      <w:bookmarkStart w:id="4" w:name="_Toc509214733"/>
      <w:r w:rsidRPr="00557268">
        <w:rPr>
          <w:rFonts w:ascii="Times New Roman" w:hAnsi="Times New Roman" w:cs="Times New Roman"/>
          <w:b/>
          <w:sz w:val="24"/>
          <w:lang w:val="es-MX"/>
        </w:rPr>
        <w:t>Desviación entre el pronóstico y lo observado</w:t>
      </w:r>
      <w:bookmarkEnd w:id="4"/>
    </w:p>
    <w:p w:rsidR="0058784E" w:rsidRPr="00880D9D" w:rsidRDefault="0058784E" w:rsidP="0077110C">
      <w:pPr>
        <w:pStyle w:val="Sinespaciado"/>
        <w:jc w:val="both"/>
        <w:rPr>
          <w:rFonts w:ascii="Times New Roman" w:hAnsi="Times New Roman" w:cs="Times New Roman"/>
          <w:lang w:val="es-MX"/>
        </w:rPr>
      </w:pPr>
    </w:p>
    <w:p w:rsidR="00DA3A12" w:rsidRPr="00F13E77" w:rsidRDefault="00AD00D2" w:rsidP="0077110C">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 xml:space="preserve">Como se pudo </w:t>
      </w:r>
      <w:r w:rsidR="003B5A22" w:rsidRPr="00F13E77">
        <w:rPr>
          <w:rFonts w:ascii="Times New Roman" w:hAnsi="Times New Roman" w:cs="Times New Roman"/>
          <w:sz w:val="24"/>
          <w:szCs w:val="24"/>
          <w:lang w:val="es-MX"/>
        </w:rPr>
        <w:t>apreciar, en el apartado anterior, en los últimos 6</w:t>
      </w:r>
      <w:r w:rsidRPr="00F13E77">
        <w:rPr>
          <w:rFonts w:ascii="Times New Roman" w:hAnsi="Times New Roman" w:cs="Times New Roman"/>
          <w:sz w:val="24"/>
          <w:szCs w:val="24"/>
          <w:lang w:val="es-MX"/>
        </w:rPr>
        <w:t xml:space="preserve"> años no se observa una fuerte volatilidad en el comportamiento de las variables macroeconómicas, sin embargo, es importante analizar, no solo su comportamiento histórico, sino también como ha sido la fluctuac</w:t>
      </w:r>
      <w:r w:rsidR="0065664C" w:rsidRPr="00F13E77">
        <w:rPr>
          <w:rFonts w:ascii="Times New Roman" w:hAnsi="Times New Roman" w:cs="Times New Roman"/>
          <w:sz w:val="24"/>
          <w:szCs w:val="24"/>
          <w:lang w:val="es-MX"/>
        </w:rPr>
        <w:t>ión entre los datos proyectados</w:t>
      </w:r>
      <w:r w:rsidRPr="00F13E77">
        <w:rPr>
          <w:rFonts w:ascii="Times New Roman" w:hAnsi="Times New Roman" w:cs="Times New Roman"/>
          <w:sz w:val="24"/>
          <w:szCs w:val="24"/>
          <w:lang w:val="es-MX"/>
        </w:rPr>
        <w:t xml:space="preserve"> y l</w:t>
      </w:r>
      <w:r w:rsidR="00DA3A12" w:rsidRPr="00F13E77">
        <w:rPr>
          <w:rFonts w:ascii="Times New Roman" w:hAnsi="Times New Roman" w:cs="Times New Roman"/>
          <w:sz w:val="24"/>
          <w:szCs w:val="24"/>
          <w:lang w:val="es-MX"/>
        </w:rPr>
        <w:t>os resultados observados al final del año.</w:t>
      </w:r>
    </w:p>
    <w:p w:rsidR="0065664C" w:rsidRPr="00F13E77" w:rsidRDefault="0065664C" w:rsidP="0077110C">
      <w:pPr>
        <w:pStyle w:val="Sinespaciado"/>
        <w:jc w:val="both"/>
        <w:rPr>
          <w:rFonts w:ascii="Times New Roman" w:hAnsi="Times New Roman" w:cs="Times New Roman"/>
          <w:sz w:val="24"/>
          <w:szCs w:val="24"/>
          <w:lang w:val="es-MX"/>
        </w:rPr>
      </w:pPr>
    </w:p>
    <w:p w:rsidR="0065664C" w:rsidRPr="00F13E77" w:rsidRDefault="004705FF" w:rsidP="0077110C">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S</w:t>
      </w:r>
      <w:r w:rsidR="0065664C" w:rsidRPr="00F13E77">
        <w:rPr>
          <w:rFonts w:ascii="Times New Roman" w:hAnsi="Times New Roman" w:cs="Times New Roman"/>
          <w:sz w:val="24"/>
          <w:szCs w:val="24"/>
          <w:lang w:val="es-MX"/>
        </w:rPr>
        <w:t>e</w:t>
      </w:r>
      <w:r w:rsidR="001D10A0" w:rsidRPr="00F13E77">
        <w:rPr>
          <w:rFonts w:ascii="Times New Roman" w:hAnsi="Times New Roman" w:cs="Times New Roman"/>
          <w:sz w:val="24"/>
          <w:szCs w:val="24"/>
          <w:lang w:val="es-MX"/>
        </w:rPr>
        <w:t xml:space="preserve"> analizará la información para el período 2005-2016, considerando para el efecto</w:t>
      </w:r>
      <w:r w:rsidR="00E6387A" w:rsidRPr="00F13E77">
        <w:rPr>
          <w:rFonts w:ascii="Times New Roman" w:hAnsi="Times New Roman" w:cs="Times New Roman"/>
          <w:sz w:val="24"/>
          <w:szCs w:val="24"/>
          <w:lang w:val="es-MX"/>
        </w:rPr>
        <w:t xml:space="preserve"> el escenario</w:t>
      </w:r>
      <w:r w:rsidR="00762478" w:rsidRPr="00F13E77">
        <w:rPr>
          <w:rFonts w:ascii="Times New Roman" w:hAnsi="Times New Roman" w:cs="Times New Roman"/>
          <w:sz w:val="24"/>
          <w:szCs w:val="24"/>
          <w:lang w:val="es-MX"/>
        </w:rPr>
        <w:t xml:space="preserve"> macroeconómico </w:t>
      </w:r>
      <w:r w:rsidR="00E6387A" w:rsidRPr="00F13E77">
        <w:rPr>
          <w:rFonts w:ascii="Times New Roman" w:hAnsi="Times New Roman" w:cs="Times New Roman"/>
          <w:sz w:val="24"/>
          <w:szCs w:val="24"/>
          <w:lang w:val="es-MX"/>
        </w:rPr>
        <w:t>que el gobierno escogió para elaborar sus estimaciones</w:t>
      </w:r>
      <w:r w:rsidR="00A9303D" w:rsidRPr="00F13E77">
        <w:rPr>
          <w:rFonts w:ascii="Times New Roman" w:hAnsi="Times New Roman" w:cs="Times New Roman"/>
          <w:sz w:val="24"/>
          <w:szCs w:val="24"/>
          <w:lang w:val="es-MX"/>
        </w:rPr>
        <w:t xml:space="preserve"> fiscales,</w:t>
      </w:r>
      <w:r w:rsidR="00E6387A" w:rsidRPr="00F13E77">
        <w:rPr>
          <w:rFonts w:ascii="Times New Roman" w:hAnsi="Times New Roman" w:cs="Times New Roman"/>
          <w:sz w:val="24"/>
          <w:szCs w:val="24"/>
          <w:lang w:val="es-MX"/>
        </w:rPr>
        <w:t xml:space="preserve"> general</w:t>
      </w:r>
      <w:r w:rsidR="00A9303D" w:rsidRPr="00F13E77">
        <w:rPr>
          <w:rFonts w:ascii="Times New Roman" w:hAnsi="Times New Roman" w:cs="Times New Roman"/>
          <w:sz w:val="24"/>
          <w:szCs w:val="24"/>
          <w:lang w:val="es-MX"/>
        </w:rPr>
        <w:t>mente</w:t>
      </w:r>
      <w:r w:rsidR="00E6387A" w:rsidRPr="00F13E77">
        <w:rPr>
          <w:rFonts w:ascii="Times New Roman" w:hAnsi="Times New Roman" w:cs="Times New Roman"/>
          <w:sz w:val="24"/>
          <w:szCs w:val="24"/>
          <w:lang w:val="es-MX"/>
        </w:rPr>
        <w:t xml:space="preserve"> es el escenario bajo o medio</w:t>
      </w:r>
      <w:r w:rsidR="00762478" w:rsidRPr="00F13E77">
        <w:rPr>
          <w:rFonts w:ascii="Times New Roman" w:hAnsi="Times New Roman" w:cs="Times New Roman"/>
          <w:sz w:val="24"/>
          <w:szCs w:val="24"/>
          <w:lang w:val="es-MX"/>
        </w:rPr>
        <w:t xml:space="preserve"> del Banco de Guatemala</w:t>
      </w:r>
      <w:r w:rsidR="00E6387A" w:rsidRPr="00F13E77">
        <w:rPr>
          <w:rFonts w:ascii="Times New Roman" w:hAnsi="Times New Roman" w:cs="Times New Roman"/>
          <w:sz w:val="24"/>
          <w:szCs w:val="24"/>
          <w:lang w:val="es-MX"/>
        </w:rPr>
        <w:t xml:space="preserve">.  Además, se toma en cuenta </w:t>
      </w:r>
      <w:r w:rsidR="0065664C" w:rsidRPr="00F13E77">
        <w:rPr>
          <w:rFonts w:ascii="Times New Roman" w:hAnsi="Times New Roman" w:cs="Times New Roman"/>
          <w:sz w:val="24"/>
          <w:szCs w:val="24"/>
          <w:lang w:val="es-MX"/>
        </w:rPr>
        <w:t>únicamente los años en donde fue aprobado el Presupuesto General de Ingresos y Egresos del Estado por parte del Congreso de la República, es por ello que</w:t>
      </w:r>
      <w:r w:rsidR="009E39EB" w:rsidRPr="00F13E77">
        <w:rPr>
          <w:rFonts w:ascii="Times New Roman" w:hAnsi="Times New Roman" w:cs="Times New Roman"/>
          <w:sz w:val="24"/>
          <w:szCs w:val="24"/>
          <w:lang w:val="es-MX"/>
        </w:rPr>
        <w:t>,</w:t>
      </w:r>
      <w:r w:rsidR="0065664C" w:rsidRPr="00F13E77">
        <w:rPr>
          <w:rFonts w:ascii="Times New Roman" w:hAnsi="Times New Roman" w:cs="Times New Roman"/>
          <w:sz w:val="24"/>
          <w:szCs w:val="24"/>
          <w:lang w:val="es-MX"/>
        </w:rPr>
        <w:t xml:space="preserve"> en l</w:t>
      </w:r>
      <w:r w:rsidR="00F77B69" w:rsidRPr="00F13E77">
        <w:rPr>
          <w:rFonts w:ascii="Times New Roman" w:hAnsi="Times New Roman" w:cs="Times New Roman"/>
          <w:sz w:val="24"/>
          <w:szCs w:val="24"/>
          <w:lang w:val="es-MX"/>
        </w:rPr>
        <w:t>os años 2007, 2010 y 2014 de la</w:t>
      </w:r>
      <w:r w:rsidR="0065664C" w:rsidRPr="00F13E77">
        <w:rPr>
          <w:rFonts w:ascii="Times New Roman" w:hAnsi="Times New Roman" w:cs="Times New Roman"/>
          <w:sz w:val="24"/>
          <w:szCs w:val="24"/>
          <w:lang w:val="es-MX"/>
        </w:rPr>
        <w:t xml:space="preserve"> gráfic</w:t>
      </w:r>
      <w:r w:rsidR="00F77B69" w:rsidRPr="00F13E77">
        <w:rPr>
          <w:rFonts w:ascii="Times New Roman" w:hAnsi="Times New Roman" w:cs="Times New Roman"/>
          <w:sz w:val="24"/>
          <w:szCs w:val="24"/>
          <w:lang w:val="es-MX"/>
        </w:rPr>
        <w:t xml:space="preserve">a No. 3 </w:t>
      </w:r>
      <w:r w:rsidR="0065664C" w:rsidRPr="00F13E77">
        <w:rPr>
          <w:rFonts w:ascii="Times New Roman" w:hAnsi="Times New Roman" w:cs="Times New Roman"/>
          <w:sz w:val="24"/>
          <w:szCs w:val="24"/>
          <w:lang w:val="es-MX"/>
        </w:rPr>
        <w:t xml:space="preserve">no </w:t>
      </w:r>
      <w:r w:rsidR="001D10A0" w:rsidRPr="00F13E77">
        <w:rPr>
          <w:rFonts w:ascii="Times New Roman" w:hAnsi="Times New Roman" w:cs="Times New Roman"/>
          <w:sz w:val="24"/>
          <w:szCs w:val="24"/>
          <w:lang w:val="es-MX"/>
        </w:rPr>
        <w:t xml:space="preserve">se </w:t>
      </w:r>
      <w:r w:rsidR="00F12C3B" w:rsidRPr="00F13E77">
        <w:rPr>
          <w:rFonts w:ascii="Times New Roman" w:hAnsi="Times New Roman" w:cs="Times New Roman"/>
          <w:sz w:val="24"/>
          <w:szCs w:val="24"/>
          <w:lang w:val="es-MX"/>
        </w:rPr>
        <w:t xml:space="preserve">incluye dicha </w:t>
      </w:r>
      <w:r w:rsidR="0065664C" w:rsidRPr="00F13E77">
        <w:rPr>
          <w:rFonts w:ascii="Times New Roman" w:hAnsi="Times New Roman" w:cs="Times New Roman"/>
          <w:sz w:val="24"/>
          <w:szCs w:val="24"/>
          <w:lang w:val="es-MX"/>
        </w:rPr>
        <w:t>información</w:t>
      </w:r>
      <w:r w:rsidR="001D10A0" w:rsidRPr="00F13E77">
        <w:rPr>
          <w:rFonts w:ascii="Times New Roman" w:hAnsi="Times New Roman" w:cs="Times New Roman"/>
          <w:sz w:val="24"/>
          <w:szCs w:val="24"/>
          <w:lang w:val="es-MX"/>
        </w:rPr>
        <w:t>.</w:t>
      </w:r>
      <w:r w:rsidR="0065664C" w:rsidRPr="00F13E77">
        <w:rPr>
          <w:rFonts w:ascii="Times New Roman" w:hAnsi="Times New Roman" w:cs="Times New Roman"/>
          <w:sz w:val="24"/>
          <w:szCs w:val="24"/>
          <w:lang w:val="es-MX"/>
        </w:rPr>
        <w:t xml:space="preserve"> </w:t>
      </w:r>
    </w:p>
    <w:p w:rsidR="00DA3A12" w:rsidRPr="00F13E77" w:rsidRDefault="00DA3A12" w:rsidP="0077110C">
      <w:pPr>
        <w:pStyle w:val="Sinespaciado"/>
        <w:jc w:val="both"/>
        <w:rPr>
          <w:rFonts w:ascii="Times New Roman" w:hAnsi="Times New Roman" w:cs="Times New Roman"/>
          <w:sz w:val="24"/>
          <w:szCs w:val="24"/>
          <w:lang w:val="es-MX"/>
        </w:rPr>
      </w:pPr>
    </w:p>
    <w:p w:rsidR="00DA3A12" w:rsidRPr="00F13E77" w:rsidRDefault="001D10A0" w:rsidP="0077110C">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En este sentido, e</w:t>
      </w:r>
      <w:r w:rsidR="0065664C" w:rsidRPr="00F13E77">
        <w:rPr>
          <w:rFonts w:ascii="Times New Roman" w:hAnsi="Times New Roman" w:cs="Times New Roman"/>
          <w:sz w:val="24"/>
          <w:szCs w:val="24"/>
          <w:lang w:val="es-MX"/>
        </w:rPr>
        <w:t xml:space="preserve">n el caso del crecimiento nominal </w:t>
      </w:r>
      <w:r w:rsidR="004F3F0D" w:rsidRPr="00F13E77">
        <w:rPr>
          <w:rFonts w:ascii="Times New Roman" w:hAnsi="Times New Roman" w:cs="Times New Roman"/>
          <w:sz w:val="24"/>
          <w:szCs w:val="24"/>
          <w:lang w:val="es-MX"/>
        </w:rPr>
        <w:t xml:space="preserve">y real </w:t>
      </w:r>
      <w:r w:rsidR="0065664C" w:rsidRPr="00F13E77">
        <w:rPr>
          <w:rFonts w:ascii="Times New Roman" w:hAnsi="Times New Roman" w:cs="Times New Roman"/>
          <w:sz w:val="24"/>
          <w:szCs w:val="24"/>
          <w:lang w:val="es-MX"/>
        </w:rPr>
        <w:t xml:space="preserve">del producto interno bruto, </w:t>
      </w:r>
      <w:r w:rsidR="004F3F0D" w:rsidRPr="00F13E77">
        <w:rPr>
          <w:rFonts w:ascii="Times New Roman" w:hAnsi="Times New Roman" w:cs="Times New Roman"/>
          <w:sz w:val="24"/>
          <w:szCs w:val="24"/>
          <w:lang w:val="es-MX"/>
        </w:rPr>
        <w:t>se observa</w:t>
      </w:r>
      <w:r w:rsidR="0065664C" w:rsidRPr="00F13E77">
        <w:rPr>
          <w:rFonts w:ascii="Times New Roman" w:hAnsi="Times New Roman" w:cs="Times New Roman"/>
          <w:sz w:val="24"/>
          <w:szCs w:val="24"/>
          <w:lang w:val="es-MX"/>
        </w:rPr>
        <w:t xml:space="preserve"> una marcada diferencia </w:t>
      </w:r>
      <w:r w:rsidRPr="00F13E77">
        <w:rPr>
          <w:rFonts w:ascii="Times New Roman" w:hAnsi="Times New Roman" w:cs="Times New Roman"/>
          <w:sz w:val="24"/>
          <w:szCs w:val="24"/>
          <w:lang w:val="es-MX"/>
        </w:rPr>
        <w:t xml:space="preserve">entre lo proyectado y </w:t>
      </w:r>
      <w:r w:rsidR="00E6387A" w:rsidRPr="00F13E77">
        <w:rPr>
          <w:rFonts w:ascii="Times New Roman" w:hAnsi="Times New Roman" w:cs="Times New Roman"/>
          <w:sz w:val="24"/>
          <w:szCs w:val="24"/>
          <w:lang w:val="es-MX"/>
        </w:rPr>
        <w:t>lo observado</w:t>
      </w:r>
      <w:r w:rsidRPr="00F13E77">
        <w:rPr>
          <w:rFonts w:ascii="Times New Roman" w:hAnsi="Times New Roman" w:cs="Times New Roman"/>
          <w:sz w:val="24"/>
          <w:szCs w:val="24"/>
          <w:lang w:val="es-MX"/>
        </w:rPr>
        <w:t xml:space="preserve"> </w:t>
      </w:r>
      <w:r w:rsidR="0065664C" w:rsidRPr="00F13E77">
        <w:rPr>
          <w:rFonts w:ascii="Times New Roman" w:hAnsi="Times New Roman" w:cs="Times New Roman"/>
          <w:sz w:val="24"/>
          <w:szCs w:val="24"/>
          <w:lang w:val="es-MX"/>
        </w:rPr>
        <w:t>en los años 2009</w:t>
      </w:r>
      <w:r w:rsidRPr="00F13E77">
        <w:rPr>
          <w:rFonts w:ascii="Times New Roman" w:hAnsi="Times New Roman" w:cs="Times New Roman"/>
          <w:sz w:val="24"/>
          <w:szCs w:val="24"/>
          <w:lang w:val="es-MX"/>
        </w:rPr>
        <w:t xml:space="preserve"> y </w:t>
      </w:r>
      <w:r w:rsidR="0065664C" w:rsidRPr="00F13E77">
        <w:rPr>
          <w:rFonts w:ascii="Times New Roman" w:hAnsi="Times New Roman" w:cs="Times New Roman"/>
          <w:sz w:val="24"/>
          <w:szCs w:val="24"/>
          <w:lang w:val="es-MX"/>
        </w:rPr>
        <w:t>201</w:t>
      </w:r>
      <w:r w:rsidRPr="00F13E77">
        <w:rPr>
          <w:rFonts w:ascii="Times New Roman" w:hAnsi="Times New Roman" w:cs="Times New Roman"/>
          <w:sz w:val="24"/>
          <w:szCs w:val="24"/>
          <w:lang w:val="es-MX"/>
        </w:rPr>
        <w:t xml:space="preserve">1, esta situación se debió nuevamente al efecto de un shock externo resultado de la crisis económica internacional.   A principios del 2008, no se había previsto que el efecto ocurriría con tal fuerza en el año siguiente (2009) y afectó severamente a la economía nacional.  En 2011, las proyecciones de crecimiento realizadas un año antes no preveían una mayor recuperación de la economía nacional, la cual se debió a un </w:t>
      </w:r>
      <w:r w:rsidR="004F3F0D" w:rsidRPr="00F13E77">
        <w:rPr>
          <w:rFonts w:ascii="Times New Roman" w:hAnsi="Times New Roman" w:cs="Times New Roman"/>
          <w:sz w:val="24"/>
          <w:szCs w:val="24"/>
          <w:lang w:val="es-MX"/>
        </w:rPr>
        <w:t xml:space="preserve">aumento de la demanda externa de los principales socios comerciales, además de una recuperación de la inversión </w:t>
      </w:r>
      <w:r w:rsidR="00E6387A" w:rsidRPr="00F13E77">
        <w:rPr>
          <w:rFonts w:ascii="Times New Roman" w:hAnsi="Times New Roman" w:cs="Times New Roman"/>
          <w:sz w:val="24"/>
          <w:szCs w:val="24"/>
          <w:lang w:val="es-MX"/>
        </w:rPr>
        <w:t>y el consumo privados.  Para los años 2012-2016, los niveles observados de crecimiento nominal y real estuvieron muy cerca de los proyectados, quizá el año que mostró una mayor dispersión, aunque positiva, fue 2015, en donde el crecimiento real observado estuvo por arriba de la estimación</w:t>
      </w:r>
      <w:r w:rsidR="001713B5" w:rsidRPr="00F13E77">
        <w:rPr>
          <w:rFonts w:ascii="Times New Roman" w:hAnsi="Times New Roman" w:cs="Times New Roman"/>
          <w:sz w:val="24"/>
          <w:szCs w:val="24"/>
          <w:lang w:val="es-MX"/>
        </w:rPr>
        <w:t>, la cual se debió al mayor dinamismo que mostró en ese año la economía estadounidense afectando positivamente a la demanda externa.  Asimismo, la demanda interna fue favorecida con el incremento al consumo privado motivada por el aumento del crédito bancario, la evolución de las remesas familiares y el efecto ingreso derivado de la reducción de los precios internacionales del petróleo.</w:t>
      </w:r>
    </w:p>
    <w:p w:rsidR="001713B5" w:rsidRPr="00F13E77" w:rsidRDefault="001713B5" w:rsidP="0077110C">
      <w:pPr>
        <w:pStyle w:val="Sinespaciado"/>
        <w:jc w:val="both"/>
        <w:rPr>
          <w:rFonts w:ascii="Times New Roman" w:hAnsi="Times New Roman" w:cs="Times New Roman"/>
          <w:sz w:val="24"/>
          <w:szCs w:val="24"/>
          <w:lang w:val="es-MX"/>
        </w:rPr>
      </w:pPr>
    </w:p>
    <w:p w:rsidR="001713B5" w:rsidRPr="00F13E77" w:rsidRDefault="001713B5" w:rsidP="0077110C">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 xml:space="preserve">En el caso de la variación de las importaciones, que es </w:t>
      </w:r>
      <w:r w:rsidR="000208A0" w:rsidRPr="00F13E77">
        <w:rPr>
          <w:rFonts w:ascii="Times New Roman" w:hAnsi="Times New Roman" w:cs="Times New Roman"/>
          <w:sz w:val="24"/>
          <w:szCs w:val="24"/>
          <w:lang w:val="es-MX"/>
        </w:rPr>
        <w:t xml:space="preserve">una </w:t>
      </w:r>
      <w:r w:rsidRPr="00F13E77">
        <w:rPr>
          <w:rFonts w:ascii="Times New Roman" w:hAnsi="Times New Roman" w:cs="Times New Roman"/>
          <w:sz w:val="24"/>
          <w:szCs w:val="24"/>
          <w:lang w:val="es-MX"/>
        </w:rPr>
        <w:t xml:space="preserve">de </w:t>
      </w:r>
      <w:r w:rsidR="000208A0" w:rsidRPr="00F13E77">
        <w:rPr>
          <w:rFonts w:ascii="Times New Roman" w:hAnsi="Times New Roman" w:cs="Times New Roman"/>
          <w:sz w:val="24"/>
          <w:szCs w:val="24"/>
          <w:lang w:val="es-MX"/>
        </w:rPr>
        <w:t xml:space="preserve">las </w:t>
      </w:r>
      <w:r w:rsidRPr="00F13E77">
        <w:rPr>
          <w:rFonts w:ascii="Times New Roman" w:hAnsi="Times New Roman" w:cs="Times New Roman"/>
          <w:sz w:val="24"/>
          <w:szCs w:val="24"/>
          <w:lang w:val="es-MX"/>
        </w:rPr>
        <w:t>principales variables para la estimación de la recaudación tributaria</w:t>
      </w:r>
      <w:r w:rsidR="00A43D67" w:rsidRPr="00F13E77">
        <w:rPr>
          <w:rFonts w:ascii="Times New Roman" w:hAnsi="Times New Roman" w:cs="Times New Roman"/>
          <w:sz w:val="24"/>
          <w:szCs w:val="24"/>
          <w:lang w:val="es-MX"/>
        </w:rPr>
        <w:t>,</w:t>
      </w:r>
      <w:r w:rsidRPr="00F13E77">
        <w:rPr>
          <w:rFonts w:ascii="Times New Roman" w:hAnsi="Times New Roman" w:cs="Times New Roman"/>
          <w:sz w:val="24"/>
          <w:szCs w:val="24"/>
          <w:lang w:val="es-MX"/>
        </w:rPr>
        <w:t xml:space="preserve"> especialmente los impuestos</w:t>
      </w:r>
      <w:r w:rsidR="00A43D67" w:rsidRPr="00F13E77">
        <w:rPr>
          <w:rFonts w:ascii="Times New Roman" w:hAnsi="Times New Roman" w:cs="Times New Roman"/>
          <w:sz w:val="24"/>
          <w:szCs w:val="24"/>
          <w:lang w:val="es-MX"/>
        </w:rPr>
        <w:t xml:space="preserve"> asociados al comercio exterior</w:t>
      </w:r>
      <w:r w:rsidR="00B25669" w:rsidRPr="00F13E77">
        <w:rPr>
          <w:rFonts w:ascii="Times New Roman" w:hAnsi="Times New Roman" w:cs="Times New Roman"/>
          <w:sz w:val="24"/>
          <w:szCs w:val="24"/>
          <w:lang w:val="es-MX"/>
        </w:rPr>
        <w:t>, específicamente del Impuesto al Valor Agregado</w:t>
      </w:r>
      <w:r w:rsidR="00A43D67" w:rsidRPr="00F13E77">
        <w:rPr>
          <w:rFonts w:ascii="Times New Roman" w:hAnsi="Times New Roman" w:cs="Times New Roman"/>
          <w:sz w:val="24"/>
          <w:szCs w:val="24"/>
          <w:lang w:val="es-MX"/>
        </w:rPr>
        <w:t xml:space="preserve">.  En ese sentido, esta variable </w:t>
      </w:r>
      <w:r w:rsidR="00FB4A80" w:rsidRPr="00F13E77">
        <w:rPr>
          <w:rFonts w:ascii="Times New Roman" w:hAnsi="Times New Roman" w:cs="Times New Roman"/>
          <w:sz w:val="24"/>
          <w:szCs w:val="24"/>
          <w:lang w:val="es-MX"/>
        </w:rPr>
        <w:t>está</w:t>
      </w:r>
      <w:r w:rsidR="00A43D67" w:rsidRPr="00F13E77">
        <w:rPr>
          <w:rFonts w:ascii="Times New Roman" w:hAnsi="Times New Roman" w:cs="Times New Roman"/>
          <w:sz w:val="24"/>
          <w:szCs w:val="24"/>
          <w:lang w:val="es-MX"/>
        </w:rPr>
        <w:t xml:space="preserve"> </w:t>
      </w:r>
      <w:r w:rsidR="00FB4A80" w:rsidRPr="00F13E77">
        <w:rPr>
          <w:rFonts w:ascii="Times New Roman" w:hAnsi="Times New Roman" w:cs="Times New Roman"/>
          <w:sz w:val="24"/>
          <w:szCs w:val="24"/>
          <w:lang w:val="es-MX"/>
        </w:rPr>
        <w:t>determinada</w:t>
      </w:r>
      <w:r w:rsidR="00A43D67" w:rsidRPr="00F13E77">
        <w:rPr>
          <w:rFonts w:ascii="Times New Roman" w:hAnsi="Times New Roman" w:cs="Times New Roman"/>
          <w:sz w:val="24"/>
          <w:szCs w:val="24"/>
          <w:lang w:val="es-MX"/>
        </w:rPr>
        <w:t xml:space="preserve"> principalmente </w:t>
      </w:r>
      <w:r w:rsidR="00B25669" w:rsidRPr="00F13E77">
        <w:rPr>
          <w:rFonts w:ascii="Times New Roman" w:hAnsi="Times New Roman" w:cs="Times New Roman"/>
          <w:sz w:val="24"/>
          <w:szCs w:val="24"/>
          <w:lang w:val="es-MX"/>
        </w:rPr>
        <w:t>por</w:t>
      </w:r>
      <w:r w:rsidR="00A43D67" w:rsidRPr="00F13E77">
        <w:rPr>
          <w:rFonts w:ascii="Times New Roman" w:hAnsi="Times New Roman" w:cs="Times New Roman"/>
          <w:sz w:val="24"/>
          <w:szCs w:val="24"/>
          <w:lang w:val="es-MX"/>
        </w:rPr>
        <w:t xml:space="preserve"> los efectos de shocks externos</w:t>
      </w:r>
      <w:r w:rsidR="00FB4A80" w:rsidRPr="00F13E77">
        <w:rPr>
          <w:rFonts w:ascii="Times New Roman" w:hAnsi="Times New Roman" w:cs="Times New Roman"/>
          <w:sz w:val="24"/>
          <w:szCs w:val="24"/>
          <w:lang w:val="es-MX"/>
        </w:rPr>
        <w:t xml:space="preserve"> que como </w:t>
      </w:r>
      <w:r w:rsidR="00A43D67" w:rsidRPr="00F13E77">
        <w:rPr>
          <w:rFonts w:ascii="Times New Roman" w:hAnsi="Times New Roman" w:cs="Times New Roman"/>
          <w:sz w:val="24"/>
          <w:szCs w:val="24"/>
          <w:lang w:val="es-MX"/>
        </w:rPr>
        <w:t>se puede observar en los años 2009 y 2011</w:t>
      </w:r>
      <w:r w:rsidR="00B25669" w:rsidRPr="00F13E77">
        <w:rPr>
          <w:rFonts w:ascii="Times New Roman" w:hAnsi="Times New Roman" w:cs="Times New Roman"/>
          <w:sz w:val="24"/>
          <w:szCs w:val="24"/>
          <w:lang w:val="es-MX"/>
        </w:rPr>
        <w:t>,</w:t>
      </w:r>
      <w:r w:rsidR="00A43D67" w:rsidRPr="00F13E77">
        <w:rPr>
          <w:rFonts w:ascii="Times New Roman" w:hAnsi="Times New Roman" w:cs="Times New Roman"/>
          <w:sz w:val="24"/>
          <w:szCs w:val="24"/>
          <w:lang w:val="es-MX"/>
        </w:rPr>
        <w:t xml:space="preserve"> se </w:t>
      </w:r>
      <w:r w:rsidR="00FB4A80" w:rsidRPr="00F13E77">
        <w:rPr>
          <w:rFonts w:ascii="Times New Roman" w:hAnsi="Times New Roman" w:cs="Times New Roman"/>
          <w:sz w:val="24"/>
          <w:szCs w:val="24"/>
          <w:lang w:val="es-MX"/>
        </w:rPr>
        <w:t>tiene</w:t>
      </w:r>
      <w:r w:rsidR="00A43D67" w:rsidRPr="00F13E77">
        <w:rPr>
          <w:rFonts w:ascii="Times New Roman" w:hAnsi="Times New Roman" w:cs="Times New Roman"/>
          <w:sz w:val="24"/>
          <w:szCs w:val="24"/>
          <w:lang w:val="es-MX"/>
        </w:rPr>
        <w:t xml:space="preserve"> una alta dispersión entre lo proyectado y lo observado, por </w:t>
      </w:r>
      <w:r w:rsidR="00FB4A80" w:rsidRPr="00F13E77">
        <w:rPr>
          <w:rFonts w:ascii="Times New Roman" w:hAnsi="Times New Roman" w:cs="Times New Roman"/>
          <w:sz w:val="24"/>
          <w:szCs w:val="24"/>
          <w:lang w:val="es-MX"/>
        </w:rPr>
        <w:t>el efecto de la crisis internacional que afectó los precios de varios commodities incluyendo el petróleo.  Asimismo</w:t>
      </w:r>
      <w:r w:rsidR="00A43D67" w:rsidRPr="00F13E77">
        <w:rPr>
          <w:rFonts w:ascii="Times New Roman" w:hAnsi="Times New Roman" w:cs="Times New Roman"/>
          <w:sz w:val="24"/>
          <w:szCs w:val="24"/>
          <w:lang w:val="es-MX"/>
        </w:rPr>
        <w:t>, para el período 2012-2016, si bien la dispersión disminuyó</w:t>
      </w:r>
      <w:r w:rsidR="00FB4A80" w:rsidRPr="00F13E77">
        <w:rPr>
          <w:rFonts w:ascii="Times New Roman" w:hAnsi="Times New Roman" w:cs="Times New Roman"/>
          <w:sz w:val="24"/>
          <w:szCs w:val="24"/>
          <w:lang w:val="es-MX"/>
        </w:rPr>
        <w:t>,</w:t>
      </w:r>
      <w:r w:rsidR="00A43D67" w:rsidRPr="00F13E77">
        <w:rPr>
          <w:rFonts w:ascii="Times New Roman" w:hAnsi="Times New Roman" w:cs="Times New Roman"/>
          <w:sz w:val="24"/>
          <w:szCs w:val="24"/>
          <w:lang w:val="es-MX"/>
        </w:rPr>
        <w:t xml:space="preserve"> se observa </w:t>
      </w:r>
      <w:r w:rsidR="00FB4A80" w:rsidRPr="00F13E77">
        <w:rPr>
          <w:rFonts w:ascii="Times New Roman" w:hAnsi="Times New Roman" w:cs="Times New Roman"/>
          <w:sz w:val="24"/>
          <w:szCs w:val="24"/>
          <w:lang w:val="es-MX"/>
        </w:rPr>
        <w:t xml:space="preserve">que </w:t>
      </w:r>
      <w:r w:rsidR="00A43D67" w:rsidRPr="00F13E77">
        <w:rPr>
          <w:rFonts w:ascii="Times New Roman" w:hAnsi="Times New Roman" w:cs="Times New Roman"/>
          <w:sz w:val="24"/>
          <w:szCs w:val="24"/>
          <w:lang w:val="es-MX"/>
        </w:rPr>
        <w:t>en estos años la proyección ha estado por debajo de lo que realmente ocurrió, especialmente en los dos últimos año</w:t>
      </w:r>
      <w:r w:rsidR="00FB4A80" w:rsidRPr="00F13E77">
        <w:rPr>
          <w:rFonts w:ascii="Times New Roman" w:hAnsi="Times New Roman" w:cs="Times New Roman"/>
          <w:sz w:val="24"/>
          <w:szCs w:val="24"/>
          <w:lang w:val="es-MX"/>
        </w:rPr>
        <w:t>s</w:t>
      </w:r>
      <w:r w:rsidR="00A43D67" w:rsidRPr="00F13E77">
        <w:rPr>
          <w:rFonts w:ascii="Times New Roman" w:hAnsi="Times New Roman" w:cs="Times New Roman"/>
          <w:sz w:val="24"/>
          <w:szCs w:val="24"/>
          <w:lang w:val="es-MX"/>
        </w:rPr>
        <w:t>, esto se debe a las fuertes fluctuaciones en los precios internacionales del petróleo</w:t>
      </w:r>
      <w:r w:rsidR="00FB4A80" w:rsidRPr="00F13E77">
        <w:rPr>
          <w:rFonts w:ascii="Times New Roman" w:hAnsi="Times New Roman" w:cs="Times New Roman"/>
          <w:sz w:val="24"/>
          <w:szCs w:val="24"/>
          <w:lang w:val="es-MX"/>
        </w:rPr>
        <w:t>,</w:t>
      </w:r>
      <w:r w:rsidR="00A43D67" w:rsidRPr="00F13E77">
        <w:rPr>
          <w:rFonts w:ascii="Times New Roman" w:hAnsi="Times New Roman" w:cs="Times New Roman"/>
          <w:sz w:val="24"/>
          <w:szCs w:val="24"/>
          <w:lang w:val="es-MX"/>
        </w:rPr>
        <w:t xml:space="preserve"> los cuales han caído severamente, por ejemplo en 2013 los precios del petróleo WTI </w:t>
      </w:r>
      <w:r w:rsidR="006F165A" w:rsidRPr="00F13E77">
        <w:rPr>
          <w:rFonts w:ascii="Times New Roman" w:hAnsi="Times New Roman" w:cs="Times New Roman"/>
          <w:sz w:val="24"/>
          <w:szCs w:val="24"/>
          <w:lang w:val="es-MX"/>
        </w:rPr>
        <w:t>alcanzaron</w:t>
      </w:r>
      <w:r w:rsidR="00A43D67" w:rsidRPr="00F13E77">
        <w:rPr>
          <w:rFonts w:ascii="Times New Roman" w:hAnsi="Times New Roman" w:cs="Times New Roman"/>
          <w:sz w:val="24"/>
          <w:szCs w:val="24"/>
          <w:lang w:val="es-MX"/>
        </w:rPr>
        <w:t xml:space="preserve"> los US$100 el barril y </w:t>
      </w:r>
      <w:r w:rsidR="006F165A" w:rsidRPr="00F13E77">
        <w:rPr>
          <w:rFonts w:ascii="Times New Roman" w:hAnsi="Times New Roman" w:cs="Times New Roman"/>
          <w:sz w:val="24"/>
          <w:szCs w:val="24"/>
          <w:lang w:val="es-MX"/>
        </w:rPr>
        <w:t>a principios de 2016</w:t>
      </w:r>
      <w:r w:rsidR="00FB4A80" w:rsidRPr="00F13E77">
        <w:rPr>
          <w:rFonts w:ascii="Times New Roman" w:hAnsi="Times New Roman" w:cs="Times New Roman"/>
          <w:sz w:val="24"/>
          <w:szCs w:val="24"/>
          <w:lang w:val="es-MX"/>
        </w:rPr>
        <w:t xml:space="preserve"> </w:t>
      </w:r>
      <w:r w:rsidR="00A43D67" w:rsidRPr="00F13E77">
        <w:rPr>
          <w:rFonts w:ascii="Times New Roman" w:hAnsi="Times New Roman" w:cs="Times New Roman"/>
          <w:sz w:val="24"/>
          <w:szCs w:val="24"/>
          <w:lang w:val="es-MX"/>
        </w:rPr>
        <w:t xml:space="preserve">se redujeron a niveles por debajo de los US$30.0, esto si bien </w:t>
      </w:r>
      <w:r w:rsidR="00FB4A80" w:rsidRPr="00F13E77">
        <w:rPr>
          <w:rFonts w:ascii="Times New Roman" w:hAnsi="Times New Roman" w:cs="Times New Roman"/>
          <w:sz w:val="24"/>
          <w:szCs w:val="24"/>
          <w:lang w:val="es-MX"/>
        </w:rPr>
        <w:t>contribuyó a una mejor</w:t>
      </w:r>
      <w:r w:rsidR="00A43D67" w:rsidRPr="00F13E77">
        <w:rPr>
          <w:rFonts w:ascii="Times New Roman" w:hAnsi="Times New Roman" w:cs="Times New Roman"/>
          <w:sz w:val="24"/>
          <w:szCs w:val="24"/>
          <w:lang w:val="es-MX"/>
        </w:rPr>
        <w:t xml:space="preserve"> posición </w:t>
      </w:r>
      <w:r w:rsidR="00FB4A80" w:rsidRPr="00F13E77">
        <w:rPr>
          <w:rFonts w:ascii="Times New Roman" w:hAnsi="Times New Roman" w:cs="Times New Roman"/>
          <w:sz w:val="24"/>
          <w:szCs w:val="24"/>
          <w:lang w:val="es-MX"/>
        </w:rPr>
        <w:t>en</w:t>
      </w:r>
      <w:r w:rsidR="00A43D67" w:rsidRPr="00F13E77">
        <w:rPr>
          <w:rFonts w:ascii="Times New Roman" w:hAnsi="Times New Roman" w:cs="Times New Roman"/>
          <w:sz w:val="24"/>
          <w:szCs w:val="24"/>
          <w:lang w:val="es-MX"/>
        </w:rPr>
        <w:t xml:space="preserve"> las cuentas del sector externo y mejoró el ingreso de la familias, también afectó las cuentas del gobierno al reducirse los ingresos de los impuestos a las importaciones. </w:t>
      </w:r>
    </w:p>
    <w:p w:rsidR="001D10A0" w:rsidRPr="00F13E77" w:rsidRDefault="001D10A0" w:rsidP="0077110C">
      <w:pPr>
        <w:pStyle w:val="Sinespaciado"/>
        <w:jc w:val="both"/>
        <w:rPr>
          <w:rFonts w:ascii="Times New Roman" w:hAnsi="Times New Roman" w:cs="Times New Roman"/>
          <w:sz w:val="24"/>
          <w:szCs w:val="24"/>
          <w:lang w:val="es-MX"/>
        </w:rPr>
      </w:pPr>
    </w:p>
    <w:p w:rsidR="00FB4A80" w:rsidRPr="00F13E77" w:rsidRDefault="006B4AB0" w:rsidP="0077110C">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En el caso de la variación del</w:t>
      </w:r>
      <w:r w:rsidR="001453DA" w:rsidRPr="00F13E77">
        <w:rPr>
          <w:rFonts w:ascii="Times New Roman" w:hAnsi="Times New Roman" w:cs="Times New Roman"/>
          <w:sz w:val="24"/>
          <w:szCs w:val="24"/>
          <w:lang w:val="es-MX"/>
        </w:rPr>
        <w:t xml:space="preserve"> tipo de cambio</w:t>
      </w:r>
      <w:r w:rsidRPr="00F13E77">
        <w:rPr>
          <w:rFonts w:ascii="Times New Roman" w:hAnsi="Times New Roman" w:cs="Times New Roman"/>
          <w:sz w:val="24"/>
          <w:szCs w:val="24"/>
          <w:lang w:val="es-MX"/>
        </w:rPr>
        <w:t xml:space="preserve"> nominal, esta variable no la proyecta el Banco de Guatemala, porque es </w:t>
      </w:r>
      <w:r w:rsidR="00661BC9" w:rsidRPr="00F13E77">
        <w:rPr>
          <w:rFonts w:ascii="Times New Roman" w:hAnsi="Times New Roman" w:cs="Times New Roman"/>
          <w:sz w:val="24"/>
          <w:szCs w:val="24"/>
          <w:lang w:val="es-MX"/>
        </w:rPr>
        <w:t xml:space="preserve">un </w:t>
      </w:r>
      <w:r w:rsidRPr="00F13E77">
        <w:rPr>
          <w:rFonts w:ascii="Times New Roman" w:hAnsi="Times New Roman" w:cs="Times New Roman"/>
          <w:sz w:val="24"/>
          <w:szCs w:val="24"/>
          <w:lang w:val="es-MX"/>
        </w:rPr>
        <w:t xml:space="preserve">precio que </w:t>
      </w:r>
      <w:r w:rsidR="00661BC9" w:rsidRPr="00F13E77">
        <w:rPr>
          <w:rFonts w:ascii="Times New Roman" w:hAnsi="Times New Roman" w:cs="Times New Roman"/>
          <w:sz w:val="24"/>
          <w:szCs w:val="24"/>
          <w:lang w:val="es-MX"/>
        </w:rPr>
        <w:t xml:space="preserve">está </w:t>
      </w:r>
      <w:r w:rsidRPr="00F13E77">
        <w:rPr>
          <w:rFonts w:ascii="Times New Roman" w:hAnsi="Times New Roman" w:cs="Times New Roman"/>
          <w:sz w:val="24"/>
          <w:szCs w:val="24"/>
          <w:lang w:val="es-MX"/>
        </w:rPr>
        <w:t xml:space="preserve">determinado por el mercado de divisas y la publicación de alguna estimación de este precio puede incidir en el comportamiento de los agentes económicos.  De esa cuenta, para efectos de las estimaciones de recaudación tributaria se considera que esta variable no tendrá variación, por lo que se </w:t>
      </w:r>
      <w:r w:rsidR="00661BC9" w:rsidRPr="00F13E77">
        <w:rPr>
          <w:rFonts w:ascii="Times New Roman" w:hAnsi="Times New Roman" w:cs="Times New Roman"/>
          <w:sz w:val="24"/>
          <w:szCs w:val="24"/>
          <w:lang w:val="es-MX"/>
        </w:rPr>
        <w:t xml:space="preserve">considera neutral (variación </w:t>
      </w:r>
      <w:r w:rsidRPr="00F13E77">
        <w:rPr>
          <w:rFonts w:ascii="Times New Roman" w:hAnsi="Times New Roman" w:cs="Times New Roman"/>
          <w:sz w:val="24"/>
          <w:szCs w:val="24"/>
          <w:lang w:val="es-MX"/>
        </w:rPr>
        <w:t>igual a cero), en el gráfico se puede observar que</w:t>
      </w:r>
      <w:r w:rsidR="009E39EB" w:rsidRPr="00F13E77">
        <w:rPr>
          <w:rFonts w:ascii="Times New Roman" w:hAnsi="Times New Roman" w:cs="Times New Roman"/>
          <w:sz w:val="24"/>
          <w:szCs w:val="24"/>
          <w:lang w:val="es-MX"/>
        </w:rPr>
        <w:t>,</w:t>
      </w:r>
      <w:r w:rsidRPr="00F13E77">
        <w:rPr>
          <w:rFonts w:ascii="Times New Roman" w:hAnsi="Times New Roman" w:cs="Times New Roman"/>
          <w:sz w:val="24"/>
          <w:szCs w:val="24"/>
          <w:lang w:val="es-MX"/>
        </w:rPr>
        <w:t xml:space="preserve"> en los 9 años considerados,</w:t>
      </w:r>
      <w:r w:rsidR="00661BC9" w:rsidRPr="00F13E77">
        <w:rPr>
          <w:rFonts w:ascii="Times New Roman" w:hAnsi="Times New Roman" w:cs="Times New Roman"/>
          <w:sz w:val="24"/>
          <w:szCs w:val="24"/>
          <w:lang w:val="es-MX"/>
        </w:rPr>
        <w:t xml:space="preserve"> en</w:t>
      </w:r>
      <w:r w:rsidRPr="00F13E77">
        <w:rPr>
          <w:rFonts w:ascii="Times New Roman" w:hAnsi="Times New Roman" w:cs="Times New Roman"/>
          <w:sz w:val="24"/>
          <w:szCs w:val="24"/>
          <w:lang w:val="es-MX"/>
        </w:rPr>
        <w:t xml:space="preserve"> 6 </w:t>
      </w:r>
      <w:r w:rsidR="00661BC9" w:rsidRPr="00F13E77">
        <w:rPr>
          <w:rFonts w:ascii="Times New Roman" w:hAnsi="Times New Roman" w:cs="Times New Roman"/>
          <w:sz w:val="24"/>
          <w:szCs w:val="24"/>
          <w:lang w:val="es-MX"/>
        </w:rPr>
        <w:t>hubo</w:t>
      </w:r>
      <w:r w:rsidRPr="00F13E77">
        <w:rPr>
          <w:rFonts w:ascii="Times New Roman" w:hAnsi="Times New Roman" w:cs="Times New Roman"/>
          <w:sz w:val="24"/>
          <w:szCs w:val="24"/>
          <w:lang w:val="es-MX"/>
        </w:rPr>
        <w:t xml:space="preserve"> apreciaciones en el tipo de cambio nominal y </w:t>
      </w:r>
      <w:r w:rsidR="00661BC9" w:rsidRPr="00F13E77">
        <w:rPr>
          <w:rFonts w:ascii="Times New Roman" w:hAnsi="Times New Roman" w:cs="Times New Roman"/>
          <w:sz w:val="24"/>
          <w:szCs w:val="24"/>
          <w:lang w:val="es-MX"/>
        </w:rPr>
        <w:t xml:space="preserve">en </w:t>
      </w:r>
      <w:r w:rsidRPr="00F13E77">
        <w:rPr>
          <w:rFonts w:ascii="Times New Roman" w:hAnsi="Times New Roman" w:cs="Times New Roman"/>
          <w:sz w:val="24"/>
          <w:szCs w:val="24"/>
          <w:lang w:val="es-MX"/>
        </w:rPr>
        <w:t>3 ocasiones se ha depreciado la moneda con respecto a</w:t>
      </w:r>
      <w:r w:rsidR="00661BC9" w:rsidRPr="00F13E77">
        <w:rPr>
          <w:rFonts w:ascii="Times New Roman" w:hAnsi="Times New Roman" w:cs="Times New Roman"/>
          <w:sz w:val="24"/>
          <w:szCs w:val="24"/>
          <w:lang w:val="es-MX"/>
        </w:rPr>
        <w:t>l</w:t>
      </w:r>
      <w:r w:rsidRPr="00F13E77">
        <w:rPr>
          <w:rFonts w:ascii="Times New Roman" w:hAnsi="Times New Roman" w:cs="Times New Roman"/>
          <w:sz w:val="24"/>
          <w:szCs w:val="24"/>
          <w:lang w:val="es-MX"/>
        </w:rPr>
        <w:t xml:space="preserve"> dólar estadounidense.</w:t>
      </w:r>
      <w:r w:rsidR="00661BC9" w:rsidRPr="00F13E77">
        <w:rPr>
          <w:rFonts w:ascii="Times New Roman" w:hAnsi="Times New Roman" w:cs="Times New Roman"/>
          <w:sz w:val="24"/>
          <w:szCs w:val="24"/>
          <w:lang w:val="es-MX"/>
        </w:rPr>
        <w:t xml:space="preserve">  Asimismo, en los últimos dos años l</w:t>
      </w:r>
      <w:r w:rsidRPr="00F13E77">
        <w:rPr>
          <w:rFonts w:ascii="Times New Roman" w:hAnsi="Times New Roman" w:cs="Times New Roman"/>
          <w:sz w:val="24"/>
          <w:szCs w:val="24"/>
          <w:lang w:val="es-MX"/>
        </w:rPr>
        <w:t>as variaciones han sido negativ</w:t>
      </w:r>
      <w:r w:rsidR="00E36300" w:rsidRPr="00F13E77">
        <w:rPr>
          <w:rFonts w:ascii="Times New Roman" w:hAnsi="Times New Roman" w:cs="Times New Roman"/>
          <w:sz w:val="24"/>
          <w:szCs w:val="24"/>
          <w:lang w:val="es-MX"/>
        </w:rPr>
        <w:t>a</w:t>
      </w:r>
      <w:r w:rsidRPr="00F13E77">
        <w:rPr>
          <w:rFonts w:ascii="Times New Roman" w:hAnsi="Times New Roman" w:cs="Times New Roman"/>
          <w:sz w:val="24"/>
          <w:szCs w:val="24"/>
          <w:lang w:val="es-MX"/>
        </w:rPr>
        <w:t xml:space="preserve">s (apreciación de la moneda) lo cual se debe </w:t>
      </w:r>
      <w:r w:rsidR="00661BC9" w:rsidRPr="00F13E77">
        <w:rPr>
          <w:rFonts w:ascii="Times New Roman" w:hAnsi="Times New Roman" w:cs="Times New Roman"/>
          <w:sz w:val="24"/>
          <w:szCs w:val="24"/>
          <w:lang w:val="es-MX"/>
        </w:rPr>
        <w:t xml:space="preserve">en buena medida a </w:t>
      </w:r>
      <w:r w:rsidRPr="00F13E77">
        <w:rPr>
          <w:rFonts w:ascii="Times New Roman" w:hAnsi="Times New Roman" w:cs="Times New Roman"/>
          <w:sz w:val="24"/>
          <w:szCs w:val="24"/>
          <w:lang w:val="es-MX"/>
        </w:rPr>
        <w:t xml:space="preserve">la reducción de los precios </w:t>
      </w:r>
      <w:r w:rsidR="00661BC9" w:rsidRPr="00F13E77">
        <w:rPr>
          <w:rFonts w:ascii="Times New Roman" w:hAnsi="Times New Roman" w:cs="Times New Roman"/>
          <w:sz w:val="24"/>
          <w:szCs w:val="24"/>
          <w:lang w:val="es-MX"/>
        </w:rPr>
        <w:t xml:space="preserve">internacionales </w:t>
      </w:r>
      <w:r w:rsidRPr="00F13E77">
        <w:rPr>
          <w:rFonts w:ascii="Times New Roman" w:hAnsi="Times New Roman" w:cs="Times New Roman"/>
          <w:sz w:val="24"/>
          <w:szCs w:val="24"/>
          <w:lang w:val="es-MX"/>
        </w:rPr>
        <w:t xml:space="preserve">del petróleo y </w:t>
      </w:r>
      <w:r w:rsidR="00661BC9" w:rsidRPr="00F13E77">
        <w:rPr>
          <w:rFonts w:ascii="Times New Roman" w:hAnsi="Times New Roman" w:cs="Times New Roman"/>
          <w:sz w:val="24"/>
          <w:szCs w:val="24"/>
          <w:lang w:val="es-MX"/>
        </w:rPr>
        <w:t>a</w:t>
      </w:r>
      <w:r w:rsidRPr="00F13E77">
        <w:rPr>
          <w:rFonts w:ascii="Times New Roman" w:hAnsi="Times New Roman" w:cs="Times New Roman"/>
          <w:sz w:val="24"/>
          <w:szCs w:val="24"/>
          <w:lang w:val="es-MX"/>
        </w:rPr>
        <w:t>l</w:t>
      </w:r>
      <w:r w:rsidR="00661BC9" w:rsidRPr="00F13E77">
        <w:rPr>
          <w:rFonts w:ascii="Times New Roman" w:hAnsi="Times New Roman" w:cs="Times New Roman"/>
          <w:sz w:val="24"/>
          <w:szCs w:val="24"/>
          <w:lang w:val="es-MX"/>
        </w:rPr>
        <w:t xml:space="preserve"> </w:t>
      </w:r>
      <w:r w:rsidRPr="00F13E77">
        <w:rPr>
          <w:rFonts w:ascii="Times New Roman" w:hAnsi="Times New Roman" w:cs="Times New Roman"/>
          <w:sz w:val="24"/>
          <w:szCs w:val="24"/>
          <w:lang w:val="es-MX"/>
        </w:rPr>
        <w:t>importante</w:t>
      </w:r>
      <w:r w:rsidR="00661BC9" w:rsidRPr="00F13E77">
        <w:rPr>
          <w:rFonts w:ascii="Times New Roman" w:hAnsi="Times New Roman" w:cs="Times New Roman"/>
          <w:sz w:val="24"/>
          <w:szCs w:val="24"/>
          <w:lang w:val="es-MX"/>
        </w:rPr>
        <w:t xml:space="preserve"> aumento</w:t>
      </w:r>
      <w:r w:rsidRPr="00F13E77">
        <w:rPr>
          <w:rFonts w:ascii="Times New Roman" w:hAnsi="Times New Roman" w:cs="Times New Roman"/>
          <w:sz w:val="24"/>
          <w:szCs w:val="24"/>
          <w:lang w:val="es-MX"/>
        </w:rPr>
        <w:t xml:space="preserve"> en las remesas familiares que</w:t>
      </w:r>
      <w:r w:rsidR="00661BC9" w:rsidRPr="00F13E77">
        <w:rPr>
          <w:rFonts w:ascii="Times New Roman" w:hAnsi="Times New Roman" w:cs="Times New Roman"/>
          <w:sz w:val="24"/>
          <w:szCs w:val="24"/>
          <w:lang w:val="es-MX"/>
        </w:rPr>
        <w:t xml:space="preserve"> han</w:t>
      </w:r>
      <w:r w:rsidRPr="00F13E77">
        <w:rPr>
          <w:rFonts w:ascii="Times New Roman" w:hAnsi="Times New Roman" w:cs="Times New Roman"/>
          <w:sz w:val="24"/>
          <w:szCs w:val="24"/>
          <w:lang w:val="es-MX"/>
        </w:rPr>
        <w:t xml:space="preserve"> </w:t>
      </w:r>
      <w:r w:rsidR="00FC1377" w:rsidRPr="00F13E77">
        <w:rPr>
          <w:rFonts w:ascii="Times New Roman" w:hAnsi="Times New Roman" w:cs="Times New Roman"/>
          <w:sz w:val="24"/>
          <w:szCs w:val="24"/>
          <w:lang w:val="es-MX"/>
        </w:rPr>
        <w:t>propicia</w:t>
      </w:r>
      <w:r w:rsidR="00661BC9" w:rsidRPr="00F13E77">
        <w:rPr>
          <w:rFonts w:ascii="Times New Roman" w:hAnsi="Times New Roman" w:cs="Times New Roman"/>
          <w:sz w:val="24"/>
          <w:szCs w:val="24"/>
          <w:lang w:val="es-MX"/>
        </w:rPr>
        <w:t>do</w:t>
      </w:r>
      <w:r w:rsidR="00FC1377" w:rsidRPr="00F13E77">
        <w:rPr>
          <w:rFonts w:ascii="Times New Roman" w:hAnsi="Times New Roman" w:cs="Times New Roman"/>
          <w:sz w:val="24"/>
          <w:szCs w:val="24"/>
          <w:lang w:val="es-MX"/>
        </w:rPr>
        <w:t xml:space="preserve"> un exceso de divisas en el mercado interno, creando con ello fluctuaciones en el mercado cambiario</w:t>
      </w:r>
      <w:r w:rsidR="004705FF" w:rsidRPr="00F13E77">
        <w:rPr>
          <w:rFonts w:ascii="Times New Roman" w:hAnsi="Times New Roman" w:cs="Times New Roman"/>
          <w:sz w:val="24"/>
          <w:szCs w:val="24"/>
          <w:lang w:val="es-MX"/>
        </w:rPr>
        <w:t xml:space="preserve">, las cuales </w:t>
      </w:r>
      <w:r w:rsidR="00FC1377" w:rsidRPr="00F13E77">
        <w:rPr>
          <w:rFonts w:ascii="Times New Roman" w:hAnsi="Times New Roman" w:cs="Times New Roman"/>
          <w:sz w:val="24"/>
          <w:szCs w:val="24"/>
          <w:lang w:val="es-MX"/>
        </w:rPr>
        <w:t>ha</w:t>
      </w:r>
      <w:r w:rsidR="00661BC9" w:rsidRPr="00F13E77">
        <w:rPr>
          <w:rFonts w:ascii="Times New Roman" w:hAnsi="Times New Roman" w:cs="Times New Roman"/>
          <w:sz w:val="24"/>
          <w:szCs w:val="24"/>
          <w:lang w:val="es-MX"/>
        </w:rPr>
        <w:t>n sido moderadas</w:t>
      </w:r>
      <w:r w:rsidR="00FC1377" w:rsidRPr="00F13E77">
        <w:rPr>
          <w:rFonts w:ascii="Times New Roman" w:hAnsi="Times New Roman" w:cs="Times New Roman"/>
          <w:sz w:val="24"/>
          <w:szCs w:val="24"/>
          <w:lang w:val="es-MX"/>
        </w:rPr>
        <w:t xml:space="preserve"> con un aumento en la participación del Banc</w:t>
      </w:r>
      <w:r w:rsidR="00661BC9" w:rsidRPr="00F13E77">
        <w:rPr>
          <w:rFonts w:ascii="Times New Roman" w:hAnsi="Times New Roman" w:cs="Times New Roman"/>
          <w:sz w:val="24"/>
          <w:szCs w:val="24"/>
          <w:lang w:val="es-MX"/>
        </w:rPr>
        <w:t>o de Guatemala en dicho mercado mediante la compra de dólares.</w:t>
      </w:r>
    </w:p>
    <w:p w:rsidR="004E1C7B" w:rsidRDefault="004E1C7B" w:rsidP="0077110C">
      <w:pPr>
        <w:pStyle w:val="Sinespaciado"/>
        <w:jc w:val="both"/>
        <w:rPr>
          <w:rFonts w:ascii="Times New Roman" w:hAnsi="Times New Roman" w:cs="Times New Roman"/>
          <w:lang w:val="es-MX"/>
        </w:rPr>
      </w:pPr>
    </w:p>
    <w:p w:rsidR="00F13E77" w:rsidRDefault="00F13E77" w:rsidP="0077110C">
      <w:pPr>
        <w:pStyle w:val="Sinespaciado"/>
        <w:jc w:val="both"/>
        <w:rPr>
          <w:rFonts w:ascii="Times New Roman" w:hAnsi="Times New Roman" w:cs="Times New Roman"/>
          <w:lang w:val="es-MX"/>
        </w:rPr>
      </w:pPr>
    </w:p>
    <w:p w:rsidR="00F13E77" w:rsidRDefault="00F13E77" w:rsidP="0077110C">
      <w:pPr>
        <w:pStyle w:val="Sinespaciado"/>
        <w:jc w:val="both"/>
        <w:rPr>
          <w:rFonts w:ascii="Times New Roman" w:hAnsi="Times New Roman" w:cs="Times New Roman"/>
          <w:lang w:val="es-MX"/>
        </w:rPr>
      </w:pPr>
    </w:p>
    <w:p w:rsidR="00F13E77" w:rsidRDefault="00F13E77" w:rsidP="0077110C">
      <w:pPr>
        <w:pStyle w:val="Sinespaciado"/>
        <w:jc w:val="both"/>
        <w:rPr>
          <w:rFonts w:ascii="Times New Roman" w:hAnsi="Times New Roman" w:cs="Times New Roman"/>
          <w:lang w:val="es-MX"/>
        </w:rPr>
      </w:pPr>
    </w:p>
    <w:p w:rsidR="003845CA" w:rsidRDefault="003845CA" w:rsidP="0077110C">
      <w:pPr>
        <w:pStyle w:val="Sinespaciado"/>
        <w:jc w:val="both"/>
        <w:rPr>
          <w:rFonts w:ascii="Times New Roman" w:hAnsi="Times New Roman" w:cs="Times New Roman"/>
          <w:lang w:val="es-MX"/>
        </w:rPr>
      </w:pPr>
    </w:p>
    <w:p w:rsidR="003845CA" w:rsidRDefault="003845CA" w:rsidP="0077110C">
      <w:pPr>
        <w:pStyle w:val="Sinespaciado"/>
        <w:jc w:val="both"/>
        <w:rPr>
          <w:rFonts w:ascii="Times New Roman" w:hAnsi="Times New Roman" w:cs="Times New Roman"/>
          <w:lang w:val="es-MX"/>
        </w:rPr>
      </w:pPr>
    </w:p>
    <w:p w:rsidR="00F13E77" w:rsidRDefault="00F13E77" w:rsidP="0077110C">
      <w:pPr>
        <w:pStyle w:val="Sinespaciado"/>
        <w:jc w:val="both"/>
        <w:rPr>
          <w:rFonts w:ascii="Times New Roman" w:hAnsi="Times New Roman" w:cs="Times New Roman"/>
          <w:lang w:val="es-MX"/>
        </w:rPr>
      </w:pPr>
    </w:p>
    <w:p w:rsidR="00F77B69" w:rsidRPr="000574C8" w:rsidRDefault="00BF6106" w:rsidP="00F77B69">
      <w:pPr>
        <w:pStyle w:val="Sinespaciado"/>
        <w:jc w:val="center"/>
        <w:rPr>
          <w:rFonts w:ascii="Times New Roman" w:hAnsi="Times New Roman" w:cs="Times New Roman"/>
          <w:b/>
          <w:sz w:val="24"/>
          <w:lang w:val="es-MX"/>
        </w:rPr>
      </w:pPr>
      <w:r w:rsidRPr="000574C8">
        <w:rPr>
          <w:rFonts w:ascii="Times New Roman" w:hAnsi="Times New Roman" w:cs="Times New Roman"/>
          <w:b/>
          <w:sz w:val="24"/>
          <w:lang w:val="es-MX"/>
        </w:rPr>
        <w:t>Gráfica 3</w:t>
      </w:r>
    </w:p>
    <w:p w:rsidR="00F12394" w:rsidRPr="000574C8" w:rsidRDefault="00F12394" w:rsidP="00F12394">
      <w:pPr>
        <w:pStyle w:val="Sinespaciado"/>
        <w:jc w:val="center"/>
        <w:rPr>
          <w:rFonts w:ascii="Times New Roman" w:hAnsi="Times New Roman" w:cs="Times New Roman"/>
          <w:b/>
          <w:sz w:val="24"/>
          <w:lang w:val="es-MX"/>
        </w:rPr>
      </w:pPr>
      <w:r w:rsidRPr="000574C8">
        <w:rPr>
          <w:rFonts w:ascii="Times New Roman" w:hAnsi="Times New Roman" w:cs="Times New Roman"/>
          <w:b/>
          <w:sz w:val="24"/>
          <w:lang w:val="es-MX"/>
        </w:rPr>
        <w:t>Variables Macroeconómicas</w:t>
      </w:r>
    </w:p>
    <w:p w:rsidR="00F12394" w:rsidRPr="000574C8" w:rsidRDefault="00762478" w:rsidP="00F12394">
      <w:pPr>
        <w:pStyle w:val="Sinespaciado"/>
        <w:jc w:val="center"/>
        <w:rPr>
          <w:rFonts w:ascii="Times New Roman" w:hAnsi="Times New Roman" w:cs="Times New Roman"/>
          <w:sz w:val="20"/>
          <w:lang w:val="es-MX"/>
        </w:rPr>
      </w:pPr>
      <w:r w:rsidRPr="000574C8">
        <w:rPr>
          <w:rFonts w:ascii="Times New Roman" w:hAnsi="Times New Roman" w:cs="Times New Roman"/>
          <w:sz w:val="20"/>
          <w:lang w:val="es-MX"/>
        </w:rPr>
        <w:t>Comparación Estimación</w:t>
      </w:r>
      <w:r w:rsidR="00F12394" w:rsidRPr="000574C8">
        <w:rPr>
          <w:rFonts w:ascii="Times New Roman" w:hAnsi="Times New Roman" w:cs="Times New Roman"/>
          <w:sz w:val="20"/>
          <w:lang w:val="es-MX"/>
        </w:rPr>
        <w:t xml:space="preserve"> Presupuesto Vs. Observado</w:t>
      </w:r>
    </w:p>
    <w:p w:rsidR="00F12394" w:rsidRPr="000574C8" w:rsidRDefault="00F12394" w:rsidP="00F12394">
      <w:pPr>
        <w:pStyle w:val="Sinespaciado"/>
        <w:jc w:val="center"/>
        <w:rPr>
          <w:rFonts w:ascii="Times New Roman" w:hAnsi="Times New Roman" w:cs="Times New Roman"/>
          <w:sz w:val="20"/>
          <w:lang w:val="es-MX"/>
        </w:rPr>
      </w:pPr>
      <w:r w:rsidRPr="000574C8">
        <w:rPr>
          <w:rFonts w:ascii="Times New Roman" w:hAnsi="Times New Roman" w:cs="Times New Roman"/>
          <w:sz w:val="20"/>
          <w:lang w:val="es-MX"/>
        </w:rPr>
        <w:t>Variación interanual</w:t>
      </w:r>
    </w:p>
    <w:p w:rsidR="009B230C" w:rsidRPr="00880D9D" w:rsidRDefault="00DA3A12" w:rsidP="00DA3A12">
      <w:pPr>
        <w:pStyle w:val="Sinespaciado"/>
        <w:jc w:val="center"/>
        <w:rPr>
          <w:rFonts w:ascii="Times New Roman" w:hAnsi="Times New Roman" w:cs="Times New Roman"/>
          <w:lang w:val="es-MX"/>
        </w:rPr>
      </w:pPr>
      <w:r w:rsidRPr="00880D9D">
        <w:rPr>
          <w:rFonts w:ascii="Times New Roman" w:hAnsi="Times New Roman" w:cs="Times New Roman"/>
          <w:noProof/>
          <w:lang w:eastAsia="es-GT"/>
        </w:rPr>
        <w:drawing>
          <wp:inline distT="0" distB="0" distL="0" distR="0" wp14:anchorId="44EABA21" wp14:editId="7BF36B89">
            <wp:extent cx="5438693" cy="340823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123" cy="3434202"/>
                    </a:xfrm>
                    <a:prstGeom prst="rect">
                      <a:avLst/>
                    </a:prstGeom>
                    <a:noFill/>
                  </pic:spPr>
                </pic:pic>
              </a:graphicData>
            </a:graphic>
          </wp:inline>
        </w:drawing>
      </w:r>
    </w:p>
    <w:p w:rsidR="0009124C" w:rsidRPr="00880D9D" w:rsidRDefault="000973C4" w:rsidP="000973C4">
      <w:pPr>
        <w:pStyle w:val="Sinespaciado"/>
        <w:ind w:firstLine="708"/>
        <w:jc w:val="both"/>
        <w:rPr>
          <w:rFonts w:ascii="Times New Roman" w:hAnsi="Times New Roman" w:cs="Times New Roman"/>
          <w:sz w:val="16"/>
          <w:lang w:val="es-MX"/>
        </w:rPr>
      </w:pPr>
      <w:r w:rsidRPr="00880D9D">
        <w:rPr>
          <w:rFonts w:ascii="Times New Roman" w:hAnsi="Times New Roman" w:cs="Times New Roman"/>
          <w:sz w:val="16"/>
          <w:lang w:val="es-MX"/>
        </w:rPr>
        <w:t>Fuente: Elaboración propia con datos del Banco de Guatemala</w:t>
      </w:r>
    </w:p>
    <w:p w:rsidR="002E6A45" w:rsidRPr="00880D9D" w:rsidRDefault="002E6A45" w:rsidP="0077110C">
      <w:pPr>
        <w:pStyle w:val="Sinespaciado"/>
        <w:jc w:val="both"/>
        <w:rPr>
          <w:rFonts w:ascii="Times New Roman" w:hAnsi="Times New Roman" w:cs="Times New Roman"/>
          <w:lang w:val="es-MX"/>
        </w:rPr>
      </w:pPr>
    </w:p>
    <w:p w:rsidR="002E6A45" w:rsidRPr="00F13E77" w:rsidRDefault="00041C5A" w:rsidP="0077110C">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Para 2017</w:t>
      </w:r>
      <w:r w:rsidR="0019669A" w:rsidRPr="00F13E77">
        <w:rPr>
          <w:rFonts w:ascii="Times New Roman" w:hAnsi="Times New Roman" w:cs="Times New Roman"/>
          <w:sz w:val="24"/>
          <w:lang w:val="es-MX"/>
        </w:rPr>
        <w:t xml:space="preserve"> nuevamente se observa un</w:t>
      </w:r>
      <w:r w:rsidR="002910C0" w:rsidRPr="00F13E77">
        <w:rPr>
          <w:rFonts w:ascii="Times New Roman" w:hAnsi="Times New Roman" w:cs="Times New Roman"/>
          <w:sz w:val="24"/>
          <w:lang w:val="es-MX"/>
        </w:rPr>
        <w:t>a</w:t>
      </w:r>
      <w:r w:rsidR="0019669A" w:rsidRPr="00F13E77">
        <w:rPr>
          <w:rFonts w:ascii="Times New Roman" w:hAnsi="Times New Roman" w:cs="Times New Roman"/>
          <w:sz w:val="24"/>
          <w:lang w:val="es-MX"/>
        </w:rPr>
        <w:t xml:space="preserve"> leve reducción en las expectativas en el comportamiento de las variables macroeconómicas, al menos hasta la última revisión que hiciera el Banco de Guatemala en</w:t>
      </w:r>
      <w:r w:rsidR="002910C0" w:rsidRPr="00F13E77">
        <w:rPr>
          <w:rFonts w:ascii="Times New Roman" w:hAnsi="Times New Roman" w:cs="Times New Roman"/>
          <w:sz w:val="24"/>
          <w:lang w:val="es-MX"/>
        </w:rPr>
        <w:t xml:space="preserve"> abril de este año.  Sin embargo, es importante mencionar que en términos de la actividad económica con cifras recientes se puede observar que el IMAE, mantiene una variación interanu</w:t>
      </w:r>
      <w:r w:rsidR="00BA2891" w:rsidRPr="00F13E77">
        <w:rPr>
          <w:rFonts w:ascii="Times New Roman" w:hAnsi="Times New Roman" w:cs="Times New Roman"/>
          <w:sz w:val="24"/>
          <w:lang w:val="es-MX"/>
        </w:rPr>
        <w:t>al en su tendencia ciclo de 3.32</w:t>
      </w:r>
      <w:r w:rsidR="002910C0" w:rsidRPr="00F13E77">
        <w:rPr>
          <w:rFonts w:ascii="Times New Roman" w:hAnsi="Times New Roman" w:cs="Times New Roman"/>
          <w:sz w:val="24"/>
          <w:lang w:val="es-MX"/>
        </w:rPr>
        <w:t xml:space="preserve">% al </w:t>
      </w:r>
      <w:r w:rsidR="001E365B" w:rsidRPr="00F13E77">
        <w:rPr>
          <w:rFonts w:ascii="Times New Roman" w:hAnsi="Times New Roman" w:cs="Times New Roman"/>
          <w:sz w:val="24"/>
          <w:lang w:val="es-MX"/>
        </w:rPr>
        <w:t xml:space="preserve">31 </w:t>
      </w:r>
      <w:r w:rsidR="002910C0" w:rsidRPr="00F13E77">
        <w:rPr>
          <w:rFonts w:ascii="Times New Roman" w:hAnsi="Times New Roman" w:cs="Times New Roman"/>
          <w:sz w:val="24"/>
          <w:lang w:val="es-MX"/>
        </w:rPr>
        <w:t xml:space="preserve">de </w:t>
      </w:r>
      <w:r w:rsidR="001E365B" w:rsidRPr="00F13E77">
        <w:rPr>
          <w:rFonts w:ascii="Times New Roman" w:hAnsi="Times New Roman" w:cs="Times New Roman"/>
          <w:sz w:val="24"/>
          <w:lang w:val="es-MX"/>
        </w:rPr>
        <w:t>mayo</w:t>
      </w:r>
      <w:r w:rsidR="002910C0" w:rsidRPr="00F13E77">
        <w:rPr>
          <w:rFonts w:ascii="Times New Roman" w:hAnsi="Times New Roman" w:cs="Times New Roman"/>
          <w:sz w:val="24"/>
          <w:lang w:val="es-MX"/>
        </w:rPr>
        <w:t>, a esta misma fecha el</w:t>
      </w:r>
      <w:r w:rsidR="00BA2891" w:rsidRPr="00F13E77">
        <w:rPr>
          <w:rFonts w:ascii="Times New Roman" w:hAnsi="Times New Roman" w:cs="Times New Roman"/>
          <w:sz w:val="24"/>
          <w:lang w:val="es-MX"/>
        </w:rPr>
        <w:t xml:space="preserve"> año anterior se ubicaba en </w:t>
      </w:r>
      <w:r w:rsidR="001E365B" w:rsidRPr="00F13E77">
        <w:rPr>
          <w:rFonts w:ascii="Times New Roman" w:hAnsi="Times New Roman" w:cs="Times New Roman"/>
          <w:sz w:val="24"/>
          <w:lang w:val="es-MX"/>
        </w:rPr>
        <w:t>2.63</w:t>
      </w:r>
      <w:r w:rsidR="002910C0" w:rsidRPr="00F13E77">
        <w:rPr>
          <w:rFonts w:ascii="Times New Roman" w:hAnsi="Times New Roman" w:cs="Times New Roman"/>
          <w:sz w:val="24"/>
          <w:lang w:val="es-MX"/>
        </w:rPr>
        <w:t xml:space="preserve">%, lo cual muestra que al menos en </w:t>
      </w:r>
      <w:r w:rsidR="00BA2891" w:rsidRPr="00F13E77">
        <w:rPr>
          <w:rFonts w:ascii="Times New Roman" w:hAnsi="Times New Roman" w:cs="Times New Roman"/>
          <w:sz w:val="24"/>
          <w:lang w:val="es-MX"/>
        </w:rPr>
        <w:t>los primeros cinco meses</w:t>
      </w:r>
      <w:r w:rsidR="002910C0" w:rsidRPr="00F13E77">
        <w:rPr>
          <w:rFonts w:ascii="Times New Roman" w:hAnsi="Times New Roman" w:cs="Times New Roman"/>
          <w:sz w:val="24"/>
          <w:lang w:val="es-MX"/>
        </w:rPr>
        <w:t xml:space="preserve"> del año la actividad económica ha sido más dinámica.</w:t>
      </w:r>
    </w:p>
    <w:p w:rsidR="00D836D0" w:rsidRPr="00F13E77" w:rsidRDefault="00D836D0" w:rsidP="00F77B69">
      <w:pPr>
        <w:pStyle w:val="Sinespaciado"/>
        <w:jc w:val="center"/>
        <w:rPr>
          <w:rFonts w:ascii="Times New Roman" w:hAnsi="Times New Roman" w:cs="Times New Roman"/>
          <w:b/>
          <w:sz w:val="24"/>
          <w:lang w:val="es-MX"/>
        </w:rPr>
      </w:pPr>
    </w:p>
    <w:p w:rsidR="0039502C" w:rsidRPr="00F13E77" w:rsidRDefault="002910C0" w:rsidP="0077110C">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Por su parte, las importaciones </w:t>
      </w:r>
      <w:r w:rsidR="00AE36A1" w:rsidRPr="00F13E77">
        <w:rPr>
          <w:rFonts w:ascii="Times New Roman" w:hAnsi="Times New Roman" w:cs="Times New Roman"/>
          <w:sz w:val="24"/>
          <w:lang w:val="es-MX"/>
        </w:rPr>
        <w:t xml:space="preserve">de comercio general </w:t>
      </w:r>
      <w:r w:rsidRPr="00F13E77">
        <w:rPr>
          <w:rFonts w:ascii="Times New Roman" w:hAnsi="Times New Roman" w:cs="Times New Roman"/>
          <w:sz w:val="24"/>
          <w:lang w:val="es-MX"/>
        </w:rPr>
        <w:t>muestran un crecimiento interanual al 3</w:t>
      </w:r>
      <w:r w:rsidR="00BA2891" w:rsidRPr="00F13E77">
        <w:rPr>
          <w:rFonts w:ascii="Times New Roman" w:hAnsi="Times New Roman" w:cs="Times New Roman"/>
          <w:sz w:val="24"/>
          <w:lang w:val="es-MX"/>
        </w:rPr>
        <w:t>1</w:t>
      </w:r>
      <w:r w:rsidRPr="00F13E77">
        <w:rPr>
          <w:rFonts w:ascii="Times New Roman" w:hAnsi="Times New Roman" w:cs="Times New Roman"/>
          <w:sz w:val="24"/>
          <w:lang w:val="es-MX"/>
        </w:rPr>
        <w:t xml:space="preserve"> de </w:t>
      </w:r>
      <w:r w:rsidR="00BA2891" w:rsidRPr="00F13E77">
        <w:rPr>
          <w:rFonts w:ascii="Times New Roman" w:hAnsi="Times New Roman" w:cs="Times New Roman"/>
          <w:sz w:val="24"/>
          <w:lang w:val="es-MX"/>
        </w:rPr>
        <w:t>mayo de 2017 de 7.2</w:t>
      </w:r>
      <w:r w:rsidRPr="00F13E77">
        <w:rPr>
          <w:rFonts w:ascii="Times New Roman" w:hAnsi="Times New Roman" w:cs="Times New Roman"/>
          <w:sz w:val="24"/>
          <w:lang w:val="es-MX"/>
        </w:rPr>
        <w:t xml:space="preserve">%, muy arriba del comportamiento que se observó a </w:t>
      </w:r>
      <w:r w:rsidR="00AE36A1" w:rsidRPr="00F13E77">
        <w:rPr>
          <w:rFonts w:ascii="Times New Roman" w:hAnsi="Times New Roman" w:cs="Times New Roman"/>
          <w:sz w:val="24"/>
          <w:lang w:val="es-MX"/>
        </w:rPr>
        <w:t xml:space="preserve">mayo </w:t>
      </w:r>
      <w:r w:rsidRPr="00F13E77">
        <w:rPr>
          <w:rFonts w:ascii="Times New Roman" w:hAnsi="Times New Roman" w:cs="Times New Roman"/>
          <w:sz w:val="24"/>
          <w:lang w:val="es-MX"/>
        </w:rPr>
        <w:t>de 2016, en donde se tu</w:t>
      </w:r>
      <w:r w:rsidR="00BA2891" w:rsidRPr="00F13E77">
        <w:rPr>
          <w:rFonts w:ascii="Times New Roman" w:hAnsi="Times New Roman" w:cs="Times New Roman"/>
          <w:sz w:val="24"/>
          <w:lang w:val="es-MX"/>
        </w:rPr>
        <w:t>vo una variación negativa de 5.0</w:t>
      </w:r>
      <w:r w:rsidRPr="00F13E77">
        <w:rPr>
          <w:rFonts w:ascii="Times New Roman" w:hAnsi="Times New Roman" w:cs="Times New Roman"/>
          <w:sz w:val="24"/>
          <w:lang w:val="es-MX"/>
        </w:rPr>
        <w:t xml:space="preserve">%, </w:t>
      </w:r>
      <w:r w:rsidR="00E459DF" w:rsidRPr="00F13E77">
        <w:rPr>
          <w:rFonts w:ascii="Times New Roman" w:hAnsi="Times New Roman" w:cs="Times New Roman"/>
          <w:sz w:val="24"/>
          <w:lang w:val="es-MX"/>
        </w:rPr>
        <w:t>esta mejora</w:t>
      </w:r>
      <w:r w:rsidRPr="00F13E77">
        <w:rPr>
          <w:rFonts w:ascii="Times New Roman" w:hAnsi="Times New Roman" w:cs="Times New Roman"/>
          <w:sz w:val="24"/>
          <w:lang w:val="es-MX"/>
        </w:rPr>
        <w:t xml:space="preserve"> es motivad</w:t>
      </w:r>
      <w:r w:rsidR="00E459DF" w:rsidRPr="00F13E77">
        <w:rPr>
          <w:rFonts w:ascii="Times New Roman" w:hAnsi="Times New Roman" w:cs="Times New Roman"/>
          <w:sz w:val="24"/>
          <w:lang w:val="es-MX"/>
        </w:rPr>
        <w:t>a</w:t>
      </w:r>
      <w:r w:rsidRPr="00F13E77">
        <w:rPr>
          <w:rFonts w:ascii="Times New Roman" w:hAnsi="Times New Roman" w:cs="Times New Roman"/>
          <w:sz w:val="24"/>
          <w:lang w:val="es-MX"/>
        </w:rPr>
        <w:t xml:space="preserve"> por un efecto precio derivado del aumento promedio </w:t>
      </w:r>
      <w:r w:rsidR="0039502C" w:rsidRPr="00F13E77">
        <w:rPr>
          <w:rFonts w:ascii="Times New Roman" w:hAnsi="Times New Roman" w:cs="Times New Roman"/>
          <w:sz w:val="24"/>
          <w:lang w:val="es-MX"/>
        </w:rPr>
        <w:t xml:space="preserve">de los derivados del petróleo, aunque también se observa un incremento en el volumen de las importaciones principalmente de materiales de construcción, combustibles, bienes de capital y </w:t>
      </w:r>
      <w:r w:rsidR="00031215" w:rsidRPr="00F13E77">
        <w:rPr>
          <w:rFonts w:ascii="Times New Roman" w:hAnsi="Times New Roman" w:cs="Times New Roman"/>
          <w:sz w:val="24"/>
          <w:lang w:val="es-MX"/>
        </w:rPr>
        <w:t xml:space="preserve">en </w:t>
      </w:r>
      <w:r w:rsidR="0039502C" w:rsidRPr="00F13E77">
        <w:rPr>
          <w:rFonts w:ascii="Times New Roman" w:hAnsi="Times New Roman" w:cs="Times New Roman"/>
          <w:sz w:val="24"/>
          <w:lang w:val="es-MX"/>
        </w:rPr>
        <w:t>menor medida en bienes de consumo.  Los factores que contribuyen al crecimiento de las importaciones podrían propiciar al final del año un nivel mayor que el observado</w:t>
      </w:r>
      <w:r w:rsidR="00405BC8" w:rsidRPr="00F13E77">
        <w:rPr>
          <w:rFonts w:ascii="Times New Roman" w:hAnsi="Times New Roman" w:cs="Times New Roman"/>
          <w:sz w:val="24"/>
          <w:lang w:val="es-MX"/>
        </w:rPr>
        <w:t>, el cual se asocia en buena medida a la tendencia del tipo de cambio nominal hacia la apreciación del Quetzal</w:t>
      </w:r>
      <w:r w:rsidR="0039502C" w:rsidRPr="00F13E77">
        <w:rPr>
          <w:rFonts w:ascii="Times New Roman" w:hAnsi="Times New Roman" w:cs="Times New Roman"/>
          <w:sz w:val="24"/>
          <w:lang w:val="es-MX"/>
        </w:rPr>
        <w:t>.</w:t>
      </w:r>
    </w:p>
    <w:p w:rsidR="0039502C" w:rsidRPr="00F13E77" w:rsidRDefault="0039502C" w:rsidP="0077110C">
      <w:pPr>
        <w:pStyle w:val="Sinespaciado"/>
        <w:jc w:val="both"/>
        <w:rPr>
          <w:rFonts w:ascii="Times New Roman" w:hAnsi="Times New Roman" w:cs="Times New Roman"/>
          <w:sz w:val="24"/>
          <w:lang w:val="es-MX"/>
        </w:rPr>
      </w:pPr>
    </w:p>
    <w:p w:rsidR="00B03A24" w:rsidRPr="00F13E77" w:rsidRDefault="0039502C" w:rsidP="0077110C">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Sin embargo, la principal variable que </w:t>
      </w:r>
      <w:r w:rsidR="00B03A24" w:rsidRPr="00F13E77">
        <w:rPr>
          <w:rFonts w:ascii="Times New Roman" w:hAnsi="Times New Roman" w:cs="Times New Roman"/>
          <w:sz w:val="24"/>
          <w:lang w:val="es-MX"/>
        </w:rPr>
        <w:t xml:space="preserve">muestra un nivel muy diferente a lo esperado es </w:t>
      </w:r>
      <w:r w:rsidR="00E459DF" w:rsidRPr="00F13E77">
        <w:rPr>
          <w:rFonts w:ascii="Times New Roman" w:hAnsi="Times New Roman" w:cs="Times New Roman"/>
          <w:sz w:val="24"/>
          <w:lang w:val="es-MX"/>
        </w:rPr>
        <w:t>el t</w:t>
      </w:r>
      <w:r w:rsidR="00B03A24" w:rsidRPr="00F13E77">
        <w:rPr>
          <w:rFonts w:ascii="Times New Roman" w:hAnsi="Times New Roman" w:cs="Times New Roman"/>
          <w:sz w:val="24"/>
          <w:lang w:val="es-MX"/>
        </w:rPr>
        <w:t xml:space="preserve">ipo de </w:t>
      </w:r>
      <w:r w:rsidR="00E459DF" w:rsidRPr="00F13E77">
        <w:rPr>
          <w:rFonts w:ascii="Times New Roman" w:hAnsi="Times New Roman" w:cs="Times New Roman"/>
          <w:sz w:val="24"/>
          <w:lang w:val="es-MX"/>
        </w:rPr>
        <w:t>c</w:t>
      </w:r>
      <w:r w:rsidR="00B03A24" w:rsidRPr="00F13E77">
        <w:rPr>
          <w:rFonts w:ascii="Times New Roman" w:hAnsi="Times New Roman" w:cs="Times New Roman"/>
          <w:sz w:val="24"/>
          <w:lang w:val="es-MX"/>
        </w:rPr>
        <w:t xml:space="preserve">ambio </w:t>
      </w:r>
      <w:r w:rsidR="00E459DF" w:rsidRPr="00F13E77">
        <w:rPr>
          <w:rFonts w:ascii="Times New Roman" w:hAnsi="Times New Roman" w:cs="Times New Roman"/>
          <w:sz w:val="24"/>
          <w:lang w:val="es-MX"/>
        </w:rPr>
        <w:t>n</w:t>
      </w:r>
      <w:r w:rsidR="00B03A24" w:rsidRPr="00F13E77">
        <w:rPr>
          <w:rFonts w:ascii="Times New Roman" w:hAnsi="Times New Roman" w:cs="Times New Roman"/>
          <w:sz w:val="24"/>
          <w:lang w:val="es-MX"/>
        </w:rPr>
        <w:t>ominal, se tenía previsto una variación neutral</w:t>
      </w:r>
      <w:r w:rsidR="001F2AE5" w:rsidRPr="00F13E77">
        <w:rPr>
          <w:rFonts w:ascii="Times New Roman" w:hAnsi="Times New Roman" w:cs="Times New Roman"/>
          <w:sz w:val="24"/>
          <w:lang w:val="es-MX"/>
        </w:rPr>
        <w:t xml:space="preserve">, dicha variación se consideró tomando en cuenta que el Banco de Guatemala no elabora estimaciones de tipo de cambio y que el comportamiento del mismo es bastante estable.  Sin embargo, </w:t>
      </w:r>
      <w:r w:rsidR="00B03A24" w:rsidRPr="00F13E77">
        <w:rPr>
          <w:rFonts w:ascii="Times New Roman" w:hAnsi="Times New Roman" w:cs="Times New Roman"/>
          <w:sz w:val="24"/>
          <w:lang w:val="es-MX"/>
        </w:rPr>
        <w:t>el comportamiento de las remesas familiares y las exportaciones han incidido en un aumento de la</w:t>
      </w:r>
      <w:r w:rsidR="00B84973" w:rsidRPr="00F13E77">
        <w:rPr>
          <w:rFonts w:ascii="Times New Roman" w:hAnsi="Times New Roman" w:cs="Times New Roman"/>
          <w:sz w:val="24"/>
          <w:lang w:val="es-MX"/>
        </w:rPr>
        <w:t>s</w:t>
      </w:r>
      <w:r w:rsidR="00B03A24" w:rsidRPr="00F13E77">
        <w:rPr>
          <w:rFonts w:ascii="Times New Roman" w:hAnsi="Times New Roman" w:cs="Times New Roman"/>
          <w:sz w:val="24"/>
          <w:lang w:val="es-MX"/>
        </w:rPr>
        <w:t xml:space="preserve"> divisas en el mercado interno que ha apreciado la moneda nacional, se espera que en el segundo semestre esta apreciación disminuya por la desaceleración de las remesas familiares y un posible aumento adicional de las importaciones.</w:t>
      </w:r>
    </w:p>
    <w:p w:rsidR="00C75E1A" w:rsidRPr="00F13E77" w:rsidRDefault="00C75E1A" w:rsidP="0077110C">
      <w:pPr>
        <w:pStyle w:val="Sinespaciado"/>
        <w:jc w:val="both"/>
        <w:rPr>
          <w:rFonts w:ascii="Times New Roman" w:hAnsi="Times New Roman" w:cs="Times New Roman"/>
          <w:sz w:val="24"/>
          <w:lang w:val="es-MX"/>
        </w:rPr>
      </w:pPr>
    </w:p>
    <w:p w:rsidR="00405BC8" w:rsidRPr="00F13E77" w:rsidRDefault="00C75E1A" w:rsidP="0077110C">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A pesar de que se prevé una leve reducción en la estimación de las variables macroeconómicas, se estima que en términos de recaudación tributaria </w:t>
      </w:r>
      <w:r w:rsidR="00A272E2" w:rsidRPr="00F13E77">
        <w:rPr>
          <w:rFonts w:ascii="Times New Roman" w:hAnsi="Times New Roman" w:cs="Times New Roman"/>
          <w:sz w:val="24"/>
          <w:lang w:val="es-MX"/>
        </w:rPr>
        <w:t>no tenga efecto ya que podría compensarse con la</w:t>
      </w:r>
      <w:r w:rsidR="002A2846" w:rsidRPr="00F13E77">
        <w:rPr>
          <w:rFonts w:ascii="Times New Roman" w:hAnsi="Times New Roman" w:cs="Times New Roman"/>
          <w:sz w:val="24"/>
          <w:lang w:val="es-MX"/>
        </w:rPr>
        <w:t xml:space="preserve"> recaudación que pueda percibirse con la</w:t>
      </w:r>
      <w:r w:rsidR="00A272E2" w:rsidRPr="00F13E77">
        <w:rPr>
          <w:rFonts w:ascii="Times New Roman" w:hAnsi="Times New Roman" w:cs="Times New Roman"/>
          <w:sz w:val="24"/>
          <w:lang w:val="es-MX"/>
        </w:rPr>
        <w:t xml:space="preserve"> exoneración de multas</w:t>
      </w:r>
      <w:r w:rsidR="000C6ED2" w:rsidRPr="00F13E77">
        <w:rPr>
          <w:rFonts w:ascii="Times New Roman" w:hAnsi="Times New Roman" w:cs="Times New Roman"/>
          <w:sz w:val="24"/>
          <w:lang w:val="es-MX"/>
        </w:rPr>
        <w:t>, intereses y otros recargos</w:t>
      </w:r>
      <w:r w:rsidR="001944C2" w:rsidRPr="00F13E77">
        <w:rPr>
          <w:rFonts w:ascii="Times New Roman" w:hAnsi="Times New Roman" w:cs="Times New Roman"/>
          <w:sz w:val="24"/>
          <w:lang w:val="es-MX"/>
        </w:rPr>
        <w:t xml:space="preserve"> (Acuerdo Gubernativo 82-2017)</w:t>
      </w:r>
      <w:r w:rsidR="000C6ED2" w:rsidRPr="00F13E77">
        <w:rPr>
          <w:rFonts w:ascii="Times New Roman" w:hAnsi="Times New Roman" w:cs="Times New Roman"/>
          <w:sz w:val="24"/>
          <w:lang w:val="es-MX"/>
        </w:rPr>
        <w:t>,</w:t>
      </w:r>
      <w:r w:rsidR="00A272E2" w:rsidRPr="00F13E77">
        <w:rPr>
          <w:rFonts w:ascii="Times New Roman" w:hAnsi="Times New Roman" w:cs="Times New Roman"/>
          <w:sz w:val="24"/>
          <w:lang w:val="es-MX"/>
        </w:rPr>
        <w:t xml:space="preserve"> que entró en vigencia a partir de mayo y que </w:t>
      </w:r>
      <w:r w:rsidR="001B327C" w:rsidRPr="00F13E77">
        <w:rPr>
          <w:rFonts w:ascii="Times New Roman" w:hAnsi="Times New Roman" w:cs="Times New Roman"/>
          <w:sz w:val="24"/>
          <w:lang w:val="es-MX"/>
        </w:rPr>
        <w:t>finaliz</w:t>
      </w:r>
      <w:r w:rsidR="00405BC8" w:rsidRPr="00F13E77">
        <w:rPr>
          <w:rFonts w:ascii="Times New Roman" w:hAnsi="Times New Roman" w:cs="Times New Roman"/>
          <w:sz w:val="24"/>
          <w:lang w:val="es-MX"/>
        </w:rPr>
        <w:t>ó</w:t>
      </w:r>
      <w:r w:rsidR="001B327C" w:rsidRPr="00F13E77">
        <w:rPr>
          <w:rFonts w:ascii="Times New Roman" w:hAnsi="Times New Roman" w:cs="Times New Roman"/>
          <w:sz w:val="24"/>
          <w:lang w:val="es-MX"/>
        </w:rPr>
        <w:t xml:space="preserve"> en </w:t>
      </w:r>
      <w:r w:rsidR="00405BC8" w:rsidRPr="00F13E77">
        <w:rPr>
          <w:rFonts w:ascii="Times New Roman" w:hAnsi="Times New Roman" w:cs="Times New Roman"/>
          <w:sz w:val="24"/>
          <w:lang w:val="es-MX"/>
        </w:rPr>
        <w:t>septiembre de 2017 (ampliado por el Acuerdo Gubernativo 182-2017)</w:t>
      </w:r>
    </w:p>
    <w:p w:rsidR="00C75E1A" w:rsidRDefault="00A272E2" w:rsidP="0077110C">
      <w:pPr>
        <w:pStyle w:val="Sinespaciado"/>
        <w:jc w:val="both"/>
        <w:rPr>
          <w:rFonts w:ascii="Times New Roman" w:hAnsi="Times New Roman" w:cs="Times New Roman"/>
          <w:lang w:val="es-MX"/>
        </w:rPr>
      </w:pPr>
      <w:r w:rsidRPr="00880D9D">
        <w:rPr>
          <w:rFonts w:ascii="Times New Roman" w:hAnsi="Times New Roman" w:cs="Times New Roman"/>
          <w:lang w:val="es-MX"/>
        </w:rPr>
        <w:t>.</w:t>
      </w:r>
      <w:r w:rsidR="00C75E1A" w:rsidRPr="00880D9D">
        <w:rPr>
          <w:rFonts w:ascii="Times New Roman" w:hAnsi="Times New Roman" w:cs="Times New Roman"/>
          <w:lang w:val="es-MX"/>
        </w:rPr>
        <w:t xml:space="preserve"> </w:t>
      </w:r>
    </w:p>
    <w:p w:rsidR="00DC2316" w:rsidRPr="000574C8" w:rsidRDefault="00DC2316" w:rsidP="00DC2316">
      <w:pPr>
        <w:pStyle w:val="Sinespaciado"/>
        <w:jc w:val="center"/>
        <w:rPr>
          <w:rFonts w:ascii="Times New Roman" w:hAnsi="Times New Roman" w:cs="Times New Roman"/>
          <w:b/>
          <w:sz w:val="24"/>
          <w:lang w:val="es-MX"/>
        </w:rPr>
      </w:pPr>
      <w:r w:rsidRPr="000574C8">
        <w:rPr>
          <w:rFonts w:ascii="Times New Roman" w:hAnsi="Times New Roman" w:cs="Times New Roman"/>
          <w:b/>
          <w:sz w:val="24"/>
          <w:lang w:val="es-MX"/>
        </w:rPr>
        <w:t>Cuadro 1</w:t>
      </w:r>
    </w:p>
    <w:p w:rsidR="00DC2316" w:rsidRPr="000574C8" w:rsidRDefault="00DC2316" w:rsidP="00DC2316">
      <w:pPr>
        <w:pStyle w:val="Sinespaciado"/>
        <w:jc w:val="center"/>
        <w:rPr>
          <w:rFonts w:ascii="Times New Roman" w:hAnsi="Times New Roman" w:cs="Times New Roman"/>
          <w:b/>
          <w:sz w:val="24"/>
          <w:lang w:val="es-MX"/>
        </w:rPr>
      </w:pPr>
      <w:r w:rsidRPr="000574C8">
        <w:rPr>
          <w:rFonts w:ascii="Times New Roman" w:hAnsi="Times New Roman" w:cs="Times New Roman"/>
          <w:b/>
          <w:sz w:val="24"/>
          <w:lang w:val="es-MX"/>
        </w:rPr>
        <w:t>Variables Macroeconómicas</w:t>
      </w:r>
    </w:p>
    <w:p w:rsidR="00DC2316" w:rsidRPr="000574C8" w:rsidRDefault="00DC2316" w:rsidP="00DC2316">
      <w:pPr>
        <w:pStyle w:val="Sinespaciado"/>
        <w:jc w:val="center"/>
        <w:rPr>
          <w:rFonts w:ascii="Times New Roman" w:hAnsi="Times New Roman" w:cs="Times New Roman"/>
          <w:sz w:val="20"/>
          <w:lang w:val="es-MX"/>
        </w:rPr>
      </w:pPr>
      <w:r w:rsidRPr="000574C8">
        <w:rPr>
          <w:rFonts w:ascii="Times New Roman" w:hAnsi="Times New Roman" w:cs="Times New Roman"/>
          <w:sz w:val="20"/>
          <w:lang w:val="es-MX"/>
        </w:rPr>
        <w:t>Estimación Presupuesto y Estimación Actual 2017</w:t>
      </w:r>
    </w:p>
    <w:p w:rsidR="00DC2316" w:rsidRPr="000574C8" w:rsidRDefault="00DC2316" w:rsidP="00DC2316">
      <w:pPr>
        <w:pStyle w:val="Sinespaciado"/>
        <w:jc w:val="center"/>
        <w:rPr>
          <w:rFonts w:ascii="Times New Roman" w:hAnsi="Times New Roman" w:cs="Times New Roman"/>
          <w:sz w:val="20"/>
          <w:lang w:val="es-MX"/>
        </w:rPr>
      </w:pPr>
      <w:r w:rsidRPr="000574C8">
        <w:rPr>
          <w:rFonts w:ascii="Times New Roman" w:hAnsi="Times New Roman" w:cs="Times New Roman"/>
          <w:sz w:val="20"/>
          <w:lang w:val="es-MX"/>
        </w:rPr>
        <w:t>Variación Relativa</w:t>
      </w:r>
    </w:p>
    <w:tbl>
      <w:tblPr>
        <w:tblpPr w:leftFromText="141" w:rightFromText="141" w:vertAnchor="text" w:horzAnchor="margin" w:tblpXSpec="center" w:tblpY="184"/>
        <w:tblW w:w="5420" w:type="dxa"/>
        <w:tblLayout w:type="fixed"/>
        <w:tblCellMar>
          <w:left w:w="70" w:type="dxa"/>
          <w:right w:w="70" w:type="dxa"/>
        </w:tblCellMar>
        <w:tblLook w:val="04A0" w:firstRow="1" w:lastRow="0" w:firstColumn="1" w:lastColumn="0" w:noHBand="0" w:noVBand="1"/>
      </w:tblPr>
      <w:tblGrid>
        <w:gridCol w:w="1672"/>
        <w:gridCol w:w="1339"/>
        <w:gridCol w:w="1205"/>
        <w:gridCol w:w="1204"/>
      </w:tblGrid>
      <w:tr w:rsidR="00DC2316" w:rsidRPr="00880D9D" w:rsidTr="00933CB9">
        <w:trPr>
          <w:trHeight w:val="469"/>
        </w:trPr>
        <w:tc>
          <w:tcPr>
            <w:tcW w:w="1672" w:type="dxa"/>
            <w:tcBorders>
              <w:top w:val="nil"/>
              <w:left w:val="nil"/>
              <w:bottom w:val="single" w:sz="8" w:space="0" w:color="auto"/>
              <w:right w:val="nil"/>
            </w:tcBorders>
            <w:shd w:val="clear" w:color="auto" w:fill="auto"/>
            <w:noWrap/>
            <w:vAlign w:val="bottom"/>
            <w:hideMark/>
          </w:tcPr>
          <w:p w:rsidR="00DC2316" w:rsidRPr="00880D9D" w:rsidRDefault="00DC2316" w:rsidP="00933CB9">
            <w:pPr>
              <w:spacing w:after="0" w:line="240" w:lineRule="auto"/>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 </w:t>
            </w:r>
          </w:p>
        </w:tc>
        <w:tc>
          <w:tcPr>
            <w:tcW w:w="1339" w:type="dxa"/>
            <w:tcBorders>
              <w:top w:val="single" w:sz="8" w:space="0" w:color="auto"/>
              <w:left w:val="single" w:sz="8" w:space="0" w:color="auto"/>
              <w:bottom w:val="single" w:sz="8" w:space="0" w:color="auto"/>
              <w:right w:val="single" w:sz="4" w:space="0" w:color="auto"/>
            </w:tcBorders>
            <w:shd w:val="clear" w:color="auto" w:fill="95B3D7" w:themeFill="accent1" w:themeFillTint="99"/>
            <w:vAlign w:val="center"/>
            <w:hideMark/>
          </w:tcPr>
          <w:p w:rsidR="00DC2316" w:rsidRPr="00880D9D" w:rsidRDefault="00DC2316" w:rsidP="00933CB9">
            <w:pPr>
              <w:spacing w:after="0" w:line="240" w:lineRule="auto"/>
              <w:jc w:val="center"/>
              <w:rPr>
                <w:rFonts w:ascii="Times New Roman" w:eastAsia="Times New Roman" w:hAnsi="Times New Roman" w:cs="Times New Roman"/>
                <w:b/>
                <w:bCs/>
                <w:color w:val="000000"/>
                <w:sz w:val="20"/>
                <w:lang w:eastAsia="es-GT"/>
              </w:rPr>
            </w:pPr>
            <w:r w:rsidRPr="00880D9D">
              <w:rPr>
                <w:rFonts w:ascii="Times New Roman" w:eastAsia="Times New Roman" w:hAnsi="Times New Roman" w:cs="Times New Roman"/>
                <w:b/>
                <w:bCs/>
                <w:color w:val="000000"/>
                <w:sz w:val="20"/>
                <w:lang w:eastAsia="es-GT"/>
              </w:rPr>
              <w:t xml:space="preserve">Estimación Presupuesto </w:t>
            </w:r>
          </w:p>
        </w:tc>
        <w:tc>
          <w:tcPr>
            <w:tcW w:w="1205" w:type="dxa"/>
            <w:tcBorders>
              <w:top w:val="single" w:sz="8" w:space="0" w:color="auto"/>
              <w:left w:val="nil"/>
              <w:bottom w:val="single" w:sz="8" w:space="0" w:color="auto"/>
              <w:right w:val="single" w:sz="4" w:space="0" w:color="auto"/>
            </w:tcBorders>
            <w:shd w:val="clear" w:color="auto" w:fill="95B3D7" w:themeFill="accent1" w:themeFillTint="99"/>
            <w:vAlign w:val="center"/>
            <w:hideMark/>
          </w:tcPr>
          <w:p w:rsidR="00DC2316" w:rsidRPr="00880D9D" w:rsidRDefault="00DC2316" w:rsidP="00933CB9">
            <w:pPr>
              <w:spacing w:after="0" w:line="240" w:lineRule="auto"/>
              <w:jc w:val="center"/>
              <w:rPr>
                <w:rFonts w:ascii="Times New Roman" w:eastAsia="Times New Roman" w:hAnsi="Times New Roman" w:cs="Times New Roman"/>
                <w:b/>
                <w:bCs/>
                <w:color w:val="000000"/>
                <w:sz w:val="20"/>
                <w:lang w:eastAsia="es-GT"/>
              </w:rPr>
            </w:pPr>
            <w:r w:rsidRPr="00880D9D">
              <w:rPr>
                <w:rFonts w:ascii="Times New Roman" w:eastAsia="Times New Roman" w:hAnsi="Times New Roman" w:cs="Times New Roman"/>
                <w:b/>
                <w:bCs/>
                <w:color w:val="000000"/>
                <w:sz w:val="20"/>
                <w:lang w:eastAsia="es-GT"/>
              </w:rPr>
              <w:t>Estimación Actual</w:t>
            </w:r>
          </w:p>
        </w:tc>
        <w:tc>
          <w:tcPr>
            <w:tcW w:w="1204"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DC2316" w:rsidRPr="00880D9D" w:rsidRDefault="00DC2316" w:rsidP="00933CB9">
            <w:pPr>
              <w:spacing w:after="0" w:line="240" w:lineRule="auto"/>
              <w:jc w:val="center"/>
              <w:rPr>
                <w:rFonts w:ascii="Times New Roman" w:eastAsia="Times New Roman" w:hAnsi="Times New Roman" w:cs="Times New Roman"/>
                <w:b/>
                <w:bCs/>
                <w:color w:val="000000"/>
                <w:sz w:val="20"/>
                <w:lang w:eastAsia="es-GT"/>
              </w:rPr>
            </w:pPr>
            <w:r w:rsidRPr="00880D9D">
              <w:rPr>
                <w:rFonts w:ascii="Times New Roman" w:eastAsia="Times New Roman" w:hAnsi="Times New Roman" w:cs="Times New Roman"/>
                <w:b/>
                <w:bCs/>
                <w:color w:val="000000"/>
                <w:sz w:val="20"/>
                <w:lang w:eastAsia="es-GT"/>
              </w:rPr>
              <w:t>Desviación</w:t>
            </w:r>
          </w:p>
        </w:tc>
      </w:tr>
      <w:tr w:rsidR="00DC2316" w:rsidRPr="00880D9D" w:rsidTr="00933CB9">
        <w:trPr>
          <w:trHeight w:val="348"/>
        </w:trPr>
        <w:tc>
          <w:tcPr>
            <w:tcW w:w="1672" w:type="dxa"/>
            <w:tcBorders>
              <w:top w:val="nil"/>
              <w:left w:val="single" w:sz="8" w:space="0" w:color="auto"/>
              <w:bottom w:val="nil"/>
              <w:right w:val="nil"/>
            </w:tcBorders>
            <w:shd w:val="clear" w:color="auto" w:fill="auto"/>
            <w:noWrap/>
            <w:vAlign w:val="bottom"/>
            <w:hideMark/>
          </w:tcPr>
          <w:p w:rsidR="00DC2316" w:rsidRPr="00880D9D" w:rsidRDefault="00DC2316" w:rsidP="00DC2316">
            <w:pPr>
              <w:spacing w:after="0" w:line="240" w:lineRule="auto"/>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 xml:space="preserve">PIB </w:t>
            </w:r>
            <w:r>
              <w:rPr>
                <w:rFonts w:ascii="Times New Roman" w:eastAsia="Times New Roman" w:hAnsi="Times New Roman" w:cs="Times New Roman"/>
                <w:color w:val="000000"/>
                <w:sz w:val="20"/>
                <w:lang w:eastAsia="es-GT"/>
              </w:rPr>
              <w:t>real</w:t>
            </w:r>
          </w:p>
        </w:tc>
        <w:tc>
          <w:tcPr>
            <w:tcW w:w="1339" w:type="dxa"/>
            <w:tcBorders>
              <w:top w:val="nil"/>
              <w:left w:val="single" w:sz="8" w:space="0" w:color="auto"/>
              <w:bottom w:val="nil"/>
              <w:right w:val="single" w:sz="4"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3.20</w:t>
            </w:r>
          </w:p>
        </w:tc>
        <w:tc>
          <w:tcPr>
            <w:tcW w:w="1205" w:type="dxa"/>
            <w:tcBorders>
              <w:top w:val="nil"/>
              <w:left w:val="nil"/>
              <w:bottom w:val="nil"/>
              <w:right w:val="single" w:sz="4"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3.00</w:t>
            </w:r>
          </w:p>
        </w:tc>
        <w:tc>
          <w:tcPr>
            <w:tcW w:w="1204" w:type="dxa"/>
            <w:tcBorders>
              <w:top w:val="nil"/>
              <w:left w:val="nil"/>
              <w:bottom w:val="nil"/>
              <w:right w:val="single" w:sz="8"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-0.20</w:t>
            </w:r>
          </w:p>
        </w:tc>
      </w:tr>
      <w:tr w:rsidR="00DC2316" w:rsidRPr="00880D9D" w:rsidTr="00933CB9">
        <w:trPr>
          <w:trHeight w:val="348"/>
        </w:trPr>
        <w:tc>
          <w:tcPr>
            <w:tcW w:w="1672" w:type="dxa"/>
            <w:tcBorders>
              <w:top w:val="nil"/>
              <w:left w:val="single" w:sz="8" w:space="0" w:color="auto"/>
              <w:bottom w:val="nil"/>
              <w:right w:val="nil"/>
            </w:tcBorders>
            <w:shd w:val="clear" w:color="auto" w:fill="auto"/>
            <w:noWrap/>
            <w:vAlign w:val="bottom"/>
            <w:hideMark/>
          </w:tcPr>
          <w:p w:rsidR="00DC2316" w:rsidRPr="00880D9D" w:rsidRDefault="00DC2316" w:rsidP="00DC2316">
            <w:pPr>
              <w:spacing w:after="0" w:line="240" w:lineRule="auto"/>
              <w:rPr>
                <w:rFonts w:ascii="Times New Roman" w:eastAsia="Times New Roman" w:hAnsi="Times New Roman" w:cs="Times New Roman"/>
                <w:color w:val="000000"/>
                <w:sz w:val="20"/>
                <w:lang w:eastAsia="es-GT"/>
              </w:rPr>
            </w:pPr>
            <w:r>
              <w:rPr>
                <w:rFonts w:ascii="Times New Roman" w:eastAsia="Times New Roman" w:hAnsi="Times New Roman" w:cs="Times New Roman"/>
                <w:color w:val="000000"/>
                <w:sz w:val="20"/>
                <w:lang w:eastAsia="es-GT"/>
              </w:rPr>
              <w:t>PIB nominal</w:t>
            </w:r>
          </w:p>
        </w:tc>
        <w:tc>
          <w:tcPr>
            <w:tcW w:w="1339" w:type="dxa"/>
            <w:tcBorders>
              <w:top w:val="nil"/>
              <w:left w:val="single" w:sz="8" w:space="0" w:color="auto"/>
              <w:bottom w:val="nil"/>
              <w:right w:val="single" w:sz="4"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7.00</w:t>
            </w:r>
          </w:p>
        </w:tc>
        <w:tc>
          <w:tcPr>
            <w:tcW w:w="1205" w:type="dxa"/>
            <w:tcBorders>
              <w:top w:val="nil"/>
              <w:left w:val="nil"/>
              <w:bottom w:val="nil"/>
              <w:right w:val="single" w:sz="4"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6.70</w:t>
            </w:r>
          </w:p>
        </w:tc>
        <w:tc>
          <w:tcPr>
            <w:tcW w:w="1204" w:type="dxa"/>
            <w:tcBorders>
              <w:top w:val="nil"/>
              <w:left w:val="nil"/>
              <w:bottom w:val="nil"/>
              <w:right w:val="single" w:sz="8"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-0.30</w:t>
            </w:r>
          </w:p>
        </w:tc>
      </w:tr>
      <w:tr w:rsidR="00DC2316" w:rsidRPr="00880D9D" w:rsidTr="00933CB9">
        <w:trPr>
          <w:trHeight w:val="348"/>
        </w:trPr>
        <w:tc>
          <w:tcPr>
            <w:tcW w:w="1672" w:type="dxa"/>
            <w:tcBorders>
              <w:top w:val="nil"/>
              <w:left w:val="single" w:sz="8" w:space="0" w:color="auto"/>
              <w:bottom w:val="nil"/>
              <w:right w:val="nil"/>
            </w:tcBorders>
            <w:shd w:val="clear" w:color="auto" w:fill="auto"/>
            <w:noWrap/>
            <w:vAlign w:val="bottom"/>
            <w:hideMark/>
          </w:tcPr>
          <w:p w:rsidR="00DC2316" w:rsidRPr="00880D9D" w:rsidRDefault="00DC2316" w:rsidP="00933CB9">
            <w:pPr>
              <w:spacing w:after="0" w:line="240" w:lineRule="auto"/>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Importaciones</w:t>
            </w:r>
          </w:p>
        </w:tc>
        <w:tc>
          <w:tcPr>
            <w:tcW w:w="1339" w:type="dxa"/>
            <w:tcBorders>
              <w:top w:val="nil"/>
              <w:left w:val="single" w:sz="8" w:space="0" w:color="auto"/>
              <w:bottom w:val="nil"/>
              <w:right w:val="single" w:sz="4"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4.50</w:t>
            </w:r>
          </w:p>
        </w:tc>
        <w:tc>
          <w:tcPr>
            <w:tcW w:w="1205" w:type="dxa"/>
            <w:tcBorders>
              <w:top w:val="nil"/>
              <w:left w:val="nil"/>
              <w:bottom w:val="nil"/>
              <w:right w:val="single" w:sz="4"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3.50</w:t>
            </w:r>
          </w:p>
        </w:tc>
        <w:tc>
          <w:tcPr>
            <w:tcW w:w="1204" w:type="dxa"/>
            <w:tcBorders>
              <w:top w:val="nil"/>
              <w:left w:val="nil"/>
              <w:bottom w:val="nil"/>
              <w:right w:val="single" w:sz="8"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-1.00</w:t>
            </w:r>
          </w:p>
        </w:tc>
      </w:tr>
      <w:tr w:rsidR="00DC2316" w:rsidRPr="00880D9D" w:rsidTr="00933CB9">
        <w:trPr>
          <w:trHeight w:val="384"/>
        </w:trPr>
        <w:tc>
          <w:tcPr>
            <w:tcW w:w="1672" w:type="dxa"/>
            <w:tcBorders>
              <w:top w:val="nil"/>
              <w:left w:val="single" w:sz="8" w:space="0" w:color="auto"/>
              <w:bottom w:val="single" w:sz="8" w:space="0" w:color="auto"/>
              <w:right w:val="nil"/>
            </w:tcBorders>
            <w:shd w:val="clear" w:color="auto" w:fill="auto"/>
            <w:noWrap/>
            <w:vAlign w:val="bottom"/>
            <w:hideMark/>
          </w:tcPr>
          <w:p w:rsidR="00DC2316" w:rsidRPr="00880D9D" w:rsidRDefault="00DC2316" w:rsidP="00933CB9">
            <w:pPr>
              <w:spacing w:after="0" w:line="240" w:lineRule="auto"/>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Tipo de Cambio</w:t>
            </w:r>
          </w:p>
        </w:tc>
        <w:tc>
          <w:tcPr>
            <w:tcW w:w="1339" w:type="dxa"/>
            <w:tcBorders>
              <w:top w:val="nil"/>
              <w:left w:val="single" w:sz="8" w:space="0" w:color="auto"/>
              <w:bottom w:val="single" w:sz="8" w:space="0" w:color="auto"/>
              <w:right w:val="single" w:sz="4"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0.00</w:t>
            </w:r>
          </w:p>
        </w:tc>
        <w:tc>
          <w:tcPr>
            <w:tcW w:w="1205" w:type="dxa"/>
            <w:tcBorders>
              <w:top w:val="nil"/>
              <w:left w:val="nil"/>
              <w:bottom w:val="single" w:sz="8" w:space="0" w:color="auto"/>
              <w:right w:val="single" w:sz="4"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-4.00</w:t>
            </w:r>
          </w:p>
        </w:tc>
        <w:tc>
          <w:tcPr>
            <w:tcW w:w="1204" w:type="dxa"/>
            <w:tcBorders>
              <w:top w:val="nil"/>
              <w:left w:val="nil"/>
              <w:bottom w:val="single" w:sz="8" w:space="0" w:color="auto"/>
              <w:right w:val="single" w:sz="8" w:space="0" w:color="auto"/>
            </w:tcBorders>
            <w:shd w:val="clear" w:color="auto" w:fill="auto"/>
            <w:noWrap/>
            <w:vAlign w:val="bottom"/>
            <w:hideMark/>
          </w:tcPr>
          <w:p w:rsidR="00DC2316" w:rsidRPr="00880D9D" w:rsidRDefault="00DC2316" w:rsidP="00933CB9">
            <w:pPr>
              <w:spacing w:after="0" w:line="240" w:lineRule="auto"/>
              <w:jc w:val="center"/>
              <w:rPr>
                <w:rFonts w:ascii="Times New Roman" w:eastAsia="Times New Roman" w:hAnsi="Times New Roman" w:cs="Times New Roman"/>
                <w:color w:val="000000"/>
                <w:sz w:val="20"/>
                <w:lang w:eastAsia="es-GT"/>
              </w:rPr>
            </w:pPr>
            <w:r w:rsidRPr="00880D9D">
              <w:rPr>
                <w:rFonts w:ascii="Times New Roman" w:eastAsia="Times New Roman" w:hAnsi="Times New Roman" w:cs="Times New Roman"/>
                <w:color w:val="000000"/>
                <w:sz w:val="20"/>
                <w:lang w:eastAsia="es-GT"/>
              </w:rPr>
              <w:t>-4.00</w:t>
            </w:r>
          </w:p>
        </w:tc>
      </w:tr>
    </w:tbl>
    <w:p w:rsidR="00DC2316" w:rsidRPr="00880D9D" w:rsidRDefault="00DC2316" w:rsidP="00DC2316">
      <w:pPr>
        <w:pStyle w:val="Sinespaciado"/>
        <w:jc w:val="both"/>
        <w:rPr>
          <w:rFonts w:ascii="Times New Roman" w:hAnsi="Times New Roman" w:cs="Times New Roman"/>
          <w:lang w:val="es-MX"/>
        </w:rPr>
      </w:pPr>
    </w:p>
    <w:p w:rsidR="00DC2316" w:rsidRPr="00880D9D" w:rsidRDefault="00DC2316" w:rsidP="00DC2316">
      <w:pPr>
        <w:pStyle w:val="Sinespaciado"/>
        <w:jc w:val="both"/>
        <w:rPr>
          <w:rFonts w:ascii="Times New Roman" w:hAnsi="Times New Roman" w:cs="Times New Roman"/>
          <w:lang w:val="es-MX"/>
        </w:rPr>
      </w:pPr>
    </w:p>
    <w:p w:rsidR="00DC2316" w:rsidRPr="00880D9D" w:rsidRDefault="00DC2316" w:rsidP="00DC2316">
      <w:pPr>
        <w:pStyle w:val="Sinespaciado"/>
        <w:jc w:val="both"/>
        <w:rPr>
          <w:rFonts w:ascii="Times New Roman" w:hAnsi="Times New Roman" w:cs="Times New Roman"/>
          <w:lang w:val="es-MX"/>
        </w:rPr>
      </w:pPr>
    </w:p>
    <w:p w:rsidR="00DC2316" w:rsidRPr="00880D9D" w:rsidRDefault="00DC2316" w:rsidP="00DC2316">
      <w:pPr>
        <w:pStyle w:val="Sinespaciado"/>
        <w:jc w:val="both"/>
        <w:rPr>
          <w:rFonts w:ascii="Times New Roman" w:hAnsi="Times New Roman" w:cs="Times New Roman"/>
          <w:lang w:val="es-MX"/>
        </w:rPr>
      </w:pPr>
    </w:p>
    <w:p w:rsidR="00DC2316" w:rsidRPr="00880D9D" w:rsidRDefault="00DC2316" w:rsidP="00DC2316">
      <w:pPr>
        <w:pStyle w:val="Sinespaciado"/>
        <w:jc w:val="both"/>
        <w:rPr>
          <w:rFonts w:ascii="Times New Roman" w:hAnsi="Times New Roman" w:cs="Times New Roman"/>
          <w:lang w:val="es-MX"/>
        </w:rPr>
      </w:pPr>
    </w:p>
    <w:p w:rsidR="00DC2316" w:rsidRDefault="00DC2316" w:rsidP="00DC2316">
      <w:pPr>
        <w:pStyle w:val="Sinespaciado"/>
        <w:jc w:val="both"/>
        <w:rPr>
          <w:rFonts w:ascii="Times New Roman" w:hAnsi="Times New Roman" w:cs="Times New Roman"/>
          <w:lang w:val="es-MX"/>
        </w:rPr>
      </w:pPr>
    </w:p>
    <w:p w:rsidR="00DC2316" w:rsidRPr="00880D9D" w:rsidRDefault="00DC2316" w:rsidP="00DC2316">
      <w:pPr>
        <w:pStyle w:val="Sinespaciado"/>
        <w:jc w:val="both"/>
        <w:rPr>
          <w:rFonts w:ascii="Times New Roman" w:hAnsi="Times New Roman" w:cs="Times New Roman"/>
          <w:lang w:val="es-MX"/>
        </w:rPr>
      </w:pPr>
    </w:p>
    <w:p w:rsidR="00DC2316" w:rsidRPr="00880D9D" w:rsidRDefault="00DC2316" w:rsidP="00DC2316">
      <w:pPr>
        <w:pStyle w:val="Sinespaciado"/>
        <w:jc w:val="both"/>
        <w:rPr>
          <w:rFonts w:ascii="Times New Roman" w:hAnsi="Times New Roman" w:cs="Times New Roman"/>
          <w:lang w:val="es-MX"/>
        </w:rPr>
      </w:pPr>
    </w:p>
    <w:p w:rsidR="00DC2316" w:rsidRPr="00880D9D" w:rsidRDefault="00DC2316" w:rsidP="00DC2316">
      <w:pPr>
        <w:pStyle w:val="Sinespaciado"/>
        <w:jc w:val="both"/>
        <w:rPr>
          <w:rFonts w:ascii="Times New Roman" w:hAnsi="Times New Roman" w:cs="Times New Roman"/>
          <w:lang w:val="es-MX"/>
        </w:rPr>
      </w:pPr>
    </w:p>
    <w:p w:rsidR="00DC2316" w:rsidRPr="00880D9D" w:rsidRDefault="00DC2316" w:rsidP="00DC2316">
      <w:pPr>
        <w:pStyle w:val="Sinespaciado"/>
        <w:ind w:left="708" w:firstLine="708"/>
        <w:jc w:val="both"/>
        <w:rPr>
          <w:rFonts w:ascii="Times New Roman" w:hAnsi="Times New Roman" w:cs="Times New Roman"/>
          <w:sz w:val="16"/>
          <w:lang w:val="es-MX"/>
        </w:rPr>
      </w:pPr>
      <w:r w:rsidRPr="000574C8">
        <w:rPr>
          <w:rFonts w:ascii="Times New Roman" w:hAnsi="Times New Roman" w:cs="Times New Roman"/>
          <w:b/>
          <w:sz w:val="16"/>
          <w:lang w:val="es-MX"/>
        </w:rPr>
        <w:t xml:space="preserve">     </w:t>
      </w:r>
      <w:r w:rsidRPr="000574C8">
        <w:rPr>
          <w:rFonts w:ascii="Times New Roman" w:hAnsi="Times New Roman" w:cs="Times New Roman"/>
          <w:sz w:val="16"/>
          <w:lang w:val="es-MX"/>
        </w:rPr>
        <w:t xml:space="preserve">Fuente: Banco de Guatemala </w:t>
      </w:r>
    </w:p>
    <w:p w:rsidR="00DC2316" w:rsidRPr="00880D9D" w:rsidRDefault="00DC2316" w:rsidP="0077110C">
      <w:pPr>
        <w:pStyle w:val="Sinespaciado"/>
        <w:jc w:val="both"/>
        <w:rPr>
          <w:rFonts w:ascii="Times New Roman" w:hAnsi="Times New Roman" w:cs="Times New Roman"/>
          <w:lang w:val="es-MX"/>
        </w:rPr>
      </w:pPr>
    </w:p>
    <w:p w:rsidR="00280008" w:rsidRPr="00F13E77" w:rsidRDefault="00280008" w:rsidP="00C75E1A">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En cuanto a las variables fiscales, estas también han mostrado desviaciones entre lo observado y lo que se programa inicialmente en el presupuesto, en ese sentido</w:t>
      </w:r>
      <w:r w:rsidR="009E39EB" w:rsidRPr="00F13E77">
        <w:rPr>
          <w:rFonts w:ascii="Times New Roman" w:hAnsi="Times New Roman" w:cs="Times New Roman"/>
          <w:sz w:val="24"/>
          <w:szCs w:val="24"/>
          <w:lang w:val="es-MX"/>
        </w:rPr>
        <w:t>,</w:t>
      </w:r>
      <w:r w:rsidRPr="00F13E77">
        <w:rPr>
          <w:rFonts w:ascii="Times New Roman" w:hAnsi="Times New Roman" w:cs="Times New Roman"/>
          <w:sz w:val="24"/>
          <w:szCs w:val="24"/>
          <w:lang w:val="es-MX"/>
        </w:rPr>
        <w:t xml:space="preserve"> la recaudación tributaria que representa más del 93% de los ingresos </w:t>
      </w:r>
      <w:r w:rsidR="001F2AE5" w:rsidRPr="00F13E77">
        <w:rPr>
          <w:rFonts w:ascii="Times New Roman" w:hAnsi="Times New Roman" w:cs="Times New Roman"/>
          <w:sz w:val="24"/>
          <w:szCs w:val="24"/>
          <w:lang w:val="es-MX"/>
        </w:rPr>
        <w:t xml:space="preserve">totales (sin considerar fuentes financieras) </w:t>
      </w:r>
      <w:r w:rsidRPr="00F13E77">
        <w:rPr>
          <w:rFonts w:ascii="Times New Roman" w:hAnsi="Times New Roman" w:cs="Times New Roman"/>
          <w:sz w:val="24"/>
          <w:szCs w:val="24"/>
          <w:lang w:val="es-MX"/>
        </w:rPr>
        <w:t xml:space="preserve"> que recibe el gobierno, muestra diferentes desviaciones en el período 2005-2016, asociadas algunas al comportamiento de las variables macroeconómicas que lo determinan y a otros factores como la eficiencia de </w:t>
      </w:r>
      <w:r w:rsidR="009E39EB" w:rsidRPr="00F13E77">
        <w:rPr>
          <w:rFonts w:ascii="Times New Roman" w:hAnsi="Times New Roman" w:cs="Times New Roman"/>
          <w:sz w:val="24"/>
          <w:szCs w:val="24"/>
          <w:lang w:val="es-MX"/>
        </w:rPr>
        <w:t xml:space="preserve">la administración tributaria y </w:t>
      </w:r>
      <w:r w:rsidRPr="00F13E77">
        <w:rPr>
          <w:rFonts w:ascii="Times New Roman" w:hAnsi="Times New Roman" w:cs="Times New Roman"/>
          <w:sz w:val="24"/>
          <w:szCs w:val="24"/>
          <w:lang w:val="es-MX"/>
        </w:rPr>
        <w:t xml:space="preserve">la aplicación de medidas extraordinarias como las exoneraciones de multas, </w:t>
      </w:r>
      <w:r w:rsidR="001F3CB3" w:rsidRPr="00F13E77">
        <w:rPr>
          <w:rFonts w:ascii="Times New Roman" w:hAnsi="Times New Roman" w:cs="Times New Roman"/>
          <w:sz w:val="24"/>
          <w:szCs w:val="24"/>
          <w:lang w:val="es-MX"/>
        </w:rPr>
        <w:t xml:space="preserve">así como </w:t>
      </w:r>
      <w:r w:rsidRPr="00F13E77">
        <w:rPr>
          <w:rFonts w:ascii="Times New Roman" w:hAnsi="Times New Roman" w:cs="Times New Roman"/>
          <w:sz w:val="24"/>
          <w:szCs w:val="24"/>
          <w:lang w:val="es-MX"/>
        </w:rPr>
        <w:t>resoluciones de la corte constitucionalidad que afectan</w:t>
      </w:r>
      <w:r w:rsidR="001F3CB3" w:rsidRPr="00F13E77">
        <w:rPr>
          <w:rFonts w:ascii="Times New Roman" w:hAnsi="Times New Roman" w:cs="Times New Roman"/>
          <w:sz w:val="24"/>
          <w:szCs w:val="24"/>
          <w:lang w:val="es-MX"/>
        </w:rPr>
        <w:t xml:space="preserve"> la recaudación de un impuesto y</w:t>
      </w:r>
      <w:r w:rsidR="009E39EB" w:rsidRPr="00F13E77">
        <w:rPr>
          <w:rFonts w:ascii="Times New Roman" w:hAnsi="Times New Roman" w:cs="Times New Roman"/>
          <w:sz w:val="24"/>
          <w:szCs w:val="24"/>
          <w:lang w:val="es-MX"/>
        </w:rPr>
        <w:t xml:space="preserve"> algunas</w:t>
      </w:r>
      <w:r w:rsidR="001F3CB3" w:rsidRPr="00F13E77">
        <w:rPr>
          <w:rFonts w:ascii="Times New Roman" w:hAnsi="Times New Roman" w:cs="Times New Roman"/>
          <w:sz w:val="24"/>
          <w:szCs w:val="24"/>
          <w:lang w:val="es-MX"/>
        </w:rPr>
        <w:t xml:space="preserve"> modificaciones</w:t>
      </w:r>
      <w:r w:rsidRPr="00F13E77">
        <w:rPr>
          <w:rFonts w:ascii="Times New Roman" w:hAnsi="Times New Roman" w:cs="Times New Roman"/>
          <w:sz w:val="24"/>
          <w:szCs w:val="24"/>
          <w:lang w:val="es-MX"/>
        </w:rPr>
        <w:t xml:space="preserve"> en la legislación tributaria.   </w:t>
      </w:r>
    </w:p>
    <w:p w:rsidR="001F3CB3" w:rsidRPr="00F13E77" w:rsidRDefault="001F3CB3" w:rsidP="00C75E1A">
      <w:pPr>
        <w:pStyle w:val="Sinespaciado"/>
        <w:jc w:val="both"/>
        <w:rPr>
          <w:rFonts w:ascii="Times New Roman" w:hAnsi="Times New Roman" w:cs="Times New Roman"/>
          <w:sz w:val="24"/>
          <w:szCs w:val="24"/>
          <w:lang w:val="es-MX"/>
        </w:rPr>
      </w:pPr>
    </w:p>
    <w:p w:rsidR="001F3CB3" w:rsidRPr="00F13E77" w:rsidRDefault="001F3CB3" w:rsidP="00C75E1A">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En los años 2005-2007, los ingre</w:t>
      </w:r>
      <w:r w:rsidR="009E39EB" w:rsidRPr="00F13E77">
        <w:rPr>
          <w:rFonts w:ascii="Times New Roman" w:hAnsi="Times New Roman" w:cs="Times New Roman"/>
          <w:sz w:val="24"/>
          <w:szCs w:val="24"/>
          <w:lang w:val="es-MX"/>
        </w:rPr>
        <w:t>sos tributarios observados estaban</w:t>
      </w:r>
      <w:r w:rsidRPr="00F13E77">
        <w:rPr>
          <w:rFonts w:ascii="Times New Roman" w:hAnsi="Times New Roman" w:cs="Times New Roman"/>
          <w:sz w:val="24"/>
          <w:szCs w:val="24"/>
          <w:lang w:val="es-MX"/>
        </w:rPr>
        <w:t xml:space="preserve"> por arriba de lo previsto en el presupuesto, resultado de un mejor desempeño económico y </w:t>
      </w:r>
      <w:r w:rsidR="009E39EB" w:rsidRPr="00F13E77">
        <w:rPr>
          <w:rFonts w:ascii="Times New Roman" w:hAnsi="Times New Roman" w:cs="Times New Roman"/>
          <w:sz w:val="24"/>
          <w:szCs w:val="24"/>
          <w:lang w:val="es-MX"/>
        </w:rPr>
        <w:t xml:space="preserve">por el </w:t>
      </w:r>
      <w:r w:rsidRPr="00F13E77">
        <w:rPr>
          <w:rFonts w:ascii="Times New Roman" w:hAnsi="Times New Roman" w:cs="Times New Roman"/>
          <w:sz w:val="24"/>
          <w:szCs w:val="24"/>
          <w:lang w:val="es-MX"/>
        </w:rPr>
        <w:t xml:space="preserve">impacto de reformas legislativas como el efecto de la </w:t>
      </w:r>
      <w:r w:rsidR="00D264DA" w:rsidRPr="00F13E77">
        <w:rPr>
          <w:rFonts w:ascii="Times New Roman" w:hAnsi="Times New Roman" w:cs="Times New Roman"/>
          <w:sz w:val="24"/>
          <w:szCs w:val="24"/>
          <w:lang w:val="es-MX"/>
        </w:rPr>
        <w:t>(Ley de Fortalecimiento a la Administración Tributaria)</w:t>
      </w:r>
      <w:r w:rsidRPr="00F13E77">
        <w:rPr>
          <w:rFonts w:ascii="Times New Roman" w:hAnsi="Times New Roman" w:cs="Times New Roman"/>
          <w:sz w:val="24"/>
          <w:szCs w:val="24"/>
          <w:lang w:val="es-MX"/>
        </w:rPr>
        <w:t xml:space="preserve"> que elevó la recaudación d</w:t>
      </w:r>
      <w:r w:rsidR="009E39EB" w:rsidRPr="00F13E77">
        <w:rPr>
          <w:rFonts w:ascii="Times New Roman" w:hAnsi="Times New Roman" w:cs="Times New Roman"/>
          <w:sz w:val="24"/>
          <w:szCs w:val="24"/>
          <w:lang w:val="es-MX"/>
        </w:rPr>
        <w:t xml:space="preserve">el IVA en los años 2006-2007.  </w:t>
      </w:r>
      <w:r w:rsidRPr="00F13E77">
        <w:rPr>
          <w:rFonts w:ascii="Times New Roman" w:hAnsi="Times New Roman" w:cs="Times New Roman"/>
          <w:sz w:val="24"/>
          <w:szCs w:val="24"/>
          <w:lang w:val="es-MX"/>
        </w:rPr>
        <w:t xml:space="preserve">  </w:t>
      </w:r>
      <w:r w:rsidR="009E39EB" w:rsidRPr="00F13E77">
        <w:rPr>
          <w:rFonts w:ascii="Times New Roman" w:hAnsi="Times New Roman" w:cs="Times New Roman"/>
          <w:sz w:val="24"/>
          <w:szCs w:val="24"/>
          <w:lang w:val="es-MX"/>
        </w:rPr>
        <w:t>P</w:t>
      </w:r>
      <w:r w:rsidR="00B6124F" w:rsidRPr="00F13E77">
        <w:rPr>
          <w:rFonts w:ascii="Times New Roman" w:hAnsi="Times New Roman" w:cs="Times New Roman"/>
          <w:sz w:val="24"/>
          <w:szCs w:val="24"/>
          <w:lang w:val="es-MX"/>
        </w:rPr>
        <w:t>ara los años siguientes, la recaudación se redujo sustancialmente como resultado de la crisis económica internacional, por lo que lo recaudado estuvo por debajo de lo presupuestado, ace</w:t>
      </w:r>
      <w:r w:rsidR="009E39EB" w:rsidRPr="00F13E77">
        <w:rPr>
          <w:rFonts w:ascii="Times New Roman" w:hAnsi="Times New Roman" w:cs="Times New Roman"/>
          <w:sz w:val="24"/>
          <w:szCs w:val="24"/>
          <w:lang w:val="es-MX"/>
        </w:rPr>
        <w:t>ntuándose en los años 2009-2010.  En lo que respecta</w:t>
      </w:r>
      <w:r w:rsidR="00B6124F" w:rsidRPr="00F13E77">
        <w:rPr>
          <w:rFonts w:ascii="Times New Roman" w:hAnsi="Times New Roman" w:cs="Times New Roman"/>
          <w:sz w:val="24"/>
          <w:szCs w:val="24"/>
          <w:lang w:val="es-MX"/>
        </w:rPr>
        <w:t xml:space="preserve"> </w:t>
      </w:r>
      <w:r w:rsidR="009E39EB" w:rsidRPr="00F13E77">
        <w:rPr>
          <w:rFonts w:ascii="Times New Roman" w:hAnsi="Times New Roman" w:cs="Times New Roman"/>
          <w:sz w:val="24"/>
          <w:szCs w:val="24"/>
          <w:lang w:val="es-MX"/>
        </w:rPr>
        <w:t>a</w:t>
      </w:r>
      <w:r w:rsidR="00B6124F" w:rsidRPr="00F13E77">
        <w:rPr>
          <w:rFonts w:ascii="Times New Roman" w:hAnsi="Times New Roman" w:cs="Times New Roman"/>
          <w:sz w:val="24"/>
          <w:szCs w:val="24"/>
          <w:lang w:val="es-MX"/>
        </w:rPr>
        <w:t xml:space="preserve"> los años 2011-2016 la recaudación mejoró levemente pero nunca alcanzó los nivele</w:t>
      </w:r>
      <w:r w:rsidR="009E39EB" w:rsidRPr="00F13E77">
        <w:rPr>
          <w:rFonts w:ascii="Times New Roman" w:hAnsi="Times New Roman" w:cs="Times New Roman"/>
          <w:sz w:val="24"/>
          <w:szCs w:val="24"/>
          <w:lang w:val="es-MX"/>
        </w:rPr>
        <w:t>s programados en el presupuesto, además en los últimos años con una tendencia decreciente generada en parte por el diseño de la estructura tributaria</w:t>
      </w:r>
      <w:r w:rsidR="00D264DA" w:rsidRPr="00F13E77">
        <w:rPr>
          <w:rFonts w:ascii="Times New Roman" w:hAnsi="Times New Roman" w:cs="Times New Roman"/>
          <w:sz w:val="24"/>
          <w:szCs w:val="24"/>
          <w:lang w:val="es-MX"/>
        </w:rPr>
        <w:t xml:space="preserve"> que contiene impuestos cuya base es sobre el volumen y no sobre el precio</w:t>
      </w:r>
    </w:p>
    <w:p w:rsidR="00B6124F" w:rsidRPr="00F13E77" w:rsidRDefault="00B6124F" w:rsidP="00C75E1A">
      <w:pPr>
        <w:pStyle w:val="Sinespaciado"/>
        <w:jc w:val="both"/>
        <w:rPr>
          <w:rFonts w:ascii="Times New Roman" w:hAnsi="Times New Roman" w:cs="Times New Roman"/>
          <w:sz w:val="24"/>
          <w:szCs w:val="24"/>
          <w:lang w:val="es-MX"/>
        </w:rPr>
      </w:pPr>
    </w:p>
    <w:p w:rsidR="00B6124F" w:rsidRPr="00F13E77" w:rsidRDefault="00B6124F" w:rsidP="00C75E1A">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En cuanto al gasto público (</w:t>
      </w:r>
      <w:r w:rsidR="00232EBE" w:rsidRPr="00F13E77">
        <w:rPr>
          <w:rFonts w:ascii="Times New Roman" w:hAnsi="Times New Roman" w:cs="Times New Roman"/>
          <w:sz w:val="24"/>
          <w:szCs w:val="24"/>
          <w:lang w:val="es-MX"/>
        </w:rPr>
        <w:t>sin considerar</w:t>
      </w:r>
      <w:r w:rsidRPr="00F13E77">
        <w:rPr>
          <w:rFonts w:ascii="Times New Roman" w:hAnsi="Times New Roman" w:cs="Times New Roman"/>
          <w:sz w:val="24"/>
          <w:szCs w:val="24"/>
          <w:lang w:val="es-MX"/>
        </w:rPr>
        <w:t xml:space="preserve"> amortizaciones de la deuda pública) </w:t>
      </w:r>
      <w:r w:rsidR="00326B27" w:rsidRPr="00F13E77">
        <w:rPr>
          <w:rFonts w:ascii="Times New Roman" w:hAnsi="Times New Roman" w:cs="Times New Roman"/>
          <w:sz w:val="24"/>
          <w:szCs w:val="24"/>
          <w:lang w:val="es-MX"/>
        </w:rPr>
        <w:t xml:space="preserve">este </w:t>
      </w:r>
      <w:r w:rsidRPr="00F13E77">
        <w:rPr>
          <w:rFonts w:ascii="Times New Roman" w:hAnsi="Times New Roman" w:cs="Times New Roman"/>
          <w:sz w:val="24"/>
          <w:szCs w:val="24"/>
          <w:lang w:val="es-MX"/>
        </w:rPr>
        <w:t>ha estado</w:t>
      </w:r>
      <w:r w:rsidR="00326B27" w:rsidRPr="00F13E77">
        <w:rPr>
          <w:rFonts w:ascii="Times New Roman" w:hAnsi="Times New Roman" w:cs="Times New Roman"/>
          <w:sz w:val="24"/>
          <w:szCs w:val="24"/>
          <w:lang w:val="es-MX"/>
        </w:rPr>
        <w:t>,</w:t>
      </w:r>
      <w:r w:rsidRPr="00F13E77">
        <w:rPr>
          <w:rFonts w:ascii="Times New Roman" w:hAnsi="Times New Roman" w:cs="Times New Roman"/>
          <w:sz w:val="24"/>
          <w:szCs w:val="24"/>
          <w:lang w:val="es-MX"/>
        </w:rPr>
        <w:t xml:space="preserve"> en la mayoría de los años</w:t>
      </w:r>
      <w:r w:rsidR="00326B27" w:rsidRPr="00F13E77">
        <w:rPr>
          <w:rFonts w:ascii="Times New Roman" w:hAnsi="Times New Roman" w:cs="Times New Roman"/>
          <w:sz w:val="24"/>
          <w:szCs w:val="24"/>
          <w:lang w:val="es-MX"/>
        </w:rPr>
        <w:t>,</w:t>
      </w:r>
      <w:r w:rsidRPr="00F13E77">
        <w:rPr>
          <w:rFonts w:ascii="Times New Roman" w:hAnsi="Times New Roman" w:cs="Times New Roman"/>
          <w:sz w:val="24"/>
          <w:szCs w:val="24"/>
          <w:lang w:val="es-MX"/>
        </w:rPr>
        <w:t xml:space="preserve"> por debajo de lo </w:t>
      </w:r>
      <w:r w:rsidR="00326B27" w:rsidRPr="00F13E77">
        <w:rPr>
          <w:rFonts w:ascii="Times New Roman" w:hAnsi="Times New Roman" w:cs="Times New Roman"/>
          <w:sz w:val="24"/>
          <w:szCs w:val="24"/>
          <w:lang w:val="es-MX"/>
        </w:rPr>
        <w:t>presupuestado,</w:t>
      </w:r>
      <w:r w:rsidRPr="00F13E77">
        <w:rPr>
          <w:rFonts w:ascii="Times New Roman" w:hAnsi="Times New Roman" w:cs="Times New Roman"/>
          <w:sz w:val="24"/>
          <w:szCs w:val="24"/>
          <w:lang w:val="es-MX"/>
        </w:rPr>
        <w:t xml:space="preserve"> pero en los años 2009, 2013 y 2015 esta situación fue más aguda, en el primer año se debió a que la baja recaudación</w:t>
      </w:r>
      <w:r w:rsidR="00326B27" w:rsidRPr="00F13E77">
        <w:rPr>
          <w:rFonts w:ascii="Times New Roman" w:hAnsi="Times New Roman" w:cs="Times New Roman"/>
          <w:sz w:val="24"/>
          <w:szCs w:val="24"/>
          <w:lang w:val="es-MX"/>
        </w:rPr>
        <w:t>, producto de la crisis económica,</w:t>
      </w:r>
      <w:r w:rsidRPr="00F13E77">
        <w:rPr>
          <w:rFonts w:ascii="Times New Roman" w:hAnsi="Times New Roman" w:cs="Times New Roman"/>
          <w:sz w:val="24"/>
          <w:szCs w:val="24"/>
          <w:lang w:val="es-MX"/>
        </w:rPr>
        <w:t xml:space="preserve"> </w:t>
      </w:r>
      <w:r w:rsidR="00326B27" w:rsidRPr="00F13E77">
        <w:rPr>
          <w:rFonts w:ascii="Times New Roman" w:hAnsi="Times New Roman" w:cs="Times New Roman"/>
          <w:sz w:val="24"/>
          <w:szCs w:val="24"/>
          <w:lang w:val="es-MX"/>
        </w:rPr>
        <w:t xml:space="preserve">incidiera en </w:t>
      </w:r>
      <w:r w:rsidRPr="00F13E77">
        <w:rPr>
          <w:rFonts w:ascii="Times New Roman" w:hAnsi="Times New Roman" w:cs="Times New Roman"/>
          <w:sz w:val="24"/>
          <w:szCs w:val="24"/>
          <w:lang w:val="es-MX"/>
        </w:rPr>
        <w:t>el</w:t>
      </w:r>
      <w:r w:rsidR="00326B27" w:rsidRPr="00F13E77">
        <w:rPr>
          <w:rFonts w:ascii="Times New Roman" w:hAnsi="Times New Roman" w:cs="Times New Roman"/>
          <w:sz w:val="24"/>
          <w:szCs w:val="24"/>
          <w:lang w:val="es-MX"/>
        </w:rPr>
        <w:t xml:space="preserve"> nivel de</w:t>
      </w:r>
      <w:r w:rsidRPr="00F13E77">
        <w:rPr>
          <w:rFonts w:ascii="Times New Roman" w:hAnsi="Times New Roman" w:cs="Times New Roman"/>
          <w:sz w:val="24"/>
          <w:szCs w:val="24"/>
          <w:lang w:val="es-MX"/>
        </w:rPr>
        <w:t xml:space="preserve"> gasto</w:t>
      </w:r>
      <w:r w:rsidR="00326B27" w:rsidRPr="00F13E77">
        <w:rPr>
          <w:rFonts w:ascii="Times New Roman" w:hAnsi="Times New Roman" w:cs="Times New Roman"/>
          <w:sz w:val="24"/>
          <w:szCs w:val="24"/>
          <w:lang w:val="es-MX"/>
        </w:rPr>
        <w:t xml:space="preserve">.  Por su parte, </w:t>
      </w:r>
      <w:r w:rsidRPr="00F13E77">
        <w:rPr>
          <w:rFonts w:ascii="Times New Roman" w:hAnsi="Times New Roman" w:cs="Times New Roman"/>
          <w:sz w:val="24"/>
          <w:szCs w:val="24"/>
          <w:lang w:val="es-MX"/>
        </w:rPr>
        <w:t xml:space="preserve">en 2013 </w:t>
      </w:r>
      <w:r w:rsidR="001F2AE5" w:rsidRPr="00F13E77">
        <w:rPr>
          <w:rFonts w:ascii="Times New Roman" w:hAnsi="Times New Roman" w:cs="Times New Roman"/>
          <w:sz w:val="24"/>
          <w:szCs w:val="24"/>
          <w:lang w:val="es-MX"/>
        </w:rPr>
        <w:t>se generaron expectativas</w:t>
      </w:r>
      <w:r w:rsidRPr="00F13E77">
        <w:rPr>
          <w:rFonts w:ascii="Times New Roman" w:hAnsi="Times New Roman" w:cs="Times New Roman"/>
          <w:sz w:val="24"/>
          <w:szCs w:val="24"/>
          <w:lang w:val="es-MX"/>
        </w:rPr>
        <w:t xml:space="preserve"> de una reforma tributaria</w:t>
      </w:r>
      <w:r w:rsidR="001F2AE5" w:rsidRPr="00F13E77">
        <w:rPr>
          <w:rFonts w:ascii="Times New Roman" w:hAnsi="Times New Roman" w:cs="Times New Roman"/>
          <w:sz w:val="24"/>
          <w:szCs w:val="24"/>
          <w:lang w:val="es-MX"/>
        </w:rPr>
        <w:t xml:space="preserve"> que </w:t>
      </w:r>
      <w:r w:rsidR="004B6F44" w:rsidRPr="00F13E77">
        <w:rPr>
          <w:rFonts w:ascii="Times New Roman" w:hAnsi="Times New Roman" w:cs="Times New Roman"/>
          <w:sz w:val="24"/>
          <w:szCs w:val="24"/>
          <w:lang w:val="es-MX"/>
        </w:rPr>
        <w:t xml:space="preserve">no brindó </w:t>
      </w:r>
      <w:r w:rsidR="001F2AE5" w:rsidRPr="00F13E77">
        <w:rPr>
          <w:rFonts w:ascii="Times New Roman" w:hAnsi="Times New Roman" w:cs="Times New Roman"/>
          <w:sz w:val="24"/>
          <w:szCs w:val="24"/>
          <w:lang w:val="es-MX"/>
        </w:rPr>
        <w:t xml:space="preserve">los resultados previstos debido en buena medida </w:t>
      </w:r>
      <w:r w:rsidR="004B6F44" w:rsidRPr="00F13E77">
        <w:rPr>
          <w:rFonts w:ascii="Times New Roman" w:hAnsi="Times New Roman" w:cs="Times New Roman"/>
          <w:sz w:val="24"/>
          <w:szCs w:val="24"/>
          <w:lang w:val="es-MX"/>
        </w:rPr>
        <w:t>a las impugnaciones que se realizaron posteriormente, lo cual</w:t>
      </w:r>
      <w:r w:rsidRPr="00F13E77">
        <w:rPr>
          <w:rFonts w:ascii="Times New Roman" w:hAnsi="Times New Roman" w:cs="Times New Roman"/>
          <w:sz w:val="24"/>
          <w:szCs w:val="24"/>
          <w:lang w:val="es-MX"/>
        </w:rPr>
        <w:t xml:space="preserve"> representó un ajuste en el gasto</w:t>
      </w:r>
      <w:r w:rsidR="00326B27" w:rsidRPr="00F13E77">
        <w:rPr>
          <w:rFonts w:ascii="Times New Roman" w:hAnsi="Times New Roman" w:cs="Times New Roman"/>
          <w:sz w:val="24"/>
          <w:szCs w:val="24"/>
          <w:lang w:val="es-MX"/>
        </w:rPr>
        <w:t>,</w:t>
      </w:r>
      <w:r w:rsidRPr="00F13E77">
        <w:rPr>
          <w:rFonts w:ascii="Times New Roman" w:hAnsi="Times New Roman" w:cs="Times New Roman"/>
          <w:sz w:val="24"/>
          <w:szCs w:val="24"/>
          <w:lang w:val="es-MX"/>
        </w:rPr>
        <w:t xml:space="preserve"> además de problemas institucionales </w:t>
      </w:r>
      <w:r w:rsidR="00326B27" w:rsidRPr="00F13E77">
        <w:rPr>
          <w:rFonts w:ascii="Times New Roman" w:hAnsi="Times New Roman" w:cs="Times New Roman"/>
          <w:sz w:val="24"/>
          <w:szCs w:val="24"/>
          <w:lang w:val="es-MX"/>
        </w:rPr>
        <w:t>en</w:t>
      </w:r>
      <w:r w:rsidRPr="00F13E77">
        <w:rPr>
          <w:rFonts w:ascii="Times New Roman" w:hAnsi="Times New Roman" w:cs="Times New Roman"/>
          <w:sz w:val="24"/>
          <w:szCs w:val="24"/>
          <w:lang w:val="es-MX"/>
        </w:rPr>
        <w:t xml:space="preserve"> la ejec</w:t>
      </w:r>
      <w:r w:rsidR="00326B27" w:rsidRPr="00F13E77">
        <w:rPr>
          <w:rFonts w:ascii="Times New Roman" w:hAnsi="Times New Roman" w:cs="Times New Roman"/>
          <w:sz w:val="24"/>
          <w:szCs w:val="24"/>
          <w:lang w:val="es-MX"/>
        </w:rPr>
        <w:t xml:space="preserve">ución de programas de inversión.  </w:t>
      </w:r>
      <w:r w:rsidRPr="00F13E77">
        <w:rPr>
          <w:rFonts w:ascii="Times New Roman" w:hAnsi="Times New Roman" w:cs="Times New Roman"/>
          <w:sz w:val="24"/>
          <w:szCs w:val="24"/>
          <w:lang w:val="es-MX"/>
        </w:rPr>
        <w:t xml:space="preserve"> </w:t>
      </w:r>
      <w:r w:rsidR="00326B27" w:rsidRPr="00F13E77">
        <w:rPr>
          <w:rFonts w:ascii="Times New Roman" w:hAnsi="Times New Roman" w:cs="Times New Roman"/>
          <w:sz w:val="24"/>
          <w:szCs w:val="24"/>
          <w:lang w:val="es-MX"/>
        </w:rPr>
        <w:t>E</w:t>
      </w:r>
      <w:r w:rsidR="00DC2316" w:rsidRPr="00F13E77">
        <w:rPr>
          <w:rFonts w:ascii="Times New Roman" w:hAnsi="Times New Roman" w:cs="Times New Roman"/>
          <w:sz w:val="24"/>
          <w:szCs w:val="24"/>
          <w:lang w:val="es-MX"/>
        </w:rPr>
        <w:t xml:space="preserve">sto último se agudizó en 2015, </w:t>
      </w:r>
      <w:r w:rsidRPr="00F13E77">
        <w:rPr>
          <w:rFonts w:ascii="Times New Roman" w:hAnsi="Times New Roman" w:cs="Times New Roman"/>
          <w:sz w:val="24"/>
          <w:szCs w:val="24"/>
          <w:lang w:val="es-MX"/>
        </w:rPr>
        <w:t xml:space="preserve">aunado a la crisis política e institucional de ese año </w:t>
      </w:r>
      <w:r w:rsidR="00DC2316" w:rsidRPr="00F13E77">
        <w:rPr>
          <w:rFonts w:ascii="Times New Roman" w:hAnsi="Times New Roman" w:cs="Times New Roman"/>
          <w:sz w:val="24"/>
          <w:szCs w:val="24"/>
          <w:lang w:val="es-MX"/>
        </w:rPr>
        <w:t xml:space="preserve">que contrajo </w:t>
      </w:r>
      <w:r w:rsidRPr="00F13E77">
        <w:rPr>
          <w:rFonts w:ascii="Times New Roman" w:hAnsi="Times New Roman" w:cs="Times New Roman"/>
          <w:sz w:val="24"/>
          <w:szCs w:val="24"/>
          <w:lang w:val="es-MX"/>
        </w:rPr>
        <w:t xml:space="preserve">la ejecución </w:t>
      </w:r>
      <w:r w:rsidR="00DC2316" w:rsidRPr="00F13E77">
        <w:rPr>
          <w:rFonts w:ascii="Times New Roman" w:hAnsi="Times New Roman" w:cs="Times New Roman"/>
          <w:sz w:val="24"/>
          <w:szCs w:val="24"/>
          <w:lang w:val="es-MX"/>
        </w:rPr>
        <w:t>de gasto público</w:t>
      </w:r>
      <w:r w:rsidR="00232EBE" w:rsidRPr="00F13E77">
        <w:rPr>
          <w:rFonts w:ascii="Times New Roman" w:hAnsi="Times New Roman" w:cs="Times New Roman"/>
          <w:sz w:val="24"/>
          <w:szCs w:val="24"/>
          <w:lang w:val="es-MX"/>
        </w:rPr>
        <w:t>, ampliando la</w:t>
      </w:r>
      <w:r w:rsidR="00326B27" w:rsidRPr="00F13E77">
        <w:rPr>
          <w:rFonts w:ascii="Times New Roman" w:hAnsi="Times New Roman" w:cs="Times New Roman"/>
          <w:sz w:val="24"/>
          <w:szCs w:val="24"/>
          <w:lang w:val="es-MX"/>
        </w:rPr>
        <w:t xml:space="preserve"> desviación entre lo observado y lo presupuestado.  Es importante indicar que </w:t>
      </w:r>
      <w:r w:rsidRPr="00F13E77">
        <w:rPr>
          <w:rFonts w:ascii="Times New Roman" w:hAnsi="Times New Roman" w:cs="Times New Roman"/>
          <w:sz w:val="24"/>
          <w:szCs w:val="24"/>
          <w:lang w:val="es-MX"/>
        </w:rPr>
        <w:t xml:space="preserve">las secuelas de </w:t>
      </w:r>
      <w:r w:rsidR="00326B27" w:rsidRPr="00F13E77">
        <w:rPr>
          <w:rFonts w:ascii="Times New Roman" w:hAnsi="Times New Roman" w:cs="Times New Roman"/>
          <w:sz w:val="24"/>
          <w:szCs w:val="24"/>
          <w:lang w:val="es-MX"/>
        </w:rPr>
        <w:t xml:space="preserve">esta situación afectaron también en 2016 </w:t>
      </w:r>
      <w:r w:rsidR="00DC2316" w:rsidRPr="00F13E77">
        <w:rPr>
          <w:rFonts w:ascii="Times New Roman" w:hAnsi="Times New Roman" w:cs="Times New Roman"/>
          <w:sz w:val="24"/>
          <w:szCs w:val="24"/>
          <w:lang w:val="es-MX"/>
        </w:rPr>
        <w:t>adicional</w:t>
      </w:r>
      <w:r w:rsidR="00326B27" w:rsidRPr="00F13E77">
        <w:rPr>
          <w:rFonts w:ascii="Times New Roman" w:hAnsi="Times New Roman" w:cs="Times New Roman"/>
          <w:sz w:val="24"/>
          <w:szCs w:val="24"/>
          <w:lang w:val="es-MX"/>
        </w:rPr>
        <w:t xml:space="preserve"> al</w:t>
      </w:r>
      <w:r w:rsidR="00DC2316" w:rsidRPr="00F13E77">
        <w:rPr>
          <w:rFonts w:ascii="Times New Roman" w:hAnsi="Times New Roman" w:cs="Times New Roman"/>
          <w:sz w:val="24"/>
          <w:szCs w:val="24"/>
          <w:lang w:val="es-MX"/>
        </w:rPr>
        <w:t xml:space="preserve"> efecto del</w:t>
      </w:r>
      <w:r w:rsidR="00326B27" w:rsidRPr="00F13E77">
        <w:rPr>
          <w:rFonts w:ascii="Times New Roman" w:hAnsi="Times New Roman" w:cs="Times New Roman"/>
          <w:sz w:val="24"/>
          <w:szCs w:val="24"/>
          <w:lang w:val="es-MX"/>
        </w:rPr>
        <w:t xml:space="preserve"> inicio de una nueva administración pública que como suele suceder la ejecución de gasto se ralentiza por los cambios de autoridades ministeriales y de algunos puestos medios lo que afecta los procesos de ejecución. </w:t>
      </w:r>
    </w:p>
    <w:p w:rsidR="00C97DEB" w:rsidRPr="00F13E77" w:rsidRDefault="00C97DEB" w:rsidP="00C75E1A">
      <w:pPr>
        <w:pStyle w:val="Sinespaciado"/>
        <w:jc w:val="both"/>
        <w:rPr>
          <w:rFonts w:ascii="Times New Roman" w:hAnsi="Times New Roman" w:cs="Times New Roman"/>
          <w:sz w:val="24"/>
          <w:szCs w:val="24"/>
          <w:lang w:val="es-MX"/>
        </w:rPr>
      </w:pPr>
    </w:p>
    <w:p w:rsidR="00C97DEB" w:rsidRPr="00F13E77" w:rsidRDefault="00C97DEB" w:rsidP="00C75E1A">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Por lo anterior, las variaciones en los ingresos y gastos del gobierno han afectado el resultado fiscal, en todos los años se</w:t>
      </w:r>
      <w:r w:rsidR="00232EBE" w:rsidRPr="00F13E77">
        <w:rPr>
          <w:rFonts w:ascii="Times New Roman" w:hAnsi="Times New Roman" w:cs="Times New Roman"/>
          <w:sz w:val="24"/>
          <w:szCs w:val="24"/>
          <w:lang w:val="es-MX"/>
        </w:rPr>
        <w:t xml:space="preserve"> ha</w:t>
      </w:r>
      <w:r w:rsidRPr="00F13E77">
        <w:rPr>
          <w:rFonts w:ascii="Times New Roman" w:hAnsi="Times New Roman" w:cs="Times New Roman"/>
          <w:sz w:val="24"/>
          <w:szCs w:val="24"/>
          <w:lang w:val="es-MX"/>
        </w:rPr>
        <w:t xml:space="preserve"> incurrido en déficit fiscal y</w:t>
      </w:r>
      <w:r w:rsidR="00232EBE" w:rsidRPr="00F13E77">
        <w:rPr>
          <w:rFonts w:ascii="Times New Roman" w:hAnsi="Times New Roman" w:cs="Times New Roman"/>
          <w:sz w:val="24"/>
          <w:szCs w:val="24"/>
          <w:lang w:val="es-MX"/>
        </w:rPr>
        <w:t xml:space="preserve"> se han dado</w:t>
      </w:r>
      <w:r w:rsidRPr="00F13E77">
        <w:rPr>
          <w:rFonts w:ascii="Times New Roman" w:hAnsi="Times New Roman" w:cs="Times New Roman"/>
          <w:sz w:val="24"/>
          <w:szCs w:val="24"/>
          <w:lang w:val="es-MX"/>
        </w:rPr>
        <w:t xml:space="preserve"> desviaciones entre lo observado y lo presupuestado</w:t>
      </w:r>
      <w:r w:rsidR="00232EBE" w:rsidRPr="00F13E77">
        <w:rPr>
          <w:rFonts w:ascii="Times New Roman" w:hAnsi="Times New Roman" w:cs="Times New Roman"/>
          <w:sz w:val="24"/>
          <w:szCs w:val="24"/>
          <w:lang w:val="es-MX"/>
        </w:rPr>
        <w:t>.   Es importante indicar que, l</w:t>
      </w:r>
      <w:r w:rsidR="00DC2316" w:rsidRPr="00F13E77">
        <w:rPr>
          <w:rFonts w:ascii="Times New Roman" w:hAnsi="Times New Roman" w:cs="Times New Roman"/>
          <w:sz w:val="24"/>
          <w:szCs w:val="24"/>
          <w:lang w:val="es-MX"/>
        </w:rPr>
        <w:t>as medidas de ajuste de gasto público a lo largo del período 2005-2016 suelen ser más severas que el ajuste necesario por una reducción del ingreso, lo que ha incidido en que el déficit fiscal proyectado sea mayor que el déficit observado, la excepción se da en los años 2009-2010 en donde el ajuste de gasto público fue menor a la caída de los ingresos lo que produjo un mayor déficit fiscal</w:t>
      </w:r>
      <w:r w:rsidR="00232EBE" w:rsidRPr="00F13E77">
        <w:rPr>
          <w:rFonts w:ascii="Times New Roman" w:hAnsi="Times New Roman" w:cs="Times New Roman"/>
          <w:sz w:val="24"/>
          <w:szCs w:val="24"/>
          <w:lang w:val="es-MX"/>
        </w:rPr>
        <w:t>, el cual fue</w:t>
      </w:r>
      <w:r w:rsidR="00DC2316" w:rsidRPr="00F13E77">
        <w:rPr>
          <w:rFonts w:ascii="Times New Roman" w:hAnsi="Times New Roman" w:cs="Times New Roman"/>
          <w:sz w:val="24"/>
          <w:szCs w:val="24"/>
          <w:lang w:val="es-MX"/>
        </w:rPr>
        <w:t xml:space="preserve"> superior al 3% del PIB. </w:t>
      </w:r>
    </w:p>
    <w:p w:rsidR="004B6F44" w:rsidRPr="00F13E77" w:rsidRDefault="004B6F44" w:rsidP="00C75E1A">
      <w:pPr>
        <w:pStyle w:val="Sinespaciado"/>
        <w:jc w:val="both"/>
        <w:rPr>
          <w:rFonts w:ascii="Times New Roman" w:hAnsi="Times New Roman" w:cs="Times New Roman"/>
          <w:sz w:val="24"/>
          <w:szCs w:val="24"/>
          <w:lang w:val="es-MX"/>
        </w:rPr>
      </w:pPr>
    </w:p>
    <w:p w:rsidR="00B6124F" w:rsidRPr="00F13E77" w:rsidRDefault="009B4CB7" w:rsidP="00C75E1A">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 xml:space="preserve">El otro indicador fiscal importante es el saldo de la pública con respecto al PIB, este indicador </w:t>
      </w:r>
      <w:r w:rsidR="009D1DB5" w:rsidRPr="00F13E77">
        <w:rPr>
          <w:rFonts w:ascii="Times New Roman" w:hAnsi="Times New Roman" w:cs="Times New Roman"/>
          <w:sz w:val="24"/>
          <w:szCs w:val="24"/>
          <w:lang w:val="es-MX"/>
        </w:rPr>
        <w:t>está</w:t>
      </w:r>
      <w:r w:rsidRPr="00F13E77">
        <w:rPr>
          <w:rFonts w:ascii="Times New Roman" w:hAnsi="Times New Roman" w:cs="Times New Roman"/>
          <w:sz w:val="24"/>
          <w:szCs w:val="24"/>
          <w:lang w:val="es-MX"/>
        </w:rPr>
        <w:t xml:space="preserve"> determinado por el resultado fiscal, el desempeño de la actividad económica y el tipo de cambio sobre todo al considerar que cerca del 50% de la deuda </w:t>
      </w:r>
      <w:r w:rsidR="00724D75" w:rsidRPr="00F13E77">
        <w:rPr>
          <w:rFonts w:ascii="Times New Roman" w:hAnsi="Times New Roman" w:cs="Times New Roman"/>
          <w:sz w:val="24"/>
          <w:szCs w:val="24"/>
          <w:lang w:val="es-MX"/>
        </w:rPr>
        <w:t>se</w:t>
      </w:r>
      <w:r w:rsidR="00232EBE" w:rsidRPr="00F13E77">
        <w:rPr>
          <w:rFonts w:ascii="Times New Roman" w:hAnsi="Times New Roman" w:cs="Times New Roman"/>
          <w:sz w:val="24"/>
          <w:szCs w:val="24"/>
          <w:lang w:val="es-MX"/>
        </w:rPr>
        <w:t xml:space="preserve"> encuentra en moneda extranjera.  En ese sentido,</w:t>
      </w:r>
      <w:r w:rsidR="00724D75" w:rsidRPr="00F13E77">
        <w:rPr>
          <w:rFonts w:ascii="Times New Roman" w:hAnsi="Times New Roman" w:cs="Times New Roman"/>
          <w:sz w:val="24"/>
          <w:szCs w:val="24"/>
          <w:lang w:val="es-MX"/>
        </w:rPr>
        <w:t xml:space="preserve"> lo que se puede apreciar es que, en los últimos 6 años, dada la reducción del </w:t>
      </w:r>
      <w:r w:rsidR="00232EBE" w:rsidRPr="00F13E77">
        <w:rPr>
          <w:rFonts w:ascii="Times New Roman" w:hAnsi="Times New Roman" w:cs="Times New Roman"/>
          <w:sz w:val="24"/>
          <w:szCs w:val="24"/>
          <w:lang w:val="es-MX"/>
        </w:rPr>
        <w:t xml:space="preserve">déficit </w:t>
      </w:r>
      <w:r w:rsidR="00724D75" w:rsidRPr="00F13E77">
        <w:rPr>
          <w:rFonts w:ascii="Times New Roman" w:hAnsi="Times New Roman" w:cs="Times New Roman"/>
          <w:sz w:val="24"/>
          <w:szCs w:val="24"/>
          <w:lang w:val="es-MX"/>
        </w:rPr>
        <w:t xml:space="preserve">fiscal y de un tipo de cambio nominal bastante estable con una leve tendencia a la apreciación, el saldo observado de la deuda pública </w:t>
      </w:r>
      <w:r w:rsidR="00232EBE" w:rsidRPr="00F13E77">
        <w:rPr>
          <w:rFonts w:ascii="Times New Roman" w:hAnsi="Times New Roman" w:cs="Times New Roman"/>
          <w:sz w:val="24"/>
          <w:szCs w:val="24"/>
          <w:lang w:val="es-MX"/>
        </w:rPr>
        <w:t>h</w:t>
      </w:r>
      <w:r w:rsidR="00724D75" w:rsidRPr="00F13E77">
        <w:rPr>
          <w:rFonts w:ascii="Times New Roman" w:hAnsi="Times New Roman" w:cs="Times New Roman"/>
          <w:sz w:val="24"/>
          <w:szCs w:val="24"/>
          <w:lang w:val="es-MX"/>
        </w:rPr>
        <w:t>a estado por debajo de lo presupuestado, la desviación en promedio es por el equivalente a un punto porcentual del PIB</w:t>
      </w:r>
      <w:r w:rsidR="00232EBE" w:rsidRPr="00F13E77">
        <w:rPr>
          <w:rFonts w:ascii="Times New Roman" w:hAnsi="Times New Roman" w:cs="Times New Roman"/>
          <w:sz w:val="24"/>
          <w:szCs w:val="24"/>
          <w:lang w:val="es-MX"/>
        </w:rPr>
        <w:t>,</w:t>
      </w:r>
      <w:r w:rsidR="00724D75" w:rsidRPr="00F13E77">
        <w:rPr>
          <w:rFonts w:ascii="Times New Roman" w:hAnsi="Times New Roman" w:cs="Times New Roman"/>
          <w:sz w:val="24"/>
          <w:szCs w:val="24"/>
          <w:lang w:val="es-MX"/>
        </w:rPr>
        <w:t xml:space="preserve"> lo cual es importante ya que de no haberse obtenido estos resultados el nivel de deuda pública sería mucho mayor, afectando quizá la sostenibilidad fiscal en el mediano o largo plazos.</w:t>
      </w:r>
    </w:p>
    <w:p w:rsidR="009B4CB7" w:rsidRPr="00F13E77" w:rsidRDefault="009B4CB7" w:rsidP="00C75E1A">
      <w:pPr>
        <w:pStyle w:val="Sinespaciado"/>
        <w:jc w:val="both"/>
        <w:rPr>
          <w:rFonts w:ascii="Times New Roman" w:hAnsi="Times New Roman" w:cs="Times New Roman"/>
          <w:sz w:val="24"/>
          <w:szCs w:val="24"/>
          <w:lang w:val="es-MX"/>
        </w:rPr>
      </w:pPr>
    </w:p>
    <w:p w:rsidR="00462B38" w:rsidRDefault="00462B38" w:rsidP="00C75E1A">
      <w:pPr>
        <w:pStyle w:val="Sinespaciado"/>
        <w:jc w:val="both"/>
        <w:rPr>
          <w:rFonts w:ascii="Times New Roman" w:hAnsi="Times New Roman" w:cs="Times New Roman"/>
          <w:lang w:val="es-MX"/>
        </w:rPr>
      </w:pPr>
    </w:p>
    <w:p w:rsidR="00F13E77" w:rsidRDefault="00F13E77" w:rsidP="00C75E1A">
      <w:pPr>
        <w:pStyle w:val="Sinespaciado"/>
        <w:jc w:val="both"/>
        <w:rPr>
          <w:rFonts w:ascii="Times New Roman" w:hAnsi="Times New Roman" w:cs="Times New Roman"/>
          <w:lang w:val="es-MX"/>
        </w:rPr>
      </w:pPr>
    </w:p>
    <w:p w:rsidR="00F13E77" w:rsidRDefault="00F13E77" w:rsidP="00C75E1A">
      <w:pPr>
        <w:pStyle w:val="Sinespaciado"/>
        <w:jc w:val="both"/>
        <w:rPr>
          <w:rFonts w:ascii="Times New Roman" w:hAnsi="Times New Roman" w:cs="Times New Roman"/>
          <w:lang w:val="es-MX"/>
        </w:rPr>
      </w:pPr>
    </w:p>
    <w:p w:rsidR="00F13E77" w:rsidRDefault="00F13E77" w:rsidP="00C75E1A">
      <w:pPr>
        <w:pStyle w:val="Sinespaciado"/>
        <w:jc w:val="both"/>
        <w:rPr>
          <w:rFonts w:ascii="Times New Roman" w:hAnsi="Times New Roman" w:cs="Times New Roman"/>
          <w:lang w:val="es-MX"/>
        </w:rPr>
      </w:pPr>
    </w:p>
    <w:p w:rsidR="00F13E77" w:rsidRDefault="00F13E77" w:rsidP="00C75E1A">
      <w:pPr>
        <w:pStyle w:val="Sinespaciado"/>
        <w:jc w:val="both"/>
        <w:rPr>
          <w:rFonts w:ascii="Times New Roman" w:hAnsi="Times New Roman" w:cs="Times New Roman"/>
          <w:lang w:val="es-MX"/>
        </w:rPr>
      </w:pPr>
    </w:p>
    <w:p w:rsidR="00F13E77" w:rsidRDefault="00F13E77" w:rsidP="00C75E1A">
      <w:pPr>
        <w:pStyle w:val="Sinespaciado"/>
        <w:jc w:val="both"/>
        <w:rPr>
          <w:rFonts w:ascii="Times New Roman" w:hAnsi="Times New Roman" w:cs="Times New Roman"/>
          <w:lang w:val="es-MX"/>
        </w:rPr>
      </w:pPr>
    </w:p>
    <w:p w:rsidR="00F13E77" w:rsidRDefault="00F13E77" w:rsidP="00C75E1A">
      <w:pPr>
        <w:pStyle w:val="Sinespaciado"/>
        <w:jc w:val="both"/>
        <w:rPr>
          <w:rFonts w:ascii="Times New Roman" w:hAnsi="Times New Roman" w:cs="Times New Roman"/>
          <w:lang w:val="es-MX"/>
        </w:rPr>
      </w:pPr>
    </w:p>
    <w:p w:rsidR="00F13E77" w:rsidRDefault="00F13E77" w:rsidP="00C75E1A">
      <w:pPr>
        <w:pStyle w:val="Sinespaciado"/>
        <w:jc w:val="both"/>
        <w:rPr>
          <w:rFonts w:ascii="Times New Roman" w:hAnsi="Times New Roman" w:cs="Times New Roman"/>
          <w:lang w:val="es-MX"/>
        </w:rPr>
      </w:pPr>
    </w:p>
    <w:p w:rsidR="00F13E77" w:rsidRDefault="00F13E77" w:rsidP="00C75E1A">
      <w:pPr>
        <w:pStyle w:val="Sinespaciado"/>
        <w:jc w:val="both"/>
        <w:rPr>
          <w:rFonts w:ascii="Times New Roman" w:hAnsi="Times New Roman" w:cs="Times New Roman"/>
          <w:lang w:val="es-MX"/>
        </w:rPr>
      </w:pPr>
    </w:p>
    <w:p w:rsidR="00462B38" w:rsidRDefault="00462B38" w:rsidP="00C75E1A">
      <w:pPr>
        <w:pStyle w:val="Sinespaciado"/>
        <w:jc w:val="both"/>
        <w:rPr>
          <w:rFonts w:ascii="Times New Roman" w:hAnsi="Times New Roman" w:cs="Times New Roman"/>
          <w:lang w:val="es-MX"/>
        </w:rPr>
      </w:pPr>
    </w:p>
    <w:p w:rsidR="00462B38" w:rsidRDefault="00462B38" w:rsidP="00C75E1A">
      <w:pPr>
        <w:pStyle w:val="Sinespaciado"/>
        <w:jc w:val="both"/>
        <w:rPr>
          <w:rFonts w:ascii="Times New Roman" w:hAnsi="Times New Roman" w:cs="Times New Roman"/>
          <w:lang w:val="es-MX"/>
        </w:rPr>
      </w:pPr>
    </w:p>
    <w:p w:rsidR="00462B38" w:rsidRDefault="00462B38" w:rsidP="00C75E1A">
      <w:pPr>
        <w:pStyle w:val="Sinespaciado"/>
        <w:jc w:val="both"/>
        <w:rPr>
          <w:rFonts w:ascii="Times New Roman" w:hAnsi="Times New Roman" w:cs="Times New Roman"/>
          <w:lang w:val="es-MX"/>
        </w:rPr>
      </w:pPr>
    </w:p>
    <w:p w:rsidR="00462B38" w:rsidRDefault="00462B38" w:rsidP="00C75E1A">
      <w:pPr>
        <w:pStyle w:val="Sinespaciado"/>
        <w:jc w:val="both"/>
        <w:rPr>
          <w:rFonts w:ascii="Times New Roman" w:hAnsi="Times New Roman" w:cs="Times New Roman"/>
          <w:lang w:val="es-MX"/>
        </w:rPr>
      </w:pPr>
    </w:p>
    <w:p w:rsidR="000574C8" w:rsidRDefault="000574C8" w:rsidP="00C75E1A">
      <w:pPr>
        <w:pStyle w:val="Sinespaciado"/>
        <w:jc w:val="both"/>
        <w:rPr>
          <w:rFonts w:ascii="Times New Roman" w:hAnsi="Times New Roman" w:cs="Times New Roman"/>
          <w:lang w:val="es-MX"/>
        </w:rPr>
      </w:pPr>
    </w:p>
    <w:p w:rsidR="009B4CB7" w:rsidRPr="000574C8" w:rsidRDefault="00BF6106" w:rsidP="009B4CB7">
      <w:pPr>
        <w:pStyle w:val="Sinespaciado"/>
        <w:jc w:val="center"/>
        <w:rPr>
          <w:rFonts w:ascii="Times New Roman" w:hAnsi="Times New Roman" w:cs="Times New Roman"/>
          <w:b/>
          <w:sz w:val="24"/>
          <w:lang w:val="es-MX"/>
        </w:rPr>
      </w:pPr>
      <w:r w:rsidRPr="000574C8">
        <w:rPr>
          <w:rFonts w:ascii="Times New Roman" w:hAnsi="Times New Roman" w:cs="Times New Roman"/>
          <w:b/>
          <w:sz w:val="24"/>
          <w:lang w:val="es-MX"/>
        </w:rPr>
        <w:t>Gráfica 4</w:t>
      </w:r>
    </w:p>
    <w:p w:rsidR="009B4CB7" w:rsidRPr="000574C8" w:rsidRDefault="009B4CB7" w:rsidP="009B4CB7">
      <w:pPr>
        <w:pStyle w:val="Sinespaciado"/>
        <w:jc w:val="center"/>
        <w:rPr>
          <w:rFonts w:ascii="Times New Roman" w:hAnsi="Times New Roman" w:cs="Times New Roman"/>
          <w:b/>
          <w:sz w:val="24"/>
          <w:lang w:val="es-MX"/>
        </w:rPr>
      </w:pPr>
      <w:r w:rsidRPr="000574C8">
        <w:rPr>
          <w:rFonts w:ascii="Times New Roman" w:hAnsi="Times New Roman" w:cs="Times New Roman"/>
          <w:b/>
          <w:sz w:val="24"/>
          <w:lang w:val="es-MX"/>
        </w:rPr>
        <w:t>Variables Fiscales</w:t>
      </w:r>
    </w:p>
    <w:p w:rsidR="009B4CB7" w:rsidRPr="000574C8" w:rsidRDefault="009B4CB7" w:rsidP="009B4CB7">
      <w:pPr>
        <w:pStyle w:val="Sinespaciado"/>
        <w:jc w:val="center"/>
        <w:rPr>
          <w:rFonts w:ascii="Times New Roman" w:hAnsi="Times New Roman" w:cs="Times New Roman"/>
          <w:sz w:val="20"/>
          <w:lang w:val="es-MX"/>
        </w:rPr>
      </w:pPr>
      <w:r w:rsidRPr="000574C8">
        <w:rPr>
          <w:rFonts w:ascii="Times New Roman" w:hAnsi="Times New Roman" w:cs="Times New Roman"/>
          <w:sz w:val="20"/>
          <w:lang w:val="es-MX"/>
        </w:rPr>
        <w:t>Estimación Presupuesto Vs. Observado</w:t>
      </w:r>
    </w:p>
    <w:p w:rsidR="009B4CB7" w:rsidRPr="000574C8" w:rsidRDefault="009B4CB7" w:rsidP="009B4CB7">
      <w:pPr>
        <w:pStyle w:val="Sinespaciado"/>
        <w:jc w:val="center"/>
        <w:rPr>
          <w:rFonts w:ascii="Times New Roman" w:hAnsi="Times New Roman" w:cs="Times New Roman"/>
          <w:sz w:val="20"/>
          <w:lang w:val="es-MX"/>
        </w:rPr>
      </w:pPr>
      <w:r w:rsidRPr="000574C8">
        <w:rPr>
          <w:rFonts w:ascii="Times New Roman" w:hAnsi="Times New Roman" w:cs="Times New Roman"/>
          <w:sz w:val="20"/>
          <w:lang w:val="es-MX"/>
        </w:rPr>
        <w:t>Variación en puntos porcentuales del PIB</w:t>
      </w:r>
    </w:p>
    <w:p w:rsidR="009B4CB7" w:rsidRPr="00880D9D" w:rsidRDefault="009B4CB7" w:rsidP="009B4CB7">
      <w:pPr>
        <w:pStyle w:val="Sinespaciado"/>
        <w:jc w:val="center"/>
        <w:rPr>
          <w:rFonts w:ascii="Times New Roman" w:hAnsi="Times New Roman" w:cs="Times New Roman"/>
          <w:sz w:val="18"/>
          <w:lang w:val="es-MX"/>
        </w:rPr>
      </w:pPr>
      <w:r>
        <w:rPr>
          <w:rFonts w:ascii="Times New Roman" w:hAnsi="Times New Roman" w:cs="Times New Roman"/>
          <w:noProof/>
          <w:sz w:val="18"/>
          <w:lang w:eastAsia="es-GT"/>
        </w:rPr>
        <w:drawing>
          <wp:inline distT="0" distB="0" distL="0" distR="0" wp14:anchorId="44716805" wp14:editId="4DB06E65">
            <wp:extent cx="5512158" cy="3477012"/>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158" cy="3477012"/>
                    </a:xfrm>
                    <a:prstGeom prst="rect">
                      <a:avLst/>
                    </a:prstGeom>
                    <a:noFill/>
                  </pic:spPr>
                </pic:pic>
              </a:graphicData>
            </a:graphic>
          </wp:inline>
        </w:drawing>
      </w:r>
    </w:p>
    <w:p w:rsidR="00724D75" w:rsidRPr="000574C8" w:rsidRDefault="00724D75" w:rsidP="000574C8">
      <w:pPr>
        <w:spacing w:after="0"/>
        <w:ind w:firstLine="708"/>
        <w:rPr>
          <w:rFonts w:ascii="Times New Roman" w:hAnsi="Times New Roman" w:cs="Times New Roman"/>
          <w:sz w:val="16"/>
          <w:lang w:val="es-MX"/>
        </w:rPr>
      </w:pPr>
      <w:r w:rsidRPr="000574C8">
        <w:rPr>
          <w:rFonts w:ascii="Times New Roman" w:hAnsi="Times New Roman" w:cs="Times New Roman"/>
          <w:sz w:val="16"/>
          <w:lang w:val="es-MX"/>
        </w:rPr>
        <w:t>Fuente: Ministerio de Finanzas Públicas.</w:t>
      </w:r>
    </w:p>
    <w:p w:rsidR="00280008" w:rsidRPr="000574C8" w:rsidRDefault="00280008" w:rsidP="00C75E1A">
      <w:pPr>
        <w:pStyle w:val="Sinespaciado"/>
        <w:jc w:val="both"/>
        <w:rPr>
          <w:rFonts w:ascii="Times New Roman" w:hAnsi="Times New Roman" w:cs="Times New Roman"/>
          <w:b/>
          <w:sz w:val="24"/>
          <w:lang w:val="es-MX"/>
        </w:rPr>
      </w:pPr>
    </w:p>
    <w:p w:rsidR="00C75E1A" w:rsidRPr="00880D9D" w:rsidRDefault="00C75E1A" w:rsidP="00E83DF1">
      <w:pPr>
        <w:pStyle w:val="Ttulo21"/>
        <w:spacing w:after="0"/>
        <w:ind w:hanging="292"/>
        <w:outlineLvl w:val="1"/>
        <w:rPr>
          <w:lang w:val="es-MX"/>
        </w:rPr>
      </w:pPr>
      <w:bookmarkStart w:id="5" w:name="_Toc509214734"/>
      <w:r w:rsidRPr="00DB3C57">
        <w:rPr>
          <w:rFonts w:ascii="Times New Roman" w:hAnsi="Times New Roman" w:cs="Times New Roman"/>
          <w:b/>
          <w:sz w:val="24"/>
          <w:lang w:val="es-MX"/>
        </w:rPr>
        <w:t>Entorno Internacional y Riesgo</w:t>
      </w:r>
      <w:r w:rsidR="00A272E2" w:rsidRPr="00DB3C57">
        <w:rPr>
          <w:rFonts w:ascii="Times New Roman" w:hAnsi="Times New Roman" w:cs="Times New Roman"/>
          <w:b/>
          <w:sz w:val="24"/>
          <w:lang w:val="es-MX"/>
        </w:rPr>
        <w:t>s</w:t>
      </w:r>
      <w:r w:rsidRPr="00DB3C57">
        <w:rPr>
          <w:rFonts w:ascii="Times New Roman" w:hAnsi="Times New Roman" w:cs="Times New Roman"/>
          <w:b/>
          <w:sz w:val="24"/>
          <w:lang w:val="es-MX"/>
        </w:rPr>
        <w:t xml:space="preserve"> Asociados</w:t>
      </w:r>
      <w:bookmarkEnd w:id="5"/>
      <w:r w:rsidR="00557268" w:rsidRPr="00DB3C57">
        <w:rPr>
          <w:rFonts w:ascii="Times New Roman" w:hAnsi="Times New Roman" w:cs="Times New Roman"/>
          <w:b/>
          <w:sz w:val="24"/>
          <w:lang w:val="es-MX"/>
        </w:rPr>
        <w:t xml:space="preserve"> </w:t>
      </w:r>
    </w:p>
    <w:p w:rsidR="0019669A" w:rsidRPr="00880D9D" w:rsidRDefault="0019669A" w:rsidP="0077110C">
      <w:pPr>
        <w:pStyle w:val="Sinespaciado"/>
        <w:jc w:val="both"/>
        <w:rPr>
          <w:rFonts w:ascii="Times New Roman" w:hAnsi="Times New Roman" w:cs="Times New Roman"/>
          <w:lang w:val="es-MX"/>
        </w:rPr>
      </w:pPr>
    </w:p>
    <w:p w:rsidR="00655131" w:rsidRPr="00460336" w:rsidRDefault="00655131" w:rsidP="00655131">
      <w:pPr>
        <w:pStyle w:val="Sinespaciado"/>
        <w:jc w:val="both"/>
        <w:rPr>
          <w:rFonts w:ascii="Times New Roman" w:hAnsi="Times New Roman" w:cs="Times New Roman"/>
          <w:sz w:val="24"/>
          <w:lang w:val="es-MX"/>
        </w:rPr>
      </w:pPr>
      <w:r w:rsidRPr="00460336">
        <w:rPr>
          <w:rFonts w:ascii="Times New Roman" w:hAnsi="Times New Roman" w:cs="Times New Roman"/>
          <w:sz w:val="24"/>
          <w:lang w:val="es-MX"/>
        </w:rPr>
        <w:t xml:space="preserve">Las expectativas de la </w:t>
      </w:r>
      <w:r>
        <w:rPr>
          <w:rFonts w:ascii="Times New Roman" w:hAnsi="Times New Roman" w:cs="Times New Roman"/>
          <w:sz w:val="24"/>
          <w:lang w:val="es-MX"/>
        </w:rPr>
        <w:t>economía internacional, según la</w:t>
      </w:r>
      <w:r w:rsidRPr="00460336">
        <w:rPr>
          <w:rFonts w:ascii="Times New Roman" w:hAnsi="Times New Roman" w:cs="Times New Roman"/>
          <w:sz w:val="24"/>
          <w:lang w:val="es-MX"/>
        </w:rPr>
        <w:t xml:space="preserve">s últimas proyecciones de algunos organismos </w:t>
      </w:r>
      <w:r w:rsidR="00081355">
        <w:rPr>
          <w:rFonts w:ascii="Times New Roman" w:hAnsi="Times New Roman" w:cs="Times New Roman"/>
          <w:sz w:val="24"/>
          <w:lang w:val="es-MX"/>
        </w:rPr>
        <w:t xml:space="preserve">financieros </w:t>
      </w:r>
      <w:r w:rsidRPr="00460336">
        <w:rPr>
          <w:rFonts w:ascii="Times New Roman" w:hAnsi="Times New Roman" w:cs="Times New Roman"/>
          <w:sz w:val="24"/>
          <w:lang w:val="es-MX"/>
        </w:rPr>
        <w:t>internacionales</w:t>
      </w:r>
      <w:r w:rsidR="00081355">
        <w:rPr>
          <w:rFonts w:ascii="Times New Roman" w:hAnsi="Times New Roman" w:cs="Times New Roman"/>
          <w:sz w:val="24"/>
          <w:lang w:val="es-MX"/>
        </w:rPr>
        <w:t>,</w:t>
      </w:r>
      <w:r w:rsidRPr="00460336">
        <w:rPr>
          <w:rFonts w:ascii="Times New Roman" w:hAnsi="Times New Roman" w:cs="Times New Roman"/>
          <w:sz w:val="24"/>
          <w:lang w:val="es-MX"/>
        </w:rPr>
        <w:t xml:space="preserve"> como el Fondo Monetario Internacional, dan cuenta de que para los años 2017-2018, se prevé una recuperación de la economía mundial</w:t>
      </w:r>
      <w:r>
        <w:rPr>
          <w:rFonts w:ascii="Times New Roman" w:hAnsi="Times New Roman" w:cs="Times New Roman"/>
          <w:sz w:val="24"/>
          <w:lang w:val="es-MX"/>
        </w:rPr>
        <w:t xml:space="preserve">, la cual </w:t>
      </w:r>
      <w:r w:rsidRPr="00460336">
        <w:rPr>
          <w:rFonts w:ascii="Times New Roman" w:hAnsi="Times New Roman" w:cs="Times New Roman"/>
          <w:sz w:val="24"/>
          <w:lang w:val="es-MX"/>
        </w:rPr>
        <w:t xml:space="preserve">ha cobrado impulso desde mediados </w:t>
      </w:r>
      <w:r>
        <w:rPr>
          <w:rFonts w:ascii="Times New Roman" w:hAnsi="Times New Roman" w:cs="Times New Roman"/>
          <w:sz w:val="24"/>
          <w:lang w:val="es-MX"/>
        </w:rPr>
        <w:t>de 2016</w:t>
      </w:r>
      <w:r w:rsidRPr="00460336">
        <w:rPr>
          <w:rFonts w:ascii="Times New Roman" w:hAnsi="Times New Roman" w:cs="Times New Roman"/>
          <w:sz w:val="24"/>
          <w:lang w:val="es-MX"/>
        </w:rPr>
        <w:t xml:space="preserve">, lo cual permite reafirmar, que este año y el próximo el crecimiento mundial será mayor. </w:t>
      </w:r>
      <w:r>
        <w:rPr>
          <w:rFonts w:ascii="Times New Roman" w:hAnsi="Times New Roman" w:cs="Times New Roman"/>
          <w:sz w:val="24"/>
          <w:lang w:val="es-MX"/>
        </w:rPr>
        <w:t xml:space="preserve"> Las</w:t>
      </w:r>
      <w:r w:rsidRPr="00460336">
        <w:rPr>
          <w:rFonts w:ascii="Times New Roman" w:hAnsi="Times New Roman" w:cs="Times New Roman"/>
          <w:sz w:val="24"/>
          <w:lang w:val="es-MX"/>
        </w:rPr>
        <w:t xml:space="preserve"> proyecciones indican que la economía </w:t>
      </w:r>
      <w:r>
        <w:rPr>
          <w:rFonts w:ascii="Times New Roman" w:hAnsi="Times New Roman" w:cs="Times New Roman"/>
          <w:sz w:val="24"/>
          <w:lang w:val="es-MX"/>
        </w:rPr>
        <w:t>mundial crecerá a un ritmo de 3.5</w:t>
      </w:r>
      <w:r w:rsidRPr="00460336">
        <w:rPr>
          <w:rFonts w:ascii="Times New Roman" w:hAnsi="Times New Roman" w:cs="Times New Roman"/>
          <w:sz w:val="24"/>
          <w:lang w:val="es-MX"/>
        </w:rPr>
        <w:t xml:space="preserve"> % en 2017, lo cual re</w:t>
      </w:r>
      <w:r>
        <w:rPr>
          <w:rFonts w:ascii="Times New Roman" w:hAnsi="Times New Roman" w:cs="Times New Roman"/>
          <w:sz w:val="24"/>
          <w:lang w:val="es-MX"/>
        </w:rPr>
        <w:t>presenta un aumento frente al 3.</w:t>
      </w:r>
      <w:r w:rsidRPr="00460336">
        <w:rPr>
          <w:rFonts w:ascii="Times New Roman" w:hAnsi="Times New Roman" w:cs="Times New Roman"/>
          <w:sz w:val="24"/>
          <w:lang w:val="es-MX"/>
        </w:rPr>
        <w:t>1% del</w:t>
      </w:r>
      <w:r w:rsidR="007A2CB9">
        <w:rPr>
          <w:rFonts w:ascii="Times New Roman" w:hAnsi="Times New Roman" w:cs="Times New Roman"/>
          <w:sz w:val="24"/>
          <w:lang w:val="es-MX"/>
        </w:rPr>
        <w:t xml:space="preserve"> año pasado</w:t>
      </w:r>
      <w:r w:rsidRPr="00460336">
        <w:rPr>
          <w:rFonts w:ascii="Times New Roman" w:hAnsi="Times New Roman" w:cs="Times New Roman"/>
          <w:sz w:val="24"/>
          <w:lang w:val="es-MX"/>
        </w:rPr>
        <w:t xml:space="preserve">. La aceleración tendrá amplio alcance y abarcará economías avanzadas, emergentes y de bajo ingreso, sobre la base de los avances </w:t>
      </w:r>
      <w:r>
        <w:rPr>
          <w:rFonts w:ascii="Times New Roman" w:hAnsi="Times New Roman" w:cs="Times New Roman"/>
          <w:sz w:val="24"/>
          <w:lang w:val="es-MX"/>
        </w:rPr>
        <w:t>que se han</w:t>
      </w:r>
      <w:r w:rsidRPr="00460336">
        <w:rPr>
          <w:rFonts w:ascii="Times New Roman" w:hAnsi="Times New Roman" w:cs="Times New Roman"/>
          <w:sz w:val="24"/>
          <w:lang w:val="es-MX"/>
        </w:rPr>
        <w:t xml:space="preserve"> observado tanto en la manufactura como en el comercio internacional.</w:t>
      </w:r>
    </w:p>
    <w:p w:rsidR="00655131" w:rsidRPr="00460336" w:rsidRDefault="00655131" w:rsidP="00655131">
      <w:pPr>
        <w:pStyle w:val="Sinespaciado"/>
        <w:jc w:val="both"/>
        <w:rPr>
          <w:rFonts w:ascii="Times New Roman" w:hAnsi="Times New Roman" w:cs="Times New Roman"/>
          <w:sz w:val="24"/>
          <w:lang w:val="es-MX"/>
        </w:rPr>
      </w:pPr>
    </w:p>
    <w:p w:rsidR="00655131" w:rsidRPr="00460336" w:rsidRDefault="00655131" w:rsidP="00655131">
      <w:pPr>
        <w:pStyle w:val="Sinespaciado"/>
        <w:jc w:val="both"/>
        <w:rPr>
          <w:rFonts w:ascii="Times New Roman" w:hAnsi="Times New Roman" w:cs="Times New Roman"/>
          <w:sz w:val="24"/>
          <w:lang w:val="es-MX"/>
        </w:rPr>
      </w:pPr>
      <w:r>
        <w:rPr>
          <w:rFonts w:ascii="Times New Roman" w:hAnsi="Times New Roman" w:cs="Times New Roman"/>
          <w:sz w:val="24"/>
          <w:lang w:val="es-MX"/>
        </w:rPr>
        <w:t>La</w:t>
      </w:r>
      <w:r w:rsidRPr="00460336">
        <w:rPr>
          <w:rFonts w:ascii="Times New Roman" w:hAnsi="Times New Roman" w:cs="Times New Roman"/>
          <w:sz w:val="24"/>
          <w:lang w:val="es-MX"/>
        </w:rPr>
        <w:t xml:space="preserve"> proyección</w:t>
      </w:r>
      <w:r>
        <w:rPr>
          <w:rFonts w:ascii="Times New Roman" w:hAnsi="Times New Roman" w:cs="Times New Roman"/>
          <w:sz w:val="24"/>
          <w:lang w:val="es-MX"/>
        </w:rPr>
        <w:t xml:space="preserve"> según el FMI</w:t>
      </w:r>
      <w:r w:rsidRPr="00460336">
        <w:rPr>
          <w:rFonts w:ascii="Times New Roman" w:hAnsi="Times New Roman" w:cs="Times New Roman"/>
          <w:sz w:val="24"/>
          <w:lang w:val="es-MX"/>
        </w:rPr>
        <w:t xml:space="preserve"> para 2017</w:t>
      </w:r>
      <w:r>
        <w:rPr>
          <w:rFonts w:ascii="Times New Roman" w:hAnsi="Times New Roman" w:cs="Times New Roman"/>
          <w:sz w:val="24"/>
          <w:lang w:val="es-MX"/>
        </w:rPr>
        <w:t>,</w:t>
      </w:r>
      <w:r w:rsidRPr="00460336">
        <w:rPr>
          <w:rFonts w:ascii="Times New Roman" w:hAnsi="Times New Roman" w:cs="Times New Roman"/>
          <w:sz w:val="24"/>
          <w:lang w:val="es-MX"/>
        </w:rPr>
        <w:t xml:space="preserve"> </w:t>
      </w:r>
      <w:r>
        <w:rPr>
          <w:rFonts w:ascii="Times New Roman" w:hAnsi="Times New Roman" w:cs="Times New Roman"/>
          <w:sz w:val="24"/>
          <w:lang w:val="es-MX"/>
        </w:rPr>
        <w:t>muestra</w:t>
      </w:r>
      <w:r w:rsidRPr="00460336">
        <w:rPr>
          <w:rFonts w:ascii="Times New Roman" w:hAnsi="Times New Roman" w:cs="Times New Roman"/>
          <w:sz w:val="24"/>
          <w:lang w:val="es-MX"/>
        </w:rPr>
        <w:t xml:space="preserve"> un crecimiento ligeramente superior al que </w:t>
      </w:r>
      <w:r>
        <w:rPr>
          <w:rFonts w:ascii="Times New Roman" w:hAnsi="Times New Roman" w:cs="Times New Roman"/>
          <w:sz w:val="24"/>
          <w:lang w:val="es-MX"/>
        </w:rPr>
        <w:t>se había</w:t>
      </w:r>
      <w:r w:rsidRPr="00460336">
        <w:rPr>
          <w:rFonts w:ascii="Times New Roman" w:hAnsi="Times New Roman" w:cs="Times New Roman"/>
          <w:sz w:val="24"/>
          <w:lang w:val="es-MX"/>
        </w:rPr>
        <w:t xml:space="preserve"> previsto </w:t>
      </w:r>
      <w:r>
        <w:rPr>
          <w:rFonts w:ascii="Times New Roman" w:hAnsi="Times New Roman" w:cs="Times New Roman"/>
          <w:sz w:val="24"/>
          <w:lang w:val="es-MX"/>
        </w:rPr>
        <w:t>anteriormente</w:t>
      </w:r>
      <w:r w:rsidRPr="00460336">
        <w:rPr>
          <w:rFonts w:ascii="Times New Roman" w:hAnsi="Times New Roman" w:cs="Times New Roman"/>
          <w:sz w:val="24"/>
          <w:lang w:val="es-MX"/>
        </w:rPr>
        <w:t>. Esta mejora es atribuible fundamentalmente a las novedades económicas favorables para Europa y Asia, y dentro de Asia, en particular China y Japón.</w:t>
      </w:r>
    </w:p>
    <w:p w:rsidR="00655131" w:rsidRPr="00460336"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jc w:val="both"/>
        <w:rPr>
          <w:rFonts w:ascii="Times New Roman" w:hAnsi="Times New Roman" w:cs="Times New Roman"/>
          <w:sz w:val="24"/>
          <w:lang w:val="es-MX"/>
        </w:rPr>
      </w:pPr>
      <w:r w:rsidRPr="00460336">
        <w:rPr>
          <w:rFonts w:ascii="Times New Roman" w:hAnsi="Times New Roman" w:cs="Times New Roman"/>
          <w:sz w:val="24"/>
          <w:lang w:val="es-MX"/>
        </w:rPr>
        <w:t xml:space="preserve">Pese a estos signos positivos, muchos otros países seguirán este año con tasas de crecimiento inferiores a las registradas en el pasado. Los precios de las materias primas se han afianzado desde principios de 2016 pero siguen en niveles bajos, por lo cual muchos países exportadores de materias primas, en especial en Oriente Medio, África y América Latina, continúan estando bajo presión. Al mismo tiempo, ante la conjunción de condiciones meteorológicas adversas y disturbios civiles </w:t>
      </w:r>
      <w:r>
        <w:rPr>
          <w:rFonts w:ascii="Times New Roman" w:hAnsi="Times New Roman" w:cs="Times New Roman"/>
          <w:sz w:val="24"/>
          <w:lang w:val="es-MX"/>
        </w:rPr>
        <w:t>las condiciones económicas y sociales podrían deteriorarse</w:t>
      </w:r>
      <w:r w:rsidRPr="00460336">
        <w:rPr>
          <w:rFonts w:ascii="Times New Roman" w:hAnsi="Times New Roman" w:cs="Times New Roman"/>
          <w:sz w:val="24"/>
          <w:lang w:val="es-MX"/>
        </w:rPr>
        <w:t>.</w:t>
      </w:r>
    </w:p>
    <w:p w:rsidR="004B6F44" w:rsidRDefault="004B6F44" w:rsidP="00655131">
      <w:pPr>
        <w:pStyle w:val="Sinespaciado"/>
        <w:jc w:val="center"/>
        <w:rPr>
          <w:rFonts w:ascii="Times New Roman" w:hAnsi="Times New Roman" w:cs="Times New Roman"/>
          <w:b/>
          <w:sz w:val="24"/>
          <w:lang w:val="es-MX"/>
        </w:rPr>
      </w:pPr>
    </w:p>
    <w:p w:rsidR="00EB26F9" w:rsidRDefault="00EB26F9" w:rsidP="00655131">
      <w:pPr>
        <w:pStyle w:val="Sinespaciado"/>
        <w:jc w:val="center"/>
        <w:rPr>
          <w:rFonts w:ascii="Times New Roman" w:hAnsi="Times New Roman" w:cs="Times New Roman"/>
          <w:b/>
          <w:sz w:val="24"/>
          <w:lang w:val="es-MX"/>
        </w:rPr>
      </w:pPr>
      <w:r>
        <w:rPr>
          <w:rFonts w:ascii="Times New Roman" w:hAnsi="Times New Roman" w:cs="Times New Roman"/>
          <w:b/>
          <w:sz w:val="24"/>
          <w:lang w:val="es-MX"/>
        </w:rPr>
        <w:t>Cuadro 2</w:t>
      </w:r>
    </w:p>
    <w:p w:rsidR="00655131" w:rsidRPr="008514B8" w:rsidRDefault="00655131" w:rsidP="00655131">
      <w:pPr>
        <w:pStyle w:val="Sinespaciado"/>
        <w:jc w:val="center"/>
        <w:rPr>
          <w:rFonts w:ascii="Times New Roman" w:hAnsi="Times New Roman" w:cs="Times New Roman"/>
          <w:b/>
          <w:sz w:val="24"/>
          <w:lang w:val="es-MX"/>
        </w:rPr>
      </w:pPr>
      <w:r>
        <w:rPr>
          <w:rFonts w:ascii="Times New Roman" w:hAnsi="Times New Roman" w:cs="Times New Roman"/>
          <w:b/>
          <w:sz w:val="24"/>
          <w:lang w:val="es-MX"/>
        </w:rPr>
        <w:t>P</w:t>
      </w:r>
      <w:r w:rsidRPr="008514B8">
        <w:rPr>
          <w:rFonts w:ascii="Times New Roman" w:hAnsi="Times New Roman" w:cs="Times New Roman"/>
          <w:b/>
          <w:sz w:val="24"/>
          <w:lang w:val="es-MX"/>
        </w:rPr>
        <w:t>erspectivas de la economía mundial</w:t>
      </w:r>
    </w:p>
    <w:p w:rsidR="00655131" w:rsidRPr="008514B8" w:rsidRDefault="00655131" w:rsidP="00655131">
      <w:pPr>
        <w:pStyle w:val="Sinespaciado"/>
        <w:jc w:val="center"/>
        <w:rPr>
          <w:rFonts w:ascii="Times New Roman" w:hAnsi="Times New Roman" w:cs="Times New Roman"/>
          <w:sz w:val="20"/>
          <w:lang w:val="es-MX"/>
        </w:rPr>
      </w:pPr>
      <w:r w:rsidRPr="008514B8">
        <w:rPr>
          <w:rFonts w:ascii="Times New Roman" w:hAnsi="Times New Roman" w:cs="Times New Roman"/>
          <w:sz w:val="20"/>
          <w:lang w:val="es-MX"/>
        </w:rPr>
        <w:t>Variación porcentual anual</w:t>
      </w:r>
    </w:p>
    <w:tbl>
      <w:tblPr>
        <w:tblW w:w="8751" w:type="dxa"/>
        <w:jc w:val="center"/>
        <w:tblCellMar>
          <w:left w:w="70" w:type="dxa"/>
          <w:right w:w="70" w:type="dxa"/>
        </w:tblCellMar>
        <w:tblLook w:val="04A0" w:firstRow="1" w:lastRow="0" w:firstColumn="1" w:lastColumn="0" w:noHBand="0" w:noVBand="1"/>
      </w:tblPr>
      <w:tblGrid>
        <w:gridCol w:w="4068"/>
        <w:gridCol w:w="1119"/>
        <w:gridCol w:w="891"/>
        <w:gridCol w:w="891"/>
        <w:gridCol w:w="891"/>
        <w:gridCol w:w="891"/>
      </w:tblGrid>
      <w:tr w:rsidR="00655131" w:rsidRPr="00E40CB9" w:rsidTr="00933CB9">
        <w:trPr>
          <w:trHeight w:val="679"/>
          <w:jc w:val="center"/>
        </w:trPr>
        <w:tc>
          <w:tcPr>
            <w:tcW w:w="4068" w:type="dxa"/>
            <w:tcBorders>
              <w:top w:val="single" w:sz="8" w:space="0" w:color="auto"/>
              <w:left w:val="single" w:sz="8" w:space="0" w:color="auto"/>
              <w:bottom w:val="nil"/>
              <w:right w:val="nil"/>
            </w:tcBorders>
            <w:shd w:val="clear" w:color="auto" w:fill="auto"/>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Descripción</w:t>
            </w:r>
          </w:p>
        </w:tc>
        <w:tc>
          <w:tcPr>
            <w:tcW w:w="1119" w:type="dxa"/>
            <w:tcBorders>
              <w:top w:val="single" w:sz="8" w:space="0" w:color="auto"/>
              <w:left w:val="single" w:sz="8" w:space="0" w:color="auto"/>
              <w:bottom w:val="nil"/>
              <w:right w:val="single" w:sz="8" w:space="0" w:color="auto"/>
            </w:tcBorders>
            <w:shd w:val="clear" w:color="auto" w:fill="auto"/>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Observado</w:t>
            </w:r>
          </w:p>
        </w:tc>
        <w:tc>
          <w:tcPr>
            <w:tcW w:w="1782" w:type="dxa"/>
            <w:gridSpan w:val="2"/>
            <w:tcBorders>
              <w:top w:val="single" w:sz="8" w:space="0" w:color="auto"/>
              <w:left w:val="nil"/>
              <w:bottom w:val="nil"/>
              <w:right w:val="single" w:sz="8" w:space="0" w:color="000000"/>
            </w:tcBorders>
            <w:shd w:val="clear" w:color="auto" w:fill="auto"/>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Proyecciones</w:t>
            </w:r>
          </w:p>
        </w:tc>
        <w:tc>
          <w:tcPr>
            <w:tcW w:w="1782" w:type="dxa"/>
            <w:gridSpan w:val="2"/>
            <w:tcBorders>
              <w:top w:val="single" w:sz="8" w:space="0" w:color="auto"/>
              <w:left w:val="nil"/>
              <w:bottom w:val="nil"/>
              <w:right w:val="single" w:sz="8" w:space="0" w:color="000000"/>
            </w:tcBorders>
            <w:shd w:val="clear" w:color="auto" w:fill="auto"/>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Diferencia con la Actualización del WEO Enero 2017</w:t>
            </w:r>
          </w:p>
        </w:tc>
      </w:tr>
      <w:tr w:rsidR="00655131" w:rsidRPr="00E40CB9" w:rsidTr="00933CB9">
        <w:trPr>
          <w:trHeight w:val="271"/>
          <w:jc w:val="center"/>
        </w:trPr>
        <w:tc>
          <w:tcPr>
            <w:tcW w:w="4068" w:type="dxa"/>
            <w:tcBorders>
              <w:top w:val="nil"/>
              <w:left w:val="single" w:sz="8" w:space="0" w:color="auto"/>
              <w:bottom w:val="single" w:sz="8" w:space="0" w:color="auto"/>
              <w:right w:val="nil"/>
            </w:tcBorders>
            <w:shd w:val="clear" w:color="auto" w:fill="auto"/>
            <w:noWrap/>
            <w:vAlign w:val="bottom"/>
            <w:hideMark/>
          </w:tcPr>
          <w:p w:rsidR="00655131" w:rsidRPr="00F13D35" w:rsidRDefault="00655131" w:rsidP="00933CB9">
            <w:pPr>
              <w:spacing w:after="0" w:line="240" w:lineRule="auto"/>
              <w:rPr>
                <w:rFonts w:ascii="Times New Roman" w:eastAsia="Times New Roman" w:hAnsi="Times New Roman" w:cs="Times New Roman"/>
                <w:color w:val="000000"/>
                <w:sz w:val="18"/>
                <w:lang w:eastAsia="es-GT"/>
              </w:rPr>
            </w:pPr>
            <w:r w:rsidRPr="00F13D35">
              <w:rPr>
                <w:rFonts w:ascii="Times New Roman" w:eastAsia="Times New Roman" w:hAnsi="Times New Roman" w:cs="Times New Roman"/>
                <w:color w:val="000000"/>
                <w:sz w:val="18"/>
                <w:lang w:eastAsia="es-GT"/>
              </w:rPr>
              <w:t> </w:t>
            </w:r>
          </w:p>
        </w:tc>
        <w:tc>
          <w:tcPr>
            <w:tcW w:w="1119" w:type="dxa"/>
            <w:tcBorders>
              <w:top w:val="nil"/>
              <w:left w:val="single" w:sz="8" w:space="0" w:color="auto"/>
              <w:bottom w:val="single" w:sz="8" w:space="0" w:color="auto"/>
              <w:right w:val="single" w:sz="8" w:space="0" w:color="auto"/>
            </w:tcBorders>
            <w:shd w:val="clear" w:color="auto" w:fill="auto"/>
            <w:noWrap/>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2016</w:t>
            </w:r>
          </w:p>
        </w:tc>
        <w:tc>
          <w:tcPr>
            <w:tcW w:w="891" w:type="dxa"/>
            <w:tcBorders>
              <w:top w:val="nil"/>
              <w:left w:val="nil"/>
              <w:bottom w:val="single" w:sz="8" w:space="0" w:color="auto"/>
              <w:right w:val="nil"/>
            </w:tcBorders>
            <w:shd w:val="clear" w:color="auto" w:fill="auto"/>
            <w:noWrap/>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2017</w:t>
            </w:r>
          </w:p>
        </w:tc>
        <w:tc>
          <w:tcPr>
            <w:tcW w:w="891" w:type="dxa"/>
            <w:tcBorders>
              <w:top w:val="nil"/>
              <w:left w:val="nil"/>
              <w:bottom w:val="single" w:sz="8" w:space="0" w:color="auto"/>
              <w:right w:val="single" w:sz="8" w:space="0" w:color="auto"/>
            </w:tcBorders>
            <w:shd w:val="clear" w:color="auto" w:fill="auto"/>
            <w:noWrap/>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2018</w:t>
            </w:r>
          </w:p>
        </w:tc>
        <w:tc>
          <w:tcPr>
            <w:tcW w:w="891" w:type="dxa"/>
            <w:tcBorders>
              <w:top w:val="nil"/>
              <w:left w:val="nil"/>
              <w:bottom w:val="single" w:sz="8" w:space="0" w:color="auto"/>
              <w:right w:val="nil"/>
            </w:tcBorders>
            <w:shd w:val="clear" w:color="auto" w:fill="auto"/>
            <w:noWrap/>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2017</w:t>
            </w:r>
          </w:p>
        </w:tc>
        <w:tc>
          <w:tcPr>
            <w:tcW w:w="891" w:type="dxa"/>
            <w:tcBorders>
              <w:top w:val="nil"/>
              <w:left w:val="nil"/>
              <w:bottom w:val="single" w:sz="8" w:space="0" w:color="auto"/>
              <w:right w:val="single" w:sz="8" w:space="0" w:color="auto"/>
            </w:tcBorders>
            <w:shd w:val="clear" w:color="auto" w:fill="auto"/>
            <w:noWrap/>
            <w:vAlign w:val="center"/>
            <w:hideMark/>
          </w:tcPr>
          <w:p w:rsidR="00655131" w:rsidRPr="00F13D35" w:rsidRDefault="00655131" w:rsidP="00933CB9">
            <w:pPr>
              <w:spacing w:after="0" w:line="240" w:lineRule="auto"/>
              <w:jc w:val="center"/>
              <w:rPr>
                <w:rFonts w:ascii="Times New Roman" w:eastAsia="Times New Roman" w:hAnsi="Times New Roman" w:cs="Times New Roman"/>
                <w:b/>
                <w:bCs/>
                <w:color w:val="000000"/>
                <w:sz w:val="18"/>
                <w:lang w:eastAsia="es-GT"/>
              </w:rPr>
            </w:pPr>
            <w:r w:rsidRPr="00F13D35">
              <w:rPr>
                <w:rFonts w:ascii="Times New Roman" w:eastAsia="Times New Roman" w:hAnsi="Times New Roman" w:cs="Times New Roman"/>
                <w:b/>
                <w:bCs/>
                <w:color w:val="000000"/>
                <w:sz w:val="18"/>
                <w:lang w:eastAsia="es-GT"/>
              </w:rPr>
              <w:t>2018</w:t>
            </w:r>
          </w:p>
        </w:tc>
      </w:tr>
      <w:tr w:rsidR="00655131" w:rsidRPr="008514B8" w:rsidTr="00933CB9">
        <w:trPr>
          <w:trHeight w:val="248"/>
          <w:jc w:val="center"/>
        </w:trPr>
        <w:tc>
          <w:tcPr>
            <w:tcW w:w="4068" w:type="dxa"/>
            <w:tcBorders>
              <w:top w:val="nil"/>
              <w:left w:val="single" w:sz="8" w:space="0" w:color="auto"/>
              <w:bottom w:val="nil"/>
              <w:right w:val="nil"/>
            </w:tcBorders>
            <w:shd w:val="clear" w:color="000000" w:fill="B8CCE4"/>
            <w:noWrap/>
            <w:vAlign w:val="bottom"/>
            <w:hideMark/>
          </w:tcPr>
          <w:p w:rsidR="00655131" w:rsidRPr="00E40CB9" w:rsidRDefault="00655131" w:rsidP="00933CB9">
            <w:pPr>
              <w:spacing w:after="0" w:line="240" w:lineRule="auto"/>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Producto Mundial</w:t>
            </w:r>
          </w:p>
        </w:tc>
        <w:tc>
          <w:tcPr>
            <w:tcW w:w="1119" w:type="dxa"/>
            <w:tcBorders>
              <w:top w:val="nil"/>
              <w:left w:val="single" w:sz="8" w:space="0" w:color="auto"/>
              <w:bottom w:val="nil"/>
              <w:right w:val="single" w:sz="8" w:space="0" w:color="auto"/>
            </w:tcBorders>
            <w:shd w:val="clear" w:color="000000" w:fill="B8CCE4"/>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3.1</w:t>
            </w:r>
          </w:p>
        </w:tc>
        <w:tc>
          <w:tcPr>
            <w:tcW w:w="891" w:type="dxa"/>
            <w:tcBorders>
              <w:top w:val="nil"/>
              <w:left w:val="nil"/>
              <w:bottom w:val="nil"/>
              <w:right w:val="nil"/>
            </w:tcBorders>
            <w:shd w:val="clear" w:color="000000" w:fill="B8CCE4"/>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3.5</w:t>
            </w:r>
          </w:p>
        </w:tc>
        <w:tc>
          <w:tcPr>
            <w:tcW w:w="891" w:type="dxa"/>
            <w:tcBorders>
              <w:top w:val="nil"/>
              <w:left w:val="nil"/>
              <w:bottom w:val="nil"/>
              <w:right w:val="single" w:sz="8" w:space="0" w:color="auto"/>
            </w:tcBorders>
            <w:shd w:val="clear" w:color="000000" w:fill="B8CCE4"/>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3.4</w:t>
            </w:r>
          </w:p>
        </w:tc>
        <w:tc>
          <w:tcPr>
            <w:tcW w:w="891" w:type="dxa"/>
            <w:tcBorders>
              <w:top w:val="nil"/>
              <w:left w:val="nil"/>
              <w:bottom w:val="nil"/>
              <w:right w:val="nil"/>
            </w:tcBorders>
            <w:shd w:val="clear" w:color="000000" w:fill="B8CCE4"/>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0.1</w:t>
            </w:r>
          </w:p>
        </w:tc>
        <w:tc>
          <w:tcPr>
            <w:tcW w:w="891" w:type="dxa"/>
            <w:tcBorders>
              <w:top w:val="nil"/>
              <w:left w:val="nil"/>
              <w:bottom w:val="nil"/>
              <w:right w:val="single" w:sz="8" w:space="0" w:color="auto"/>
            </w:tcBorders>
            <w:shd w:val="clear" w:color="000000" w:fill="B8CCE4"/>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0.0</w:t>
            </w:r>
          </w:p>
        </w:tc>
      </w:tr>
      <w:tr w:rsidR="00655131" w:rsidRPr="008514B8" w:rsidTr="00933CB9">
        <w:trPr>
          <w:trHeight w:val="248"/>
          <w:jc w:val="center"/>
        </w:trPr>
        <w:tc>
          <w:tcPr>
            <w:tcW w:w="4068" w:type="dxa"/>
            <w:tcBorders>
              <w:top w:val="nil"/>
              <w:left w:val="single" w:sz="8" w:space="0" w:color="auto"/>
              <w:bottom w:val="nil"/>
              <w:right w:val="nil"/>
            </w:tcBorders>
            <w:shd w:val="clear" w:color="000000" w:fill="DCE6F1"/>
            <w:noWrap/>
            <w:vAlign w:val="bottom"/>
            <w:hideMark/>
          </w:tcPr>
          <w:p w:rsidR="00655131" w:rsidRPr="00E40CB9" w:rsidRDefault="00655131" w:rsidP="00933CB9">
            <w:pPr>
              <w:spacing w:after="0" w:line="240" w:lineRule="auto"/>
              <w:ind w:firstLineChars="200" w:firstLine="320"/>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Economías Avanzadas</w:t>
            </w:r>
          </w:p>
        </w:tc>
        <w:tc>
          <w:tcPr>
            <w:tcW w:w="1119" w:type="dxa"/>
            <w:tcBorders>
              <w:top w:val="nil"/>
              <w:left w:val="single" w:sz="8" w:space="0" w:color="auto"/>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1.7</w:t>
            </w:r>
          </w:p>
        </w:tc>
        <w:tc>
          <w:tcPr>
            <w:tcW w:w="891" w:type="dxa"/>
            <w:tcBorders>
              <w:top w:val="nil"/>
              <w:left w:val="nil"/>
              <w:bottom w:val="nil"/>
              <w:right w:val="nil"/>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2.0</w:t>
            </w:r>
          </w:p>
        </w:tc>
        <w:tc>
          <w:tcPr>
            <w:tcW w:w="891" w:type="dxa"/>
            <w:tcBorders>
              <w:top w:val="nil"/>
              <w:left w:val="nil"/>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2.0</w:t>
            </w:r>
          </w:p>
        </w:tc>
        <w:tc>
          <w:tcPr>
            <w:tcW w:w="891" w:type="dxa"/>
            <w:tcBorders>
              <w:top w:val="nil"/>
              <w:left w:val="nil"/>
              <w:bottom w:val="nil"/>
              <w:right w:val="nil"/>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0.1</w:t>
            </w:r>
          </w:p>
        </w:tc>
        <w:tc>
          <w:tcPr>
            <w:tcW w:w="891" w:type="dxa"/>
            <w:tcBorders>
              <w:top w:val="nil"/>
              <w:left w:val="nil"/>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0.0</w:t>
            </w:r>
          </w:p>
        </w:tc>
      </w:tr>
      <w:tr w:rsidR="00655131" w:rsidRPr="00E40CB9" w:rsidTr="00933CB9">
        <w:trPr>
          <w:trHeight w:val="248"/>
          <w:jc w:val="center"/>
        </w:trPr>
        <w:tc>
          <w:tcPr>
            <w:tcW w:w="4068" w:type="dxa"/>
            <w:tcBorders>
              <w:top w:val="nil"/>
              <w:left w:val="single" w:sz="8" w:space="0" w:color="auto"/>
              <w:bottom w:val="nil"/>
              <w:right w:val="nil"/>
            </w:tcBorders>
            <w:shd w:val="clear" w:color="auto" w:fill="auto"/>
            <w:noWrap/>
            <w:vAlign w:val="bottom"/>
            <w:hideMark/>
          </w:tcPr>
          <w:p w:rsidR="00655131" w:rsidRPr="00E40CB9" w:rsidRDefault="00655131" w:rsidP="00933CB9">
            <w:pPr>
              <w:spacing w:after="0" w:line="240" w:lineRule="auto"/>
              <w:ind w:firstLineChars="400" w:firstLine="640"/>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Estados Unidos</w:t>
            </w:r>
          </w:p>
        </w:tc>
        <w:tc>
          <w:tcPr>
            <w:tcW w:w="1119" w:type="dxa"/>
            <w:tcBorders>
              <w:top w:val="nil"/>
              <w:left w:val="single" w:sz="8" w:space="0" w:color="auto"/>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1.6</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2.3</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2.5</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0.0</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0.0</w:t>
            </w:r>
          </w:p>
        </w:tc>
      </w:tr>
      <w:tr w:rsidR="00655131" w:rsidRPr="00E40CB9" w:rsidTr="00933CB9">
        <w:trPr>
          <w:trHeight w:val="248"/>
          <w:jc w:val="center"/>
        </w:trPr>
        <w:tc>
          <w:tcPr>
            <w:tcW w:w="4068" w:type="dxa"/>
            <w:tcBorders>
              <w:top w:val="nil"/>
              <w:left w:val="single" w:sz="8" w:space="0" w:color="auto"/>
              <w:bottom w:val="nil"/>
              <w:right w:val="nil"/>
            </w:tcBorders>
            <w:shd w:val="clear" w:color="auto" w:fill="auto"/>
            <w:noWrap/>
            <w:vAlign w:val="bottom"/>
            <w:hideMark/>
          </w:tcPr>
          <w:p w:rsidR="00655131" w:rsidRPr="00E40CB9" w:rsidRDefault="00655131" w:rsidP="00933CB9">
            <w:pPr>
              <w:spacing w:after="0" w:line="240" w:lineRule="auto"/>
              <w:ind w:firstLineChars="400" w:firstLine="640"/>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Zona del Euro</w:t>
            </w:r>
          </w:p>
        </w:tc>
        <w:tc>
          <w:tcPr>
            <w:tcW w:w="1119" w:type="dxa"/>
            <w:tcBorders>
              <w:top w:val="nil"/>
              <w:left w:val="single" w:sz="8" w:space="0" w:color="auto"/>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1.7</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1.7</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1.6</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0.1</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0.0</w:t>
            </w:r>
          </w:p>
        </w:tc>
      </w:tr>
      <w:tr w:rsidR="00655131" w:rsidRPr="00E40CB9" w:rsidTr="00933CB9">
        <w:trPr>
          <w:trHeight w:val="248"/>
          <w:jc w:val="center"/>
        </w:trPr>
        <w:tc>
          <w:tcPr>
            <w:tcW w:w="4068" w:type="dxa"/>
            <w:tcBorders>
              <w:top w:val="nil"/>
              <w:left w:val="single" w:sz="8" w:space="0" w:color="auto"/>
              <w:bottom w:val="nil"/>
              <w:right w:val="nil"/>
            </w:tcBorders>
            <w:shd w:val="clear" w:color="auto" w:fill="auto"/>
            <w:noWrap/>
            <w:vAlign w:val="bottom"/>
            <w:hideMark/>
          </w:tcPr>
          <w:p w:rsidR="00655131" w:rsidRPr="00E40CB9" w:rsidRDefault="00655131" w:rsidP="00933CB9">
            <w:pPr>
              <w:spacing w:after="0" w:line="240" w:lineRule="auto"/>
              <w:ind w:firstLineChars="400" w:firstLine="640"/>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Japón</w:t>
            </w:r>
          </w:p>
        </w:tc>
        <w:tc>
          <w:tcPr>
            <w:tcW w:w="1119" w:type="dxa"/>
            <w:tcBorders>
              <w:top w:val="nil"/>
              <w:left w:val="single" w:sz="8" w:space="0" w:color="auto"/>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1.0</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1.2</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0.6</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0.4</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0.1</w:t>
            </w:r>
          </w:p>
        </w:tc>
      </w:tr>
      <w:tr w:rsidR="00655131" w:rsidRPr="008514B8" w:rsidTr="00933CB9">
        <w:trPr>
          <w:trHeight w:val="248"/>
          <w:jc w:val="center"/>
        </w:trPr>
        <w:tc>
          <w:tcPr>
            <w:tcW w:w="4068" w:type="dxa"/>
            <w:tcBorders>
              <w:top w:val="nil"/>
              <w:left w:val="single" w:sz="8" w:space="0" w:color="auto"/>
              <w:bottom w:val="nil"/>
              <w:right w:val="nil"/>
            </w:tcBorders>
            <w:shd w:val="clear" w:color="000000" w:fill="DCE6F1"/>
            <w:noWrap/>
            <w:vAlign w:val="bottom"/>
            <w:hideMark/>
          </w:tcPr>
          <w:p w:rsidR="00655131" w:rsidRPr="00E40CB9" w:rsidRDefault="00655131" w:rsidP="00955B30">
            <w:pPr>
              <w:spacing w:after="0" w:line="240" w:lineRule="auto"/>
              <w:ind w:firstLineChars="200" w:firstLine="321"/>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Economías de mercados emergentes y en desarrollo</w:t>
            </w:r>
          </w:p>
        </w:tc>
        <w:tc>
          <w:tcPr>
            <w:tcW w:w="1119" w:type="dxa"/>
            <w:tcBorders>
              <w:top w:val="nil"/>
              <w:left w:val="single" w:sz="8" w:space="0" w:color="auto"/>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4.1</w:t>
            </w:r>
          </w:p>
        </w:tc>
        <w:tc>
          <w:tcPr>
            <w:tcW w:w="891" w:type="dxa"/>
            <w:tcBorders>
              <w:top w:val="nil"/>
              <w:left w:val="nil"/>
              <w:bottom w:val="nil"/>
              <w:right w:val="nil"/>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4.5</w:t>
            </w:r>
          </w:p>
        </w:tc>
        <w:tc>
          <w:tcPr>
            <w:tcW w:w="891" w:type="dxa"/>
            <w:tcBorders>
              <w:top w:val="nil"/>
              <w:left w:val="nil"/>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4.8</w:t>
            </w:r>
          </w:p>
        </w:tc>
        <w:tc>
          <w:tcPr>
            <w:tcW w:w="891" w:type="dxa"/>
            <w:tcBorders>
              <w:top w:val="nil"/>
              <w:left w:val="nil"/>
              <w:bottom w:val="nil"/>
              <w:right w:val="nil"/>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0.0</w:t>
            </w:r>
          </w:p>
        </w:tc>
        <w:tc>
          <w:tcPr>
            <w:tcW w:w="891" w:type="dxa"/>
            <w:tcBorders>
              <w:top w:val="nil"/>
              <w:left w:val="nil"/>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0.0</w:t>
            </w:r>
          </w:p>
        </w:tc>
      </w:tr>
      <w:tr w:rsidR="00655131" w:rsidRPr="00E40CB9" w:rsidTr="00933CB9">
        <w:trPr>
          <w:trHeight w:val="248"/>
          <w:jc w:val="center"/>
        </w:trPr>
        <w:tc>
          <w:tcPr>
            <w:tcW w:w="4068" w:type="dxa"/>
            <w:tcBorders>
              <w:top w:val="nil"/>
              <w:left w:val="single" w:sz="8" w:space="0" w:color="auto"/>
              <w:bottom w:val="nil"/>
              <w:right w:val="nil"/>
            </w:tcBorders>
            <w:shd w:val="clear" w:color="auto" w:fill="auto"/>
            <w:noWrap/>
            <w:vAlign w:val="bottom"/>
            <w:hideMark/>
          </w:tcPr>
          <w:p w:rsidR="00655131" w:rsidRPr="00E40CB9" w:rsidRDefault="00655131" w:rsidP="00933CB9">
            <w:pPr>
              <w:spacing w:after="0" w:line="240" w:lineRule="auto"/>
              <w:ind w:firstLineChars="400" w:firstLine="640"/>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 xml:space="preserve">China </w:t>
            </w:r>
          </w:p>
        </w:tc>
        <w:tc>
          <w:tcPr>
            <w:tcW w:w="1119" w:type="dxa"/>
            <w:tcBorders>
              <w:top w:val="nil"/>
              <w:left w:val="single" w:sz="8" w:space="0" w:color="auto"/>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6.7</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6.6</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6.2</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0.1</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0.2</w:t>
            </w:r>
          </w:p>
        </w:tc>
      </w:tr>
      <w:tr w:rsidR="00655131" w:rsidRPr="00E40CB9" w:rsidTr="00933CB9">
        <w:trPr>
          <w:trHeight w:val="248"/>
          <w:jc w:val="center"/>
        </w:trPr>
        <w:tc>
          <w:tcPr>
            <w:tcW w:w="4068" w:type="dxa"/>
            <w:tcBorders>
              <w:top w:val="nil"/>
              <w:left w:val="single" w:sz="8" w:space="0" w:color="auto"/>
              <w:bottom w:val="nil"/>
              <w:right w:val="nil"/>
            </w:tcBorders>
            <w:shd w:val="clear" w:color="auto" w:fill="auto"/>
            <w:noWrap/>
            <w:vAlign w:val="bottom"/>
            <w:hideMark/>
          </w:tcPr>
          <w:p w:rsidR="00655131" w:rsidRPr="00E40CB9" w:rsidRDefault="00655131" w:rsidP="00933CB9">
            <w:pPr>
              <w:spacing w:after="0" w:line="240" w:lineRule="auto"/>
              <w:ind w:firstLineChars="400" w:firstLine="640"/>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India</w:t>
            </w:r>
          </w:p>
        </w:tc>
        <w:tc>
          <w:tcPr>
            <w:tcW w:w="1119" w:type="dxa"/>
            <w:tcBorders>
              <w:top w:val="nil"/>
              <w:left w:val="single" w:sz="8" w:space="0" w:color="auto"/>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6.8</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7.2</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7.7</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0.0</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0.0</w:t>
            </w:r>
          </w:p>
        </w:tc>
      </w:tr>
      <w:tr w:rsidR="00655131" w:rsidRPr="008514B8" w:rsidTr="00933CB9">
        <w:trPr>
          <w:trHeight w:val="248"/>
          <w:jc w:val="center"/>
        </w:trPr>
        <w:tc>
          <w:tcPr>
            <w:tcW w:w="4068" w:type="dxa"/>
            <w:tcBorders>
              <w:top w:val="nil"/>
              <w:left w:val="single" w:sz="8" w:space="0" w:color="auto"/>
              <w:bottom w:val="nil"/>
              <w:right w:val="nil"/>
            </w:tcBorders>
            <w:shd w:val="clear" w:color="000000" w:fill="DCE6F1"/>
            <w:noWrap/>
            <w:vAlign w:val="bottom"/>
            <w:hideMark/>
          </w:tcPr>
          <w:p w:rsidR="00655131" w:rsidRPr="00E40CB9" w:rsidRDefault="00655131" w:rsidP="00955B30">
            <w:pPr>
              <w:spacing w:after="0" w:line="240" w:lineRule="auto"/>
              <w:ind w:firstLineChars="400" w:firstLine="643"/>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América Latina y el Caribe</w:t>
            </w:r>
          </w:p>
        </w:tc>
        <w:tc>
          <w:tcPr>
            <w:tcW w:w="1119" w:type="dxa"/>
            <w:tcBorders>
              <w:top w:val="nil"/>
              <w:left w:val="single" w:sz="8" w:space="0" w:color="auto"/>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-1.0</w:t>
            </w:r>
          </w:p>
        </w:tc>
        <w:tc>
          <w:tcPr>
            <w:tcW w:w="891" w:type="dxa"/>
            <w:tcBorders>
              <w:top w:val="nil"/>
              <w:left w:val="nil"/>
              <w:bottom w:val="nil"/>
              <w:right w:val="nil"/>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1.1</w:t>
            </w:r>
          </w:p>
        </w:tc>
        <w:tc>
          <w:tcPr>
            <w:tcW w:w="891" w:type="dxa"/>
            <w:tcBorders>
              <w:top w:val="nil"/>
              <w:left w:val="nil"/>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2.0</w:t>
            </w:r>
          </w:p>
        </w:tc>
        <w:tc>
          <w:tcPr>
            <w:tcW w:w="891" w:type="dxa"/>
            <w:tcBorders>
              <w:top w:val="nil"/>
              <w:left w:val="nil"/>
              <w:bottom w:val="nil"/>
              <w:right w:val="nil"/>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-0.1</w:t>
            </w:r>
          </w:p>
        </w:tc>
        <w:tc>
          <w:tcPr>
            <w:tcW w:w="891" w:type="dxa"/>
            <w:tcBorders>
              <w:top w:val="nil"/>
              <w:left w:val="nil"/>
              <w:bottom w:val="nil"/>
              <w:right w:val="single" w:sz="8" w:space="0" w:color="auto"/>
            </w:tcBorders>
            <w:shd w:val="clear" w:color="000000" w:fill="DCE6F1"/>
            <w:noWrap/>
            <w:vAlign w:val="bottom"/>
            <w:hideMark/>
          </w:tcPr>
          <w:p w:rsidR="00655131" w:rsidRPr="00E40CB9" w:rsidRDefault="00655131" w:rsidP="00933CB9">
            <w:pPr>
              <w:spacing w:after="0" w:line="240" w:lineRule="auto"/>
              <w:jc w:val="center"/>
              <w:rPr>
                <w:rFonts w:ascii="Times New Roman" w:eastAsia="Times New Roman" w:hAnsi="Times New Roman" w:cs="Times New Roman"/>
                <w:b/>
                <w:bCs/>
                <w:color w:val="000000"/>
                <w:sz w:val="16"/>
                <w:lang w:eastAsia="es-GT"/>
              </w:rPr>
            </w:pPr>
            <w:r w:rsidRPr="00E40CB9">
              <w:rPr>
                <w:rFonts w:ascii="Times New Roman" w:eastAsia="Times New Roman" w:hAnsi="Times New Roman" w:cs="Times New Roman"/>
                <w:b/>
                <w:bCs/>
                <w:color w:val="000000"/>
                <w:sz w:val="16"/>
                <w:lang w:eastAsia="es-GT"/>
              </w:rPr>
              <w:t>-0.1</w:t>
            </w:r>
          </w:p>
        </w:tc>
      </w:tr>
      <w:tr w:rsidR="00655131" w:rsidRPr="00E40CB9" w:rsidTr="00933CB9">
        <w:trPr>
          <w:trHeight w:val="248"/>
          <w:jc w:val="center"/>
        </w:trPr>
        <w:tc>
          <w:tcPr>
            <w:tcW w:w="4068" w:type="dxa"/>
            <w:tcBorders>
              <w:top w:val="nil"/>
              <w:left w:val="single" w:sz="8" w:space="0" w:color="auto"/>
              <w:bottom w:val="nil"/>
              <w:right w:val="nil"/>
            </w:tcBorders>
            <w:shd w:val="clear" w:color="auto" w:fill="auto"/>
            <w:noWrap/>
            <w:vAlign w:val="bottom"/>
            <w:hideMark/>
          </w:tcPr>
          <w:p w:rsidR="00655131" w:rsidRPr="00E40CB9" w:rsidRDefault="00655131" w:rsidP="00933CB9">
            <w:pPr>
              <w:spacing w:after="0" w:line="240" w:lineRule="auto"/>
              <w:ind w:firstLineChars="600" w:firstLine="960"/>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 xml:space="preserve">Brasil </w:t>
            </w:r>
          </w:p>
        </w:tc>
        <w:tc>
          <w:tcPr>
            <w:tcW w:w="1119" w:type="dxa"/>
            <w:tcBorders>
              <w:top w:val="nil"/>
              <w:left w:val="single" w:sz="8" w:space="0" w:color="auto"/>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-3.6</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0.2</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1.7</w:t>
            </w:r>
          </w:p>
        </w:tc>
        <w:tc>
          <w:tcPr>
            <w:tcW w:w="891" w:type="dxa"/>
            <w:tcBorders>
              <w:top w:val="nil"/>
              <w:left w:val="nil"/>
              <w:bottom w:val="nil"/>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0.0</w:t>
            </w:r>
          </w:p>
        </w:tc>
        <w:tc>
          <w:tcPr>
            <w:tcW w:w="891" w:type="dxa"/>
            <w:tcBorders>
              <w:top w:val="nil"/>
              <w:left w:val="nil"/>
              <w:bottom w:val="nil"/>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0.2</w:t>
            </w:r>
          </w:p>
        </w:tc>
      </w:tr>
      <w:tr w:rsidR="00655131" w:rsidRPr="00E40CB9" w:rsidTr="00933CB9">
        <w:trPr>
          <w:trHeight w:val="260"/>
          <w:jc w:val="center"/>
        </w:trPr>
        <w:tc>
          <w:tcPr>
            <w:tcW w:w="4068" w:type="dxa"/>
            <w:tcBorders>
              <w:top w:val="nil"/>
              <w:left w:val="single" w:sz="8" w:space="0" w:color="auto"/>
              <w:bottom w:val="single" w:sz="8" w:space="0" w:color="auto"/>
              <w:right w:val="nil"/>
            </w:tcBorders>
            <w:shd w:val="clear" w:color="auto" w:fill="auto"/>
            <w:noWrap/>
            <w:vAlign w:val="bottom"/>
            <w:hideMark/>
          </w:tcPr>
          <w:p w:rsidR="00655131" w:rsidRPr="00E40CB9" w:rsidRDefault="00655131" w:rsidP="00933CB9">
            <w:pPr>
              <w:spacing w:after="0" w:line="240" w:lineRule="auto"/>
              <w:ind w:firstLineChars="600" w:firstLine="960"/>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México</w:t>
            </w:r>
          </w:p>
        </w:tc>
        <w:tc>
          <w:tcPr>
            <w:tcW w:w="1119" w:type="dxa"/>
            <w:tcBorders>
              <w:top w:val="nil"/>
              <w:left w:val="single" w:sz="8" w:space="0" w:color="auto"/>
              <w:bottom w:val="single" w:sz="8" w:space="0" w:color="auto"/>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2.3</w:t>
            </w:r>
          </w:p>
        </w:tc>
        <w:tc>
          <w:tcPr>
            <w:tcW w:w="891" w:type="dxa"/>
            <w:tcBorders>
              <w:top w:val="nil"/>
              <w:left w:val="nil"/>
              <w:bottom w:val="single" w:sz="8" w:space="0" w:color="auto"/>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1.7</w:t>
            </w:r>
          </w:p>
        </w:tc>
        <w:tc>
          <w:tcPr>
            <w:tcW w:w="891" w:type="dxa"/>
            <w:tcBorders>
              <w:top w:val="nil"/>
              <w:left w:val="nil"/>
              <w:bottom w:val="single" w:sz="8" w:space="0" w:color="auto"/>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2.0</w:t>
            </w:r>
          </w:p>
        </w:tc>
        <w:tc>
          <w:tcPr>
            <w:tcW w:w="891" w:type="dxa"/>
            <w:tcBorders>
              <w:top w:val="nil"/>
              <w:left w:val="nil"/>
              <w:bottom w:val="single" w:sz="8" w:space="0" w:color="auto"/>
              <w:right w:val="nil"/>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-0.1</w:t>
            </w:r>
          </w:p>
        </w:tc>
        <w:tc>
          <w:tcPr>
            <w:tcW w:w="891" w:type="dxa"/>
            <w:tcBorders>
              <w:top w:val="nil"/>
              <w:left w:val="nil"/>
              <w:bottom w:val="single" w:sz="8" w:space="0" w:color="auto"/>
              <w:right w:val="single" w:sz="8" w:space="0" w:color="auto"/>
            </w:tcBorders>
            <w:shd w:val="clear" w:color="auto" w:fill="auto"/>
            <w:noWrap/>
            <w:vAlign w:val="bottom"/>
            <w:hideMark/>
          </w:tcPr>
          <w:p w:rsidR="00655131" w:rsidRPr="00E40CB9" w:rsidRDefault="00655131" w:rsidP="00933CB9">
            <w:pPr>
              <w:spacing w:after="0" w:line="240" w:lineRule="auto"/>
              <w:jc w:val="center"/>
              <w:rPr>
                <w:rFonts w:ascii="Times New Roman" w:eastAsia="Times New Roman" w:hAnsi="Times New Roman" w:cs="Times New Roman"/>
                <w:color w:val="000000"/>
                <w:sz w:val="16"/>
                <w:lang w:eastAsia="es-GT"/>
              </w:rPr>
            </w:pPr>
            <w:r w:rsidRPr="00E40CB9">
              <w:rPr>
                <w:rFonts w:ascii="Times New Roman" w:eastAsia="Times New Roman" w:hAnsi="Times New Roman" w:cs="Times New Roman"/>
                <w:color w:val="000000"/>
                <w:sz w:val="16"/>
                <w:lang w:eastAsia="es-GT"/>
              </w:rPr>
              <w:t>-0.1</w:t>
            </w:r>
          </w:p>
        </w:tc>
      </w:tr>
    </w:tbl>
    <w:p w:rsidR="00655131" w:rsidRPr="000574C8" w:rsidRDefault="00655131" w:rsidP="00655131">
      <w:pPr>
        <w:pStyle w:val="Sinespaciado"/>
        <w:jc w:val="both"/>
        <w:rPr>
          <w:rFonts w:ascii="Times New Roman" w:hAnsi="Times New Roman" w:cs="Times New Roman"/>
          <w:sz w:val="16"/>
          <w:lang w:val="es-MX"/>
        </w:rPr>
      </w:pPr>
      <w:r w:rsidRPr="000574C8">
        <w:rPr>
          <w:rFonts w:ascii="Times New Roman" w:hAnsi="Times New Roman" w:cs="Times New Roman"/>
          <w:sz w:val="16"/>
          <w:lang w:val="es-MX"/>
        </w:rPr>
        <w:t>Fuente: Fondo Monetario Internacional WEO abril 2017</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jc w:val="both"/>
        <w:rPr>
          <w:rFonts w:ascii="Times New Roman" w:hAnsi="Times New Roman" w:cs="Times New Roman"/>
          <w:sz w:val="24"/>
          <w:lang w:val="es-MX"/>
        </w:rPr>
      </w:pPr>
      <w:r>
        <w:rPr>
          <w:rFonts w:ascii="Times New Roman" w:hAnsi="Times New Roman" w:cs="Times New Roman"/>
          <w:sz w:val="24"/>
          <w:lang w:val="es-MX"/>
        </w:rPr>
        <w:t>Ante los eventos económicos recientes, p</w:t>
      </w:r>
      <w:r w:rsidRPr="00714C9F">
        <w:rPr>
          <w:rFonts w:ascii="Times New Roman" w:hAnsi="Times New Roman" w:cs="Times New Roman"/>
          <w:sz w:val="24"/>
          <w:lang w:val="es-MX"/>
        </w:rPr>
        <w:t>ersiste el interrogante</w:t>
      </w:r>
      <w:r>
        <w:rPr>
          <w:rFonts w:ascii="Times New Roman" w:hAnsi="Times New Roman" w:cs="Times New Roman"/>
          <w:sz w:val="24"/>
          <w:lang w:val="es-MX"/>
        </w:rPr>
        <w:t xml:space="preserve"> por parte de los analistas</w:t>
      </w:r>
      <w:r w:rsidRPr="00714C9F">
        <w:rPr>
          <w:rFonts w:ascii="Times New Roman" w:hAnsi="Times New Roman" w:cs="Times New Roman"/>
          <w:sz w:val="24"/>
          <w:lang w:val="es-MX"/>
        </w:rPr>
        <w:t xml:space="preserve"> de si podrá mantenerse el impulso </w:t>
      </w:r>
      <w:r>
        <w:rPr>
          <w:rFonts w:ascii="Times New Roman" w:hAnsi="Times New Roman" w:cs="Times New Roman"/>
          <w:sz w:val="24"/>
          <w:lang w:val="es-MX"/>
        </w:rPr>
        <w:t xml:space="preserve">económico </w:t>
      </w:r>
      <w:r w:rsidRPr="00714C9F">
        <w:rPr>
          <w:rFonts w:ascii="Times New Roman" w:hAnsi="Times New Roman" w:cs="Times New Roman"/>
          <w:sz w:val="24"/>
          <w:lang w:val="es-MX"/>
        </w:rPr>
        <w:t xml:space="preserve">actual. </w:t>
      </w:r>
      <w:r>
        <w:rPr>
          <w:rFonts w:ascii="Times New Roman" w:hAnsi="Times New Roman" w:cs="Times New Roman"/>
          <w:sz w:val="24"/>
          <w:lang w:val="es-MX"/>
        </w:rPr>
        <w:t>En ese sentido, el Fondo Monetario Internacional y otros Organismos Internacionales</w:t>
      </w:r>
      <w:r w:rsidR="002A14DD">
        <w:rPr>
          <w:rFonts w:ascii="Times New Roman" w:hAnsi="Times New Roman" w:cs="Times New Roman"/>
          <w:sz w:val="24"/>
          <w:lang w:val="es-MX"/>
        </w:rPr>
        <w:t>,</w:t>
      </w:r>
      <w:r>
        <w:rPr>
          <w:rFonts w:ascii="Times New Roman" w:hAnsi="Times New Roman" w:cs="Times New Roman"/>
          <w:sz w:val="24"/>
          <w:lang w:val="es-MX"/>
        </w:rPr>
        <w:t xml:space="preserve"> indican que s</w:t>
      </w:r>
      <w:r w:rsidRPr="00714C9F">
        <w:rPr>
          <w:rFonts w:ascii="Times New Roman" w:hAnsi="Times New Roman" w:cs="Times New Roman"/>
          <w:sz w:val="24"/>
          <w:lang w:val="es-MX"/>
        </w:rPr>
        <w:t xml:space="preserve">e presentan posibilidades claras de una evolución positiva. </w:t>
      </w:r>
      <w:r>
        <w:rPr>
          <w:rFonts w:ascii="Times New Roman" w:hAnsi="Times New Roman" w:cs="Times New Roman"/>
          <w:sz w:val="24"/>
          <w:lang w:val="es-MX"/>
        </w:rPr>
        <w:t xml:space="preserve">  </w:t>
      </w:r>
      <w:r w:rsidRPr="00714C9F">
        <w:rPr>
          <w:rFonts w:ascii="Times New Roman" w:hAnsi="Times New Roman" w:cs="Times New Roman"/>
          <w:sz w:val="24"/>
          <w:lang w:val="es-MX"/>
        </w:rPr>
        <w:t>En las economías avanzadas, la confianza de los consumidores y las empresas podría seguir mejorando, aunque los indicadores de confianza ya muestran niveles</w:t>
      </w:r>
      <w:r>
        <w:rPr>
          <w:rFonts w:ascii="Times New Roman" w:hAnsi="Times New Roman" w:cs="Times New Roman"/>
          <w:sz w:val="24"/>
          <w:lang w:val="es-MX"/>
        </w:rPr>
        <w:t xml:space="preserve"> relativamente elevados.  </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jc w:val="both"/>
        <w:rPr>
          <w:rFonts w:ascii="Times New Roman" w:hAnsi="Times New Roman" w:cs="Times New Roman"/>
          <w:sz w:val="24"/>
          <w:lang w:val="es-MX"/>
        </w:rPr>
      </w:pPr>
      <w:r>
        <w:rPr>
          <w:rFonts w:ascii="Times New Roman" w:hAnsi="Times New Roman" w:cs="Times New Roman"/>
          <w:sz w:val="24"/>
          <w:lang w:val="es-MX"/>
        </w:rPr>
        <w:t xml:space="preserve">Por </w:t>
      </w:r>
      <w:r w:rsidRPr="00714C9F">
        <w:rPr>
          <w:rFonts w:ascii="Times New Roman" w:hAnsi="Times New Roman" w:cs="Times New Roman"/>
          <w:sz w:val="24"/>
          <w:lang w:val="es-MX"/>
        </w:rPr>
        <w:t xml:space="preserve">otro lado, la economía mundial aún enfrenta riesgos importantes </w:t>
      </w:r>
      <w:r>
        <w:rPr>
          <w:rFonts w:ascii="Times New Roman" w:hAnsi="Times New Roman" w:cs="Times New Roman"/>
          <w:sz w:val="24"/>
          <w:lang w:val="es-MX"/>
        </w:rPr>
        <w:t xml:space="preserve">que </w:t>
      </w:r>
      <w:r w:rsidRPr="00714C9F">
        <w:rPr>
          <w:rFonts w:ascii="Times New Roman" w:hAnsi="Times New Roman" w:cs="Times New Roman"/>
          <w:sz w:val="24"/>
          <w:lang w:val="es-MX"/>
        </w:rPr>
        <w:t xml:space="preserve">amenazan </w:t>
      </w:r>
      <w:r>
        <w:rPr>
          <w:rFonts w:ascii="Times New Roman" w:hAnsi="Times New Roman" w:cs="Times New Roman"/>
          <w:sz w:val="24"/>
          <w:lang w:val="es-MX"/>
        </w:rPr>
        <w:t xml:space="preserve">la evolución de las proyecciones como por ejemplo </w:t>
      </w:r>
      <w:r w:rsidRPr="00714C9F">
        <w:rPr>
          <w:rFonts w:ascii="Times New Roman" w:hAnsi="Times New Roman" w:cs="Times New Roman"/>
          <w:sz w:val="24"/>
          <w:lang w:val="es-MX"/>
        </w:rPr>
        <w:t xml:space="preserve">la incertidumbre en torno a las políticas macroeconómicas en las dos mayores economías mundiales. La Reserva Federal de Estados Unidos ha iniciado el proceso de normalización monetaria y </w:t>
      </w:r>
      <w:r>
        <w:rPr>
          <w:rFonts w:ascii="Times New Roman" w:hAnsi="Times New Roman" w:cs="Times New Roman"/>
          <w:sz w:val="24"/>
          <w:lang w:val="es-MX"/>
        </w:rPr>
        <w:t>comenzará</w:t>
      </w:r>
      <w:r w:rsidRPr="00714C9F">
        <w:rPr>
          <w:rFonts w:ascii="Times New Roman" w:hAnsi="Times New Roman" w:cs="Times New Roman"/>
          <w:sz w:val="24"/>
          <w:lang w:val="es-MX"/>
        </w:rPr>
        <w:t xml:space="preserve"> a redimensionar su balance.</w:t>
      </w:r>
      <w:r>
        <w:rPr>
          <w:rFonts w:ascii="Times New Roman" w:hAnsi="Times New Roman" w:cs="Times New Roman"/>
          <w:sz w:val="24"/>
          <w:lang w:val="es-MX"/>
        </w:rPr>
        <w:t xml:space="preserve"> </w:t>
      </w:r>
      <w:r w:rsidRPr="00714C9F">
        <w:rPr>
          <w:rFonts w:ascii="Times New Roman" w:hAnsi="Times New Roman" w:cs="Times New Roman"/>
          <w:sz w:val="24"/>
          <w:lang w:val="es-MX"/>
        </w:rPr>
        <w:t xml:space="preserve"> Sin embargo, al mismo tiempo parecería que la política fiscal estadounidense será más expansiva en los próximos dos años.  Si el grado de capacidad ociosa remanente en la economía estadounidense es pequeño, existe la posibilidad de inflación y de un aumento de las tasas de interés más rápido que el previsto, lo cual podría provocar una brusca apreciación del dólar y podría generar dificultades para las economías de mercados emergentes y en desarrollo, sobre todo aquellas economías cuya moneda está vinculada al dólar o que tienen fuertes pasivos en dólares. </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jc w:val="both"/>
        <w:rPr>
          <w:rFonts w:ascii="Times New Roman" w:hAnsi="Times New Roman" w:cs="Times New Roman"/>
          <w:sz w:val="24"/>
          <w:lang w:val="es-MX"/>
        </w:rPr>
      </w:pPr>
      <w:r>
        <w:rPr>
          <w:rFonts w:ascii="Times New Roman" w:hAnsi="Times New Roman" w:cs="Times New Roman"/>
          <w:sz w:val="24"/>
          <w:lang w:val="es-MX"/>
        </w:rPr>
        <w:t xml:space="preserve">Por su parte, </w:t>
      </w:r>
      <w:r w:rsidRPr="00714C9F">
        <w:rPr>
          <w:rFonts w:ascii="Times New Roman" w:hAnsi="Times New Roman" w:cs="Times New Roman"/>
          <w:sz w:val="24"/>
          <w:lang w:val="es-MX"/>
        </w:rPr>
        <w:t>China continúa un beneficioso proceso de reequilibramiento, que se observa en la reduc</w:t>
      </w:r>
      <w:r>
        <w:rPr>
          <w:rFonts w:ascii="Times New Roman" w:hAnsi="Times New Roman" w:cs="Times New Roman"/>
          <w:sz w:val="24"/>
          <w:lang w:val="es-MX"/>
        </w:rPr>
        <w:t>c</w:t>
      </w:r>
      <w:r w:rsidRPr="00714C9F">
        <w:rPr>
          <w:rFonts w:ascii="Times New Roman" w:hAnsi="Times New Roman" w:cs="Times New Roman"/>
          <w:sz w:val="24"/>
          <w:lang w:val="es-MX"/>
        </w:rPr>
        <w:t>ión del superávit en cuenta corriente y el aumento de los servicios como proporción del PIB; con todo, el crecimiento ha seguido apoyándose en un aumento del crédito interno tan rápido que podría causar problemas de estabilidad financiera más adelante. A su vez, estos problemas podrían propagarse a otros países.</w:t>
      </w:r>
    </w:p>
    <w:p w:rsidR="00655131" w:rsidRDefault="00655131" w:rsidP="00655131">
      <w:pPr>
        <w:pStyle w:val="Sinespaciado"/>
        <w:jc w:val="both"/>
        <w:rPr>
          <w:rFonts w:ascii="Times New Roman" w:hAnsi="Times New Roman" w:cs="Times New Roman"/>
          <w:sz w:val="24"/>
          <w:lang w:val="es-MX"/>
        </w:rPr>
      </w:pPr>
    </w:p>
    <w:p w:rsidR="00D5489E" w:rsidRDefault="00D5489E" w:rsidP="00655131">
      <w:pPr>
        <w:pStyle w:val="Sinespaciado"/>
        <w:jc w:val="both"/>
        <w:rPr>
          <w:rFonts w:ascii="Times New Roman" w:hAnsi="Times New Roman" w:cs="Times New Roman"/>
          <w:sz w:val="24"/>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48"/>
      </w:tblGrid>
      <w:tr w:rsidR="00655131" w:rsidRPr="00166006" w:rsidTr="00933CB9">
        <w:tc>
          <w:tcPr>
            <w:tcW w:w="9054" w:type="dxa"/>
            <w:gridSpan w:val="2"/>
          </w:tcPr>
          <w:p w:rsidR="00EB26F9" w:rsidRDefault="00BF6106" w:rsidP="00933CB9">
            <w:pPr>
              <w:pStyle w:val="Sinespaciado"/>
              <w:jc w:val="center"/>
              <w:rPr>
                <w:rFonts w:ascii="Times New Roman" w:hAnsi="Times New Roman" w:cs="Times New Roman"/>
                <w:b/>
                <w:sz w:val="24"/>
                <w:lang w:val="es-MX"/>
              </w:rPr>
            </w:pPr>
            <w:r>
              <w:rPr>
                <w:rFonts w:ascii="Times New Roman" w:hAnsi="Times New Roman" w:cs="Times New Roman"/>
                <w:b/>
                <w:sz w:val="24"/>
                <w:lang w:val="es-MX"/>
              </w:rPr>
              <w:t>Gráfica 5</w:t>
            </w:r>
          </w:p>
          <w:p w:rsidR="00655131" w:rsidRDefault="00655131" w:rsidP="00933CB9">
            <w:pPr>
              <w:pStyle w:val="Sinespaciado"/>
              <w:jc w:val="center"/>
              <w:rPr>
                <w:rFonts w:ascii="Times New Roman" w:hAnsi="Times New Roman" w:cs="Times New Roman"/>
                <w:b/>
                <w:sz w:val="24"/>
                <w:lang w:val="es-MX"/>
              </w:rPr>
            </w:pPr>
            <w:r w:rsidRPr="005A4DA4">
              <w:rPr>
                <w:rFonts w:ascii="Times New Roman" w:hAnsi="Times New Roman" w:cs="Times New Roman"/>
                <w:b/>
                <w:sz w:val="24"/>
                <w:lang w:val="es-MX"/>
              </w:rPr>
              <w:t>Principales riesgos para las perspectivas mundiales</w:t>
            </w:r>
          </w:p>
          <w:p w:rsidR="00655131" w:rsidRPr="005A4DA4" w:rsidRDefault="00655131" w:rsidP="00933CB9">
            <w:pPr>
              <w:pStyle w:val="Sinespaciado"/>
              <w:jc w:val="center"/>
              <w:rPr>
                <w:rFonts w:ascii="Times New Roman" w:hAnsi="Times New Roman" w:cs="Times New Roman"/>
                <w:b/>
                <w:sz w:val="18"/>
                <w:lang w:val="es-MX"/>
              </w:rPr>
            </w:pPr>
          </w:p>
        </w:tc>
      </w:tr>
      <w:tr w:rsidR="00655131" w:rsidTr="00933CB9">
        <w:tc>
          <w:tcPr>
            <w:tcW w:w="4580" w:type="dxa"/>
          </w:tcPr>
          <w:p w:rsidR="00655131" w:rsidRDefault="00655131" w:rsidP="00933CB9">
            <w:pPr>
              <w:pStyle w:val="Sinespaciado"/>
              <w:jc w:val="both"/>
              <w:rPr>
                <w:rFonts w:ascii="Times New Roman" w:hAnsi="Times New Roman" w:cs="Times New Roman"/>
                <w:sz w:val="24"/>
                <w:lang w:val="es-MX"/>
              </w:rPr>
            </w:pPr>
            <w:r>
              <w:rPr>
                <w:rFonts w:ascii="Times New Roman" w:hAnsi="Times New Roman" w:cs="Times New Roman"/>
                <w:noProof/>
                <w:sz w:val="24"/>
                <w:lang w:eastAsia="es-GT"/>
              </w:rPr>
              <w:drawing>
                <wp:inline distT="0" distB="0" distL="0" distR="0" wp14:anchorId="0487E5B9" wp14:editId="6C849331">
                  <wp:extent cx="2626894" cy="1784639"/>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8484" cy="1799307"/>
                          </a:xfrm>
                          <a:prstGeom prst="rect">
                            <a:avLst/>
                          </a:prstGeom>
                          <a:noFill/>
                          <a:ln>
                            <a:noFill/>
                          </a:ln>
                        </pic:spPr>
                      </pic:pic>
                    </a:graphicData>
                  </a:graphic>
                </wp:inline>
              </w:drawing>
            </w:r>
          </w:p>
        </w:tc>
        <w:tc>
          <w:tcPr>
            <w:tcW w:w="4474" w:type="dxa"/>
          </w:tcPr>
          <w:p w:rsidR="00655131" w:rsidRDefault="00655131" w:rsidP="00933CB9">
            <w:pPr>
              <w:pStyle w:val="Sinespaciado"/>
              <w:jc w:val="both"/>
              <w:rPr>
                <w:rFonts w:ascii="Times New Roman" w:hAnsi="Times New Roman" w:cs="Times New Roman"/>
                <w:sz w:val="24"/>
                <w:lang w:val="es-MX"/>
              </w:rPr>
            </w:pPr>
            <w:r>
              <w:object w:dxaOrig="5025" w:dyaOrig="3030" w14:anchorId="2E2BC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65pt;height:147.15pt" o:ole="">
                  <v:imagedata r:id="rId14" o:title=""/>
                </v:shape>
                <o:OLEObject Type="Embed" ProgID="PBrush" ShapeID="_x0000_i1025" DrawAspect="Content" ObjectID="_1583221684" r:id="rId15"/>
              </w:object>
            </w:r>
          </w:p>
        </w:tc>
      </w:tr>
    </w:tbl>
    <w:p w:rsidR="00655131" w:rsidRPr="00A84ECC" w:rsidRDefault="00655131" w:rsidP="00655131">
      <w:pPr>
        <w:pStyle w:val="Sinespaciado"/>
        <w:jc w:val="both"/>
        <w:rPr>
          <w:rFonts w:ascii="Times New Roman" w:hAnsi="Times New Roman" w:cs="Times New Roman"/>
          <w:sz w:val="16"/>
          <w:lang w:val="es-MX"/>
        </w:rPr>
      </w:pPr>
      <w:r w:rsidRPr="00A84ECC">
        <w:rPr>
          <w:rFonts w:ascii="Times New Roman" w:hAnsi="Times New Roman" w:cs="Times New Roman"/>
          <w:sz w:val="16"/>
          <w:lang w:val="es-MX"/>
        </w:rPr>
        <w:t>Fuente: Fondo Monetario Internacional -FMI-</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jc w:val="both"/>
        <w:rPr>
          <w:rFonts w:ascii="Times New Roman" w:hAnsi="Times New Roman" w:cs="Times New Roman"/>
          <w:sz w:val="24"/>
          <w:lang w:val="es-MX"/>
        </w:rPr>
      </w:pPr>
      <w:r>
        <w:rPr>
          <w:rFonts w:ascii="Times New Roman" w:hAnsi="Times New Roman" w:cs="Times New Roman"/>
          <w:sz w:val="24"/>
          <w:lang w:val="es-MX"/>
        </w:rPr>
        <w:t>A continuación, se identifican las principales áreas de</w:t>
      </w:r>
      <w:r w:rsidRPr="004D0879">
        <w:rPr>
          <w:rFonts w:ascii="Times New Roman" w:hAnsi="Times New Roman" w:cs="Times New Roman"/>
          <w:sz w:val="24"/>
          <w:lang w:val="es-MX"/>
        </w:rPr>
        <w:t xml:space="preserve"> incertidumbre que</w:t>
      </w:r>
      <w:r>
        <w:rPr>
          <w:rFonts w:ascii="Times New Roman" w:hAnsi="Times New Roman" w:cs="Times New Roman"/>
          <w:sz w:val="24"/>
          <w:lang w:val="es-MX"/>
        </w:rPr>
        <w:t xml:space="preserve"> </w:t>
      </w:r>
      <w:r w:rsidRPr="004D0879">
        <w:rPr>
          <w:rFonts w:ascii="Times New Roman" w:hAnsi="Times New Roman" w:cs="Times New Roman"/>
          <w:sz w:val="24"/>
          <w:lang w:val="es-MX"/>
        </w:rPr>
        <w:t xml:space="preserve">afectan a las </w:t>
      </w:r>
      <w:r>
        <w:rPr>
          <w:rFonts w:ascii="Times New Roman" w:hAnsi="Times New Roman" w:cs="Times New Roman"/>
          <w:sz w:val="24"/>
          <w:lang w:val="es-MX"/>
        </w:rPr>
        <w:t>proyecciones de la economía mundial</w:t>
      </w:r>
      <w:r w:rsidRPr="004D0879">
        <w:rPr>
          <w:rFonts w:ascii="Times New Roman" w:hAnsi="Times New Roman" w:cs="Times New Roman"/>
          <w:sz w:val="24"/>
          <w:lang w:val="es-MX"/>
        </w:rPr>
        <w:t>, y su mayoría apuntan a riesgos</w:t>
      </w:r>
      <w:r>
        <w:rPr>
          <w:rFonts w:ascii="Times New Roman" w:hAnsi="Times New Roman" w:cs="Times New Roman"/>
          <w:sz w:val="24"/>
          <w:lang w:val="es-MX"/>
        </w:rPr>
        <w:t xml:space="preserve"> </w:t>
      </w:r>
      <w:r w:rsidRPr="004D0879">
        <w:rPr>
          <w:rFonts w:ascii="Times New Roman" w:hAnsi="Times New Roman" w:cs="Times New Roman"/>
          <w:sz w:val="24"/>
          <w:lang w:val="es-MX"/>
        </w:rPr>
        <w:t xml:space="preserve">a la baja en relación con el escenario </w:t>
      </w:r>
      <w:r>
        <w:rPr>
          <w:rFonts w:ascii="Times New Roman" w:hAnsi="Times New Roman" w:cs="Times New Roman"/>
          <w:sz w:val="24"/>
          <w:lang w:val="es-MX"/>
        </w:rPr>
        <w:t>proyectado por el FMI</w:t>
      </w:r>
      <w:r w:rsidRPr="004D0879">
        <w:rPr>
          <w:rFonts w:ascii="Times New Roman" w:hAnsi="Times New Roman" w:cs="Times New Roman"/>
          <w:sz w:val="24"/>
          <w:lang w:val="es-MX"/>
        </w:rPr>
        <w:t>.</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numPr>
          <w:ilvl w:val="0"/>
          <w:numId w:val="1"/>
        </w:numPr>
        <w:ind w:left="360"/>
        <w:jc w:val="both"/>
        <w:rPr>
          <w:rFonts w:ascii="Times New Roman" w:hAnsi="Times New Roman" w:cs="Times New Roman"/>
          <w:sz w:val="24"/>
          <w:lang w:val="es-MX"/>
        </w:rPr>
      </w:pPr>
      <w:r w:rsidRPr="004D0879">
        <w:rPr>
          <w:rFonts w:ascii="Times New Roman" w:hAnsi="Times New Roman" w:cs="Times New Roman"/>
          <w:sz w:val="24"/>
          <w:lang w:val="es-MX"/>
        </w:rPr>
        <w:t>Perturbaciones en el comercio mundial, los flujos de</w:t>
      </w:r>
      <w:r>
        <w:rPr>
          <w:rFonts w:ascii="Times New Roman" w:hAnsi="Times New Roman" w:cs="Times New Roman"/>
          <w:sz w:val="24"/>
          <w:lang w:val="es-MX"/>
        </w:rPr>
        <w:t xml:space="preserve"> </w:t>
      </w:r>
      <w:r w:rsidRPr="004D0879">
        <w:rPr>
          <w:rFonts w:ascii="Times New Roman" w:hAnsi="Times New Roman" w:cs="Times New Roman"/>
          <w:sz w:val="24"/>
          <w:lang w:val="es-MX"/>
        </w:rPr>
        <w:t>capital y la migración</w:t>
      </w:r>
    </w:p>
    <w:p w:rsidR="00655131" w:rsidRDefault="00655131" w:rsidP="00655131">
      <w:pPr>
        <w:pStyle w:val="Sinespaciado"/>
        <w:ind w:left="360"/>
        <w:jc w:val="both"/>
        <w:rPr>
          <w:rFonts w:ascii="Times New Roman" w:hAnsi="Times New Roman" w:cs="Times New Roman"/>
          <w:sz w:val="24"/>
          <w:lang w:val="es-MX"/>
        </w:rPr>
      </w:pPr>
    </w:p>
    <w:p w:rsidR="00655131" w:rsidRDefault="00655131" w:rsidP="00655131">
      <w:pPr>
        <w:pStyle w:val="Sinespaciado"/>
        <w:ind w:left="348"/>
        <w:jc w:val="both"/>
        <w:rPr>
          <w:rFonts w:ascii="Times New Roman" w:hAnsi="Times New Roman" w:cs="Times New Roman"/>
          <w:sz w:val="24"/>
          <w:lang w:val="es-MX"/>
        </w:rPr>
      </w:pPr>
      <w:r>
        <w:rPr>
          <w:rFonts w:ascii="Times New Roman" w:hAnsi="Times New Roman" w:cs="Times New Roman"/>
          <w:sz w:val="24"/>
          <w:lang w:val="es-MX"/>
        </w:rPr>
        <w:t xml:space="preserve">El incremento en el desempleo en algunas áreas de trabajo en las economías avanzadas y la lenta recuperación de la crisis en otras economías con problemas de distribución del ingreso han impedido que las personas con bajos ingresos mejoren.  </w:t>
      </w:r>
      <w:r w:rsidRPr="008514B8">
        <w:rPr>
          <w:rFonts w:ascii="Times New Roman" w:hAnsi="Times New Roman" w:cs="Times New Roman"/>
          <w:sz w:val="24"/>
          <w:lang w:val="es-MX"/>
        </w:rPr>
        <w:t xml:space="preserve"> Como resultado</w:t>
      </w:r>
      <w:r>
        <w:rPr>
          <w:rFonts w:ascii="Times New Roman" w:hAnsi="Times New Roman" w:cs="Times New Roman"/>
          <w:sz w:val="24"/>
          <w:lang w:val="es-MX"/>
        </w:rPr>
        <w:t xml:space="preserve"> de esto</w:t>
      </w:r>
      <w:r w:rsidRPr="008514B8">
        <w:rPr>
          <w:rFonts w:ascii="Times New Roman" w:hAnsi="Times New Roman" w:cs="Times New Roman"/>
          <w:sz w:val="24"/>
          <w:lang w:val="es-MX"/>
        </w:rPr>
        <w:t>, hay una creciente</w:t>
      </w:r>
      <w:r>
        <w:rPr>
          <w:rFonts w:ascii="Times New Roman" w:hAnsi="Times New Roman" w:cs="Times New Roman"/>
          <w:sz w:val="24"/>
          <w:lang w:val="es-MX"/>
        </w:rPr>
        <w:t xml:space="preserve"> marea en contra de </w:t>
      </w:r>
      <w:r w:rsidRPr="008514B8">
        <w:rPr>
          <w:rFonts w:ascii="Times New Roman" w:hAnsi="Times New Roman" w:cs="Times New Roman"/>
          <w:sz w:val="24"/>
          <w:lang w:val="es-MX"/>
        </w:rPr>
        <w:t>la globalización, sobre todo en Estados</w:t>
      </w:r>
      <w:r>
        <w:rPr>
          <w:rFonts w:ascii="Times New Roman" w:hAnsi="Times New Roman" w:cs="Times New Roman"/>
          <w:sz w:val="24"/>
          <w:lang w:val="es-MX"/>
        </w:rPr>
        <w:t xml:space="preserve"> </w:t>
      </w:r>
      <w:r w:rsidRPr="008514B8">
        <w:rPr>
          <w:rFonts w:ascii="Times New Roman" w:hAnsi="Times New Roman" w:cs="Times New Roman"/>
          <w:sz w:val="24"/>
          <w:lang w:val="es-MX"/>
        </w:rPr>
        <w:t xml:space="preserve">Unidos y </w:t>
      </w:r>
      <w:r>
        <w:rPr>
          <w:rFonts w:ascii="Times New Roman" w:hAnsi="Times New Roman" w:cs="Times New Roman"/>
          <w:sz w:val="24"/>
          <w:lang w:val="es-MX"/>
        </w:rPr>
        <w:t>algunos países</w:t>
      </w:r>
      <w:r w:rsidRPr="008514B8">
        <w:rPr>
          <w:rFonts w:ascii="Times New Roman" w:hAnsi="Times New Roman" w:cs="Times New Roman"/>
          <w:sz w:val="24"/>
          <w:lang w:val="es-MX"/>
        </w:rPr>
        <w:t xml:space="preserve"> de Europa. Existe un riesgo </w:t>
      </w:r>
      <w:r>
        <w:rPr>
          <w:rFonts w:ascii="Times New Roman" w:hAnsi="Times New Roman" w:cs="Times New Roman"/>
          <w:sz w:val="24"/>
          <w:lang w:val="es-MX"/>
        </w:rPr>
        <w:t xml:space="preserve">claro de </w:t>
      </w:r>
      <w:r w:rsidRPr="008514B8">
        <w:rPr>
          <w:rFonts w:ascii="Times New Roman" w:hAnsi="Times New Roman" w:cs="Times New Roman"/>
          <w:sz w:val="24"/>
          <w:lang w:val="es-MX"/>
        </w:rPr>
        <w:t>adopción de medidas proteccionistas, en un</w:t>
      </w:r>
      <w:r>
        <w:rPr>
          <w:rFonts w:ascii="Times New Roman" w:hAnsi="Times New Roman" w:cs="Times New Roman"/>
          <w:sz w:val="24"/>
          <w:lang w:val="es-MX"/>
        </w:rPr>
        <w:t xml:space="preserve"> </w:t>
      </w:r>
      <w:r w:rsidRPr="008514B8">
        <w:rPr>
          <w:rFonts w:ascii="Times New Roman" w:hAnsi="Times New Roman" w:cs="Times New Roman"/>
          <w:sz w:val="24"/>
          <w:lang w:val="es-MX"/>
        </w:rPr>
        <w:t>contexto de presiones provocadas por el creciente escepticismo</w:t>
      </w:r>
      <w:r>
        <w:rPr>
          <w:rFonts w:ascii="Times New Roman" w:hAnsi="Times New Roman" w:cs="Times New Roman"/>
          <w:sz w:val="24"/>
          <w:lang w:val="es-MX"/>
        </w:rPr>
        <w:t xml:space="preserve"> </w:t>
      </w:r>
      <w:r w:rsidRPr="008514B8">
        <w:rPr>
          <w:rFonts w:ascii="Times New Roman" w:hAnsi="Times New Roman" w:cs="Times New Roman"/>
          <w:sz w:val="24"/>
          <w:lang w:val="es-MX"/>
        </w:rPr>
        <w:t>en torno al comercio, la inmigración y las relaciones</w:t>
      </w:r>
      <w:r>
        <w:rPr>
          <w:rFonts w:ascii="Times New Roman" w:hAnsi="Times New Roman" w:cs="Times New Roman"/>
          <w:sz w:val="24"/>
          <w:lang w:val="es-MX"/>
        </w:rPr>
        <w:t xml:space="preserve"> </w:t>
      </w:r>
      <w:r w:rsidRPr="008514B8">
        <w:rPr>
          <w:rFonts w:ascii="Times New Roman" w:hAnsi="Times New Roman" w:cs="Times New Roman"/>
          <w:sz w:val="24"/>
          <w:lang w:val="es-MX"/>
        </w:rPr>
        <w:t xml:space="preserve">multilaterales. </w:t>
      </w:r>
      <w:r>
        <w:rPr>
          <w:rFonts w:ascii="Times New Roman" w:hAnsi="Times New Roman" w:cs="Times New Roman"/>
          <w:sz w:val="24"/>
          <w:lang w:val="es-MX"/>
        </w:rPr>
        <w:t xml:space="preserve">  </w:t>
      </w:r>
    </w:p>
    <w:p w:rsidR="00655131" w:rsidRDefault="00655131" w:rsidP="00655131">
      <w:pPr>
        <w:pStyle w:val="Sinespaciado"/>
        <w:ind w:left="360"/>
        <w:jc w:val="both"/>
        <w:rPr>
          <w:rFonts w:ascii="Times New Roman" w:hAnsi="Times New Roman" w:cs="Times New Roman"/>
          <w:sz w:val="24"/>
          <w:lang w:val="es-MX"/>
        </w:rPr>
      </w:pPr>
    </w:p>
    <w:p w:rsidR="00655131" w:rsidRDefault="00655131" w:rsidP="00655131">
      <w:pPr>
        <w:pStyle w:val="Sinespaciado"/>
        <w:numPr>
          <w:ilvl w:val="0"/>
          <w:numId w:val="1"/>
        </w:numPr>
        <w:ind w:left="360"/>
        <w:jc w:val="both"/>
        <w:rPr>
          <w:rFonts w:ascii="Times New Roman" w:hAnsi="Times New Roman" w:cs="Times New Roman"/>
          <w:sz w:val="24"/>
          <w:lang w:val="es-MX"/>
        </w:rPr>
      </w:pPr>
      <w:r>
        <w:rPr>
          <w:rFonts w:ascii="Times New Roman" w:hAnsi="Times New Roman" w:cs="Times New Roman"/>
          <w:sz w:val="24"/>
          <w:lang w:val="es-MX"/>
        </w:rPr>
        <w:t>El programa de políticas de Estados Unidos</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ind w:left="348"/>
        <w:jc w:val="both"/>
        <w:rPr>
          <w:rFonts w:ascii="Times New Roman" w:hAnsi="Times New Roman" w:cs="Times New Roman"/>
          <w:sz w:val="24"/>
          <w:lang w:val="es-MX"/>
        </w:rPr>
      </w:pPr>
      <w:r w:rsidRPr="00F76976">
        <w:rPr>
          <w:rFonts w:ascii="Times New Roman" w:hAnsi="Times New Roman" w:cs="Times New Roman"/>
          <w:sz w:val="24"/>
          <w:lang w:val="es-MX"/>
        </w:rPr>
        <w:t>Varios aspectos del programa de políticas de Estados</w:t>
      </w:r>
      <w:r>
        <w:rPr>
          <w:rFonts w:ascii="Times New Roman" w:hAnsi="Times New Roman" w:cs="Times New Roman"/>
          <w:sz w:val="24"/>
          <w:lang w:val="es-MX"/>
        </w:rPr>
        <w:t xml:space="preserve"> </w:t>
      </w:r>
      <w:r w:rsidRPr="00F76976">
        <w:rPr>
          <w:rFonts w:ascii="Times New Roman" w:hAnsi="Times New Roman" w:cs="Times New Roman"/>
          <w:sz w:val="24"/>
          <w:lang w:val="es-MX"/>
        </w:rPr>
        <w:t>Unidos contribuyen a la incertidumbre en torno a las</w:t>
      </w:r>
      <w:r>
        <w:rPr>
          <w:rFonts w:ascii="Times New Roman" w:hAnsi="Times New Roman" w:cs="Times New Roman"/>
          <w:sz w:val="24"/>
          <w:lang w:val="es-MX"/>
        </w:rPr>
        <w:t xml:space="preserve"> proyecciones de crecimiento en la </w:t>
      </w:r>
      <w:r w:rsidRPr="00F76976">
        <w:rPr>
          <w:rFonts w:ascii="Times New Roman" w:hAnsi="Times New Roman" w:cs="Times New Roman"/>
          <w:sz w:val="24"/>
          <w:lang w:val="es-MX"/>
        </w:rPr>
        <w:t>mundial;</w:t>
      </w:r>
      <w:r>
        <w:rPr>
          <w:rFonts w:ascii="Times New Roman" w:hAnsi="Times New Roman" w:cs="Times New Roman"/>
          <w:sz w:val="24"/>
          <w:lang w:val="es-MX"/>
        </w:rPr>
        <w:t xml:space="preserve"> </w:t>
      </w:r>
      <w:r w:rsidRPr="00F76976">
        <w:rPr>
          <w:rFonts w:ascii="Times New Roman" w:hAnsi="Times New Roman" w:cs="Times New Roman"/>
          <w:sz w:val="24"/>
          <w:lang w:val="es-MX"/>
        </w:rPr>
        <w:t>en particular, el volumen y la composición de la</w:t>
      </w:r>
      <w:r>
        <w:rPr>
          <w:rFonts w:ascii="Times New Roman" w:hAnsi="Times New Roman" w:cs="Times New Roman"/>
          <w:sz w:val="24"/>
          <w:lang w:val="es-MX"/>
        </w:rPr>
        <w:t xml:space="preserve"> </w:t>
      </w:r>
      <w:r w:rsidRPr="00F76976">
        <w:rPr>
          <w:rFonts w:ascii="Times New Roman" w:hAnsi="Times New Roman" w:cs="Times New Roman"/>
          <w:sz w:val="24"/>
          <w:lang w:val="es-MX"/>
        </w:rPr>
        <w:t>distensión de la política fiscal, y las repercusiones de una</w:t>
      </w:r>
      <w:r>
        <w:rPr>
          <w:rFonts w:ascii="Times New Roman" w:hAnsi="Times New Roman" w:cs="Times New Roman"/>
          <w:sz w:val="24"/>
          <w:lang w:val="es-MX"/>
        </w:rPr>
        <w:t xml:space="preserve"> </w:t>
      </w:r>
      <w:r w:rsidRPr="00F76976">
        <w:rPr>
          <w:rFonts w:ascii="Times New Roman" w:hAnsi="Times New Roman" w:cs="Times New Roman"/>
          <w:sz w:val="24"/>
          <w:lang w:val="es-MX"/>
        </w:rPr>
        <w:t>posible reforma del sistema de tributación de las sociedades</w:t>
      </w:r>
      <w:r>
        <w:rPr>
          <w:rFonts w:ascii="Times New Roman" w:hAnsi="Times New Roman" w:cs="Times New Roman"/>
          <w:sz w:val="24"/>
          <w:lang w:val="es-MX"/>
        </w:rPr>
        <w:t>.</w:t>
      </w:r>
    </w:p>
    <w:p w:rsidR="00655131" w:rsidRDefault="00655131" w:rsidP="00655131">
      <w:pPr>
        <w:pStyle w:val="Sinespaciado"/>
        <w:ind w:left="348"/>
        <w:jc w:val="both"/>
        <w:rPr>
          <w:rFonts w:ascii="Times New Roman" w:hAnsi="Times New Roman" w:cs="Times New Roman"/>
          <w:sz w:val="24"/>
          <w:lang w:val="es-MX"/>
        </w:rPr>
      </w:pPr>
    </w:p>
    <w:p w:rsidR="00655131" w:rsidRDefault="00655131" w:rsidP="00655131">
      <w:pPr>
        <w:pStyle w:val="Sinespaciado"/>
        <w:ind w:left="348"/>
        <w:jc w:val="both"/>
        <w:rPr>
          <w:rFonts w:ascii="Times New Roman" w:hAnsi="Times New Roman" w:cs="Times New Roman"/>
          <w:sz w:val="24"/>
          <w:lang w:val="es-MX"/>
        </w:rPr>
      </w:pPr>
      <w:r w:rsidRPr="00F76976">
        <w:rPr>
          <w:rFonts w:ascii="Times New Roman" w:hAnsi="Times New Roman" w:cs="Times New Roman"/>
          <w:sz w:val="24"/>
          <w:lang w:val="es-MX"/>
        </w:rPr>
        <w:t>La incertidumbre en torno a las medidas</w:t>
      </w:r>
      <w:r>
        <w:rPr>
          <w:rFonts w:ascii="Times New Roman" w:hAnsi="Times New Roman" w:cs="Times New Roman"/>
          <w:sz w:val="24"/>
          <w:lang w:val="es-MX"/>
        </w:rPr>
        <w:t xml:space="preserve"> </w:t>
      </w:r>
      <w:r w:rsidRPr="00F76976">
        <w:rPr>
          <w:rFonts w:ascii="Times New Roman" w:hAnsi="Times New Roman" w:cs="Times New Roman"/>
          <w:sz w:val="24"/>
          <w:lang w:val="es-MX"/>
        </w:rPr>
        <w:t>de política de Estados Unidos y sus efectos sobre la</w:t>
      </w:r>
      <w:r>
        <w:rPr>
          <w:rFonts w:ascii="Times New Roman" w:hAnsi="Times New Roman" w:cs="Times New Roman"/>
          <w:sz w:val="24"/>
          <w:lang w:val="es-MX"/>
        </w:rPr>
        <w:t xml:space="preserve"> </w:t>
      </w:r>
      <w:r w:rsidRPr="00F76976">
        <w:rPr>
          <w:rFonts w:ascii="Times New Roman" w:hAnsi="Times New Roman" w:cs="Times New Roman"/>
          <w:sz w:val="24"/>
          <w:lang w:val="es-MX"/>
        </w:rPr>
        <w:t>demanda agregada, el producto potencial, el déficit del</w:t>
      </w:r>
      <w:r>
        <w:rPr>
          <w:rFonts w:ascii="Times New Roman" w:hAnsi="Times New Roman" w:cs="Times New Roman"/>
          <w:sz w:val="24"/>
          <w:lang w:val="es-MX"/>
        </w:rPr>
        <w:t xml:space="preserve"> </w:t>
      </w:r>
      <w:r w:rsidRPr="00F76976">
        <w:rPr>
          <w:rFonts w:ascii="Times New Roman" w:hAnsi="Times New Roman" w:cs="Times New Roman"/>
          <w:sz w:val="24"/>
          <w:lang w:val="es-MX"/>
        </w:rPr>
        <w:t>presupuesto público y el valor del dólar son indicativos</w:t>
      </w:r>
      <w:r>
        <w:rPr>
          <w:rFonts w:ascii="Times New Roman" w:hAnsi="Times New Roman" w:cs="Times New Roman"/>
          <w:sz w:val="24"/>
          <w:lang w:val="es-MX"/>
        </w:rPr>
        <w:t xml:space="preserve"> </w:t>
      </w:r>
      <w:r w:rsidRPr="00F76976">
        <w:rPr>
          <w:rFonts w:ascii="Times New Roman" w:hAnsi="Times New Roman" w:cs="Times New Roman"/>
          <w:sz w:val="24"/>
          <w:lang w:val="es-MX"/>
        </w:rPr>
        <w:t>de multitud de riesgos al al</w:t>
      </w:r>
      <w:r>
        <w:rPr>
          <w:rFonts w:ascii="Times New Roman" w:hAnsi="Times New Roman" w:cs="Times New Roman"/>
          <w:sz w:val="24"/>
          <w:lang w:val="es-MX"/>
        </w:rPr>
        <w:t>za y a la baja para las proyecciones</w:t>
      </w:r>
      <w:r w:rsidRPr="00F76976">
        <w:rPr>
          <w:rFonts w:ascii="Times New Roman" w:hAnsi="Times New Roman" w:cs="Times New Roman"/>
          <w:sz w:val="24"/>
          <w:lang w:val="es-MX"/>
        </w:rPr>
        <w:t xml:space="preserve"> para Estados Unidos, tanto a corto como a</w:t>
      </w:r>
      <w:r>
        <w:rPr>
          <w:rFonts w:ascii="Times New Roman" w:hAnsi="Times New Roman" w:cs="Times New Roman"/>
          <w:sz w:val="24"/>
          <w:lang w:val="es-MX"/>
        </w:rPr>
        <w:t xml:space="preserve"> </w:t>
      </w:r>
      <w:r w:rsidRPr="00F76976">
        <w:rPr>
          <w:rFonts w:ascii="Times New Roman" w:hAnsi="Times New Roman" w:cs="Times New Roman"/>
          <w:sz w:val="24"/>
          <w:lang w:val="es-MX"/>
        </w:rPr>
        <w:t>mediano plazo. Por ende, los efectos de contagio mundiales</w:t>
      </w:r>
      <w:r>
        <w:rPr>
          <w:rFonts w:ascii="Times New Roman" w:hAnsi="Times New Roman" w:cs="Times New Roman"/>
          <w:sz w:val="24"/>
          <w:lang w:val="es-MX"/>
        </w:rPr>
        <w:t xml:space="preserve"> </w:t>
      </w:r>
      <w:r w:rsidRPr="00F76976">
        <w:rPr>
          <w:rFonts w:ascii="Times New Roman" w:hAnsi="Times New Roman" w:cs="Times New Roman"/>
          <w:sz w:val="24"/>
          <w:lang w:val="es-MX"/>
        </w:rPr>
        <w:t>también son inciertos y variarán de un país a otro</w:t>
      </w:r>
      <w:r>
        <w:rPr>
          <w:rFonts w:ascii="Times New Roman" w:hAnsi="Times New Roman" w:cs="Times New Roman"/>
          <w:sz w:val="24"/>
          <w:lang w:val="es-MX"/>
        </w:rPr>
        <w:t xml:space="preserve"> </w:t>
      </w:r>
      <w:r w:rsidRPr="00F76976">
        <w:rPr>
          <w:rFonts w:ascii="Times New Roman" w:hAnsi="Times New Roman" w:cs="Times New Roman"/>
          <w:sz w:val="24"/>
          <w:lang w:val="es-MX"/>
        </w:rPr>
        <w:t>en función de sus vínculos económicos con Estados</w:t>
      </w:r>
      <w:r>
        <w:rPr>
          <w:rFonts w:ascii="Times New Roman" w:hAnsi="Times New Roman" w:cs="Times New Roman"/>
          <w:sz w:val="24"/>
          <w:lang w:val="es-MX"/>
        </w:rPr>
        <w:t xml:space="preserve"> </w:t>
      </w:r>
      <w:r w:rsidRPr="00F76976">
        <w:rPr>
          <w:rFonts w:ascii="Times New Roman" w:hAnsi="Times New Roman" w:cs="Times New Roman"/>
          <w:sz w:val="24"/>
          <w:lang w:val="es-MX"/>
        </w:rPr>
        <w:t>Unidos y su sensibilidad a la variación de las condiciones</w:t>
      </w:r>
      <w:r>
        <w:rPr>
          <w:rFonts w:ascii="Times New Roman" w:hAnsi="Times New Roman" w:cs="Times New Roman"/>
          <w:sz w:val="24"/>
          <w:lang w:val="es-MX"/>
        </w:rPr>
        <w:t xml:space="preserve"> </w:t>
      </w:r>
      <w:r w:rsidRPr="00F76976">
        <w:rPr>
          <w:rFonts w:ascii="Times New Roman" w:hAnsi="Times New Roman" w:cs="Times New Roman"/>
          <w:sz w:val="24"/>
          <w:lang w:val="es-MX"/>
        </w:rPr>
        <w:t>financieras</w:t>
      </w:r>
      <w:r>
        <w:rPr>
          <w:rFonts w:ascii="Times New Roman" w:hAnsi="Times New Roman" w:cs="Times New Roman"/>
          <w:sz w:val="24"/>
          <w:lang w:val="es-MX"/>
        </w:rPr>
        <w:t xml:space="preserve"> mundiales.</w:t>
      </w:r>
    </w:p>
    <w:p w:rsidR="00655131" w:rsidRDefault="00655131" w:rsidP="00655131">
      <w:pPr>
        <w:pStyle w:val="Sinespaciado"/>
        <w:ind w:left="348"/>
        <w:jc w:val="both"/>
        <w:rPr>
          <w:rFonts w:ascii="Times New Roman" w:hAnsi="Times New Roman" w:cs="Times New Roman"/>
          <w:sz w:val="24"/>
          <w:lang w:val="es-MX"/>
        </w:rPr>
      </w:pPr>
    </w:p>
    <w:p w:rsidR="00655131" w:rsidRDefault="00655131" w:rsidP="00655131">
      <w:pPr>
        <w:pStyle w:val="Sinespaciado"/>
        <w:ind w:left="348"/>
        <w:jc w:val="both"/>
        <w:rPr>
          <w:rFonts w:ascii="Times New Roman" w:hAnsi="Times New Roman" w:cs="Times New Roman"/>
          <w:sz w:val="24"/>
          <w:lang w:val="es-MX"/>
        </w:rPr>
      </w:pPr>
      <w:r w:rsidRPr="00F76976">
        <w:rPr>
          <w:rFonts w:ascii="Times New Roman" w:hAnsi="Times New Roman" w:cs="Times New Roman"/>
          <w:sz w:val="24"/>
          <w:lang w:val="es-MX"/>
        </w:rPr>
        <w:t>Un incremento no inflacionista y sostenido del producto</w:t>
      </w:r>
      <w:r>
        <w:rPr>
          <w:rFonts w:ascii="Times New Roman" w:hAnsi="Times New Roman" w:cs="Times New Roman"/>
          <w:sz w:val="24"/>
          <w:lang w:val="es-MX"/>
        </w:rPr>
        <w:t xml:space="preserve"> </w:t>
      </w:r>
      <w:r w:rsidRPr="00F76976">
        <w:rPr>
          <w:rFonts w:ascii="Times New Roman" w:hAnsi="Times New Roman" w:cs="Times New Roman"/>
          <w:sz w:val="24"/>
          <w:lang w:val="es-MX"/>
        </w:rPr>
        <w:t>de Estados Unidos, reforzado por una expansión</w:t>
      </w:r>
      <w:r>
        <w:rPr>
          <w:rFonts w:ascii="Times New Roman" w:hAnsi="Times New Roman" w:cs="Times New Roman"/>
          <w:sz w:val="24"/>
          <w:lang w:val="es-MX"/>
        </w:rPr>
        <w:t xml:space="preserve"> </w:t>
      </w:r>
      <w:r w:rsidRPr="00F76976">
        <w:rPr>
          <w:rFonts w:ascii="Times New Roman" w:hAnsi="Times New Roman" w:cs="Times New Roman"/>
          <w:sz w:val="24"/>
          <w:lang w:val="es-MX"/>
        </w:rPr>
        <w:t xml:space="preserve">significativa del saldo de capital de </w:t>
      </w:r>
      <w:r w:rsidR="00933CB9">
        <w:rPr>
          <w:rFonts w:ascii="Times New Roman" w:hAnsi="Times New Roman" w:cs="Times New Roman"/>
          <w:sz w:val="24"/>
          <w:lang w:val="es-MX"/>
        </w:rPr>
        <w:t>dicho país</w:t>
      </w:r>
      <w:r w:rsidRPr="00F76976">
        <w:rPr>
          <w:rFonts w:ascii="Times New Roman" w:hAnsi="Times New Roman" w:cs="Times New Roman"/>
          <w:sz w:val="24"/>
          <w:lang w:val="es-MX"/>
        </w:rPr>
        <w:t xml:space="preserve"> y un</w:t>
      </w:r>
      <w:r>
        <w:rPr>
          <w:rFonts w:ascii="Times New Roman" w:hAnsi="Times New Roman" w:cs="Times New Roman"/>
          <w:sz w:val="24"/>
          <w:lang w:val="es-MX"/>
        </w:rPr>
        <w:t xml:space="preserve"> </w:t>
      </w:r>
      <w:r w:rsidRPr="00F76976">
        <w:rPr>
          <w:rFonts w:ascii="Times New Roman" w:hAnsi="Times New Roman" w:cs="Times New Roman"/>
          <w:sz w:val="24"/>
          <w:lang w:val="es-MX"/>
        </w:rPr>
        <w:t>aumento duradero de la participación en la fuerza laboral,</w:t>
      </w:r>
      <w:r>
        <w:rPr>
          <w:rFonts w:ascii="Times New Roman" w:hAnsi="Times New Roman" w:cs="Times New Roman"/>
          <w:sz w:val="24"/>
          <w:lang w:val="es-MX"/>
        </w:rPr>
        <w:t xml:space="preserve"> </w:t>
      </w:r>
      <w:r w:rsidRPr="00F76976">
        <w:rPr>
          <w:rFonts w:ascii="Times New Roman" w:hAnsi="Times New Roman" w:cs="Times New Roman"/>
          <w:sz w:val="24"/>
          <w:lang w:val="es-MX"/>
        </w:rPr>
        <w:t>debería ir asociado a un ritmo de incremento moderado</w:t>
      </w:r>
      <w:r>
        <w:rPr>
          <w:rFonts w:ascii="Times New Roman" w:hAnsi="Times New Roman" w:cs="Times New Roman"/>
          <w:sz w:val="24"/>
          <w:lang w:val="es-MX"/>
        </w:rPr>
        <w:t xml:space="preserve"> </w:t>
      </w:r>
      <w:r w:rsidRPr="00F76976">
        <w:rPr>
          <w:rFonts w:ascii="Times New Roman" w:hAnsi="Times New Roman" w:cs="Times New Roman"/>
          <w:sz w:val="24"/>
          <w:lang w:val="es-MX"/>
        </w:rPr>
        <w:t>de las tasas de interés con arreglo al mandato de la</w:t>
      </w:r>
      <w:r>
        <w:rPr>
          <w:rFonts w:ascii="Times New Roman" w:hAnsi="Times New Roman" w:cs="Times New Roman"/>
          <w:sz w:val="24"/>
          <w:lang w:val="es-MX"/>
        </w:rPr>
        <w:t xml:space="preserve"> </w:t>
      </w:r>
      <w:r w:rsidRPr="00F76976">
        <w:rPr>
          <w:rFonts w:ascii="Times New Roman" w:hAnsi="Times New Roman" w:cs="Times New Roman"/>
          <w:sz w:val="24"/>
          <w:lang w:val="es-MX"/>
        </w:rPr>
        <w:t>Reserva Federal de mantener la estabilidad de precios.</w:t>
      </w:r>
      <w:r>
        <w:rPr>
          <w:rFonts w:ascii="Times New Roman" w:hAnsi="Times New Roman" w:cs="Times New Roman"/>
          <w:sz w:val="24"/>
          <w:lang w:val="es-MX"/>
        </w:rPr>
        <w:t xml:space="preserve"> </w:t>
      </w:r>
      <w:r w:rsidRPr="00F76976">
        <w:rPr>
          <w:rFonts w:ascii="Times New Roman" w:hAnsi="Times New Roman" w:cs="Times New Roman"/>
          <w:sz w:val="24"/>
          <w:lang w:val="es-MX"/>
        </w:rPr>
        <w:t>En cambio, si el estímulo fiscal no se traduce en</w:t>
      </w:r>
      <w:r>
        <w:rPr>
          <w:rFonts w:ascii="Times New Roman" w:hAnsi="Times New Roman" w:cs="Times New Roman"/>
          <w:sz w:val="24"/>
          <w:lang w:val="es-MX"/>
        </w:rPr>
        <w:t xml:space="preserve"> </w:t>
      </w:r>
      <w:r w:rsidRPr="00F76976">
        <w:rPr>
          <w:rFonts w:ascii="Times New Roman" w:hAnsi="Times New Roman" w:cs="Times New Roman"/>
          <w:sz w:val="24"/>
          <w:lang w:val="es-MX"/>
        </w:rPr>
        <w:t>un aumento significativo, o si</w:t>
      </w:r>
      <w:r>
        <w:rPr>
          <w:rFonts w:ascii="Times New Roman" w:hAnsi="Times New Roman" w:cs="Times New Roman"/>
          <w:sz w:val="24"/>
          <w:lang w:val="es-MX"/>
        </w:rPr>
        <w:t xml:space="preserve"> </w:t>
      </w:r>
      <w:r w:rsidRPr="00F76976">
        <w:rPr>
          <w:rFonts w:ascii="Times New Roman" w:hAnsi="Times New Roman" w:cs="Times New Roman"/>
          <w:sz w:val="24"/>
          <w:lang w:val="es-MX"/>
        </w:rPr>
        <w:t>la respuesta de la inflación al incremento de la demanda</w:t>
      </w:r>
      <w:r>
        <w:rPr>
          <w:rFonts w:ascii="Times New Roman" w:hAnsi="Times New Roman" w:cs="Times New Roman"/>
          <w:sz w:val="24"/>
          <w:lang w:val="es-MX"/>
        </w:rPr>
        <w:t xml:space="preserve"> </w:t>
      </w:r>
      <w:r w:rsidRPr="00F76976">
        <w:rPr>
          <w:rFonts w:ascii="Times New Roman" w:hAnsi="Times New Roman" w:cs="Times New Roman"/>
          <w:sz w:val="24"/>
          <w:lang w:val="es-MX"/>
        </w:rPr>
        <w:t>es superior a lo esperado, las tasas de interés deberían</w:t>
      </w:r>
      <w:r>
        <w:rPr>
          <w:rFonts w:ascii="Times New Roman" w:hAnsi="Times New Roman" w:cs="Times New Roman"/>
          <w:sz w:val="24"/>
          <w:lang w:val="es-MX"/>
        </w:rPr>
        <w:t xml:space="preserve"> </w:t>
      </w:r>
      <w:r w:rsidRPr="00F76976">
        <w:rPr>
          <w:rFonts w:ascii="Times New Roman" w:hAnsi="Times New Roman" w:cs="Times New Roman"/>
          <w:sz w:val="24"/>
          <w:lang w:val="es-MX"/>
        </w:rPr>
        <w:t>seguir una senda más rápida para contener la inflación.</w:t>
      </w:r>
      <w:r>
        <w:rPr>
          <w:rFonts w:ascii="Times New Roman" w:hAnsi="Times New Roman" w:cs="Times New Roman"/>
          <w:sz w:val="24"/>
          <w:lang w:val="es-MX"/>
        </w:rPr>
        <w:t xml:space="preserve"> </w:t>
      </w:r>
      <w:r w:rsidRPr="00F76976">
        <w:rPr>
          <w:rFonts w:ascii="Times New Roman" w:hAnsi="Times New Roman" w:cs="Times New Roman"/>
          <w:sz w:val="24"/>
          <w:lang w:val="es-MX"/>
        </w:rPr>
        <w:t>La débil posición fiscal podría llevar a los mercados a</w:t>
      </w:r>
      <w:r>
        <w:rPr>
          <w:rFonts w:ascii="Times New Roman" w:hAnsi="Times New Roman" w:cs="Times New Roman"/>
          <w:sz w:val="24"/>
          <w:lang w:val="es-MX"/>
        </w:rPr>
        <w:t xml:space="preserve"> </w:t>
      </w:r>
      <w:r w:rsidRPr="00F76976">
        <w:rPr>
          <w:rFonts w:ascii="Times New Roman" w:hAnsi="Times New Roman" w:cs="Times New Roman"/>
          <w:sz w:val="24"/>
          <w:lang w:val="es-MX"/>
        </w:rPr>
        <w:t>aplicar con mayor celeridad la normalización de la prima</w:t>
      </w:r>
      <w:r>
        <w:rPr>
          <w:rFonts w:ascii="Times New Roman" w:hAnsi="Times New Roman" w:cs="Times New Roman"/>
          <w:sz w:val="24"/>
          <w:lang w:val="es-MX"/>
        </w:rPr>
        <w:t xml:space="preserve"> </w:t>
      </w:r>
      <w:r w:rsidRPr="00F76976">
        <w:rPr>
          <w:rFonts w:ascii="Times New Roman" w:hAnsi="Times New Roman" w:cs="Times New Roman"/>
          <w:sz w:val="24"/>
          <w:lang w:val="es-MX"/>
        </w:rPr>
        <w:t>a plazo</w:t>
      </w:r>
      <w:r>
        <w:rPr>
          <w:rFonts w:ascii="Times New Roman" w:hAnsi="Times New Roman" w:cs="Times New Roman"/>
          <w:sz w:val="24"/>
          <w:lang w:val="es-MX"/>
        </w:rPr>
        <w:t xml:space="preserve">, </w:t>
      </w:r>
      <w:r w:rsidRPr="00F76976">
        <w:rPr>
          <w:rFonts w:ascii="Times New Roman" w:hAnsi="Times New Roman" w:cs="Times New Roman"/>
          <w:sz w:val="24"/>
          <w:lang w:val="es-MX"/>
        </w:rPr>
        <w:t>provocando un endurecimiento de las condiciones</w:t>
      </w:r>
      <w:r>
        <w:rPr>
          <w:rFonts w:ascii="Times New Roman" w:hAnsi="Times New Roman" w:cs="Times New Roman"/>
          <w:sz w:val="24"/>
          <w:lang w:val="es-MX"/>
        </w:rPr>
        <w:t xml:space="preserve"> </w:t>
      </w:r>
      <w:r w:rsidRPr="00F76976">
        <w:rPr>
          <w:rFonts w:ascii="Times New Roman" w:hAnsi="Times New Roman" w:cs="Times New Roman"/>
          <w:sz w:val="24"/>
          <w:lang w:val="es-MX"/>
        </w:rPr>
        <w:t>financieras generales, tanto en Estados Unidos</w:t>
      </w:r>
      <w:r>
        <w:rPr>
          <w:rFonts w:ascii="Times New Roman" w:hAnsi="Times New Roman" w:cs="Times New Roman"/>
          <w:sz w:val="24"/>
          <w:lang w:val="es-MX"/>
        </w:rPr>
        <w:t xml:space="preserve"> </w:t>
      </w:r>
      <w:r w:rsidRPr="00F76976">
        <w:rPr>
          <w:rFonts w:ascii="Times New Roman" w:hAnsi="Times New Roman" w:cs="Times New Roman"/>
          <w:sz w:val="24"/>
          <w:lang w:val="es-MX"/>
        </w:rPr>
        <w:t>como en el resto del mundo, lo cual podría generar</w:t>
      </w:r>
      <w:r>
        <w:rPr>
          <w:rFonts w:ascii="Times New Roman" w:hAnsi="Times New Roman" w:cs="Times New Roman"/>
          <w:sz w:val="24"/>
          <w:lang w:val="es-MX"/>
        </w:rPr>
        <w:t xml:space="preserve"> </w:t>
      </w:r>
      <w:r w:rsidRPr="00F76976">
        <w:rPr>
          <w:rFonts w:ascii="Times New Roman" w:hAnsi="Times New Roman" w:cs="Times New Roman"/>
          <w:sz w:val="24"/>
          <w:lang w:val="es-MX"/>
        </w:rPr>
        <w:t>tensión en muchos mercados emergentes y en algunas</w:t>
      </w:r>
      <w:r>
        <w:rPr>
          <w:rFonts w:ascii="Times New Roman" w:hAnsi="Times New Roman" w:cs="Times New Roman"/>
          <w:sz w:val="24"/>
          <w:lang w:val="es-MX"/>
        </w:rPr>
        <w:t xml:space="preserve"> </w:t>
      </w:r>
      <w:r w:rsidRPr="00F76976">
        <w:rPr>
          <w:rFonts w:ascii="Times New Roman" w:hAnsi="Times New Roman" w:cs="Times New Roman"/>
          <w:sz w:val="24"/>
          <w:lang w:val="es-MX"/>
        </w:rPr>
        <w:t>economías de bajo ingreso.</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numPr>
          <w:ilvl w:val="0"/>
          <w:numId w:val="1"/>
        </w:numPr>
        <w:ind w:left="360"/>
        <w:jc w:val="both"/>
        <w:rPr>
          <w:rFonts w:ascii="Times New Roman" w:hAnsi="Times New Roman" w:cs="Times New Roman"/>
          <w:sz w:val="24"/>
          <w:lang w:val="es-MX"/>
        </w:rPr>
      </w:pPr>
      <w:r w:rsidRPr="004D0879">
        <w:rPr>
          <w:rFonts w:ascii="Times New Roman" w:hAnsi="Times New Roman" w:cs="Times New Roman"/>
          <w:sz w:val="24"/>
          <w:lang w:val="es-MX"/>
        </w:rPr>
        <w:t>Desregulación financiera</w:t>
      </w:r>
    </w:p>
    <w:p w:rsidR="00655131" w:rsidRDefault="00655131" w:rsidP="00655131">
      <w:pPr>
        <w:pStyle w:val="Sinespaciado"/>
        <w:ind w:left="348"/>
        <w:jc w:val="both"/>
        <w:rPr>
          <w:rFonts w:ascii="Times New Roman" w:hAnsi="Times New Roman" w:cs="Times New Roman"/>
          <w:sz w:val="24"/>
          <w:lang w:val="es-MX"/>
        </w:rPr>
      </w:pPr>
    </w:p>
    <w:p w:rsidR="00655131" w:rsidRDefault="00655131" w:rsidP="00655131">
      <w:pPr>
        <w:pStyle w:val="Sinespaciado"/>
        <w:ind w:left="348"/>
        <w:jc w:val="both"/>
        <w:rPr>
          <w:rFonts w:ascii="Times New Roman" w:hAnsi="Times New Roman" w:cs="Times New Roman"/>
          <w:sz w:val="24"/>
          <w:lang w:val="es-MX"/>
        </w:rPr>
      </w:pPr>
      <w:r>
        <w:rPr>
          <w:rFonts w:ascii="Times New Roman" w:hAnsi="Times New Roman" w:cs="Times New Roman"/>
          <w:sz w:val="24"/>
          <w:lang w:val="es-MX"/>
        </w:rPr>
        <w:t>P</w:t>
      </w:r>
      <w:r w:rsidRPr="00D80F4D">
        <w:rPr>
          <w:rFonts w:ascii="Times New Roman" w:hAnsi="Times New Roman" w:cs="Times New Roman"/>
          <w:sz w:val="24"/>
          <w:lang w:val="es-MX"/>
        </w:rPr>
        <w:t xml:space="preserve">osterior a la crisis </w:t>
      </w:r>
      <w:r>
        <w:rPr>
          <w:rFonts w:ascii="Times New Roman" w:hAnsi="Times New Roman" w:cs="Times New Roman"/>
          <w:sz w:val="24"/>
          <w:lang w:val="es-MX"/>
        </w:rPr>
        <w:t xml:space="preserve">financiera internacional, en muchos países </w:t>
      </w:r>
      <w:r w:rsidRPr="00D80F4D">
        <w:rPr>
          <w:rFonts w:ascii="Times New Roman" w:hAnsi="Times New Roman" w:cs="Times New Roman"/>
          <w:sz w:val="24"/>
          <w:lang w:val="es-MX"/>
        </w:rPr>
        <w:t>se ha reforzado la supervisión</w:t>
      </w:r>
      <w:r>
        <w:rPr>
          <w:rFonts w:ascii="Times New Roman" w:hAnsi="Times New Roman" w:cs="Times New Roman"/>
          <w:sz w:val="24"/>
          <w:lang w:val="es-MX"/>
        </w:rPr>
        <w:t xml:space="preserve"> </w:t>
      </w:r>
      <w:r w:rsidRPr="00D80F4D">
        <w:rPr>
          <w:rFonts w:ascii="Times New Roman" w:hAnsi="Times New Roman" w:cs="Times New Roman"/>
          <w:sz w:val="24"/>
          <w:lang w:val="es-MX"/>
        </w:rPr>
        <w:t>del sistema financier</w:t>
      </w:r>
      <w:r>
        <w:rPr>
          <w:rFonts w:ascii="Times New Roman" w:hAnsi="Times New Roman" w:cs="Times New Roman"/>
          <w:sz w:val="24"/>
          <w:lang w:val="es-MX"/>
        </w:rPr>
        <w:t xml:space="preserve">o, se han ampliado los requerimientos </w:t>
      </w:r>
      <w:r w:rsidRPr="00D80F4D">
        <w:rPr>
          <w:rFonts w:ascii="Times New Roman" w:hAnsi="Times New Roman" w:cs="Times New Roman"/>
          <w:sz w:val="24"/>
          <w:lang w:val="es-MX"/>
        </w:rPr>
        <w:t>de capital y liquidez de las distintas instituciones y</w:t>
      </w:r>
      <w:r>
        <w:rPr>
          <w:rFonts w:ascii="Times New Roman" w:hAnsi="Times New Roman" w:cs="Times New Roman"/>
          <w:sz w:val="24"/>
          <w:lang w:val="es-MX"/>
        </w:rPr>
        <w:t xml:space="preserve"> </w:t>
      </w:r>
      <w:r w:rsidRPr="00D80F4D">
        <w:rPr>
          <w:rFonts w:ascii="Times New Roman" w:hAnsi="Times New Roman" w:cs="Times New Roman"/>
          <w:sz w:val="24"/>
          <w:lang w:val="es-MX"/>
        </w:rPr>
        <w:t>se ha mejorado la cooperación entre reguladores. Una</w:t>
      </w:r>
      <w:r>
        <w:rPr>
          <w:rFonts w:ascii="Times New Roman" w:hAnsi="Times New Roman" w:cs="Times New Roman"/>
          <w:sz w:val="24"/>
          <w:lang w:val="es-MX"/>
        </w:rPr>
        <w:t xml:space="preserve"> </w:t>
      </w:r>
      <w:r w:rsidRPr="00D80F4D">
        <w:rPr>
          <w:rFonts w:ascii="Times New Roman" w:hAnsi="Times New Roman" w:cs="Times New Roman"/>
          <w:sz w:val="24"/>
          <w:lang w:val="es-MX"/>
        </w:rPr>
        <w:t>reducción o reversión generalizada de las importantes</w:t>
      </w:r>
      <w:r>
        <w:rPr>
          <w:rFonts w:ascii="Times New Roman" w:hAnsi="Times New Roman" w:cs="Times New Roman"/>
          <w:sz w:val="24"/>
          <w:lang w:val="es-MX"/>
        </w:rPr>
        <w:t xml:space="preserve"> </w:t>
      </w:r>
      <w:r w:rsidRPr="00D80F4D">
        <w:rPr>
          <w:rFonts w:ascii="Times New Roman" w:hAnsi="Times New Roman" w:cs="Times New Roman"/>
          <w:sz w:val="24"/>
          <w:lang w:val="es-MX"/>
        </w:rPr>
        <w:t xml:space="preserve">medidas adoptadas tras la </w:t>
      </w:r>
      <w:r>
        <w:rPr>
          <w:rFonts w:ascii="Times New Roman" w:hAnsi="Times New Roman" w:cs="Times New Roman"/>
          <w:sz w:val="24"/>
          <w:lang w:val="es-MX"/>
        </w:rPr>
        <w:t>referida crisis</w:t>
      </w:r>
      <w:r w:rsidRPr="00D80F4D">
        <w:rPr>
          <w:rFonts w:ascii="Times New Roman" w:hAnsi="Times New Roman" w:cs="Times New Roman"/>
          <w:sz w:val="24"/>
          <w:lang w:val="es-MX"/>
        </w:rPr>
        <w:t xml:space="preserve"> para</w:t>
      </w:r>
      <w:r>
        <w:rPr>
          <w:rFonts w:ascii="Times New Roman" w:hAnsi="Times New Roman" w:cs="Times New Roman"/>
          <w:sz w:val="24"/>
          <w:lang w:val="es-MX"/>
        </w:rPr>
        <w:t xml:space="preserve"> </w:t>
      </w:r>
      <w:r w:rsidRPr="00D80F4D">
        <w:rPr>
          <w:rFonts w:ascii="Times New Roman" w:hAnsi="Times New Roman" w:cs="Times New Roman"/>
          <w:sz w:val="24"/>
          <w:lang w:val="es-MX"/>
        </w:rPr>
        <w:t>mejorar la resiliencia del sistema financiero aumentaría</w:t>
      </w:r>
      <w:r>
        <w:rPr>
          <w:rFonts w:ascii="Times New Roman" w:hAnsi="Times New Roman" w:cs="Times New Roman"/>
          <w:sz w:val="24"/>
          <w:lang w:val="es-MX"/>
        </w:rPr>
        <w:t xml:space="preserve"> </w:t>
      </w:r>
      <w:r w:rsidRPr="00D80F4D">
        <w:rPr>
          <w:rFonts w:ascii="Times New Roman" w:hAnsi="Times New Roman" w:cs="Times New Roman"/>
          <w:sz w:val="24"/>
          <w:lang w:val="es-MX"/>
        </w:rPr>
        <w:t>la probabilidad de que en el futuro se produzcan costosas</w:t>
      </w:r>
      <w:r>
        <w:rPr>
          <w:rFonts w:ascii="Times New Roman" w:hAnsi="Times New Roman" w:cs="Times New Roman"/>
          <w:sz w:val="24"/>
          <w:lang w:val="es-MX"/>
        </w:rPr>
        <w:t xml:space="preserve"> </w:t>
      </w:r>
      <w:r w:rsidRPr="00D80F4D">
        <w:rPr>
          <w:rFonts w:ascii="Times New Roman" w:hAnsi="Times New Roman" w:cs="Times New Roman"/>
          <w:sz w:val="24"/>
          <w:lang w:val="es-MX"/>
        </w:rPr>
        <w:t>crisis financieras. Asimismo, una desregulación en un</w:t>
      </w:r>
      <w:r>
        <w:rPr>
          <w:rFonts w:ascii="Times New Roman" w:hAnsi="Times New Roman" w:cs="Times New Roman"/>
          <w:sz w:val="24"/>
          <w:lang w:val="es-MX"/>
        </w:rPr>
        <w:t xml:space="preserve"> </w:t>
      </w:r>
      <w:r w:rsidRPr="00D80F4D">
        <w:rPr>
          <w:rFonts w:ascii="Times New Roman" w:hAnsi="Times New Roman" w:cs="Times New Roman"/>
          <w:sz w:val="24"/>
          <w:lang w:val="es-MX"/>
        </w:rPr>
        <w:t>país podría provocar una desregulación en otros países,</w:t>
      </w:r>
      <w:r>
        <w:rPr>
          <w:rFonts w:ascii="Times New Roman" w:hAnsi="Times New Roman" w:cs="Times New Roman"/>
          <w:sz w:val="24"/>
          <w:lang w:val="es-MX"/>
        </w:rPr>
        <w:t xml:space="preserve"> </w:t>
      </w:r>
      <w:r w:rsidRPr="00D80F4D">
        <w:rPr>
          <w:rFonts w:ascii="Times New Roman" w:hAnsi="Times New Roman" w:cs="Times New Roman"/>
          <w:sz w:val="24"/>
          <w:lang w:val="es-MX"/>
        </w:rPr>
        <w:t>debido a la importantísima interconexión del sistema</w:t>
      </w:r>
      <w:r>
        <w:rPr>
          <w:rFonts w:ascii="Times New Roman" w:hAnsi="Times New Roman" w:cs="Times New Roman"/>
          <w:sz w:val="24"/>
          <w:lang w:val="es-MX"/>
        </w:rPr>
        <w:t xml:space="preserve"> </w:t>
      </w:r>
      <w:r w:rsidRPr="00D80F4D">
        <w:rPr>
          <w:rFonts w:ascii="Times New Roman" w:hAnsi="Times New Roman" w:cs="Times New Roman"/>
          <w:sz w:val="24"/>
          <w:lang w:val="es-MX"/>
        </w:rPr>
        <w:t>financiero internacional.</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numPr>
          <w:ilvl w:val="0"/>
          <w:numId w:val="1"/>
        </w:numPr>
        <w:ind w:left="360"/>
        <w:jc w:val="both"/>
        <w:rPr>
          <w:rFonts w:ascii="Times New Roman" w:hAnsi="Times New Roman" w:cs="Times New Roman"/>
          <w:sz w:val="24"/>
          <w:lang w:val="es-MX"/>
        </w:rPr>
      </w:pPr>
      <w:r w:rsidRPr="004D0879">
        <w:rPr>
          <w:rFonts w:ascii="Times New Roman" w:hAnsi="Times New Roman" w:cs="Times New Roman"/>
          <w:sz w:val="24"/>
          <w:lang w:val="es-MX"/>
        </w:rPr>
        <w:t>Endurecimiento de las condiciones económicas y</w:t>
      </w:r>
      <w:r>
        <w:rPr>
          <w:rFonts w:ascii="Times New Roman" w:hAnsi="Times New Roman" w:cs="Times New Roman"/>
          <w:sz w:val="24"/>
          <w:lang w:val="es-MX"/>
        </w:rPr>
        <w:t xml:space="preserve"> </w:t>
      </w:r>
      <w:r w:rsidRPr="004D0879">
        <w:rPr>
          <w:rFonts w:ascii="Times New Roman" w:hAnsi="Times New Roman" w:cs="Times New Roman"/>
          <w:sz w:val="24"/>
          <w:lang w:val="es-MX"/>
        </w:rPr>
        <w:t>financieras en las economías de mercados emergentes</w:t>
      </w:r>
    </w:p>
    <w:p w:rsidR="00655131" w:rsidRDefault="00655131" w:rsidP="00655131">
      <w:pPr>
        <w:pStyle w:val="Sinespaciado"/>
        <w:jc w:val="both"/>
        <w:rPr>
          <w:rFonts w:ascii="Times New Roman" w:hAnsi="Times New Roman" w:cs="Times New Roman"/>
          <w:sz w:val="24"/>
          <w:lang w:val="es-MX"/>
        </w:rPr>
      </w:pPr>
    </w:p>
    <w:p w:rsidR="00655131" w:rsidRDefault="00655131" w:rsidP="00655131">
      <w:pPr>
        <w:pStyle w:val="Sinespaciado"/>
        <w:ind w:left="348"/>
        <w:jc w:val="both"/>
        <w:rPr>
          <w:rFonts w:ascii="Times New Roman" w:hAnsi="Times New Roman" w:cs="Times New Roman"/>
          <w:sz w:val="24"/>
          <w:lang w:val="es-MX"/>
        </w:rPr>
      </w:pPr>
      <w:r w:rsidRPr="009B5636">
        <w:rPr>
          <w:rFonts w:ascii="Times New Roman" w:hAnsi="Times New Roman" w:cs="Times New Roman"/>
          <w:sz w:val="24"/>
          <w:lang w:val="es-MX"/>
        </w:rPr>
        <w:t>Las economías de mercados emergentes y en desarrollo</w:t>
      </w:r>
      <w:r>
        <w:rPr>
          <w:rFonts w:ascii="Times New Roman" w:hAnsi="Times New Roman" w:cs="Times New Roman"/>
          <w:sz w:val="24"/>
          <w:lang w:val="es-MX"/>
        </w:rPr>
        <w:t xml:space="preserve"> </w:t>
      </w:r>
      <w:r w:rsidRPr="009B5636">
        <w:rPr>
          <w:rFonts w:ascii="Times New Roman" w:hAnsi="Times New Roman" w:cs="Times New Roman"/>
          <w:sz w:val="24"/>
          <w:lang w:val="es-MX"/>
        </w:rPr>
        <w:t>han sido responsables del grueso de las revisiones</w:t>
      </w:r>
      <w:r>
        <w:rPr>
          <w:rFonts w:ascii="Times New Roman" w:hAnsi="Times New Roman" w:cs="Times New Roman"/>
          <w:sz w:val="24"/>
          <w:lang w:val="es-MX"/>
        </w:rPr>
        <w:t xml:space="preserve"> </w:t>
      </w:r>
      <w:r w:rsidRPr="009B5636">
        <w:rPr>
          <w:rFonts w:ascii="Times New Roman" w:hAnsi="Times New Roman" w:cs="Times New Roman"/>
          <w:sz w:val="24"/>
          <w:lang w:val="es-MX"/>
        </w:rPr>
        <w:t>a la baja del crecimiento mundial y han sido fuente de</w:t>
      </w:r>
      <w:r>
        <w:rPr>
          <w:rFonts w:ascii="Times New Roman" w:hAnsi="Times New Roman" w:cs="Times New Roman"/>
          <w:sz w:val="24"/>
          <w:lang w:val="es-MX"/>
        </w:rPr>
        <w:t xml:space="preserve"> </w:t>
      </w:r>
      <w:r w:rsidRPr="009B5636">
        <w:rPr>
          <w:rFonts w:ascii="Times New Roman" w:hAnsi="Times New Roman" w:cs="Times New Roman"/>
          <w:sz w:val="24"/>
          <w:lang w:val="es-MX"/>
        </w:rPr>
        <w:t xml:space="preserve">incertidumbre sobre </w:t>
      </w:r>
      <w:r>
        <w:rPr>
          <w:rFonts w:ascii="Times New Roman" w:hAnsi="Times New Roman" w:cs="Times New Roman"/>
          <w:sz w:val="24"/>
          <w:lang w:val="es-MX"/>
        </w:rPr>
        <w:t>en las proyecciones del FMI</w:t>
      </w:r>
      <w:r w:rsidRPr="009B5636">
        <w:rPr>
          <w:rFonts w:ascii="Times New Roman" w:hAnsi="Times New Roman" w:cs="Times New Roman"/>
          <w:sz w:val="24"/>
          <w:lang w:val="es-MX"/>
        </w:rPr>
        <w:t>.</w:t>
      </w:r>
      <w:r>
        <w:rPr>
          <w:rFonts w:ascii="Times New Roman" w:hAnsi="Times New Roman" w:cs="Times New Roman"/>
          <w:sz w:val="24"/>
          <w:lang w:val="es-MX"/>
        </w:rPr>
        <w:t xml:space="preserve">   </w:t>
      </w:r>
      <w:r w:rsidRPr="009B5636">
        <w:rPr>
          <w:rFonts w:ascii="Times New Roman" w:hAnsi="Times New Roman" w:cs="Times New Roman"/>
          <w:sz w:val="24"/>
          <w:lang w:val="es-MX"/>
        </w:rPr>
        <w:t>La mayor parte de dichas revisiones se han producido en</w:t>
      </w:r>
      <w:r>
        <w:rPr>
          <w:rFonts w:ascii="Times New Roman" w:hAnsi="Times New Roman" w:cs="Times New Roman"/>
          <w:sz w:val="24"/>
          <w:lang w:val="es-MX"/>
        </w:rPr>
        <w:t xml:space="preserve"> </w:t>
      </w:r>
      <w:r w:rsidRPr="009B5636">
        <w:rPr>
          <w:rFonts w:ascii="Times New Roman" w:hAnsi="Times New Roman" w:cs="Times New Roman"/>
          <w:sz w:val="24"/>
          <w:lang w:val="es-MX"/>
        </w:rPr>
        <w:t xml:space="preserve">China e India, sobre todo durante </w:t>
      </w:r>
      <w:r>
        <w:rPr>
          <w:rFonts w:ascii="Times New Roman" w:hAnsi="Times New Roman" w:cs="Times New Roman"/>
          <w:sz w:val="24"/>
          <w:lang w:val="es-MX"/>
        </w:rPr>
        <w:t xml:space="preserve">el período </w:t>
      </w:r>
      <w:r w:rsidRPr="009B5636">
        <w:rPr>
          <w:rFonts w:ascii="Times New Roman" w:hAnsi="Times New Roman" w:cs="Times New Roman"/>
          <w:sz w:val="24"/>
          <w:lang w:val="es-MX"/>
        </w:rPr>
        <w:t>2011</w:t>
      </w:r>
      <w:r>
        <w:rPr>
          <w:rFonts w:ascii="Times New Roman" w:hAnsi="Times New Roman" w:cs="Times New Roman"/>
          <w:sz w:val="24"/>
          <w:lang w:val="es-MX"/>
        </w:rPr>
        <w:t>-13; en los</w:t>
      </w:r>
      <w:r w:rsidRPr="009B5636">
        <w:rPr>
          <w:rFonts w:ascii="Times New Roman" w:hAnsi="Times New Roman" w:cs="Times New Roman"/>
          <w:sz w:val="24"/>
          <w:lang w:val="es-MX"/>
        </w:rPr>
        <w:t xml:space="preserve"> exportadores</w:t>
      </w:r>
      <w:r>
        <w:rPr>
          <w:rFonts w:ascii="Times New Roman" w:hAnsi="Times New Roman" w:cs="Times New Roman"/>
          <w:sz w:val="24"/>
          <w:lang w:val="es-MX"/>
        </w:rPr>
        <w:t xml:space="preserve"> </w:t>
      </w:r>
      <w:r w:rsidRPr="009B5636">
        <w:rPr>
          <w:rFonts w:ascii="Times New Roman" w:hAnsi="Times New Roman" w:cs="Times New Roman"/>
          <w:sz w:val="24"/>
          <w:lang w:val="es-MX"/>
        </w:rPr>
        <w:t>de materias primas tras el desplome de los precios</w:t>
      </w:r>
      <w:r>
        <w:rPr>
          <w:rFonts w:ascii="Times New Roman" w:hAnsi="Times New Roman" w:cs="Times New Roman"/>
          <w:sz w:val="24"/>
          <w:lang w:val="es-MX"/>
        </w:rPr>
        <w:t xml:space="preserve"> </w:t>
      </w:r>
      <w:r w:rsidRPr="009B5636">
        <w:rPr>
          <w:rFonts w:ascii="Times New Roman" w:hAnsi="Times New Roman" w:cs="Times New Roman"/>
          <w:sz w:val="24"/>
          <w:lang w:val="es-MX"/>
        </w:rPr>
        <w:t>del petróleo en 2015</w:t>
      </w:r>
      <w:r>
        <w:rPr>
          <w:rFonts w:ascii="Times New Roman" w:hAnsi="Times New Roman" w:cs="Times New Roman"/>
          <w:sz w:val="24"/>
          <w:lang w:val="es-MX"/>
        </w:rPr>
        <w:t>-16.</w:t>
      </w:r>
    </w:p>
    <w:p w:rsidR="00655131" w:rsidRDefault="00655131" w:rsidP="00655131">
      <w:pPr>
        <w:pStyle w:val="Sinespaciado"/>
        <w:ind w:left="348"/>
        <w:jc w:val="both"/>
        <w:rPr>
          <w:rFonts w:ascii="Times New Roman" w:hAnsi="Times New Roman" w:cs="Times New Roman"/>
          <w:sz w:val="24"/>
          <w:lang w:val="es-MX"/>
        </w:rPr>
      </w:pPr>
    </w:p>
    <w:p w:rsidR="00655131" w:rsidRDefault="00655131" w:rsidP="00655131">
      <w:pPr>
        <w:pStyle w:val="Sinespaciado"/>
        <w:ind w:left="348"/>
        <w:jc w:val="both"/>
        <w:rPr>
          <w:rFonts w:ascii="Times New Roman" w:hAnsi="Times New Roman" w:cs="Times New Roman"/>
          <w:sz w:val="24"/>
          <w:lang w:val="es-MX"/>
        </w:rPr>
      </w:pPr>
      <w:r w:rsidRPr="009B5636">
        <w:rPr>
          <w:rFonts w:ascii="Times New Roman" w:hAnsi="Times New Roman" w:cs="Times New Roman"/>
          <w:sz w:val="24"/>
          <w:lang w:val="es-MX"/>
        </w:rPr>
        <w:t>Muchas economías de mercados emergentes han</w:t>
      </w:r>
      <w:r>
        <w:rPr>
          <w:rFonts w:ascii="Times New Roman" w:hAnsi="Times New Roman" w:cs="Times New Roman"/>
          <w:sz w:val="24"/>
          <w:lang w:val="es-MX"/>
        </w:rPr>
        <w:t xml:space="preserve"> </w:t>
      </w:r>
      <w:r w:rsidRPr="009B5636">
        <w:rPr>
          <w:rFonts w:ascii="Times New Roman" w:hAnsi="Times New Roman" w:cs="Times New Roman"/>
          <w:sz w:val="24"/>
          <w:lang w:val="es-MX"/>
        </w:rPr>
        <w:t>experimentado brotes de volatilidad financiera en los</w:t>
      </w:r>
      <w:r>
        <w:rPr>
          <w:rFonts w:ascii="Times New Roman" w:hAnsi="Times New Roman" w:cs="Times New Roman"/>
          <w:sz w:val="24"/>
          <w:lang w:val="es-MX"/>
        </w:rPr>
        <w:t xml:space="preserve"> </w:t>
      </w:r>
      <w:r w:rsidRPr="009B5636">
        <w:rPr>
          <w:rFonts w:ascii="Times New Roman" w:hAnsi="Times New Roman" w:cs="Times New Roman"/>
          <w:sz w:val="24"/>
          <w:lang w:val="es-MX"/>
        </w:rPr>
        <w:t>últimos años. Algunos grandes exportadores de materias</w:t>
      </w:r>
      <w:r>
        <w:rPr>
          <w:rFonts w:ascii="Times New Roman" w:hAnsi="Times New Roman" w:cs="Times New Roman"/>
          <w:sz w:val="24"/>
          <w:lang w:val="es-MX"/>
        </w:rPr>
        <w:t xml:space="preserve"> </w:t>
      </w:r>
      <w:r w:rsidRPr="009B5636">
        <w:rPr>
          <w:rFonts w:ascii="Times New Roman" w:hAnsi="Times New Roman" w:cs="Times New Roman"/>
          <w:sz w:val="24"/>
          <w:lang w:val="es-MX"/>
        </w:rPr>
        <w:t>primas y otras economías sometidas a tensión también</w:t>
      </w:r>
      <w:r>
        <w:rPr>
          <w:rFonts w:ascii="Times New Roman" w:hAnsi="Times New Roman" w:cs="Times New Roman"/>
          <w:sz w:val="24"/>
          <w:lang w:val="es-MX"/>
        </w:rPr>
        <w:t xml:space="preserve"> </w:t>
      </w:r>
      <w:r w:rsidRPr="009B5636">
        <w:rPr>
          <w:rFonts w:ascii="Times New Roman" w:hAnsi="Times New Roman" w:cs="Times New Roman"/>
          <w:sz w:val="24"/>
          <w:lang w:val="es-MX"/>
        </w:rPr>
        <w:t>han superado considerables variaciones del tipo de</w:t>
      </w:r>
      <w:r>
        <w:rPr>
          <w:rFonts w:ascii="Times New Roman" w:hAnsi="Times New Roman" w:cs="Times New Roman"/>
          <w:sz w:val="24"/>
          <w:lang w:val="es-MX"/>
        </w:rPr>
        <w:t xml:space="preserve"> </w:t>
      </w:r>
      <w:r w:rsidRPr="009B5636">
        <w:rPr>
          <w:rFonts w:ascii="Times New Roman" w:hAnsi="Times New Roman" w:cs="Times New Roman"/>
          <w:sz w:val="24"/>
          <w:lang w:val="es-MX"/>
        </w:rPr>
        <w:t>cambio, mientras que China ha pasado de tener entradas</w:t>
      </w:r>
      <w:r>
        <w:rPr>
          <w:rFonts w:ascii="Times New Roman" w:hAnsi="Times New Roman" w:cs="Times New Roman"/>
          <w:sz w:val="24"/>
          <w:lang w:val="es-MX"/>
        </w:rPr>
        <w:t xml:space="preserve"> </w:t>
      </w:r>
      <w:r w:rsidRPr="009B5636">
        <w:rPr>
          <w:rFonts w:ascii="Times New Roman" w:hAnsi="Times New Roman" w:cs="Times New Roman"/>
          <w:sz w:val="24"/>
          <w:lang w:val="es-MX"/>
        </w:rPr>
        <w:t>de capital netas a registrar importantes salidas de capital</w:t>
      </w:r>
      <w:r>
        <w:rPr>
          <w:rFonts w:ascii="Times New Roman" w:hAnsi="Times New Roman" w:cs="Times New Roman"/>
          <w:sz w:val="24"/>
          <w:lang w:val="es-MX"/>
        </w:rPr>
        <w:t xml:space="preserve"> </w:t>
      </w:r>
      <w:r w:rsidRPr="009B5636">
        <w:rPr>
          <w:rFonts w:ascii="Times New Roman" w:hAnsi="Times New Roman" w:cs="Times New Roman"/>
          <w:sz w:val="24"/>
          <w:lang w:val="es-MX"/>
        </w:rPr>
        <w:t xml:space="preserve">netas. </w:t>
      </w:r>
    </w:p>
    <w:p w:rsidR="00655131" w:rsidRDefault="00655131" w:rsidP="00655131">
      <w:pPr>
        <w:pStyle w:val="Sinespaciado"/>
        <w:ind w:left="360"/>
        <w:jc w:val="both"/>
        <w:rPr>
          <w:rFonts w:ascii="Times New Roman" w:hAnsi="Times New Roman" w:cs="Times New Roman"/>
          <w:sz w:val="24"/>
          <w:lang w:val="es-MX"/>
        </w:rPr>
      </w:pPr>
    </w:p>
    <w:p w:rsidR="00655131" w:rsidRPr="00714C9F" w:rsidRDefault="00655131" w:rsidP="00655131">
      <w:pPr>
        <w:pStyle w:val="Sinespaciado"/>
        <w:numPr>
          <w:ilvl w:val="0"/>
          <w:numId w:val="1"/>
        </w:numPr>
        <w:ind w:left="360"/>
        <w:jc w:val="both"/>
        <w:rPr>
          <w:rFonts w:ascii="Times New Roman" w:hAnsi="Times New Roman" w:cs="Times New Roman"/>
          <w:sz w:val="24"/>
          <w:lang w:val="es-MX"/>
        </w:rPr>
      </w:pPr>
      <w:r w:rsidRPr="004D0879">
        <w:rPr>
          <w:rFonts w:ascii="Times New Roman" w:hAnsi="Times New Roman" w:cs="Times New Roman"/>
          <w:sz w:val="24"/>
          <w:lang w:val="es-MX"/>
        </w:rPr>
        <w:t>Factores no económicos</w:t>
      </w:r>
    </w:p>
    <w:p w:rsidR="00655131" w:rsidRDefault="00655131" w:rsidP="00655131">
      <w:pPr>
        <w:pStyle w:val="Sinespaciado"/>
        <w:ind w:left="360"/>
        <w:jc w:val="both"/>
        <w:rPr>
          <w:rFonts w:ascii="Times New Roman" w:hAnsi="Times New Roman" w:cs="Times New Roman"/>
          <w:sz w:val="24"/>
          <w:lang w:val="es-MX"/>
        </w:rPr>
      </w:pPr>
    </w:p>
    <w:p w:rsidR="00655131" w:rsidRDefault="00655131" w:rsidP="00655131">
      <w:pPr>
        <w:pStyle w:val="Sinespaciado"/>
        <w:ind w:left="360"/>
        <w:jc w:val="both"/>
        <w:rPr>
          <w:rFonts w:ascii="Times New Roman" w:hAnsi="Times New Roman" w:cs="Times New Roman"/>
          <w:sz w:val="24"/>
          <w:lang w:val="es-MX"/>
        </w:rPr>
      </w:pPr>
      <w:r w:rsidRPr="00274C2A">
        <w:rPr>
          <w:rFonts w:ascii="Times New Roman" w:hAnsi="Times New Roman" w:cs="Times New Roman"/>
          <w:sz w:val="24"/>
          <w:lang w:val="es-MX"/>
        </w:rPr>
        <w:t>Las tensiones geopolíticas, así como los conflictos internos</w:t>
      </w:r>
      <w:r>
        <w:rPr>
          <w:rFonts w:ascii="Times New Roman" w:hAnsi="Times New Roman" w:cs="Times New Roman"/>
          <w:sz w:val="24"/>
          <w:lang w:val="es-MX"/>
        </w:rPr>
        <w:t xml:space="preserve"> </w:t>
      </w:r>
      <w:r w:rsidRPr="00274C2A">
        <w:rPr>
          <w:rFonts w:ascii="Times New Roman" w:hAnsi="Times New Roman" w:cs="Times New Roman"/>
          <w:sz w:val="24"/>
          <w:lang w:val="es-MX"/>
        </w:rPr>
        <w:t>y los problemas de idiosincrasia política, han aumentado</w:t>
      </w:r>
      <w:r>
        <w:rPr>
          <w:rFonts w:ascii="Times New Roman" w:hAnsi="Times New Roman" w:cs="Times New Roman"/>
          <w:sz w:val="24"/>
          <w:lang w:val="es-MX"/>
        </w:rPr>
        <w:t xml:space="preserve"> </w:t>
      </w:r>
      <w:r w:rsidRPr="00274C2A">
        <w:rPr>
          <w:rFonts w:ascii="Times New Roman" w:hAnsi="Times New Roman" w:cs="Times New Roman"/>
          <w:sz w:val="24"/>
          <w:lang w:val="es-MX"/>
        </w:rPr>
        <w:t>en los últimos años, obstaculizando las perspectivas</w:t>
      </w:r>
      <w:r>
        <w:rPr>
          <w:rFonts w:ascii="Times New Roman" w:hAnsi="Times New Roman" w:cs="Times New Roman"/>
          <w:sz w:val="24"/>
          <w:lang w:val="es-MX"/>
        </w:rPr>
        <w:t xml:space="preserve"> </w:t>
      </w:r>
      <w:r w:rsidRPr="00274C2A">
        <w:rPr>
          <w:rFonts w:ascii="Times New Roman" w:hAnsi="Times New Roman" w:cs="Times New Roman"/>
          <w:sz w:val="24"/>
          <w:lang w:val="es-MX"/>
        </w:rPr>
        <w:t>de varias regiones. Se destacan las guerras civiles y los</w:t>
      </w:r>
      <w:r>
        <w:rPr>
          <w:rFonts w:ascii="Times New Roman" w:hAnsi="Times New Roman" w:cs="Times New Roman"/>
          <w:sz w:val="24"/>
          <w:lang w:val="es-MX"/>
        </w:rPr>
        <w:t xml:space="preserve"> </w:t>
      </w:r>
      <w:r w:rsidRPr="00274C2A">
        <w:rPr>
          <w:rFonts w:ascii="Times New Roman" w:hAnsi="Times New Roman" w:cs="Times New Roman"/>
          <w:sz w:val="24"/>
          <w:lang w:val="es-MX"/>
        </w:rPr>
        <w:t>conflictos internos en partes de Oriente Medio y África,</w:t>
      </w:r>
      <w:r>
        <w:rPr>
          <w:rFonts w:ascii="Times New Roman" w:hAnsi="Times New Roman" w:cs="Times New Roman"/>
          <w:sz w:val="24"/>
          <w:lang w:val="es-MX"/>
        </w:rPr>
        <w:t xml:space="preserve"> </w:t>
      </w:r>
      <w:r w:rsidRPr="00274C2A">
        <w:rPr>
          <w:rFonts w:ascii="Times New Roman" w:hAnsi="Times New Roman" w:cs="Times New Roman"/>
          <w:sz w:val="24"/>
          <w:lang w:val="es-MX"/>
        </w:rPr>
        <w:t>la trágica crisis de los refugiados e inmigrantes en países</w:t>
      </w:r>
      <w:r>
        <w:rPr>
          <w:rFonts w:ascii="Times New Roman" w:hAnsi="Times New Roman" w:cs="Times New Roman"/>
          <w:sz w:val="24"/>
          <w:lang w:val="es-MX"/>
        </w:rPr>
        <w:t xml:space="preserve"> </w:t>
      </w:r>
      <w:r w:rsidRPr="00274C2A">
        <w:rPr>
          <w:rFonts w:ascii="Times New Roman" w:hAnsi="Times New Roman" w:cs="Times New Roman"/>
          <w:sz w:val="24"/>
          <w:lang w:val="es-MX"/>
        </w:rPr>
        <w:t>vecinos y Europa, y los atentados terroristas en todo el</w:t>
      </w:r>
      <w:r>
        <w:rPr>
          <w:rFonts w:ascii="Times New Roman" w:hAnsi="Times New Roman" w:cs="Times New Roman"/>
          <w:sz w:val="24"/>
          <w:lang w:val="es-MX"/>
        </w:rPr>
        <w:t xml:space="preserve"> </w:t>
      </w:r>
      <w:r w:rsidRPr="00274C2A">
        <w:rPr>
          <w:rFonts w:ascii="Times New Roman" w:hAnsi="Times New Roman" w:cs="Times New Roman"/>
          <w:sz w:val="24"/>
          <w:lang w:val="es-MX"/>
        </w:rPr>
        <w:t>mundo. En muchos de los países severamente afectados,</w:t>
      </w:r>
      <w:r>
        <w:rPr>
          <w:rFonts w:ascii="Times New Roman" w:hAnsi="Times New Roman" w:cs="Times New Roman"/>
          <w:sz w:val="24"/>
          <w:lang w:val="es-MX"/>
        </w:rPr>
        <w:t xml:space="preserve"> las proyecciones </w:t>
      </w:r>
      <w:r w:rsidRPr="00274C2A">
        <w:rPr>
          <w:rFonts w:ascii="Times New Roman" w:hAnsi="Times New Roman" w:cs="Times New Roman"/>
          <w:sz w:val="24"/>
          <w:lang w:val="es-MX"/>
        </w:rPr>
        <w:t>presupone</w:t>
      </w:r>
      <w:r>
        <w:rPr>
          <w:rFonts w:ascii="Times New Roman" w:hAnsi="Times New Roman" w:cs="Times New Roman"/>
          <w:sz w:val="24"/>
          <w:lang w:val="es-MX"/>
        </w:rPr>
        <w:t>n</w:t>
      </w:r>
      <w:r w:rsidRPr="00274C2A">
        <w:rPr>
          <w:rFonts w:ascii="Times New Roman" w:hAnsi="Times New Roman" w:cs="Times New Roman"/>
          <w:sz w:val="24"/>
          <w:lang w:val="es-MX"/>
        </w:rPr>
        <w:t xml:space="preserve"> un alivio gradual de las tensiones.</w:t>
      </w:r>
      <w:r>
        <w:rPr>
          <w:rFonts w:ascii="Times New Roman" w:hAnsi="Times New Roman" w:cs="Times New Roman"/>
          <w:sz w:val="24"/>
          <w:lang w:val="es-MX"/>
        </w:rPr>
        <w:t xml:space="preserve"> </w:t>
      </w:r>
      <w:r w:rsidRPr="00274C2A">
        <w:rPr>
          <w:rFonts w:ascii="Times New Roman" w:hAnsi="Times New Roman" w:cs="Times New Roman"/>
          <w:sz w:val="24"/>
          <w:lang w:val="es-MX"/>
        </w:rPr>
        <w:t>Sin embargo, dichos episodios podrían prolongarse</w:t>
      </w:r>
      <w:r>
        <w:rPr>
          <w:rFonts w:ascii="Times New Roman" w:hAnsi="Times New Roman" w:cs="Times New Roman"/>
          <w:sz w:val="24"/>
          <w:lang w:val="es-MX"/>
        </w:rPr>
        <w:t xml:space="preserve"> </w:t>
      </w:r>
      <w:r w:rsidRPr="00274C2A">
        <w:rPr>
          <w:rFonts w:ascii="Times New Roman" w:hAnsi="Times New Roman" w:cs="Times New Roman"/>
          <w:sz w:val="24"/>
          <w:lang w:val="es-MX"/>
        </w:rPr>
        <w:t>más de lo previsto, frenando la recuperación en estos países.</w:t>
      </w:r>
      <w:r>
        <w:rPr>
          <w:rFonts w:ascii="Times New Roman" w:hAnsi="Times New Roman" w:cs="Times New Roman"/>
          <w:sz w:val="24"/>
          <w:lang w:val="es-MX"/>
        </w:rPr>
        <w:t xml:space="preserve">  </w:t>
      </w:r>
      <w:r w:rsidRPr="00274C2A">
        <w:rPr>
          <w:rFonts w:ascii="Times New Roman" w:hAnsi="Times New Roman" w:cs="Times New Roman"/>
          <w:sz w:val="24"/>
          <w:lang w:val="es-MX"/>
        </w:rPr>
        <w:t>Una administración deficiente y la corrupción a gran</w:t>
      </w:r>
      <w:r>
        <w:rPr>
          <w:rFonts w:ascii="Times New Roman" w:hAnsi="Times New Roman" w:cs="Times New Roman"/>
          <w:sz w:val="24"/>
          <w:lang w:val="es-MX"/>
        </w:rPr>
        <w:t xml:space="preserve"> </w:t>
      </w:r>
      <w:r w:rsidRPr="00274C2A">
        <w:rPr>
          <w:rFonts w:ascii="Times New Roman" w:hAnsi="Times New Roman" w:cs="Times New Roman"/>
          <w:sz w:val="24"/>
          <w:lang w:val="es-MX"/>
        </w:rPr>
        <w:t>escala también minan la confianza y el respaldo popular,</w:t>
      </w:r>
      <w:r>
        <w:rPr>
          <w:rFonts w:ascii="Times New Roman" w:hAnsi="Times New Roman" w:cs="Times New Roman"/>
          <w:sz w:val="24"/>
          <w:lang w:val="es-MX"/>
        </w:rPr>
        <w:t xml:space="preserve"> </w:t>
      </w:r>
      <w:r w:rsidRPr="00274C2A">
        <w:rPr>
          <w:rFonts w:ascii="Times New Roman" w:hAnsi="Times New Roman" w:cs="Times New Roman"/>
          <w:sz w:val="24"/>
          <w:lang w:val="es-MX"/>
        </w:rPr>
        <w:t>con profundas consecuencias para la actividad interna.</w:t>
      </w:r>
    </w:p>
    <w:p w:rsidR="001B327C" w:rsidRPr="00880D9D" w:rsidRDefault="001B327C" w:rsidP="00714C9F">
      <w:pPr>
        <w:pStyle w:val="Sinespaciado"/>
        <w:jc w:val="both"/>
        <w:rPr>
          <w:rFonts w:ascii="Times New Roman" w:hAnsi="Times New Roman" w:cs="Times New Roman"/>
          <w:lang w:val="es-MX"/>
        </w:rPr>
      </w:pPr>
    </w:p>
    <w:p w:rsidR="00DB3C57" w:rsidRPr="00DB3C57" w:rsidRDefault="00DB3C57" w:rsidP="00DB3C57">
      <w:pPr>
        <w:pStyle w:val="Prrafodelista"/>
        <w:numPr>
          <w:ilvl w:val="0"/>
          <w:numId w:val="13"/>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6" w:name="_Toc508979666"/>
      <w:bookmarkStart w:id="7" w:name="_Toc508980023"/>
      <w:bookmarkStart w:id="8" w:name="_Toc508980175"/>
      <w:bookmarkStart w:id="9" w:name="_Toc508981216"/>
      <w:bookmarkStart w:id="10" w:name="_Toc508982464"/>
      <w:bookmarkStart w:id="11" w:name="_Toc509213477"/>
      <w:bookmarkStart w:id="12" w:name="_Toc509213540"/>
      <w:bookmarkStart w:id="13" w:name="_Toc509213606"/>
      <w:bookmarkStart w:id="14" w:name="_Toc509213771"/>
      <w:bookmarkStart w:id="15" w:name="_Toc509214735"/>
      <w:bookmarkEnd w:id="6"/>
      <w:bookmarkEnd w:id="7"/>
      <w:bookmarkEnd w:id="8"/>
      <w:bookmarkEnd w:id="9"/>
      <w:bookmarkEnd w:id="10"/>
      <w:bookmarkEnd w:id="11"/>
      <w:bookmarkEnd w:id="12"/>
      <w:bookmarkEnd w:id="13"/>
      <w:bookmarkEnd w:id="14"/>
      <w:bookmarkEnd w:id="15"/>
    </w:p>
    <w:p w:rsidR="00DB3C57" w:rsidRPr="00DB3C57" w:rsidRDefault="00DB3C57" w:rsidP="00DB3C57">
      <w:pPr>
        <w:pStyle w:val="Prrafodelista"/>
        <w:numPr>
          <w:ilvl w:val="1"/>
          <w:numId w:val="13"/>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6" w:name="_Toc508979667"/>
      <w:bookmarkStart w:id="17" w:name="_Toc508980024"/>
      <w:bookmarkStart w:id="18" w:name="_Toc508980176"/>
      <w:bookmarkStart w:id="19" w:name="_Toc508981217"/>
      <w:bookmarkStart w:id="20" w:name="_Toc508982465"/>
      <w:bookmarkStart w:id="21" w:name="_Toc509213478"/>
      <w:bookmarkStart w:id="22" w:name="_Toc509213541"/>
      <w:bookmarkStart w:id="23" w:name="_Toc509213607"/>
      <w:bookmarkStart w:id="24" w:name="_Toc509213772"/>
      <w:bookmarkStart w:id="25" w:name="_Toc509214736"/>
      <w:bookmarkEnd w:id="16"/>
      <w:bookmarkEnd w:id="17"/>
      <w:bookmarkEnd w:id="18"/>
      <w:bookmarkEnd w:id="19"/>
      <w:bookmarkEnd w:id="20"/>
      <w:bookmarkEnd w:id="21"/>
      <w:bookmarkEnd w:id="22"/>
      <w:bookmarkEnd w:id="23"/>
      <w:bookmarkEnd w:id="24"/>
      <w:bookmarkEnd w:id="25"/>
    </w:p>
    <w:p w:rsidR="00DB3C57" w:rsidRPr="00DB3C57" w:rsidRDefault="00DB3C57" w:rsidP="00DB3C57">
      <w:pPr>
        <w:pStyle w:val="Prrafodelista"/>
        <w:numPr>
          <w:ilvl w:val="1"/>
          <w:numId w:val="13"/>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6" w:name="_Toc508979668"/>
      <w:bookmarkStart w:id="27" w:name="_Toc508980025"/>
      <w:bookmarkStart w:id="28" w:name="_Toc508980177"/>
      <w:bookmarkStart w:id="29" w:name="_Toc508981218"/>
      <w:bookmarkStart w:id="30" w:name="_Toc508982466"/>
      <w:bookmarkStart w:id="31" w:name="_Toc509213479"/>
      <w:bookmarkStart w:id="32" w:name="_Toc509213542"/>
      <w:bookmarkStart w:id="33" w:name="_Toc509213608"/>
      <w:bookmarkStart w:id="34" w:name="_Toc509213773"/>
      <w:bookmarkStart w:id="35" w:name="_Toc509214737"/>
      <w:bookmarkEnd w:id="26"/>
      <w:bookmarkEnd w:id="27"/>
      <w:bookmarkEnd w:id="28"/>
      <w:bookmarkEnd w:id="29"/>
      <w:bookmarkEnd w:id="30"/>
      <w:bookmarkEnd w:id="31"/>
      <w:bookmarkEnd w:id="32"/>
      <w:bookmarkEnd w:id="33"/>
      <w:bookmarkEnd w:id="34"/>
      <w:bookmarkEnd w:id="35"/>
    </w:p>
    <w:p w:rsidR="00DB3C57" w:rsidRPr="00DB3C57" w:rsidRDefault="00DB3C57" w:rsidP="00DB3C57">
      <w:pPr>
        <w:pStyle w:val="Prrafodelista"/>
        <w:numPr>
          <w:ilvl w:val="1"/>
          <w:numId w:val="13"/>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36" w:name="_Toc508979669"/>
      <w:bookmarkStart w:id="37" w:name="_Toc508980026"/>
      <w:bookmarkStart w:id="38" w:name="_Toc508980178"/>
      <w:bookmarkStart w:id="39" w:name="_Toc508981219"/>
      <w:bookmarkStart w:id="40" w:name="_Toc508982467"/>
      <w:bookmarkStart w:id="41" w:name="_Toc509213480"/>
      <w:bookmarkStart w:id="42" w:name="_Toc509213543"/>
      <w:bookmarkStart w:id="43" w:name="_Toc509213609"/>
      <w:bookmarkStart w:id="44" w:name="_Toc509213774"/>
      <w:bookmarkStart w:id="45" w:name="_Toc509214738"/>
      <w:bookmarkEnd w:id="36"/>
      <w:bookmarkEnd w:id="37"/>
      <w:bookmarkEnd w:id="38"/>
      <w:bookmarkEnd w:id="39"/>
      <w:bookmarkEnd w:id="40"/>
      <w:bookmarkEnd w:id="41"/>
      <w:bookmarkEnd w:id="42"/>
      <w:bookmarkEnd w:id="43"/>
      <w:bookmarkEnd w:id="44"/>
      <w:bookmarkEnd w:id="45"/>
    </w:p>
    <w:p w:rsidR="00662CFF" w:rsidRPr="00880D9D" w:rsidRDefault="00662CFF" w:rsidP="00E83DF1">
      <w:pPr>
        <w:pStyle w:val="Sinespaciado"/>
        <w:numPr>
          <w:ilvl w:val="1"/>
          <w:numId w:val="13"/>
        </w:numPr>
        <w:ind w:hanging="292"/>
        <w:jc w:val="both"/>
        <w:outlineLvl w:val="1"/>
        <w:rPr>
          <w:rFonts w:ascii="Times New Roman" w:hAnsi="Times New Roman" w:cs="Times New Roman"/>
          <w:b/>
          <w:lang w:val="es-MX"/>
        </w:rPr>
      </w:pPr>
      <w:bookmarkStart w:id="46" w:name="_Toc509214739"/>
      <w:r w:rsidRPr="00DB3C57">
        <w:rPr>
          <w:rFonts w:ascii="Times New Roman" w:hAnsi="Times New Roman" w:cs="Times New Roman"/>
          <w:b/>
          <w:sz w:val="24"/>
          <w:lang w:val="es-MX"/>
        </w:rPr>
        <w:t xml:space="preserve">Perspectivas económicas </w:t>
      </w:r>
      <w:r w:rsidR="00E57AB3" w:rsidRPr="00DB3C57">
        <w:rPr>
          <w:rFonts w:ascii="Times New Roman" w:hAnsi="Times New Roman" w:cs="Times New Roman"/>
          <w:b/>
          <w:sz w:val="24"/>
          <w:lang w:val="es-MX"/>
        </w:rPr>
        <w:t xml:space="preserve">nacionales </w:t>
      </w:r>
      <w:r w:rsidRPr="00DB3C57">
        <w:rPr>
          <w:rFonts w:ascii="Times New Roman" w:hAnsi="Times New Roman" w:cs="Times New Roman"/>
          <w:b/>
          <w:sz w:val="24"/>
          <w:lang w:val="es-MX"/>
        </w:rPr>
        <w:t>2018-2022</w:t>
      </w:r>
      <w:bookmarkEnd w:id="46"/>
      <w:r w:rsidRPr="00880D9D">
        <w:rPr>
          <w:rFonts w:ascii="Times New Roman" w:hAnsi="Times New Roman" w:cs="Times New Roman"/>
          <w:b/>
          <w:lang w:val="es-MX"/>
        </w:rPr>
        <w:t xml:space="preserve"> </w:t>
      </w:r>
      <w:r w:rsidR="00557268">
        <w:rPr>
          <w:rFonts w:ascii="Times New Roman" w:hAnsi="Times New Roman" w:cs="Times New Roman"/>
          <w:b/>
          <w:lang w:val="es-MX"/>
        </w:rPr>
        <w:t xml:space="preserve">  </w:t>
      </w:r>
    </w:p>
    <w:p w:rsidR="00D836D0" w:rsidRPr="00880D9D" w:rsidRDefault="00D836D0" w:rsidP="00714C9F">
      <w:pPr>
        <w:pStyle w:val="Sinespaciado"/>
        <w:jc w:val="both"/>
        <w:rPr>
          <w:rFonts w:ascii="Times New Roman" w:hAnsi="Times New Roman" w:cs="Times New Roman"/>
          <w:lang w:val="es-MX"/>
        </w:rPr>
      </w:pPr>
    </w:p>
    <w:p w:rsidR="00A3067F" w:rsidRPr="00F13E77" w:rsidRDefault="00E57AB3"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Para efectos de la presupuestación multianual 2018-2022, </w:t>
      </w:r>
      <w:r w:rsidR="0064034C" w:rsidRPr="00F13E77">
        <w:rPr>
          <w:rFonts w:ascii="Times New Roman" w:hAnsi="Times New Roman" w:cs="Times New Roman"/>
          <w:sz w:val="24"/>
          <w:lang w:val="es-MX"/>
        </w:rPr>
        <w:t>se considera el escenario medio de las proyecciones de variables macroeconómicas elaboradas por el Banco de Guatemala.  Dichas estimaciones considera</w:t>
      </w:r>
      <w:r w:rsidR="00A3067F" w:rsidRPr="00F13E77">
        <w:rPr>
          <w:rFonts w:ascii="Times New Roman" w:hAnsi="Times New Roman" w:cs="Times New Roman"/>
          <w:sz w:val="24"/>
          <w:lang w:val="es-MX"/>
        </w:rPr>
        <w:t xml:space="preserve">n en el ámbito externo, </w:t>
      </w:r>
      <w:r w:rsidR="0064034C" w:rsidRPr="00F13E77">
        <w:rPr>
          <w:rFonts w:ascii="Times New Roman" w:hAnsi="Times New Roman" w:cs="Times New Roman"/>
          <w:sz w:val="24"/>
          <w:lang w:val="es-MX"/>
        </w:rPr>
        <w:t>que la actividad económica mundial tiene un mayor impulso y crecerá más que el año anterior, incluyendo el principal socio comercial de Guatemala</w:t>
      </w:r>
      <w:r w:rsidR="00A3067F" w:rsidRPr="00F13E77">
        <w:rPr>
          <w:rFonts w:ascii="Times New Roman" w:hAnsi="Times New Roman" w:cs="Times New Roman"/>
          <w:sz w:val="24"/>
          <w:lang w:val="es-MX"/>
        </w:rPr>
        <w:t xml:space="preserve">, los Estados Unidos de América.  </w:t>
      </w:r>
      <w:r w:rsidR="0064034C" w:rsidRPr="00F13E77">
        <w:rPr>
          <w:rFonts w:ascii="Times New Roman" w:hAnsi="Times New Roman" w:cs="Times New Roman"/>
          <w:sz w:val="24"/>
          <w:lang w:val="es-MX"/>
        </w:rPr>
        <w:t xml:space="preserve"> </w:t>
      </w:r>
      <w:r w:rsidR="00A3067F" w:rsidRPr="00F13E77">
        <w:rPr>
          <w:rFonts w:ascii="Times New Roman" w:hAnsi="Times New Roman" w:cs="Times New Roman"/>
          <w:sz w:val="24"/>
          <w:lang w:val="es-MX"/>
        </w:rPr>
        <w:t>L</w:t>
      </w:r>
      <w:r w:rsidR="0064034C" w:rsidRPr="00F13E77">
        <w:rPr>
          <w:rFonts w:ascii="Times New Roman" w:hAnsi="Times New Roman" w:cs="Times New Roman"/>
          <w:sz w:val="24"/>
          <w:lang w:val="es-MX"/>
        </w:rPr>
        <w:t>o cual favorecerá el comercio para este país por lo que se prevé un mayor impulso en las exportaciones</w:t>
      </w:r>
      <w:r w:rsidR="00F041FF" w:rsidRPr="00F13E77">
        <w:rPr>
          <w:rFonts w:ascii="Times New Roman" w:hAnsi="Times New Roman" w:cs="Times New Roman"/>
          <w:sz w:val="24"/>
          <w:lang w:val="es-MX"/>
        </w:rPr>
        <w:t xml:space="preserve"> para 2018 y se mantendrá </w:t>
      </w:r>
      <w:r w:rsidR="0064034C" w:rsidRPr="00F13E77">
        <w:rPr>
          <w:rFonts w:ascii="Times New Roman" w:hAnsi="Times New Roman" w:cs="Times New Roman"/>
          <w:sz w:val="24"/>
          <w:lang w:val="es-MX"/>
        </w:rPr>
        <w:t xml:space="preserve">un ritmo </w:t>
      </w:r>
      <w:r w:rsidR="00F041FF" w:rsidRPr="00F13E77">
        <w:rPr>
          <w:rFonts w:ascii="Times New Roman" w:hAnsi="Times New Roman" w:cs="Times New Roman"/>
          <w:sz w:val="24"/>
          <w:lang w:val="es-MX"/>
        </w:rPr>
        <w:t xml:space="preserve">de </w:t>
      </w:r>
      <w:r w:rsidR="00A3067F" w:rsidRPr="00F13E77">
        <w:rPr>
          <w:rFonts w:ascii="Times New Roman" w:hAnsi="Times New Roman" w:cs="Times New Roman"/>
          <w:sz w:val="24"/>
          <w:lang w:val="es-MX"/>
        </w:rPr>
        <w:t>crecimiento constante</w:t>
      </w:r>
      <w:r w:rsidR="0064034C" w:rsidRPr="00F13E77">
        <w:rPr>
          <w:rFonts w:ascii="Times New Roman" w:hAnsi="Times New Roman" w:cs="Times New Roman"/>
          <w:sz w:val="24"/>
          <w:lang w:val="es-MX"/>
        </w:rPr>
        <w:t xml:space="preserve"> en el mediano plazo</w:t>
      </w:r>
      <w:r w:rsidR="00A3067F" w:rsidRPr="00F13E77">
        <w:rPr>
          <w:rFonts w:ascii="Times New Roman" w:hAnsi="Times New Roman" w:cs="Times New Roman"/>
          <w:sz w:val="24"/>
          <w:lang w:val="es-MX"/>
        </w:rPr>
        <w:t>.   Se espera igualmente una recuperación en los precios internacionales de algunos commodit</w:t>
      </w:r>
      <w:r w:rsidR="00F77B69" w:rsidRPr="00F13E77">
        <w:rPr>
          <w:rFonts w:ascii="Times New Roman" w:hAnsi="Times New Roman" w:cs="Times New Roman"/>
          <w:sz w:val="24"/>
          <w:lang w:val="es-MX"/>
        </w:rPr>
        <w:t>ies</w:t>
      </w:r>
      <w:r w:rsidR="00A3067F" w:rsidRPr="00F13E77">
        <w:rPr>
          <w:rFonts w:ascii="Times New Roman" w:hAnsi="Times New Roman" w:cs="Times New Roman"/>
          <w:sz w:val="24"/>
          <w:lang w:val="es-MX"/>
        </w:rPr>
        <w:t xml:space="preserve"> como el petróleo, además se espera </w:t>
      </w:r>
      <w:r w:rsidR="001972E7" w:rsidRPr="00F13E77">
        <w:rPr>
          <w:rFonts w:ascii="Times New Roman" w:hAnsi="Times New Roman" w:cs="Times New Roman"/>
          <w:sz w:val="24"/>
          <w:lang w:val="es-MX"/>
        </w:rPr>
        <w:t xml:space="preserve">que </w:t>
      </w:r>
      <w:r w:rsidR="00A3067F" w:rsidRPr="00F13E77">
        <w:rPr>
          <w:rFonts w:ascii="Times New Roman" w:hAnsi="Times New Roman" w:cs="Times New Roman"/>
          <w:sz w:val="24"/>
          <w:lang w:val="es-MX"/>
        </w:rPr>
        <w:t xml:space="preserve">los pecios del maíz y el trigo se mantengan estables.  </w:t>
      </w:r>
    </w:p>
    <w:p w:rsidR="00A3067F" w:rsidRPr="00F13E77" w:rsidRDefault="00A3067F" w:rsidP="00714C9F">
      <w:pPr>
        <w:pStyle w:val="Sinespaciado"/>
        <w:jc w:val="both"/>
        <w:rPr>
          <w:rFonts w:ascii="Times New Roman" w:hAnsi="Times New Roman" w:cs="Times New Roman"/>
          <w:sz w:val="24"/>
          <w:lang w:val="es-MX"/>
        </w:rPr>
      </w:pPr>
    </w:p>
    <w:p w:rsidR="00A3067F" w:rsidRPr="00F13E77" w:rsidRDefault="00A3067F"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Se estima que los incrementos previstos en los ingresos de divisas por remesas familiares y por inversión extranjera directa impulsarían principalmente</w:t>
      </w:r>
      <w:r w:rsidR="004C6586" w:rsidRPr="00F13E77">
        <w:rPr>
          <w:rFonts w:ascii="Times New Roman" w:hAnsi="Times New Roman" w:cs="Times New Roman"/>
          <w:sz w:val="24"/>
          <w:lang w:val="es-MX"/>
        </w:rPr>
        <w:t xml:space="preserve"> </w:t>
      </w:r>
      <w:r w:rsidRPr="00F13E77">
        <w:rPr>
          <w:rFonts w:ascii="Times New Roman" w:hAnsi="Times New Roman" w:cs="Times New Roman"/>
          <w:sz w:val="24"/>
          <w:lang w:val="es-MX"/>
        </w:rPr>
        <w:t xml:space="preserve">el consumo privado y la demanda intermedia.   Aunque se prevé que el ritmo observado en el comportamiento de las remesas </w:t>
      </w:r>
      <w:r w:rsidR="004C6586" w:rsidRPr="00F13E77">
        <w:rPr>
          <w:rFonts w:ascii="Times New Roman" w:hAnsi="Times New Roman" w:cs="Times New Roman"/>
          <w:sz w:val="24"/>
          <w:lang w:val="es-MX"/>
        </w:rPr>
        <w:t>familiares, de</w:t>
      </w:r>
      <w:r w:rsidRPr="00F13E77">
        <w:rPr>
          <w:rFonts w:ascii="Times New Roman" w:hAnsi="Times New Roman" w:cs="Times New Roman"/>
          <w:sz w:val="24"/>
          <w:lang w:val="es-MX"/>
        </w:rPr>
        <w:t xml:space="preserve"> los últimos dos años</w:t>
      </w:r>
      <w:r w:rsidR="004C6586" w:rsidRPr="00F13E77">
        <w:rPr>
          <w:rFonts w:ascii="Times New Roman" w:hAnsi="Times New Roman" w:cs="Times New Roman"/>
          <w:sz w:val="24"/>
          <w:lang w:val="es-MX"/>
        </w:rPr>
        <w:t>,</w:t>
      </w:r>
      <w:r w:rsidRPr="00F13E77">
        <w:rPr>
          <w:rFonts w:ascii="Times New Roman" w:hAnsi="Times New Roman" w:cs="Times New Roman"/>
          <w:sz w:val="24"/>
          <w:lang w:val="es-MX"/>
        </w:rPr>
        <w:t xml:space="preserve"> sea menor </w:t>
      </w:r>
      <w:r w:rsidR="004C6586" w:rsidRPr="00F13E77">
        <w:rPr>
          <w:rFonts w:ascii="Times New Roman" w:hAnsi="Times New Roman" w:cs="Times New Roman"/>
          <w:sz w:val="24"/>
          <w:lang w:val="es-MX"/>
        </w:rPr>
        <w:t xml:space="preserve">en el mediano plazo y </w:t>
      </w:r>
      <w:r w:rsidRPr="00F13E77">
        <w:rPr>
          <w:rFonts w:ascii="Times New Roman" w:hAnsi="Times New Roman" w:cs="Times New Roman"/>
          <w:sz w:val="24"/>
          <w:lang w:val="es-MX"/>
        </w:rPr>
        <w:t xml:space="preserve">se ubique en crecimientos anuales entre 8 y 10%, niveles que son consistentes con su </w:t>
      </w:r>
      <w:r w:rsidR="004C6586" w:rsidRPr="00F13E77">
        <w:rPr>
          <w:rFonts w:ascii="Times New Roman" w:hAnsi="Times New Roman" w:cs="Times New Roman"/>
          <w:sz w:val="24"/>
          <w:lang w:val="es-MX"/>
        </w:rPr>
        <w:t>tendencia</w:t>
      </w:r>
      <w:r w:rsidRPr="00F13E77">
        <w:rPr>
          <w:rFonts w:ascii="Times New Roman" w:hAnsi="Times New Roman" w:cs="Times New Roman"/>
          <w:sz w:val="24"/>
          <w:lang w:val="es-MX"/>
        </w:rPr>
        <w:t xml:space="preserve"> de largo plazo.</w:t>
      </w:r>
    </w:p>
    <w:p w:rsidR="00E57AB3" w:rsidRPr="00F13E77" w:rsidRDefault="00A3067F"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 </w:t>
      </w:r>
    </w:p>
    <w:p w:rsidR="00C34A59" w:rsidRPr="00F13E77" w:rsidRDefault="00807DE7"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En e</w:t>
      </w:r>
      <w:r w:rsidR="004C6586" w:rsidRPr="00F13E77">
        <w:rPr>
          <w:rFonts w:ascii="Times New Roman" w:hAnsi="Times New Roman" w:cs="Times New Roman"/>
          <w:sz w:val="24"/>
          <w:lang w:val="es-MX"/>
        </w:rPr>
        <w:t>l ámbito interno, se considera que se mantiene la estabilidad en el nivel general de precios con una meta de inflación de entre 4.0% +/- 1%.   La demanda interna continúa manifestando un comportamiento positivo, debido principalmente al dinamismo en el gasto de consumo privado y se espera un mayor impulso</w:t>
      </w:r>
      <w:r w:rsidR="0099655E" w:rsidRPr="00F13E77">
        <w:rPr>
          <w:rFonts w:ascii="Times New Roman" w:hAnsi="Times New Roman" w:cs="Times New Roman"/>
          <w:sz w:val="24"/>
          <w:lang w:val="es-MX"/>
        </w:rPr>
        <w:t xml:space="preserve"> en la </w:t>
      </w:r>
      <w:r w:rsidR="004C6586" w:rsidRPr="00F13E77">
        <w:rPr>
          <w:rFonts w:ascii="Times New Roman" w:hAnsi="Times New Roman" w:cs="Times New Roman"/>
          <w:sz w:val="24"/>
          <w:lang w:val="es-MX"/>
        </w:rPr>
        <w:t>inversión tanto privada como pública.  De esa cuenta</w:t>
      </w:r>
      <w:r w:rsidR="0099655E" w:rsidRPr="00F13E77">
        <w:rPr>
          <w:rFonts w:ascii="Times New Roman" w:hAnsi="Times New Roman" w:cs="Times New Roman"/>
          <w:sz w:val="24"/>
          <w:lang w:val="es-MX"/>
        </w:rPr>
        <w:t>,</w:t>
      </w:r>
      <w:r w:rsidR="004C6586" w:rsidRPr="00F13E77">
        <w:rPr>
          <w:rFonts w:ascii="Times New Roman" w:hAnsi="Times New Roman" w:cs="Times New Roman"/>
          <w:sz w:val="24"/>
          <w:lang w:val="es-MX"/>
        </w:rPr>
        <w:t xml:space="preserve"> </w:t>
      </w:r>
      <w:r w:rsidR="00E152F8" w:rsidRPr="00F13E77">
        <w:rPr>
          <w:rFonts w:ascii="Times New Roman" w:hAnsi="Times New Roman" w:cs="Times New Roman"/>
          <w:sz w:val="24"/>
          <w:lang w:val="es-MX"/>
        </w:rPr>
        <w:t xml:space="preserve">se prevé </w:t>
      </w:r>
      <w:r w:rsidR="004C6586" w:rsidRPr="00F13E77">
        <w:rPr>
          <w:rFonts w:ascii="Times New Roman" w:hAnsi="Times New Roman" w:cs="Times New Roman"/>
          <w:sz w:val="24"/>
          <w:lang w:val="es-MX"/>
        </w:rPr>
        <w:t>que exista un comportamiento positivo en todas las actividades económicas en el mediano plazo.</w:t>
      </w:r>
    </w:p>
    <w:p w:rsidR="004C6586" w:rsidRPr="00F13E77" w:rsidRDefault="004C6586" w:rsidP="00714C9F">
      <w:pPr>
        <w:pStyle w:val="Sinespaciado"/>
        <w:jc w:val="both"/>
        <w:rPr>
          <w:rFonts w:ascii="Times New Roman" w:hAnsi="Times New Roman" w:cs="Times New Roman"/>
          <w:sz w:val="24"/>
          <w:lang w:val="es-MX"/>
        </w:rPr>
      </w:pPr>
    </w:p>
    <w:p w:rsidR="004C6586" w:rsidRPr="00F13E77" w:rsidRDefault="0099655E"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Por último, e</w:t>
      </w:r>
      <w:r w:rsidR="004C6586" w:rsidRPr="00F13E77">
        <w:rPr>
          <w:rFonts w:ascii="Times New Roman" w:hAnsi="Times New Roman" w:cs="Times New Roman"/>
          <w:sz w:val="24"/>
          <w:lang w:val="es-MX"/>
        </w:rPr>
        <w:t>l crédito bancario al sector privado se espera que se ubique en el nivel de su tend</w:t>
      </w:r>
      <w:r w:rsidRPr="00F13E77">
        <w:rPr>
          <w:rFonts w:ascii="Times New Roman" w:hAnsi="Times New Roman" w:cs="Times New Roman"/>
          <w:sz w:val="24"/>
          <w:lang w:val="es-MX"/>
        </w:rPr>
        <w:t>encia de largo plazo y se estima</w:t>
      </w:r>
      <w:r w:rsidR="004C6586" w:rsidRPr="00F13E77">
        <w:rPr>
          <w:rFonts w:ascii="Times New Roman" w:hAnsi="Times New Roman" w:cs="Times New Roman"/>
          <w:sz w:val="24"/>
          <w:lang w:val="es-MX"/>
        </w:rPr>
        <w:t xml:space="preserve"> un déficit fiscal moderado </w:t>
      </w:r>
      <w:r w:rsidRPr="00F13E77">
        <w:rPr>
          <w:rFonts w:ascii="Times New Roman" w:hAnsi="Times New Roman" w:cs="Times New Roman"/>
          <w:sz w:val="24"/>
          <w:lang w:val="es-MX"/>
        </w:rPr>
        <w:t>en los años proyectados</w:t>
      </w:r>
      <w:r w:rsidR="004C6586" w:rsidRPr="00F13E77">
        <w:rPr>
          <w:rFonts w:ascii="Times New Roman" w:hAnsi="Times New Roman" w:cs="Times New Roman"/>
          <w:sz w:val="24"/>
          <w:lang w:val="es-MX"/>
        </w:rPr>
        <w:t>.</w:t>
      </w:r>
    </w:p>
    <w:p w:rsidR="004C6586" w:rsidRPr="00F13E77" w:rsidRDefault="004C6586" w:rsidP="00714C9F">
      <w:pPr>
        <w:pStyle w:val="Sinespaciado"/>
        <w:jc w:val="both"/>
        <w:rPr>
          <w:rFonts w:ascii="Times New Roman" w:hAnsi="Times New Roman" w:cs="Times New Roman"/>
          <w:sz w:val="24"/>
          <w:lang w:val="es-MX"/>
        </w:rPr>
      </w:pPr>
    </w:p>
    <w:p w:rsidR="00057983" w:rsidRPr="00F13E77" w:rsidRDefault="004D25D6"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Con la evolución esperada de las variables descritas</w:t>
      </w:r>
      <w:r w:rsidR="00057983" w:rsidRPr="00F13E77">
        <w:rPr>
          <w:rFonts w:ascii="Times New Roman" w:hAnsi="Times New Roman" w:cs="Times New Roman"/>
          <w:sz w:val="24"/>
          <w:lang w:val="es-MX"/>
        </w:rPr>
        <w:t>, se estima un crecimiento económico de 3.5% para 2018, consistente con el nivel de crecimiento potencial.  Asimismo, se espera que aumente levemente en el mediano plazo ubicándose para 2022 en 3.9%.</w:t>
      </w:r>
      <w:r w:rsidR="002412C9" w:rsidRPr="00F13E77">
        <w:rPr>
          <w:rFonts w:ascii="Times New Roman" w:hAnsi="Times New Roman" w:cs="Times New Roman"/>
          <w:sz w:val="24"/>
          <w:lang w:val="es-MX"/>
        </w:rPr>
        <w:t xml:space="preserve">  </w:t>
      </w:r>
      <w:r w:rsidR="00057983" w:rsidRPr="00F13E77">
        <w:rPr>
          <w:rFonts w:ascii="Times New Roman" w:hAnsi="Times New Roman" w:cs="Times New Roman"/>
          <w:sz w:val="24"/>
          <w:lang w:val="es-MX"/>
        </w:rPr>
        <w:t>Por su parte, el PIB nominal que considera el efecto inflacionario, podría alcanzar el 7.6% en 2018 y se proyecta que aumente en los próximos años y se ubique en 2022 en 8.1%.</w:t>
      </w:r>
    </w:p>
    <w:p w:rsidR="00057983" w:rsidRPr="00F13E77" w:rsidRDefault="00057983" w:rsidP="00714C9F">
      <w:pPr>
        <w:pStyle w:val="Sinespaciado"/>
        <w:jc w:val="both"/>
        <w:rPr>
          <w:rFonts w:ascii="Times New Roman" w:hAnsi="Times New Roman" w:cs="Times New Roman"/>
          <w:sz w:val="24"/>
          <w:lang w:val="es-MX"/>
        </w:rPr>
      </w:pPr>
    </w:p>
    <w:p w:rsidR="00057983" w:rsidRPr="00F13E77" w:rsidRDefault="00126BFA"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O</w:t>
      </w:r>
      <w:r w:rsidR="00057983" w:rsidRPr="00F13E77">
        <w:rPr>
          <w:rFonts w:ascii="Times New Roman" w:hAnsi="Times New Roman" w:cs="Times New Roman"/>
          <w:sz w:val="24"/>
          <w:lang w:val="es-MX"/>
        </w:rPr>
        <w:t xml:space="preserve">tra variable importante, en las estimaciones fiscales, son las importaciones, esta se espera que muestre un crecimiento de 6.0% para 2018 y para el período 2019-2022 se mantenga en 6.5%.  Asimismo, estas tasas de crecimiento se espera que se repliquen en el caso de las exportaciones. </w:t>
      </w:r>
    </w:p>
    <w:p w:rsidR="00057983" w:rsidRPr="00F13E77" w:rsidRDefault="00057983" w:rsidP="00714C9F">
      <w:pPr>
        <w:pStyle w:val="Sinespaciado"/>
        <w:jc w:val="both"/>
        <w:rPr>
          <w:rFonts w:ascii="Times New Roman" w:hAnsi="Times New Roman" w:cs="Times New Roman"/>
          <w:sz w:val="24"/>
          <w:lang w:val="es-MX"/>
        </w:rPr>
      </w:pPr>
    </w:p>
    <w:p w:rsidR="00057983" w:rsidRPr="00F13E77" w:rsidRDefault="00077D2C"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El tipo de cambio que es otra variable para fines fiscales, se considera neutral en el mediano plazo, principalmente en las estimaciones tributarias.</w:t>
      </w:r>
    </w:p>
    <w:p w:rsidR="00F13E77" w:rsidRDefault="00F13E77" w:rsidP="00714C9F">
      <w:pPr>
        <w:pStyle w:val="Sinespaciado"/>
        <w:jc w:val="both"/>
        <w:rPr>
          <w:rFonts w:ascii="Times New Roman" w:hAnsi="Times New Roman" w:cs="Times New Roman"/>
          <w:lang w:val="es-MX"/>
        </w:rPr>
      </w:pPr>
    </w:p>
    <w:p w:rsidR="003845CA" w:rsidRDefault="003845CA" w:rsidP="00714C9F">
      <w:pPr>
        <w:pStyle w:val="Sinespaciado"/>
        <w:jc w:val="both"/>
        <w:rPr>
          <w:rFonts w:ascii="Times New Roman" w:hAnsi="Times New Roman" w:cs="Times New Roman"/>
          <w:lang w:val="es-MX"/>
        </w:rPr>
      </w:pPr>
    </w:p>
    <w:p w:rsidR="00F77B69" w:rsidRPr="00D5489E" w:rsidRDefault="00F77B69" w:rsidP="002C2737">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Cuadro 3</w:t>
      </w:r>
    </w:p>
    <w:p w:rsidR="004C6586" w:rsidRPr="00D5489E" w:rsidRDefault="002C2737" w:rsidP="002C2737">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Proyección de las Variables Macroeconómicas</w:t>
      </w:r>
    </w:p>
    <w:p w:rsidR="002C2737" w:rsidRPr="00D5489E" w:rsidRDefault="002C2737" w:rsidP="002C2737">
      <w:pPr>
        <w:pStyle w:val="Sinespaciado"/>
        <w:jc w:val="center"/>
        <w:rPr>
          <w:rFonts w:ascii="Times New Roman" w:hAnsi="Times New Roman" w:cs="Times New Roman"/>
          <w:sz w:val="20"/>
          <w:lang w:val="es-MX"/>
        </w:rPr>
      </w:pPr>
      <w:r w:rsidRPr="00D5489E">
        <w:rPr>
          <w:rFonts w:ascii="Times New Roman" w:hAnsi="Times New Roman" w:cs="Times New Roman"/>
          <w:sz w:val="20"/>
          <w:lang w:val="es-MX"/>
        </w:rPr>
        <w:t>Variación Interanual</w:t>
      </w:r>
    </w:p>
    <w:tbl>
      <w:tblPr>
        <w:tblW w:w="6219" w:type="dxa"/>
        <w:jc w:val="center"/>
        <w:tblCellMar>
          <w:left w:w="70" w:type="dxa"/>
          <w:right w:w="70" w:type="dxa"/>
        </w:tblCellMar>
        <w:tblLook w:val="04A0" w:firstRow="1" w:lastRow="0" w:firstColumn="1" w:lastColumn="0" w:noHBand="0" w:noVBand="1"/>
      </w:tblPr>
      <w:tblGrid>
        <w:gridCol w:w="1424"/>
        <w:gridCol w:w="959"/>
        <w:gridCol w:w="959"/>
        <w:gridCol w:w="959"/>
        <w:gridCol w:w="959"/>
        <w:gridCol w:w="959"/>
      </w:tblGrid>
      <w:tr w:rsidR="0064034C" w:rsidRPr="00880D9D" w:rsidTr="0064034C">
        <w:trPr>
          <w:trHeight w:val="400"/>
          <w:jc w:val="center"/>
        </w:trPr>
        <w:tc>
          <w:tcPr>
            <w:tcW w:w="1424" w:type="dxa"/>
            <w:tcBorders>
              <w:top w:val="nil"/>
              <w:left w:val="nil"/>
              <w:bottom w:val="nil"/>
              <w:right w:val="single" w:sz="4" w:space="0" w:color="auto"/>
            </w:tcBorders>
            <w:shd w:val="clear" w:color="auto" w:fill="auto"/>
            <w:noWrap/>
            <w:vAlign w:val="center"/>
            <w:hideMark/>
          </w:tcPr>
          <w:p w:rsidR="0064034C" w:rsidRPr="00880D9D" w:rsidRDefault="0064034C" w:rsidP="00C34A59">
            <w:pPr>
              <w:spacing w:after="0" w:line="240" w:lineRule="auto"/>
              <w:rPr>
                <w:rFonts w:ascii="Arial" w:eastAsia="Times New Roman" w:hAnsi="Arial" w:cs="Arial"/>
                <w:sz w:val="18"/>
                <w:szCs w:val="20"/>
                <w:lang w:eastAsia="es-GT"/>
              </w:rPr>
            </w:pPr>
          </w:p>
        </w:tc>
        <w:tc>
          <w:tcPr>
            <w:tcW w:w="959"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rsidR="0064034C" w:rsidRPr="00880D9D" w:rsidRDefault="0064034C" w:rsidP="00C34A59">
            <w:pPr>
              <w:spacing w:after="0" w:line="240" w:lineRule="auto"/>
              <w:jc w:val="center"/>
              <w:rPr>
                <w:rFonts w:ascii="Times New Roman" w:eastAsia="Times New Roman" w:hAnsi="Times New Roman" w:cs="Times New Roman"/>
                <w:b/>
                <w:bCs/>
                <w:color w:val="FFFFFF"/>
                <w:sz w:val="20"/>
                <w:lang w:eastAsia="es-GT"/>
              </w:rPr>
            </w:pPr>
            <w:r w:rsidRPr="00880D9D">
              <w:rPr>
                <w:rFonts w:ascii="Times New Roman" w:eastAsia="Times New Roman" w:hAnsi="Times New Roman" w:cs="Times New Roman"/>
                <w:b/>
                <w:bCs/>
                <w:color w:val="FFFFFF"/>
                <w:sz w:val="20"/>
                <w:lang w:eastAsia="es-GT"/>
              </w:rPr>
              <w:t>2018</w:t>
            </w:r>
          </w:p>
        </w:tc>
        <w:tc>
          <w:tcPr>
            <w:tcW w:w="959" w:type="dxa"/>
            <w:tcBorders>
              <w:top w:val="single" w:sz="8" w:space="0" w:color="auto"/>
              <w:left w:val="nil"/>
              <w:bottom w:val="single" w:sz="8" w:space="0" w:color="auto"/>
              <w:right w:val="single" w:sz="4" w:space="0" w:color="auto"/>
            </w:tcBorders>
            <w:shd w:val="clear" w:color="000000" w:fill="000000"/>
            <w:noWrap/>
            <w:vAlign w:val="center"/>
            <w:hideMark/>
          </w:tcPr>
          <w:p w:rsidR="0064034C" w:rsidRPr="00880D9D" w:rsidRDefault="0064034C" w:rsidP="00C34A59">
            <w:pPr>
              <w:spacing w:after="0" w:line="240" w:lineRule="auto"/>
              <w:jc w:val="center"/>
              <w:rPr>
                <w:rFonts w:ascii="Times New Roman" w:eastAsia="Times New Roman" w:hAnsi="Times New Roman" w:cs="Times New Roman"/>
                <w:b/>
                <w:bCs/>
                <w:color w:val="FFFFFF"/>
                <w:sz w:val="20"/>
                <w:lang w:eastAsia="es-GT"/>
              </w:rPr>
            </w:pPr>
            <w:r w:rsidRPr="00880D9D">
              <w:rPr>
                <w:rFonts w:ascii="Times New Roman" w:eastAsia="Times New Roman" w:hAnsi="Times New Roman" w:cs="Times New Roman"/>
                <w:b/>
                <w:bCs/>
                <w:color w:val="FFFFFF"/>
                <w:sz w:val="20"/>
                <w:lang w:eastAsia="es-GT"/>
              </w:rPr>
              <w:t>2019</w:t>
            </w:r>
          </w:p>
        </w:tc>
        <w:tc>
          <w:tcPr>
            <w:tcW w:w="959" w:type="dxa"/>
            <w:tcBorders>
              <w:top w:val="single" w:sz="8" w:space="0" w:color="auto"/>
              <w:left w:val="nil"/>
              <w:bottom w:val="single" w:sz="8" w:space="0" w:color="auto"/>
              <w:right w:val="single" w:sz="4" w:space="0" w:color="auto"/>
            </w:tcBorders>
            <w:shd w:val="clear" w:color="000000" w:fill="000000"/>
            <w:noWrap/>
            <w:vAlign w:val="center"/>
            <w:hideMark/>
          </w:tcPr>
          <w:p w:rsidR="0064034C" w:rsidRPr="00880D9D" w:rsidRDefault="0064034C" w:rsidP="00C34A59">
            <w:pPr>
              <w:spacing w:after="0" w:line="240" w:lineRule="auto"/>
              <w:jc w:val="center"/>
              <w:rPr>
                <w:rFonts w:ascii="Times New Roman" w:eastAsia="Times New Roman" w:hAnsi="Times New Roman" w:cs="Times New Roman"/>
                <w:b/>
                <w:bCs/>
                <w:color w:val="FFFFFF"/>
                <w:sz w:val="20"/>
                <w:lang w:eastAsia="es-GT"/>
              </w:rPr>
            </w:pPr>
            <w:r w:rsidRPr="00880D9D">
              <w:rPr>
                <w:rFonts w:ascii="Times New Roman" w:eastAsia="Times New Roman" w:hAnsi="Times New Roman" w:cs="Times New Roman"/>
                <w:b/>
                <w:bCs/>
                <w:color w:val="FFFFFF"/>
                <w:sz w:val="20"/>
                <w:lang w:eastAsia="es-GT"/>
              </w:rPr>
              <w:t>2020</w:t>
            </w:r>
          </w:p>
        </w:tc>
        <w:tc>
          <w:tcPr>
            <w:tcW w:w="959" w:type="dxa"/>
            <w:tcBorders>
              <w:top w:val="single" w:sz="8" w:space="0" w:color="auto"/>
              <w:left w:val="nil"/>
              <w:bottom w:val="single" w:sz="8" w:space="0" w:color="auto"/>
              <w:right w:val="single" w:sz="4" w:space="0" w:color="auto"/>
            </w:tcBorders>
            <w:shd w:val="clear" w:color="000000" w:fill="000000"/>
            <w:noWrap/>
            <w:vAlign w:val="center"/>
            <w:hideMark/>
          </w:tcPr>
          <w:p w:rsidR="0064034C" w:rsidRPr="00880D9D" w:rsidRDefault="0064034C" w:rsidP="00C34A59">
            <w:pPr>
              <w:spacing w:after="0" w:line="240" w:lineRule="auto"/>
              <w:jc w:val="center"/>
              <w:rPr>
                <w:rFonts w:ascii="Times New Roman" w:eastAsia="Times New Roman" w:hAnsi="Times New Roman" w:cs="Times New Roman"/>
                <w:b/>
                <w:bCs/>
                <w:color w:val="FFFFFF"/>
                <w:sz w:val="20"/>
                <w:lang w:eastAsia="es-GT"/>
              </w:rPr>
            </w:pPr>
            <w:r w:rsidRPr="00880D9D">
              <w:rPr>
                <w:rFonts w:ascii="Times New Roman" w:eastAsia="Times New Roman" w:hAnsi="Times New Roman" w:cs="Times New Roman"/>
                <w:b/>
                <w:bCs/>
                <w:color w:val="FFFFFF"/>
                <w:sz w:val="20"/>
                <w:lang w:eastAsia="es-GT"/>
              </w:rPr>
              <w:t>2021</w:t>
            </w:r>
          </w:p>
        </w:tc>
        <w:tc>
          <w:tcPr>
            <w:tcW w:w="959" w:type="dxa"/>
            <w:tcBorders>
              <w:top w:val="single" w:sz="8" w:space="0" w:color="auto"/>
              <w:left w:val="single" w:sz="4" w:space="0" w:color="auto"/>
              <w:bottom w:val="single" w:sz="8" w:space="0" w:color="auto"/>
              <w:right w:val="single" w:sz="8" w:space="0" w:color="auto"/>
            </w:tcBorders>
            <w:shd w:val="clear" w:color="000000" w:fill="000000"/>
            <w:noWrap/>
            <w:vAlign w:val="center"/>
            <w:hideMark/>
          </w:tcPr>
          <w:p w:rsidR="0064034C" w:rsidRPr="00880D9D" w:rsidRDefault="0064034C" w:rsidP="00C34A59">
            <w:pPr>
              <w:spacing w:after="0" w:line="240" w:lineRule="auto"/>
              <w:jc w:val="center"/>
              <w:rPr>
                <w:rFonts w:ascii="Times New Roman" w:eastAsia="Times New Roman" w:hAnsi="Times New Roman" w:cs="Times New Roman"/>
                <w:b/>
                <w:bCs/>
                <w:color w:val="FFFFFF"/>
                <w:sz w:val="20"/>
                <w:lang w:eastAsia="es-GT"/>
              </w:rPr>
            </w:pPr>
            <w:r w:rsidRPr="00880D9D">
              <w:rPr>
                <w:rFonts w:ascii="Times New Roman" w:eastAsia="Times New Roman" w:hAnsi="Times New Roman" w:cs="Times New Roman"/>
                <w:b/>
                <w:bCs/>
                <w:color w:val="FFFFFF"/>
                <w:sz w:val="20"/>
                <w:lang w:eastAsia="es-GT"/>
              </w:rPr>
              <w:t>2022</w:t>
            </w:r>
          </w:p>
        </w:tc>
      </w:tr>
      <w:tr w:rsidR="0064034C" w:rsidRPr="00880D9D" w:rsidTr="004B6F44">
        <w:trPr>
          <w:trHeight w:val="366"/>
          <w:jc w:val="center"/>
        </w:trPr>
        <w:tc>
          <w:tcPr>
            <w:tcW w:w="1424" w:type="dxa"/>
            <w:tcBorders>
              <w:top w:val="single" w:sz="8" w:space="0" w:color="auto"/>
              <w:left w:val="single" w:sz="8" w:space="0" w:color="auto"/>
              <w:bottom w:val="nil"/>
              <w:right w:val="single" w:sz="4" w:space="0" w:color="auto"/>
            </w:tcBorders>
            <w:shd w:val="clear" w:color="auto" w:fill="auto"/>
            <w:noWrap/>
            <w:vAlign w:val="center"/>
            <w:hideMark/>
          </w:tcPr>
          <w:p w:rsidR="0064034C" w:rsidRPr="00880D9D" w:rsidRDefault="0064034C" w:rsidP="00C34A59">
            <w:pPr>
              <w:spacing w:after="0" w:line="240" w:lineRule="auto"/>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PIB real</w:t>
            </w:r>
          </w:p>
        </w:tc>
        <w:tc>
          <w:tcPr>
            <w:tcW w:w="959" w:type="dxa"/>
            <w:tcBorders>
              <w:top w:val="nil"/>
              <w:left w:val="single" w:sz="4" w:space="0" w:color="auto"/>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3.5%</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3.6%</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3.7%</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3.8%</w:t>
            </w:r>
          </w:p>
        </w:tc>
        <w:tc>
          <w:tcPr>
            <w:tcW w:w="959" w:type="dxa"/>
            <w:tcBorders>
              <w:top w:val="nil"/>
              <w:left w:val="nil"/>
              <w:bottom w:val="nil"/>
              <w:right w:val="single" w:sz="8"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3.9%</w:t>
            </w:r>
          </w:p>
        </w:tc>
      </w:tr>
      <w:tr w:rsidR="0064034C" w:rsidRPr="00880D9D" w:rsidTr="004B6F44">
        <w:trPr>
          <w:trHeight w:val="420"/>
          <w:jc w:val="center"/>
        </w:trPr>
        <w:tc>
          <w:tcPr>
            <w:tcW w:w="1424" w:type="dxa"/>
            <w:tcBorders>
              <w:top w:val="nil"/>
              <w:left w:val="single" w:sz="8" w:space="0" w:color="auto"/>
              <w:bottom w:val="nil"/>
              <w:right w:val="single" w:sz="4" w:space="0" w:color="auto"/>
            </w:tcBorders>
            <w:shd w:val="clear" w:color="auto" w:fill="auto"/>
            <w:noWrap/>
            <w:vAlign w:val="center"/>
            <w:hideMark/>
          </w:tcPr>
          <w:p w:rsidR="0064034C" w:rsidRPr="00880D9D" w:rsidRDefault="0064034C" w:rsidP="00C34A59">
            <w:pPr>
              <w:spacing w:after="0" w:line="240" w:lineRule="auto"/>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PIB nominal</w:t>
            </w:r>
          </w:p>
        </w:tc>
        <w:tc>
          <w:tcPr>
            <w:tcW w:w="959" w:type="dxa"/>
            <w:tcBorders>
              <w:top w:val="nil"/>
              <w:left w:val="single" w:sz="4" w:space="0" w:color="auto"/>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7.6%</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7.8%</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7.9%</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8.0%</w:t>
            </w:r>
          </w:p>
        </w:tc>
        <w:tc>
          <w:tcPr>
            <w:tcW w:w="959" w:type="dxa"/>
            <w:tcBorders>
              <w:top w:val="nil"/>
              <w:left w:val="nil"/>
              <w:bottom w:val="nil"/>
              <w:right w:val="single" w:sz="8"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8.1%</w:t>
            </w:r>
          </w:p>
        </w:tc>
      </w:tr>
      <w:tr w:rsidR="0064034C" w:rsidRPr="00880D9D" w:rsidTr="0064034C">
        <w:trPr>
          <w:trHeight w:val="488"/>
          <w:jc w:val="center"/>
        </w:trPr>
        <w:tc>
          <w:tcPr>
            <w:tcW w:w="1424" w:type="dxa"/>
            <w:tcBorders>
              <w:top w:val="nil"/>
              <w:left w:val="single" w:sz="8" w:space="0" w:color="auto"/>
              <w:bottom w:val="nil"/>
              <w:right w:val="single" w:sz="4" w:space="0" w:color="auto"/>
            </w:tcBorders>
            <w:shd w:val="clear" w:color="auto" w:fill="auto"/>
            <w:noWrap/>
            <w:vAlign w:val="center"/>
            <w:hideMark/>
          </w:tcPr>
          <w:p w:rsidR="0064034C" w:rsidRPr="00880D9D" w:rsidRDefault="0064034C" w:rsidP="00C34A59">
            <w:pPr>
              <w:spacing w:after="0" w:line="240" w:lineRule="auto"/>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Importaciones FOB</w:t>
            </w:r>
          </w:p>
        </w:tc>
        <w:tc>
          <w:tcPr>
            <w:tcW w:w="959" w:type="dxa"/>
            <w:tcBorders>
              <w:top w:val="nil"/>
              <w:left w:val="single" w:sz="4" w:space="0" w:color="auto"/>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6.0%</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6.5%</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6.5%</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6.5%</w:t>
            </w:r>
          </w:p>
        </w:tc>
        <w:tc>
          <w:tcPr>
            <w:tcW w:w="959" w:type="dxa"/>
            <w:tcBorders>
              <w:top w:val="nil"/>
              <w:left w:val="nil"/>
              <w:bottom w:val="nil"/>
              <w:right w:val="single" w:sz="8"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6.5%</w:t>
            </w:r>
          </w:p>
        </w:tc>
      </w:tr>
      <w:tr w:rsidR="0064034C" w:rsidRPr="00880D9D" w:rsidTr="0064034C">
        <w:trPr>
          <w:trHeight w:val="488"/>
          <w:jc w:val="center"/>
        </w:trPr>
        <w:tc>
          <w:tcPr>
            <w:tcW w:w="1424" w:type="dxa"/>
            <w:tcBorders>
              <w:top w:val="nil"/>
              <w:left w:val="single" w:sz="8" w:space="0" w:color="auto"/>
              <w:bottom w:val="nil"/>
              <w:right w:val="single" w:sz="4" w:space="0" w:color="auto"/>
            </w:tcBorders>
            <w:shd w:val="clear" w:color="auto" w:fill="auto"/>
            <w:noWrap/>
            <w:vAlign w:val="center"/>
            <w:hideMark/>
          </w:tcPr>
          <w:p w:rsidR="0064034C" w:rsidRPr="00880D9D" w:rsidRDefault="0064034C" w:rsidP="00C34A59">
            <w:pPr>
              <w:spacing w:after="0" w:line="240" w:lineRule="auto"/>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Exportaciones FOB</w:t>
            </w:r>
          </w:p>
        </w:tc>
        <w:tc>
          <w:tcPr>
            <w:tcW w:w="959" w:type="dxa"/>
            <w:tcBorders>
              <w:top w:val="nil"/>
              <w:left w:val="single" w:sz="4" w:space="0" w:color="auto"/>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6.0%</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6.5%</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6.5%</w:t>
            </w:r>
          </w:p>
        </w:tc>
        <w:tc>
          <w:tcPr>
            <w:tcW w:w="959" w:type="dxa"/>
            <w:tcBorders>
              <w:top w:val="nil"/>
              <w:left w:val="nil"/>
              <w:bottom w:val="nil"/>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6.5%</w:t>
            </w:r>
          </w:p>
        </w:tc>
        <w:tc>
          <w:tcPr>
            <w:tcW w:w="959" w:type="dxa"/>
            <w:tcBorders>
              <w:top w:val="nil"/>
              <w:left w:val="nil"/>
              <w:bottom w:val="nil"/>
              <w:right w:val="single" w:sz="8"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6.5%</w:t>
            </w:r>
          </w:p>
        </w:tc>
      </w:tr>
      <w:tr w:rsidR="0064034C" w:rsidRPr="00880D9D" w:rsidTr="0064034C">
        <w:trPr>
          <w:trHeight w:val="488"/>
          <w:jc w:val="center"/>
        </w:trPr>
        <w:tc>
          <w:tcPr>
            <w:tcW w:w="1424" w:type="dxa"/>
            <w:tcBorders>
              <w:top w:val="nil"/>
              <w:left w:val="single" w:sz="8" w:space="0" w:color="auto"/>
              <w:bottom w:val="single" w:sz="8" w:space="0" w:color="auto"/>
              <w:right w:val="single" w:sz="4" w:space="0" w:color="auto"/>
            </w:tcBorders>
            <w:shd w:val="clear" w:color="auto" w:fill="auto"/>
            <w:noWrap/>
            <w:vAlign w:val="center"/>
            <w:hideMark/>
          </w:tcPr>
          <w:p w:rsidR="0064034C" w:rsidRPr="00880D9D" w:rsidRDefault="0064034C" w:rsidP="00C34A59">
            <w:pPr>
              <w:spacing w:after="0" w:line="240" w:lineRule="auto"/>
              <w:rPr>
                <w:rFonts w:ascii="Times New Roman" w:eastAsia="Times New Roman" w:hAnsi="Times New Roman" w:cs="Times New Roman"/>
                <w:color w:val="000000"/>
                <w:sz w:val="16"/>
                <w:szCs w:val="18"/>
                <w:lang w:eastAsia="es-GT"/>
              </w:rPr>
            </w:pPr>
            <w:r w:rsidRPr="00880D9D">
              <w:rPr>
                <w:rFonts w:ascii="Times New Roman" w:eastAsia="Times New Roman" w:hAnsi="Times New Roman" w:cs="Times New Roman"/>
                <w:color w:val="000000"/>
                <w:sz w:val="16"/>
                <w:szCs w:val="18"/>
                <w:lang w:eastAsia="es-GT"/>
              </w:rPr>
              <w:t>Inflación</w:t>
            </w:r>
          </w:p>
        </w:tc>
        <w:tc>
          <w:tcPr>
            <w:tcW w:w="959" w:type="dxa"/>
            <w:tcBorders>
              <w:top w:val="nil"/>
              <w:left w:val="single" w:sz="4" w:space="0" w:color="auto"/>
              <w:bottom w:val="single" w:sz="8" w:space="0" w:color="auto"/>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sz w:val="12"/>
                <w:szCs w:val="20"/>
                <w:lang w:eastAsia="es-GT"/>
              </w:rPr>
            </w:pPr>
            <w:r w:rsidRPr="00880D9D">
              <w:rPr>
                <w:rFonts w:ascii="Times New Roman" w:eastAsia="Times New Roman" w:hAnsi="Times New Roman" w:cs="Times New Roman"/>
                <w:sz w:val="12"/>
                <w:szCs w:val="20"/>
                <w:lang w:eastAsia="es-GT"/>
              </w:rPr>
              <w:t>4.0% +/- 1%</w:t>
            </w:r>
          </w:p>
        </w:tc>
        <w:tc>
          <w:tcPr>
            <w:tcW w:w="959" w:type="dxa"/>
            <w:tcBorders>
              <w:top w:val="nil"/>
              <w:left w:val="nil"/>
              <w:bottom w:val="single" w:sz="8" w:space="0" w:color="auto"/>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sz w:val="12"/>
                <w:szCs w:val="20"/>
                <w:lang w:eastAsia="es-GT"/>
              </w:rPr>
            </w:pPr>
            <w:r w:rsidRPr="00880D9D">
              <w:rPr>
                <w:rFonts w:ascii="Times New Roman" w:eastAsia="Times New Roman" w:hAnsi="Times New Roman" w:cs="Times New Roman"/>
                <w:sz w:val="12"/>
                <w:szCs w:val="20"/>
                <w:lang w:eastAsia="es-GT"/>
              </w:rPr>
              <w:t>4.0% +/- 1%</w:t>
            </w:r>
          </w:p>
        </w:tc>
        <w:tc>
          <w:tcPr>
            <w:tcW w:w="959" w:type="dxa"/>
            <w:tcBorders>
              <w:top w:val="nil"/>
              <w:left w:val="nil"/>
              <w:bottom w:val="single" w:sz="8" w:space="0" w:color="auto"/>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sz w:val="12"/>
                <w:szCs w:val="20"/>
                <w:lang w:eastAsia="es-GT"/>
              </w:rPr>
            </w:pPr>
            <w:r w:rsidRPr="00880D9D">
              <w:rPr>
                <w:rFonts w:ascii="Times New Roman" w:eastAsia="Times New Roman" w:hAnsi="Times New Roman" w:cs="Times New Roman"/>
                <w:sz w:val="12"/>
                <w:szCs w:val="20"/>
                <w:lang w:eastAsia="es-GT"/>
              </w:rPr>
              <w:t>4.0% +/- 1%</w:t>
            </w:r>
          </w:p>
        </w:tc>
        <w:tc>
          <w:tcPr>
            <w:tcW w:w="959" w:type="dxa"/>
            <w:tcBorders>
              <w:top w:val="nil"/>
              <w:left w:val="nil"/>
              <w:bottom w:val="single" w:sz="8" w:space="0" w:color="auto"/>
              <w:right w:val="single" w:sz="4"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sz w:val="12"/>
                <w:szCs w:val="20"/>
                <w:lang w:eastAsia="es-GT"/>
              </w:rPr>
            </w:pPr>
            <w:r w:rsidRPr="00880D9D">
              <w:rPr>
                <w:rFonts w:ascii="Times New Roman" w:eastAsia="Times New Roman" w:hAnsi="Times New Roman" w:cs="Times New Roman"/>
                <w:sz w:val="12"/>
                <w:szCs w:val="20"/>
                <w:lang w:eastAsia="es-GT"/>
              </w:rPr>
              <w:t>4.0% +/- 1%</w:t>
            </w:r>
          </w:p>
        </w:tc>
        <w:tc>
          <w:tcPr>
            <w:tcW w:w="959" w:type="dxa"/>
            <w:tcBorders>
              <w:top w:val="nil"/>
              <w:left w:val="nil"/>
              <w:bottom w:val="single" w:sz="8" w:space="0" w:color="auto"/>
              <w:right w:val="single" w:sz="8" w:space="0" w:color="auto"/>
            </w:tcBorders>
            <w:shd w:val="clear" w:color="000000" w:fill="B8CCE4"/>
            <w:noWrap/>
            <w:vAlign w:val="center"/>
            <w:hideMark/>
          </w:tcPr>
          <w:p w:rsidR="0064034C" w:rsidRPr="00880D9D" w:rsidRDefault="0064034C" w:rsidP="00C34A59">
            <w:pPr>
              <w:spacing w:after="0" w:line="240" w:lineRule="auto"/>
              <w:jc w:val="center"/>
              <w:rPr>
                <w:rFonts w:ascii="Times New Roman" w:eastAsia="Times New Roman" w:hAnsi="Times New Roman" w:cs="Times New Roman"/>
                <w:sz w:val="12"/>
                <w:szCs w:val="20"/>
                <w:lang w:eastAsia="es-GT"/>
              </w:rPr>
            </w:pPr>
            <w:r w:rsidRPr="00880D9D">
              <w:rPr>
                <w:rFonts w:ascii="Times New Roman" w:eastAsia="Times New Roman" w:hAnsi="Times New Roman" w:cs="Times New Roman"/>
                <w:sz w:val="12"/>
                <w:szCs w:val="20"/>
                <w:lang w:eastAsia="es-GT"/>
              </w:rPr>
              <w:t>4.0% +/- 1%</w:t>
            </w:r>
          </w:p>
        </w:tc>
      </w:tr>
    </w:tbl>
    <w:p w:rsidR="00C34A59" w:rsidRPr="00880D9D" w:rsidRDefault="002C2737" w:rsidP="002C2737">
      <w:pPr>
        <w:pStyle w:val="Sinespaciado"/>
        <w:ind w:left="708" w:firstLine="708"/>
        <w:jc w:val="both"/>
        <w:rPr>
          <w:rFonts w:ascii="Times New Roman" w:hAnsi="Times New Roman" w:cs="Times New Roman"/>
          <w:sz w:val="16"/>
          <w:lang w:val="es-MX"/>
        </w:rPr>
      </w:pPr>
      <w:r w:rsidRPr="00880D9D">
        <w:rPr>
          <w:rFonts w:ascii="Times New Roman" w:hAnsi="Times New Roman" w:cs="Times New Roman"/>
          <w:sz w:val="16"/>
          <w:lang w:val="es-MX"/>
        </w:rPr>
        <w:t>Fuente: Banco de Guatemala</w:t>
      </w:r>
    </w:p>
    <w:p w:rsidR="00097303" w:rsidRDefault="00097303" w:rsidP="00D5489E">
      <w:pPr>
        <w:pStyle w:val="Sinespaciado"/>
        <w:tabs>
          <w:tab w:val="left" w:pos="2329"/>
        </w:tabs>
        <w:jc w:val="both"/>
        <w:rPr>
          <w:rFonts w:ascii="Times New Roman" w:hAnsi="Times New Roman" w:cs="Times New Roman"/>
          <w:b/>
          <w:lang w:val="es-MX"/>
        </w:rPr>
      </w:pPr>
    </w:p>
    <w:p w:rsidR="004C5A3D" w:rsidRPr="00E83DF1" w:rsidRDefault="006602B1" w:rsidP="00E83DF1">
      <w:pPr>
        <w:pStyle w:val="Sinespaciado"/>
        <w:numPr>
          <w:ilvl w:val="1"/>
          <w:numId w:val="13"/>
        </w:numPr>
        <w:ind w:hanging="292"/>
        <w:jc w:val="both"/>
        <w:outlineLvl w:val="1"/>
        <w:rPr>
          <w:rFonts w:ascii="Times New Roman" w:hAnsi="Times New Roman" w:cs="Times New Roman"/>
          <w:b/>
          <w:sz w:val="24"/>
          <w:lang w:val="es-MX"/>
        </w:rPr>
      </w:pPr>
      <w:bookmarkStart w:id="47" w:name="_Toc509214740"/>
      <w:r w:rsidRPr="00557268">
        <w:rPr>
          <w:rFonts w:ascii="Times New Roman" w:hAnsi="Times New Roman" w:cs="Times New Roman"/>
          <w:b/>
          <w:sz w:val="24"/>
          <w:lang w:val="es-MX"/>
        </w:rPr>
        <w:t>Riesgos Fiscales de la Deuda Pública</w:t>
      </w:r>
      <w:bookmarkEnd w:id="47"/>
      <w:r w:rsidR="00557268" w:rsidRPr="00E83DF1">
        <w:rPr>
          <w:rFonts w:ascii="Times New Roman" w:hAnsi="Times New Roman" w:cs="Times New Roman"/>
          <w:b/>
          <w:sz w:val="24"/>
          <w:lang w:val="es-MX"/>
        </w:rPr>
        <w:t xml:space="preserve">  </w:t>
      </w:r>
    </w:p>
    <w:p w:rsidR="00CF4D9B" w:rsidRPr="00880D9D" w:rsidRDefault="00CF4D9B" w:rsidP="005544FB">
      <w:pPr>
        <w:pStyle w:val="Sinespaciado"/>
        <w:jc w:val="both"/>
        <w:rPr>
          <w:rFonts w:ascii="Times New Roman" w:hAnsi="Times New Roman" w:cs="Times New Roman"/>
          <w:lang w:val="es-MX"/>
        </w:rPr>
      </w:pPr>
    </w:p>
    <w:p w:rsidR="0057541C" w:rsidRPr="0057541C" w:rsidRDefault="0057541C" w:rsidP="0057541C">
      <w:pPr>
        <w:pStyle w:val="Prrafodelista"/>
        <w:numPr>
          <w:ilvl w:val="0"/>
          <w:numId w:val="14"/>
        </w:numPr>
        <w:spacing w:after="0" w:line="240" w:lineRule="auto"/>
        <w:contextualSpacing w:val="0"/>
        <w:jc w:val="both"/>
        <w:outlineLvl w:val="2"/>
        <w:rPr>
          <w:rFonts w:ascii="Times New Roman" w:eastAsiaTheme="minorEastAsia" w:hAnsi="Times New Roman" w:cs="Times New Roman"/>
          <w:b/>
          <w:vanish/>
          <w:sz w:val="24"/>
          <w:szCs w:val="21"/>
          <w:lang w:val="es-MX"/>
        </w:rPr>
      </w:pPr>
      <w:bookmarkStart w:id="48" w:name="_Toc508979671"/>
      <w:bookmarkStart w:id="49" w:name="_Toc508980029"/>
      <w:bookmarkStart w:id="50" w:name="_Toc508980181"/>
      <w:bookmarkStart w:id="51" w:name="_Toc508981222"/>
      <w:bookmarkStart w:id="52" w:name="_Toc508982470"/>
      <w:bookmarkStart w:id="53" w:name="_Toc509213483"/>
      <w:bookmarkStart w:id="54" w:name="_Toc509213546"/>
      <w:bookmarkStart w:id="55" w:name="_Toc509213612"/>
      <w:bookmarkStart w:id="56" w:name="_Toc509213777"/>
      <w:bookmarkStart w:id="57" w:name="_Toc509214741"/>
      <w:bookmarkStart w:id="58" w:name="_Toc509214747"/>
      <w:bookmarkEnd w:id="48"/>
      <w:bookmarkEnd w:id="49"/>
      <w:bookmarkEnd w:id="50"/>
      <w:bookmarkEnd w:id="51"/>
      <w:bookmarkEnd w:id="52"/>
      <w:bookmarkEnd w:id="53"/>
      <w:bookmarkEnd w:id="54"/>
      <w:bookmarkEnd w:id="55"/>
      <w:bookmarkEnd w:id="56"/>
      <w:bookmarkEnd w:id="57"/>
    </w:p>
    <w:p w:rsidR="0057541C" w:rsidRPr="0057541C" w:rsidRDefault="0057541C" w:rsidP="0057541C">
      <w:pPr>
        <w:pStyle w:val="Prrafodelista"/>
        <w:numPr>
          <w:ilvl w:val="1"/>
          <w:numId w:val="14"/>
        </w:numPr>
        <w:spacing w:after="0" w:line="240" w:lineRule="auto"/>
        <w:contextualSpacing w:val="0"/>
        <w:jc w:val="both"/>
        <w:outlineLvl w:val="2"/>
        <w:rPr>
          <w:rFonts w:ascii="Times New Roman" w:eastAsiaTheme="minorEastAsia" w:hAnsi="Times New Roman" w:cs="Times New Roman"/>
          <w:b/>
          <w:vanish/>
          <w:sz w:val="24"/>
          <w:szCs w:val="21"/>
          <w:lang w:val="es-MX"/>
        </w:rPr>
      </w:pPr>
    </w:p>
    <w:p w:rsidR="0057541C" w:rsidRPr="0057541C" w:rsidRDefault="0057541C" w:rsidP="0057541C">
      <w:pPr>
        <w:pStyle w:val="Prrafodelista"/>
        <w:numPr>
          <w:ilvl w:val="1"/>
          <w:numId w:val="14"/>
        </w:numPr>
        <w:spacing w:after="0" w:line="240" w:lineRule="auto"/>
        <w:contextualSpacing w:val="0"/>
        <w:jc w:val="both"/>
        <w:outlineLvl w:val="2"/>
        <w:rPr>
          <w:rFonts w:ascii="Times New Roman" w:eastAsiaTheme="minorEastAsia" w:hAnsi="Times New Roman" w:cs="Times New Roman"/>
          <w:b/>
          <w:vanish/>
          <w:sz w:val="24"/>
          <w:szCs w:val="21"/>
          <w:lang w:val="es-MX"/>
        </w:rPr>
      </w:pPr>
    </w:p>
    <w:p w:rsidR="0057541C" w:rsidRPr="0057541C" w:rsidRDefault="0057541C" w:rsidP="0057541C">
      <w:pPr>
        <w:pStyle w:val="Prrafodelista"/>
        <w:numPr>
          <w:ilvl w:val="1"/>
          <w:numId w:val="14"/>
        </w:numPr>
        <w:spacing w:after="0" w:line="240" w:lineRule="auto"/>
        <w:contextualSpacing w:val="0"/>
        <w:jc w:val="both"/>
        <w:outlineLvl w:val="2"/>
        <w:rPr>
          <w:rFonts w:ascii="Times New Roman" w:eastAsiaTheme="minorEastAsia" w:hAnsi="Times New Roman" w:cs="Times New Roman"/>
          <w:b/>
          <w:vanish/>
          <w:sz w:val="24"/>
          <w:szCs w:val="21"/>
          <w:lang w:val="es-MX"/>
        </w:rPr>
      </w:pPr>
    </w:p>
    <w:p w:rsidR="0057541C" w:rsidRPr="0057541C" w:rsidRDefault="0057541C" w:rsidP="0057541C">
      <w:pPr>
        <w:pStyle w:val="Prrafodelista"/>
        <w:numPr>
          <w:ilvl w:val="1"/>
          <w:numId w:val="14"/>
        </w:numPr>
        <w:spacing w:after="0" w:line="240" w:lineRule="auto"/>
        <w:contextualSpacing w:val="0"/>
        <w:jc w:val="both"/>
        <w:outlineLvl w:val="2"/>
        <w:rPr>
          <w:rFonts w:ascii="Times New Roman" w:eastAsiaTheme="minorEastAsia" w:hAnsi="Times New Roman" w:cs="Times New Roman"/>
          <w:b/>
          <w:vanish/>
          <w:sz w:val="24"/>
          <w:szCs w:val="21"/>
          <w:lang w:val="es-MX"/>
        </w:rPr>
      </w:pPr>
    </w:p>
    <w:p w:rsidR="0057541C" w:rsidRPr="0057541C" w:rsidRDefault="0057541C" w:rsidP="0057541C">
      <w:pPr>
        <w:pStyle w:val="Prrafodelista"/>
        <w:numPr>
          <w:ilvl w:val="1"/>
          <w:numId w:val="14"/>
        </w:numPr>
        <w:spacing w:after="0" w:line="240" w:lineRule="auto"/>
        <w:contextualSpacing w:val="0"/>
        <w:jc w:val="both"/>
        <w:outlineLvl w:val="2"/>
        <w:rPr>
          <w:rFonts w:ascii="Times New Roman" w:eastAsiaTheme="minorEastAsia" w:hAnsi="Times New Roman" w:cs="Times New Roman"/>
          <w:b/>
          <w:vanish/>
          <w:sz w:val="24"/>
          <w:szCs w:val="21"/>
          <w:lang w:val="es-MX"/>
        </w:rPr>
      </w:pPr>
    </w:p>
    <w:p w:rsidR="00CF4D9B" w:rsidRPr="00880D9D" w:rsidRDefault="00CF4D9B" w:rsidP="00C66A22">
      <w:pPr>
        <w:pStyle w:val="Sinespaciado"/>
        <w:numPr>
          <w:ilvl w:val="2"/>
          <w:numId w:val="13"/>
        </w:numPr>
        <w:ind w:hanging="153"/>
        <w:jc w:val="both"/>
        <w:outlineLvl w:val="2"/>
        <w:rPr>
          <w:rFonts w:ascii="Times New Roman" w:hAnsi="Times New Roman" w:cs="Times New Roman"/>
          <w:b/>
          <w:lang w:val="es-MX"/>
        </w:rPr>
      </w:pPr>
      <w:r w:rsidRPr="00DB3C57">
        <w:rPr>
          <w:rFonts w:ascii="Times New Roman" w:hAnsi="Times New Roman" w:cs="Times New Roman"/>
          <w:b/>
          <w:sz w:val="24"/>
          <w:lang w:val="es-MX"/>
        </w:rPr>
        <w:t>Perspectivas del endeudamiento</w:t>
      </w:r>
      <w:bookmarkEnd w:id="58"/>
      <w:r w:rsidR="00557268" w:rsidRPr="00DB3C57">
        <w:rPr>
          <w:rFonts w:ascii="Times New Roman" w:hAnsi="Times New Roman" w:cs="Times New Roman"/>
          <w:b/>
          <w:sz w:val="24"/>
          <w:lang w:val="es-MX"/>
        </w:rPr>
        <w:t xml:space="preserve">  </w:t>
      </w:r>
    </w:p>
    <w:p w:rsidR="00CF4D9B" w:rsidRPr="00880D9D" w:rsidRDefault="00CF4D9B" w:rsidP="005544FB">
      <w:pPr>
        <w:pStyle w:val="Sinespaciado"/>
        <w:jc w:val="both"/>
        <w:rPr>
          <w:rFonts w:ascii="Times New Roman" w:hAnsi="Times New Roman" w:cs="Times New Roman"/>
          <w:lang w:val="es-MX"/>
        </w:rPr>
      </w:pPr>
    </w:p>
    <w:p w:rsidR="005544FB" w:rsidRPr="00F13E77" w:rsidRDefault="004D25D6" w:rsidP="005544FB">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Se estima que l</w:t>
      </w:r>
      <w:r w:rsidR="005544FB" w:rsidRPr="00F13E77">
        <w:rPr>
          <w:rFonts w:ascii="Times New Roman" w:hAnsi="Times New Roman" w:cs="Times New Roman"/>
          <w:sz w:val="24"/>
          <w:lang w:val="es-MX"/>
        </w:rPr>
        <w:t>a relación deuda PIB alcan</w:t>
      </w:r>
      <w:r w:rsidRPr="00F13E77">
        <w:rPr>
          <w:rFonts w:ascii="Times New Roman" w:hAnsi="Times New Roman" w:cs="Times New Roman"/>
          <w:sz w:val="24"/>
          <w:lang w:val="es-MX"/>
        </w:rPr>
        <w:t>ce</w:t>
      </w:r>
      <w:r w:rsidR="005544FB" w:rsidRPr="00F13E77">
        <w:rPr>
          <w:rFonts w:ascii="Times New Roman" w:hAnsi="Times New Roman" w:cs="Times New Roman"/>
          <w:sz w:val="24"/>
          <w:lang w:val="es-MX"/>
        </w:rPr>
        <w:t xml:space="preserve"> el 23.9% al cierre del 2017</w:t>
      </w:r>
      <w:r w:rsidR="00927F68" w:rsidRPr="00F13E77">
        <w:rPr>
          <w:rFonts w:ascii="Times New Roman" w:hAnsi="Times New Roman" w:cs="Times New Roman"/>
          <w:sz w:val="24"/>
          <w:lang w:val="es-MX"/>
        </w:rPr>
        <w:t>, inferior al observado en 2016 el cual se ubicó en 24.0% del PIB</w:t>
      </w:r>
      <w:r w:rsidR="005544FB" w:rsidRPr="00F13E77">
        <w:rPr>
          <w:rFonts w:ascii="Times New Roman" w:hAnsi="Times New Roman" w:cs="Times New Roman"/>
          <w:sz w:val="24"/>
          <w:lang w:val="es-MX"/>
        </w:rPr>
        <w:t>.</w:t>
      </w:r>
      <w:r w:rsidR="00927F68" w:rsidRPr="00F13E77">
        <w:rPr>
          <w:rFonts w:ascii="Times New Roman" w:hAnsi="Times New Roman" w:cs="Times New Roman"/>
          <w:sz w:val="24"/>
          <w:lang w:val="es-MX"/>
        </w:rPr>
        <w:t xml:space="preserve"> Esta disminución </w:t>
      </w:r>
      <w:r w:rsidR="005544FB" w:rsidRPr="00F13E77">
        <w:rPr>
          <w:rFonts w:ascii="Times New Roman" w:hAnsi="Times New Roman" w:cs="Times New Roman"/>
          <w:sz w:val="24"/>
          <w:lang w:val="es-MX"/>
        </w:rPr>
        <w:t xml:space="preserve">se explica principalmente por </w:t>
      </w:r>
      <w:r w:rsidR="00927F68" w:rsidRPr="00F13E77">
        <w:rPr>
          <w:rFonts w:ascii="Times New Roman" w:hAnsi="Times New Roman" w:cs="Times New Roman"/>
          <w:sz w:val="24"/>
          <w:lang w:val="es-MX"/>
        </w:rPr>
        <w:t>la apreciación del quetzal y</w:t>
      </w:r>
      <w:r w:rsidR="005544FB" w:rsidRPr="00F13E77">
        <w:rPr>
          <w:rFonts w:ascii="Times New Roman" w:hAnsi="Times New Roman" w:cs="Times New Roman"/>
          <w:sz w:val="24"/>
          <w:lang w:val="es-MX"/>
        </w:rPr>
        <w:t xml:space="preserve"> </w:t>
      </w:r>
      <w:r w:rsidR="00927F68" w:rsidRPr="00F13E77">
        <w:rPr>
          <w:rFonts w:ascii="Times New Roman" w:hAnsi="Times New Roman" w:cs="Times New Roman"/>
          <w:sz w:val="24"/>
          <w:lang w:val="es-MX"/>
        </w:rPr>
        <w:t>la presencia de un balance primario neutral en 2017</w:t>
      </w:r>
      <w:r w:rsidR="005544FB" w:rsidRPr="00F13E77">
        <w:rPr>
          <w:rFonts w:ascii="Times New Roman" w:hAnsi="Times New Roman" w:cs="Times New Roman"/>
          <w:sz w:val="24"/>
          <w:lang w:val="es-MX"/>
        </w:rPr>
        <w:t xml:space="preserve">. </w:t>
      </w:r>
      <w:r w:rsidR="009A1572" w:rsidRPr="00F13E77">
        <w:rPr>
          <w:rFonts w:ascii="Times New Roman" w:hAnsi="Times New Roman" w:cs="Times New Roman"/>
          <w:sz w:val="24"/>
          <w:lang w:val="es-MX"/>
        </w:rPr>
        <w:t xml:space="preserve"> El principal mecanismo de generación de deuda en dicho año fue mediante la emisión y colocación de Bonos del Tesoro en el mercado interno y en el mercado internacional de capitales (Eurobonos) por Q7,165.6 millones y Q3,677.9 millones (US$500.0 millones) respectivamente.</w:t>
      </w:r>
    </w:p>
    <w:p w:rsidR="00655131" w:rsidRPr="00F13E77" w:rsidRDefault="00655131" w:rsidP="005544FB">
      <w:pPr>
        <w:pStyle w:val="Sinespaciado"/>
        <w:jc w:val="both"/>
        <w:rPr>
          <w:rFonts w:ascii="Times New Roman" w:hAnsi="Times New Roman" w:cs="Times New Roman"/>
          <w:sz w:val="24"/>
          <w:lang w:val="es-MX"/>
        </w:rPr>
      </w:pPr>
    </w:p>
    <w:p w:rsidR="009A1572" w:rsidRPr="00F13E77" w:rsidRDefault="005544FB" w:rsidP="005544FB">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Para el periodo 201</w:t>
      </w:r>
      <w:r w:rsidR="009A1572" w:rsidRPr="00F13E77">
        <w:rPr>
          <w:rFonts w:ascii="Times New Roman" w:hAnsi="Times New Roman" w:cs="Times New Roman"/>
          <w:sz w:val="24"/>
          <w:lang w:val="es-MX"/>
        </w:rPr>
        <w:t>8</w:t>
      </w:r>
      <w:r w:rsidRPr="00F13E77">
        <w:rPr>
          <w:rFonts w:ascii="Times New Roman" w:hAnsi="Times New Roman" w:cs="Times New Roman"/>
          <w:sz w:val="24"/>
          <w:lang w:val="es-MX"/>
        </w:rPr>
        <w:t>-20</w:t>
      </w:r>
      <w:r w:rsidR="009A1572" w:rsidRPr="00F13E77">
        <w:rPr>
          <w:rFonts w:ascii="Times New Roman" w:hAnsi="Times New Roman" w:cs="Times New Roman"/>
          <w:sz w:val="24"/>
          <w:lang w:val="es-MX"/>
        </w:rPr>
        <w:t>22</w:t>
      </w:r>
      <w:r w:rsidRPr="00F13E77">
        <w:rPr>
          <w:rFonts w:ascii="Times New Roman" w:hAnsi="Times New Roman" w:cs="Times New Roman"/>
          <w:sz w:val="24"/>
          <w:lang w:val="es-MX"/>
        </w:rPr>
        <w:t xml:space="preserve">, la deuda pública </w:t>
      </w:r>
      <w:r w:rsidR="009A1572" w:rsidRPr="00F13E77">
        <w:rPr>
          <w:rFonts w:ascii="Times New Roman" w:hAnsi="Times New Roman" w:cs="Times New Roman"/>
          <w:sz w:val="24"/>
          <w:lang w:val="es-MX"/>
        </w:rPr>
        <w:t xml:space="preserve">tendrá un leve aumento en 2018 y </w:t>
      </w:r>
      <w:r w:rsidRPr="00F13E77">
        <w:rPr>
          <w:rFonts w:ascii="Times New Roman" w:hAnsi="Times New Roman" w:cs="Times New Roman"/>
          <w:sz w:val="24"/>
          <w:lang w:val="es-MX"/>
        </w:rPr>
        <w:t>se</w:t>
      </w:r>
      <w:r w:rsidR="009A1572" w:rsidRPr="00F13E77">
        <w:rPr>
          <w:rFonts w:ascii="Times New Roman" w:hAnsi="Times New Roman" w:cs="Times New Roman"/>
          <w:sz w:val="24"/>
          <w:lang w:val="es-MX"/>
        </w:rPr>
        <w:t xml:space="preserve"> mantendrá relativamente</w:t>
      </w:r>
      <w:r w:rsidRPr="00F13E77">
        <w:rPr>
          <w:rFonts w:ascii="Times New Roman" w:hAnsi="Times New Roman" w:cs="Times New Roman"/>
          <w:sz w:val="24"/>
          <w:lang w:val="es-MX"/>
        </w:rPr>
        <w:t xml:space="preserve"> estab</w:t>
      </w:r>
      <w:r w:rsidR="009A1572" w:rsidRPr="00F13E77">
        <w:rPr>
          <w:rFonts w:ascii="Times New Roman" w:hAnsi="Times New Roman" w:cs="Times New Roman"/>
          <w:sz w:val="24"/>
          <w:lang w:val="es-MX"/>
        </w:rPr>
        <w:t>le para el resto de los años y se</w:t>
      </w:r>
      <w:r w:rsidR="00DE5119" w:rsidRPr="00F13E77">
        <w:rPr>
          <w:rFonts w:ascii="Times New Roman" w:hAnsi="Times New Roman" w:cs="Times New Roman"/>
          <w:sz w:val="24"/>
          <w:lang w:val="es-MX"/>
        </w:rPr>
        <w:t xml:space="preserve"> proyecta un nivel equivalente a</w:t>
      </w:r>
      <w:r w:rsidR="009A1572" w:rsidRPr="00F13E77">
        <w:rPr>
          <w:rFonts w:ascii="Times New Roman" w:hAnsi="Times New Roman" w:cs="Times New Roman"/>
          <w:sz w:val="24"/>
          <w:lang w:val="es-MX"/>
        </w:rPr>
        <w:t xml:space="preserve"> </w:t>
      </w:r>
      <w:r w:rsidRPr="00F13E77">
        <w:rPr>
          <w:rFonts w:ascii="Times New Roman" w:hAnsi="Times New Roman" w:cs="Times New Roman"/>
          <w:sz w:val="24"/>
          <w:lang w:val="es-MX"/>
        </w:rPr>
        <w:t>2</w:t>
      </w:r>
      <w:r w:rsidR="009A1572" w:rsidRPr="00F13E77">
        <w:rPr>
          <w:rFonts w:ascii="Times New Roman" w:hAnsi="Times New Roman" w:cs="Times New Roman"/>
          <w:sz w:val="24"/>
          <w:lang w:val="es-MX"/>
        </w:rPr>
        <w:t>5.5</w:t>
      </w:r>
      <w:r w:rsidRPr="00F13E77">
        <w:rPr>
          <w:rFonts w:ascii="Times New Roman" w:hAnsi="Times New Roman" w:cs="Times New Roman"/>
          <w:sz w:val="24"/>
          <w:lang w:val="es-MX"/>
        </w:rPr>
        <w:t>% del PI</w:t>
      </w:r>
      <w:r w:rsidR="009A1572" w:rsidRPr="00F13E77">
        <w:rPr>
          <w:rFonts w:ascii="Times New Roman" w:hAnsi="Times New Roman" w:cs="Times New Roman"/>
          <w:sz w:val="24"/>
          <w:lang w:val="es-MX"/>
        </w:rPr>
        <w:t>B</w:t>
      </w:r>
      <w:r w:rsidRPr="00F13E77">
        <w:rPr>
          <w:rFonts w:ascii="Times New Roman" w:hAnsi="Times New Roman" w:cs="Times New Roman"/>
          <w:sz w:val="24"/>
          <w:lang w:val="es-MX"/>
        </w:rPr>
        <w:t xml:space="preserve"> </w:t>
      </w:r>
      <w:r w:rsidR="009A1572" w:rsidRPr="00F13E77">
        <w:rPr>
          <w:rFonts w:ascii="Times New Roman" w:hAnsi="Times New Roman" w:cs="Times New Roman"/>
          <w:sz w:val="24"/>
          <w:lang w:val="es-MX"/>
        </w:rPr>
        <w:t>al final del 2022</w:t>
      </w:r>
      <w:r w:rsidR="00933CB9" w:rsidRPr="00F13E77">
        <w:rPr>
          <w:rFonts w:ascii="Times New Roman" w:hAnsi="Times New Roman" w:cs="Times New Roman"/>
          <w:sz w:val="24"/>
          <w:lang w:val="es-MX"/>
        </w:rPr>
        <w:t>, bajo el supuesto de que el Congreso de la República apruebe el Presupuesto General de Ingresos y Egresos para dicho año, tal y como el ejecutivo lo remitió a dicho organismo</w:t>
      </w:r>
      <w:r w:rsidR="009A1572" w:rsidRPr="00F13E77">
        <w:rPr>
          <w:rFonts w:ascii="Times New Roman" w:hAnsi="Times New Roman" w:cs="Times New Roman"/>
          <w:sz w:val="24"/>
          <w:lang w:val="es-MX"/>
        </w:rPr>
        <w:t xml:space="preserve">.  </w:t>
      </w:r>
      <w:r w:rsidRPr="00F13E77">
        <w:rPr>
          <w:rFonts w:ascii="Times New Roman" w:hAnsi="Times New Roman" w:cs="Times New Roman"/>
          <w:sz w:val="24"/>
          <w:lang w:val="es-MX"/>
        </w:rPr>
        <w:t xml:space="preserve"> </w:t>
      </w:r>
      <w:r w:rsidR="009A1572" w:rsidRPr="00F13E77">
        <w:rPr>
          <w:rFonts w:ascii="Times New Roman" w:hAnsi="Times New Roman" w:cs="Times New Roman"/>
          <w:sz w:val="24"/>
          <w:lang w:val="es-MX"/>
        </w:rPr>
        <w:t xml:space="preserve">Las proyecciones de endeudamiento para Guatemala, son </w:t>
      </w:r>
      <w:r w:rsidRPr="00F13E77">
        <w:rPr>
          <w:rFonts w:ascii="Times New Roman" w:hAnsi="Times New Roman" w:cs="Times New Roman"/>
          <w:sz w:val="24"/>
          <w:lang w:val="es-MX"/>
        </w:rPr>
        <w:t>inferi</w:t>
      </w:r>
      <w:r w:rsidR="009A1572" w:rsidRPr="00F13E77">
        <w:rPr>
          <w:rFonts w:ascii="Times New Roman" w:hAnsi="Times New Roman" w:cs="Times New Roman"/>
          <w:sz w:val="24"/>
          <w:lang w:val="es-MX"/>
        </w:rPr>
        <w:t>ores</w:t>
      </w:r>
      <w:r w:rsidRPr="00F13E77">
        <w:rPr>
          <w:rFonts w:ascii="Times New Roman" w:hAnsi="Times New Roman" w:cs="Times New Roman"/>
          <w:sz w:val="24"/>
          <w:lang w:val="es-MX"/>
        </w:rPr>
        <w:t xml:space="preserve"> a </w:t>
      </w:r>
      <w:r w:rsidR="00DE5119" w:rsidRPr="00F13E77">
        <w:rPr>
          <w:rFonts w:ascii="Times New Roman" w:hAnsi="Times New Roman" w:cs="Times New Roman"/>
          <w:sz w:val="24"/>
          <w:lang w:val="es-MX"/>
        </w:rPr>
        <w:t>las</w:t>
      </w:r>
      <w:r w:rsidR="009A1572" w:rsidRPr="00F13E77">
        <w:rPr>
          <w:rFonts w:ascii="Times New Roman" w:hAnsi="Times New Roman" w:cs="Times New Roman"/>
          <w:sz w:val="24"/>
          <w:lang w:val="es-MX"/>
        </w:rPr>
        <w:t xml:space="preserve"> que se estiman para el mediano plazo en los países de </w:t>
      </w:r>
      <w:r w:rsidR="00DE5119" w:rsidRPr="00F13E77">
        <w:rPr>
          <w:rFonts w:ascii="Times New Roman" w:hAnsi="Times New Roman" w:cs="Times New Roman"/>
          <w:sz w:val="24"/>
          <w:lang w:val="es-MX"/>
        </w:rPr>
        <w:t>C</w:t>
      </w:r>
      <w:r w:rsidR="009A1572" w:rsidRPr="00F13E77">
        <w:rPr>
          <w:rFonts w:ascii="Times New Roman" w:hAnsi="Times New Roman" w:cs="Times New Roman"/>
          <w:sz w:val="24"/>
          <w:lang w:val="es-MX"/>
        </w:rPr>
        <w:t>entroamérica</w:t>
      </w:r>
      <w:r w:rsidRPr="00F13E77">
        <w:rPr>
          <w:rFonts w:ascii="Times New Roman" w:hAnsi="Times New Roman" w:cs="Times New Roman"/>
          <w:sz w:val="24"/>
          <w:lang w:val="es-MX"/>
        </w:rPr>
        <w:t xml:space="preserve">. </w:t>
      </w:r>
      <w:r w:rsidR="009A1572" w:rsidRPr="00F13E77">
        <w:rPr>
          <w:rFonts w:ascii="Times New Roman" w:hAnsi="Times New Roman" w:cs="Times New Roman"/>
          <w:sz w:val="24"/>
          <w:lang w:val="es-MX"/>
        </w:rPr>
        <w:t xml:space="preserve"> La </w:t>
      </w:r>
      <w:r w:rsidRPr="00F13E77">
        <w:rPr>
          <w:rFonts w:ascii="Times New Roman" w:hAnsi="Times New Roman" w:cs="Times New Roman"/>
          <w:sz w:val="24"/>
          <w:lang w:val="es-MX"/>
        </w:rPr>
        <w:t>proyección</w:t>
      </w:r>
      <w:r w:rsidR="009A1572" w:rsidRPr="00F13E77">
        <w:rPr>
          <w:rFonts w:ascii="Times New Roman" w:hAnsi="Times New Roman" w:cs="Times New Roman"/>
          <w:sz w:val="24"/>
          <w:lang w:val="es-MX"/>
        </w:rPr>
        <w:t xml:space="preserve"> para Guatemala es</w:t>
      </w:r>
      <w:r w:rsidRPr="00F13E77">
        <w:rPr>
          <w:rFonts w:ascii="Times New Roman" w:hAnsi="Times New Roman" w:cs="Times New Roman"/>
          <w:sz w:val="24"/>
          <w:lang w:val="es-MX"/>
        </w:rPr>
        <w:t xml:space="preserve"> consis</w:t>
      </w:r>
      <w:r w:rsidR="009A1572" w:rsidRPr="00F13E77">
        <w:rPr>
          <w:rFonts w:ascii="Times New Roman" w:hAnsi="Times New Roman" w:cs="Times New Roman"/>
          <w:sz w:val="24"/>
          <w:lang w:val="es-MX"/>
        </w:rPr>
        <w:t>tente con una expansión de la política fiscal en 2018 que pretende estimular la economía mediante un incremento importante en la inversión pública y de un mayor fortalecimiento en el gasto social especialmente el orientado a la Salud y Asistencia Social, además</w:t>
      </w:r>
      <w:r w:rsidR="00DE5119" w:rsidRPr="00F13E77">
        <w:rPr>
          <w:rFonts w:ascii="Times New Roman" w:hAnsi="Times New Roman" w:cs="Times New Roman"/>
          <w:sz w:val="24"/>
          <w:lang w:val="es-MX"/>
        </w:rPr>
        <w:t xml:space="preserve"> de</w:t>
      </w:r>
      <w:r w:rsidR="009A1572" w:rsidRPr="00F13E77">
        <w:rPr>
          <w:rFonts w:ascii="Times New Roman" w:hAnsi="Times New Roman" w:cs="Times New Roman"/>
          <w:sz w:val="24"/>
          <w:lang w:val="es-MX"/>
        </w:rPr>
        <w:t xml:space="preserve"> seguir apoyando los programas de seguridad ciudadana y al sector justicia, lo cual será respaldado </w:t>
      </w:r>
      <w:r w:rsidRPr="00F13E77">
        <w:rPr>
          <w:rFonts w:ascii="Times New Roman" w:hAnsi="Times New Roman" w:cs="Times New Roman"/>
          <w:sz w:val="24"/>
          <w:lang w:val="es-MX"/>
        </w:rPr>
        <w:t xml:space="preserve">con una gestión activa y eficiente de los activos y pasivos financieros del Estado, como parte de una estrategia integral de financiamiento, que </w:t>
      </w:r>
      <w:r w:rsidR="009A1572" w:rsidRPr="00F13E77">
        <w:rPr>
          <w:rFonts w:ascii="Times New Roman" w:hAnsi="Times New Roman" w:cs="Times New Roman"/>
          <w:sz w:val="24"/>
          <w:lang w:val="es-MX"/>
        </w:rPr>
        <w:t xml:space="preserve">permite el manejo prudente </w:t>
      </w:r>
      <w:r w:rsidRPr="00F13E77">
        <w:rPr>
          <w:rFonts w:ascii="Times New Roman" w:hAnsi="Times New Roman" w:cs="Times New Roman"/>
          <w:sz w:val="24"/>
          <w:lang w:val="es-MX"/>
        </w:rPr>
        <w:t>del endeudamiento público</w:t>
      </w:r>
      <w:r w:rsidR="009A1572" w:rsidRPr="00F13E77">
        <w:rPr>
          <w:rFonts w:ascii="Times New Roman" w:hAnsi="Times New Roman" w:cs="Times New Roman"/>
          <w:sz w:val="24"/>
          <w:lang w:val="es-MX"/>
        </w:rPr>
        <w:t>, el cual seguirá buscando la reducción del costo financiero de la deuda y mantener o ampliar los plazos de la misma</w:t>
      </w:r>
      <w:r w:rsidRPr="00F13E77">
        <w:rPr>
          <w:rFonts w:ascii="Times New Roman" w:hAnsi="Times New Roman" w:cs="Times New Roman"/>
          <w:sz w:val="24"/>
          <w:lang w:val="es-MX"/>
        </w:rPr>
        <w:t xml:space="preserve">. </w:t>
      </w:r>
    </w:p>
    <w:p w:rsidR="00880D9D" w:rsidRDefault="00880D9D" w:rsidP="005544FB">
      <w:pPr>
        <w:pStyle w:val="Sinespaciado"/>
        <w:jc w:val="both"/>
        <w:rPr>
          <w:rFonts w:ascii="Times New Roman" w:hAnsi="Times New Roman" w:cs="Times New Roman"/>
          <w:lang w:val="es-MX"/>
        </w:rPr>
      </w:pPr>
    </w:p>
    <w:p w:rsidR="00F13E77" w:rsidRDefault="00F13E77" w:rsidP="005544FB">
      <w:pPr>
        <w:pStyle w:val="Sinespaciado"/>
        <w:jc w:val="both"/>
        <w:rPr>
          <w:rFonts w:ascii="Times New Roman" w:hAnsi="Times New Roman" w:cs="Times New Roman"/>
          <w:lang w:val="es-MX"/>
        </w:rPr>
      </w:pPr>
    </w:p>
    <w:p w:rsidR="003845CA" w:rsidRDefault="003845CA" w:rsidP="005544FB">
      <w:pPr>
        <w:pStyle w:val="Sinespaciado"/>
        <w:jc w:val="both"/>
        <w:rPr>
          <w:rFonts w:ascii="Times New Roman" w:hAnsi="Times New Roman" w:cs="Times New Roman"/>
          <w:lang w:val="es-MX"/>
        </w:rPr>
      </w:pPr>
    </w:p>
    <w:p w:rsidR="003845CA" w:rsidRDefault="003845CA" w:rsidP="005544FB">
      <w:pPr>
        <w:pStyle w:val="Sinespaciado"/>
        <w:jc w:val="both"/>
        <w:rPr>
          <w:rFonts w:ascii="Times New Roman" w:hAnsi="Times New Roman" w:cs="Times New Roman"/>
          <w:lang w:val="es-MX"/>
        </w:rPr>
      </w:pPr>
    </w:p>
    <w:p w:rsidR="003845CA" w:rsidRDefault="003845CA" w:rsidP="005544FB">
      <w:pPr>
        <w:pStyle w:val="Sinespaciado"/>
        <w:jc w:val="both"/>
        <w:rPr>
          <w:rFonts w:ascii="Times New Roman" w:hAnsi="Times New Roman" w:cs="Times New Roman"/>
          <w:lang w:val="es-MX"/>
        </w:rPr>
      </w:pPr>
    </w:p>
    <w:p w:rsidR="003845CA" w:rsidRDefault="003845CA" w:rsidP="005544FB">
      <w:pPr>
        <w:pStyle w:val="Sinespaciado"/>
        <w:jc w:val="both"/>
        <w:rPr>
          <w:rFonts w:ascii="Times New Roman" w:hAnsi="Times New Roman" w:cs="Times New Roman"/>
          <w:lang w:val="es-MX"/>
        </w:rPr>
      </w:pPr>
    </w:p>
    <w:p w:rsidR="003845CA" w:rsidRDefault="003845CA" w:rsidP="003845CA">
      <w:pPr>
        <w:pStyle w:val="Sinespaciado"/>
        <w:jc w:val="center"/>
        <w:rPr>
          <w:rFonts w:ascii="Times New Roman" w:hAnsi="Times New Roman" w:cs="Times New Roman"/>
          <w:lang w:val="es-MX"/>
        </w:rPr>
      </w:pPr>
    </w:p>
    <w:p w:rsidR="00E83DF1" w:rsidRDefault="00E83DF1" w:rsidP="005544FB">
      <w:pPr>
        <w:pStyle w:val="Sinespaciado"/>
        <w:jc w:val="both"/>
        <w:rPr>
          <w:rFonts w:ascii="Times New Roman" w:hAnsi="Times New Roman" w:cs="Times New Roman"/>
          <w:lang w:val="es-MX"/>
        </w:rPr>
      </w:pPr>
    </w:p>
    <w:p w:rsidR="00F77B69" w:rsidRPr="00D5489E" w:rsidRDefault="00B710F4" w:rsidP="009A1572">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Gráfica 6</w:t>
      </w:r>
    </w:p>
    <w:p w:rsidR="009A1572" w:rsidRPr="00D5489E" w:rsidRDefault="009A1572" w:rsidP="009A1572">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Deuda Pública Países de Centroamérica</w:t>
      </w:r>
    </w:p>
    <w:p w:rsidR="009A1572" w:rsidRPr="00D5489E" w:rsidRDefault="009A1572" w:rsidP="009A1572">
      <w:pPr>
        <w:pStyle w:val="Sinespaciado"/>
        <w:jc w:val="center"/>
        <w:rPr>
          <w:rFonts w:ascii="Times New Roman" w:hAnsi="Times New Roman" w:cs="Times New Roman"/>
          <w:sz w:val="20"/>
          <w:lang w:val="es-MX"/>
        </w:rPr>
      </w:pPr>
      <w:r w:rsidRPr="00D5489E">
        <w:rPr>
          <w:rFonts w:ascii="Times New Roman" w:hAnsi="Times New Roman" w:cs="Times New Roman"/>
          <w:sz w:val="20"/>
          <w:lang w:val="es-MX"/>
        </w:rPr>
        <w:t>Porcentajes del PIB</w:t>
      </w:r>
    </w:p>
    <w:p w:rsidR="00D4719A" w:rsidRPr="00880D9D" w:rsidRDefault="009A1572" w:rsidP="009A1572">
      <w:pPr>
        <w:pStyle w:val="Sinespaciado"/>
        <w:jc w:val="center"/>
        <w:rPr>
          <w:rFonts w:ascii="Times New Roman" w:hAnsi="Times New Roman" w:cs="Times New Roman"/>
          <w:lang w:val="en-US"/>
        </w:rPr>
      </w:pPr>
      <w:r w:rsidRPr="00880D9D">
        <w:rPr>
          <w:rFonts w:ascii="Times New Roman" w:hAnsi="Times New Roman" w:cs="Times New Roman"/>
          <w:noProof/>
          <w:lang w:eastAsia="es-GT"/>
        </w:rPr>
        <w:drawing>
          <wp:inline distT="0" distB="0" distL="0" distR="0" wp14:anchorId="350FA65A" wp14:editId="346DA5BC">
            <wp:extent cx="4390390" cy="295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1616" cy="2960300"/>
                    </a:xfrm>
                    <a:prstGeom prst="rect">
                      <a:avLst/>
                    </a:prstGeom>
                    <a:noFill/>
                  </pic:spPr>
                </pic:pic>
              </a:graphicData>
            </a:graphic>
          </wp:inline>
        </w:drawing>
      </w:r>
    </w:p>
    <w:p w:rsidR="005544FB" w:rsidRPr="00880D9D" w:rsidRDefault="009A1572" w:rsidP="009A1572">
      <w:pPr>
        <w:pStyle w:val="Sinespaciado"/>
        <w:ind w:left="708"/>
        <w:jc w:val="both"/>
        <w:rPr>
          <w:rFonts w:ascii="Times New Roman" w:hAnsi="Times New Roman" w:cs="Times New Roman"/>
          <w:sz w:val="16"/>
        </w:rPr>
      </w:pPr>
      <w:r w:rsidRPr="00880D9D">
        <w:rPr>
          <w:rFonts w:ascii="Times New Roman" w:hAnsi="Times New Roman" w:cs="Times New Roman"/>
          <w:sz w:val="16"/>
        </w:rPr>
        <w:t xml:space="preserve">Fuente: </w:t>
      </w:r>
      <w:r w:rsidR="00731B5D" w:rsidRPr="00880D9D">
        <w:rPr>
          <w:rFonts w:ascii="Times New Roman" w:hAnsi="Times New Roman" w:cs="Times New Roman"/>
          <w:sz w:val="16"/>
        </w:rPr>
        <w:t>Fondo Monetario Internacional</w:t>
      </w:r>
      <w:r w:rsidRPr="00880D9D">
        <w:rPr>
          <w:rFonts w:ascii="Times New Roman" w:hAnsi="Times New Roman" w:cs="Times New Roman"/>
          <w:sz w:val="16"/>
        </w:rPr>
        <w:t>, World Economic Outlook Database, A</w:t>
      </w:r>
      <w:r w:rsidR="00731B5D" w:rsidRPr="00880D9D">
        <w:rPr>
          <w:rFonts w:ascii="Times New Roman" w:hAnsi="Times New Roman" w:cs="Times New Roman"/>
          <w:sz w:val="16"/>
        </w:rPr>
        <w:t>b</w:t>
      </w:r>
      <w:r w:rsidRPr="00880D9D">
        <w:rPr>
          <w:rFonts w:ascii="Times New Roman" w:hAnsi="Times New Roman" w:cs="Times New Roman"/>
          <w:sz w:val="16"/>
        </w:rPr>
        <w:t>ril 2017</w:t>
      </w:r>
    </w:p>
    <w:p w:rsidR="009A1572" w:rsidRPr="00880D9D" w:rsidRDefault="009A1572" w:rsidP="00E7032B">
      <w:pPr>
        <w:pStyle w:val="Sinespaciado"/>
        <w:jc w:val="both"/>
        <w:rPr>
          <w:rFonts w:ascii="Times New Roman" w:hAnsi="Times New Roman" w:cs="Times New Roman"/>
        </w:rPr>
      </w:pPr>
    </w:p>
    <w:p w:rsidR="00F77B69" w:rsidRDefault="001C4723" w:rsidP="00E7032B">
      <w:pPr>
        <w:pStyle w:val="Sinespaciado"/>
        <w:jc w:val="both"/>
        <w:rPr>
          <w:rFonts w:ascii="Times New Roman" w:hAnsi="Times New Roman" w:cs="Times New Roman"/>
          <w:sz w:val="24"/>
        </w:rPr>
      </w:pPr>
      <w:r w:rsidRPr="00F13E77">
        <w:rPr>
          <w:rFonts w:ascii="Times New Roman" w:hAnsi="Times New Roman" w:cs="Times New Roman"/>
          <w:sz w:val="24"/>
        </w:rPr>
        <w:t xml:space="preserve">Conforme a los indicadores que muestran los </w:t>
      </w:r>
      <w:r w:rsidR="003F7646" w:rsidRPr="00F13E77">
        <w:rPr>
          <w:rFonts w:ascii="Times New Roman" w:hAnsi="Times New Roman" w:cs="Times New Roman"/>
          <w:sz w:val="24"/>
        </w:rPr>
        <w:t>estándares</w:t>
      </w:r>
      <w:r w:rsidRPr="00F13E77">
        <w:rPr>
          <w:rFonts w:ascii="Times New Roman" w:hAnsi="Times New Roman" w:cs="Times New Roman"/>
          <w:sz w:val="24"/>
        </w:rPr>
        <w:t xml:space="preserve"> que mide el Fondo Monetario Internacional para evaluar los riesgos en el perfil de la deuda, se puede indicar que el país tiene una baja vulnerabilidad considerando que en la mayor parte de los indicadores se encuentra dentro de los niveles razonables, situación similar acontece con los índices de solvencia de la deuda pública en donde el país está por debajo de dichos umbrales.  Es importan</w:t>
      </w:r>
      <w:r w:rsidR="00042C18" w:rsidRPr="00F13E77">
        <w:rPr>
          <w:rFonts w:ascii="Times New Roman" w:hAnsi="Times New Roman" w:cs="Times New Roman"/>
          <w:sz w:val="24"/>
        </w:rPr>
        <w:t>te indicar que esta e</w:t>
      </w:r>
      <w:r w:rsidRPr="00F13E77">
        <w:rPr>
          <w:rFonts w:ascii="Times New Roman" w:hAnsi="Times New Roman" w:cs="Times New Roman"/>
          <w:sz w:val="24"/>
        </w:rPr>
        <w:t xml:space="preserve">valuación se realiza con datos observados a 2016.   </w:t>
      </w:r>
    </w:p>
    <w:p w:rsidR="00ED1197" w:rsidRPr="00ED1197" w:rsidRDefault="00ED1197" w:rsidP="00E7032B">
      <w:pPr>
        <w:pStyle w:val="Sinespaciado"/>
        <w:jc w:val="both"/>
        <w:rPr>
          <w:rFonts w:ascii="Times New Roman" w:hAnsi="Times New Roman" w:cs="Times New Roman"/>
          <w:sz w:val="24"/>
        </w:rPr>
      </w:pPr>
    </w:p>
    <w:p w:rsidR="00F77B69" w:rsidRPr="00D5489E" w:rsidRDefault="00B710F4" w:rsidP="00F77B69">
      <w:pPr>
        <w:pStyle w:val="Sinespaciado"/>
        <w:jc w:val="center"/>
        <w:rPr>
          <w:rFonts w:ascii="Times New Roman" w:hAnsi="Times New Roman" w:cs="Times New Roman"/>
          <w:b/>
          <w:sz w:val="24"/>
        </w:rPr>
      </w:pPr>
      <w:r w:rsidRPr="00D5489E">
        <w:rPr>
          <w:rFonts w:ascii="Times New Roman" w:hAnsi="Times New Roman" w:cs="Times New Roman"/>
          <w:b/>
          <w:sz w:val="24"/>
        </w:rPr>
        <w:t>Gráfica 7</w:t>
      </w:r>
    </w:p>
    <w:p w:rsidR="003B50C4" w:rsidRPr="00880D9D" w:rsidRDefault="00042C18" w:rsidP="00214E11">
      <w:pPr>
        <w:pStyle w:val="Sinespaciado"/>
        <w:jc w:val="center"/>
        <w:rPr>
          <w:rFonts w:ascii="Times New Roman" w:hAnsi="Times New Roman" w:cs="Times New Roman"/>
          <w:lang w:val="en-US"/>
        </w:rPr>
      </w:pPr>
      <w:r w:rsidRPr="00880D9D">
        <w:rPr>
          <w:noProof/>
          <w:sz w:val="20"/>
          <w:lang w:eastAsia="es-GT"/>
        </w:rPr>
        <w:drawing>
          <wp:inline distT="0" distB="0" distL="0" distR="0" wp14:anchorId="6D7BEB5F" wp14:editId="46017FB1">
            <wp:extent cx="5105400" cy="2800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6383" cy="2806374"/>
                    </a:xfrm>
                    <a:prstGeom prst="rect">
                      <a:avLst/>
                    </a:prstGeom>
                    <a:noFill/>
                    <a:ln>
                      <a:noFill/>
                    </a:ln>
                  </pic:spPr>
                </pic:pic>
              </a:graphicData>
            </a:graphic>
          </wp:inline>
        </w:drawing>
      </w:r>
    </w:p>
    <w:p w:rsidR="00F3713D" w:rsidRDefault="00F3713D" w:rsidP="00E75465">
      <w:pPr>
        <w:pStyle w:val="Sinespaciado"/>
        <w:ind w:firstLine="708"/>
        <w:jc w:val="both"/>
        <w:rPr>
          <w:rFonts w:ascii="Times New Roman" w:hAnsi="Times New Roman" w:cs="Times New Roman"/>
          <w:sz w:val="16"/>
          <w:lang w:val="es-MX"/>
        </w:rPr>
      </w:pPr>
      <w:r w:rsidRPr="00880D9D">
        <w:rPr>
          <w:rFonts w:ascii="Times New Roman" w:hAnsi="Times New Roman" w:cs="Times New Roman"/>
          <w:sz w:val="16"/>
          <w:lang w:val="es-MX"/>
        </w:rPr>
        <w:t>Fuente: Datos del Ministerio de Finanzas</w:t>
      </w:r>
      <w:r w:rsidR="002412C9" w:rsidRPr="00880D9D">
        <w:rPr>
          <w:rFonts w:ascii="Times New Roman" w:hAnsi="Times New Roman" w:cs="Times New Roman"/>
          <w:sz w:val="16"/>
          <w:lang w:val="es-MX"/>
        </w:rPr>
        <w:t xml:space="preserve"> Públicas</w:t>
      </w:r>
      <w:r w:rsidRPr="00880D9D">
        <w:rPr>
          <w:rFonts w:ascii="Times New Roman" w:hAnsi="Times New Roman" w:cs="Times New Roman"/>
          <w:sz w:val="16"/>
          <w:lang w:val="es-MX"/>
        </w:rPr>
        <w:t xml:space="preserve"> con estándares del FMI</w:t>
      </w:r>
    </w:p>
    <w:p w:rsidR="00F13E77" w:rsidRPr="00880D9D" w:rsidRDefault="00F13E77" w:rsidP="00E75465">
      <w:pPr>
        <w:pStyle w:val="Sinespaciado"/>
        <w:ind w:firstLine="708"/>
        <w:jc w:val="both"/>
        <w:rPr>
          <w:rFonts w:ascii="Times New Roman" w:hAnsi="Times New Roman" w:cs="Times New Roman"/>
          <w:sz w:val="16"/>
          <w:lang w:val="es-MX"/>
        </w:rPr>
      </w:pPr>
    </w:p>
    <w:p w:rsidR="001C4723" w:rsidRPr="00F13E77" w:rsidRDefault="001C4723" w:rsidP="001C4723">
      <w:pPr>
        <w:pStyle w:val="Sinespaciado"/>
        <w:jc w:val="both"/>
        <w:rPr>
          <w:rFonts w:ascii="Times New Roman" w:hAnsi="Times New Roman" w:cs="Times New Roman"/>
          <w:sz w:val="24"/>
        </w:rPr>
      </w:pPr>
      <w:r w:rsidRPr="00F13E77">
        <w:rPr>
          <w:rFonts w:ascii="Times New Roman" w:hAnsi="Times New Roman" w:cs="Times New Roman"/>
          <w:sz w:val="24"/>
        </w:rPr>
        <w:t>Sin embargo, el único indicador que muestra un nivel por encima de lo recomendado es el que corresponde a la deuda pública</w:t>
      </w:r>
      <w:r w:rsidR="002412C9" w:rsidRPr="00F13E77">
        <w:rPr>
          <w:rFonts w:ascii="Times New Roman" w:hAnsi="Times New Roman" w:cs="Times New Roman"/>
          <w:sz w:val="24"/>
        </w:rPr>
        <w:t xml:space="preserve"> con no residentes, la cual est</w:t>
      </w:r>
      <w:r w:rsidR="00904593" w:rsidRPr="00F13E77">
        <w:rPr>
          <w:rFonts w:ascii="Times New Roman" w:hAnsi="Times New Roman" w:cs="Times New Roman"/>
          <w:sz w:val="24"/>
        </w:rPr>
        <w:t xml:space="preserve">á </w:t>
      </w:r>
      <w:r w:rsidRPr="00F13E77">
        <w:rPr>
          <w:rFonts w:ascii="Times New Roman" w:hAnsi="Times New Roman" w:cs="Times New Roman"/>
          <w:sz w:val="24"/>
        </w:rPr>
        <w:t>levemente por encima del límite superior recomendado,</w:t>
      </w:r>
      <w:r w:rsidR="00042C18" w:rsidRPr="00F13E77">
        <w:rPr>
          <w:rFonts w:ascii="Times New Roman" w:hAnsi="Times New Roman" w:cs="Times New Roman"/>
          <w:sz w:val="24"/>
        </w:rPr>
        <w:t xml:space="preserve"> lo que ha coadyuvado a que este resultado no haya afectado los indicadores </w:t>
      </w:r>
      <w:r w:rsidR="00F02DC5">
        <w:rPr>
          <w:rFonts w:ascii="Times New Roman" w:hAnsi="Times New Roman" w:cs="Times New Roman"/>
          <w:sz w:val="24"/>
        </w:rPr>
        <w:t xml:space="preserve">de </w:t>
      </w:r>
      <w:r w:rsidR="00042C18" w:rsidRPr="00F13E77">
        <w:rPr>
          <w:rFonts w:ascii="Times New Roman" w:hAnsi="Times New Roman" w:cs="Times New Roman"/>
          <w:sz w:val="24"/>
        </w:rPr>
        <w:t>deuda es el hecho de contar con una estabilidad en el tipo de cambio durante muchos</w:t>
      </w:r>
      <w:r w:rsidR="006F165A" w:rsidRPr="00F13E77">
        <w:rPr>
          <w:rFonts w:ascii="Times New Roman" w:hAnsi="Times New Roman" w:cs="Times New Roman"/>
          <w:sz w:val="24"/>
        </w:rPr>
        <w:t xml:space="preserve"> años</w:t>
      </w:r>
      <w:r w:rsidR="00042C18" w:rsidRPr="00F13E77">
        <w:rPr>
          <w:rFonts w:ascii="Times New Roman" w:hAnsi="Times New Roman" w:cs="Times New Roman"/>
          <w:sz w:val="24"/>
        </w:rPr>
        <w:t xml:space="preserve">.  </w:t>
      </w:r>
      <w:r w:rsidRPr="00F13E77">
        <w:rPr>
          <w:rFonts w:ascii="Times New Roman" w:hAnsi="Times New Roman" w:cs="Times New Roman"/>
          <w:sz w:val="24"/>
        </w:rPr>
        <w:t xml:space="preserve"> </w:t>
      </w:r>
      <w:r w:rsidR="00042C18" w:rsidRPr="00F13E77">
        <w:rPr>
          <w:rFonts w:ascii="Times New Roman" w:hAnsi="Times New Roman" w:cs="Times New Roman"/>
          <w:sz w:val="24"/>
        </w:rPr>
        <w:t>N</w:t>
      </w:r>
      <w:r w:rsidRPr="00F13E77">
        <w:rPr>
          <w:rFonts w:ascii="Times New Roman" w:hAnsi="Times New Roman" w:cs="Times New Roman"/>
          <w:sz w:val="24"/>
        </w:rPr>
        <w:t xml:space="preserve">o </w:t>
      </w:r>
      <w:r w:rsidR="00317E12" w:rsidRPr="00F13E77">
        <w:rPr>
          <w:rFonts w:ascii="Times New Roman" w:hAnsi="Times New Roman" w:cs="Times New Roman"/>
          <w:sz w:val="24"/>
        </w:rPr>
        <w:t>obstante,</w:t>
      </w:r>
      <w:r w:rsidRPr="00F13E77">
        <w:rPr>
          <w:rFonts w:ascii="Times New Roman" w:hAnsi="Times New Roman" w:cs="Times New Roman"/>
          <w:sz w:val="24"/>
        </w:rPr>
        <w:t xml:space="preserve"> se prevé que en el mediano plazo este indicador se ubicará por debajo de ese umbral (45%), considerando que se prevé una mayor preferencia por el endeudamiento </w:t>
      </w:r>
      <w:r w:rsidR="007C2E94" w:rsidRPr="00F13E77">
        <w:rPr>
          <w:rFonts w:ascii="Times New Roman" w:hAnsi="Times New Roman" w:cs="Times New Roman"/>
          <w:sz w:val="24"/>
        </w:rPr>
        <w:t xml:space="preserve">doméstico en moneda nacional, este argumento es consistente con el financiamiento del presupuesto de mediano plazo, quizá podría variar un poco en el </w:t>
      </w:r>
      <w:r w:rsidR="008141A2" w:rsidRPr="00F13E77">
        <w:rPr>
          <w:rFonts w:ascii="Times New Roman" w:hAnsi="Times New Roman" w:cs="Times New Roman"/>
          <w:sz w:val="24"/>
        </w:rPr>
        <w:t>futuro,</w:t>
      </w:r>
      <w:r w:rsidR="007C2E94" w:rsidRPr="00F13E77">
        <w:rPr>
          <w:rFonts w:ascii="Times New Roman" w:hAnsi="Times New Roman" w:cs="Times New Roman"/>
          <w:sz w:val="24"/>
        </w:rPr>
        <w:t xml:space="preserve"> pero la trayectoria del comportamiento de la deuda externa será decreciente en dicho horizonte, como se muestra </w:t>
      </w:r>
      <w:r w:rsidR="00042C18" w:rsidRPr="00F13E77">
        <w:rPr>
          <w:rFonts w:ascii="Times New Roman" w:hAnsi="Times New Roman" w:cs="Times New Roman"/>
          <w:sz w:val="24"/>
        </w:rPr>
        <w:t>en la gráfica No.</w:t>
      </w:r>
      <w:r w:rsidR="008141A2" w:rsidRPr="00F13E77">
        <w:rPr>
          <w:rFonts w:ascii="Times New Roman" w:hAnsi="Times New Roman" w:cs="Times New Roman"/>
          <w:sz w:val="24"/>
        </w:rPr>
        <w:t>8</w:t>
      </w:r>
      <w:r w:rsidR="007C2E94" w:rsidRPr="00F13E77">
        <w:rPr>
          <w:rFonts w:ascii="Times New Roman" w:hAnsi="Times New Roman" w:cs="Times New Roman"/>
          <w:sz w:val="24"/>
        </w:rPr>
        <w:t>.</w:t>
      </w:r>
    </w:p>
    <w:p w:rsidR="00462B38" w:rsidRPr="00D5489E" w:rsidRDefault="00462B38" w:rsidP="001C4723">
      <w:pPr>
        <w:pStyle w:val="Sinespaciado"/>
        <w:jc w:val="both"/>
        <w:rPr>
          <w:rFonts w:ascii="Times New Roman" w:hAnsi="Times New Roman" w:cs="Times New Roman"/>
          <w:sz w:val="24"/>
          <w:szCs w:val="24"/>
        </w:rPr>
      </w:pPr>
    </w:p>
    <w:p w:rsidR="006A235F" w:rsidRPr="00D5489E" w:rsidRDefault="00B710F4" w:rsidP="007C2E94">
      <w:pPr>
        <w:pStyle w:val="Sinespaciado"/>
        <w:jc w:val="center"/>
        <w:rPr>
          <w:rFonts w:ascii="Times New Roman" w:hAnsi="Times New Roman" w:cs="Times New Roman"/>
          <w:b/>
          <w:sz w:val="24"/>
          <w:szCs w:val="24"/>
        </w:rPr>
      </w:pPr>
      <w:r w:rsidRPr="00D5489E">
        <w:rPr>
          <w:rFonts w:ascii="Times New Roman" w:hAnsi="Times New Roman" w:cs="Times New Roman"/>
          <w:b/>
          <w:sz w:val="24"/>
          <w:szCs w:val="24"/>
        </w:rPr>
        <w:t>Gráfica 8</w:t>
      </w:r>
    </w:p>
    <w:p w:rsidR="007C2E94" w:rsidRPr="00D5489E" w:rsidRDefault="007C2E94" w:rsidP="007C2E94">
      <w:pPr>
        <w:pStyle w:val="Sinespaciado"/>
        <w:jc w:val="center"/>
        <w:rPr>
          <w:rFonts w:ascii="Times New Roman" w:hAnsi="Times New Roman" w:cs="Times New Roman"/>
          <w:b/>
          <w:sz w:val="24"/>
          <w:szCs w:val="24"/>
        </w:rPr>
      </w:pPr>
      <w:r w:rsidRPr="00D5489E">
        <w:rPr>
          <w:rFonts w:ascii="Times New Roman" w:hAnsi="Times New Roman" w:cs="Times New Roman"/>
          <w:b/>
          <w:sz w:val="24"/>
          <w:szCs w:val="24"/>
        </w:rPr>
        <w:t>Composición de la Deuda Pública</w:t>
      </w:r>
    </w:p>
    <w:p w:rsidR="007C2E94" w:rsidRPr="00D5489E" w:rsidRDefault="007C2E94" w:rsidP="007C2E94">
      <w:pPr>
        <w:pStyle w:val="Sinespaciado"/>
        <w:jc w:val="center"/>
        <w:rPr>
          <w:rFonts w:ascii="Times New Roman" w:hAnsi="Times New Roman" w:cs="Times New Roman"/>
          <w:b/>
          <w:sz w:val="24"/>
          <w:szCs w:val="24"/>
        </w:rPr>
      </w:pPr>
      <w:r w:rsidRPr="00D5489E">
        <w:rPr>
          <w:rFonts w:ascii="Times New Roman" w:hAnsi="Times New Roman" w:cs="Times New Roman"/>
          <w:b/>
          <w:sz w:val="24"/>
          <w:szCs w:val="24"/>
        </w:rPr>
        <w:t xml:space="preserve">Por </w:t>
      </w:r>
      <w:r w:rsidR="00214E11" w:rsidRPr="00D5489E">
        <w:rPr>
          <w:rFonts w:ascii="Times New Roman" w:hAnsi="Times New Roman" w:cs="Times New Roman"/>
          <w:b/>
          <w:sz w:val="24"/>
          <w:szCs w:val="24"/>
        </w:rPr>
        <w:t>Origen de los Recursos</w:t>
      </w:r>
    </w:p>
    <w:p w:rsidR="007C2E94" w:rsidRPr="00D5489E" w:rsidRDefault="007C2E94" w:rsidP="007C2E94">
      <w:pPr>
        <w:pStyle w:val="Sinespaciado"/>
        <w:jc w:val="center"/>
        <w:rPr>
          <w:rFonts w:ascii="Times New Roman" w:hAnsi="Times New Roman" w:cs="Times New Roman"/>
          <w:sz w:val="20"/>
        </w:rPr>
      </w:pPr>
      <w:r w:rsidRPr="00D5489E">
        <w:rPr>
          <w:rFonts w:ascii="Times New Roman" w:hAnsi="Times New Roman" w:cs="Times New Roman"/>
          <w:sz w:val="20"/>
        </w:rPr>
        <w:t>Porcentajes del PIB</w:t>
      </w:r>
    </w:p>
    <w:p w:rsidR="007C2E94" w:rsidRPr="00880D9D" w:rsidRDefault="00214E11" w:rsidP="007C2E94">
      <w:pPr>
        <w:pStyle w:val="Sinespaciado"/>
        <w:jc w:val="center"/>
        <w:rPr>
          <w:rFonts w:ascii="Times New Roman" w:hAnsi="Times New Roman" w:cs="Times New Roman"/>
        </w:rPr>
      </w:pPr>
      <w:r w:rsidRPr="00880D9D">
        <w:rPr>
          <w:noProof/>
          <w:sz w:val="20"/>
          <w:lang w:eastAsia="es-GT"/>
        </w:rPr>
        <w:drawing>
          <wp:inline distT="0" distB="0" distL="0" distR="0" wp14:anchorId="428C7D98" wp14:editId="22BB1752">
            <wp:extent cx="3914487" cy="2488758"/>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1131" cy="2543844"/>
                    </a:xfrm>
                    <a:prstGeom prst="rect">
                      <a:avLst/>
                    </a:prstGeom>
                    <a:noFill/>
                    <a:ln>
                      <a:noFill/>
                    </a:ln>
                  </pic:spPr>
                </pic:pic>
              </a:graphicData>
            </a:graphic>
          </wp:inline>
        </w:drawing>
      </w:r>
    </w:p>
    <w:p w:rsidR="008F4D0C" w:rsidRDefault="00731B5D" w:rsidP="00ED1197">
      <w:pPr>
        <w:pStyle w:val="Sinespaciado"/>
        <w:ind w:firstLine="708"/>
        <w:jc w:val="both"/>
        <w:rPr>
          <w:rFonts w:ascii="Times New Roman" w:hAnsi="Times New Roman" w:cs="Times New Roman"/>
          <w:sz w:val="16"/>
          <w:lang w:val="es-MX"/>
        </w:rPr>
      </w:pPr>
      <w:r w:rsidRPr="00880D9D">
        <w:rPr>
          <w:rFonts w:ascii="Times New Roman" w:hAnsi="Times New Roman" w:cs="Times New Roman"/>
          <w:sz w:val="16"/>
          <w:lang w:val="es-MX"/>
        </w:rPr>
        <w:t xml:space="preserve">Fuente: Ministerio de Finanzas </w:t>
      </w:r>
      <w:r w:rsidR="00F3713D" w:rsidRPr="00880D9D">
        <w:rPr>
          <w:rFonts w:ascii="Times New Roman" w:hAnsi="Times New Roman" w:cs="Times New Roman"/>
          <w:sz w:val="16"/>
          <w:lang w:val="es-MX"/>
        </w:rPr>
        <w:t>Públicas</w:t>
      </w:r>
    </w:p>
    <w:p w:rsidR="00ED1197" w:rsidRPr="00ED1197" w:rsidRDefault="00ED1197" w:rsidP="00ED1197">
      <w:pPr>
        <w:pStyle w:val="Sinespaciado"/>
        <w:ind w:firstLine="708"/>
        <w:jc w:val="both"/>
        <w:rPr>
          <w:rFonts w:ascii="Times New Roman" w:hAnsi="Times New Roman" w:cs="Times New Roman"/>
          <w:sz w:val="16"/>
          <w:lang w:val="es-MX"/>
        </w:rPr>
      </w:pPr>
    </w:p>
    <w:p w:rsidR="00A5727F" w:rsidRDefault="00CF4D9B" w:rsidP="00FE227D">
      <w:pPr>
        <w:pStyle w:val="Sinespaciado"/>
        <w:numPr>
          <w:ilvl w:val="0"/>
          <w:numId w:val="7"/>
        </w:numPr>
        <w:ind w:left="426" w:hanging="284"/>
        <w:jc w:val="both"/>
        <w:outlineLvl w:val="0"/>
        <w:rPr>
          <w:rFonts w:ascii="Times New Roman" w:hAnsi="Times New Roman" w:cs="Times New Roman"/>
          <w:b/>
          <w:lang w:val="es-MX"/>
        </w:rPr>
      </w:pPr>
      <w:bookmarkStart w:id="59" w:name="_Toc509214748"/>
      <w:r w:rsidRPr="00F511D6">
        <w:rPr>
          <w:rFonts w:ascii="Times New Roman" w:hAnsi="Times New Roman" w:cs="Times New Roman"/>
          <w:b/>
          <w:sz w:val="24"/>
          <w:lang w:val="es-MX"/>
        </w:rPr>
        <w:t>Análisi</w:t>
      </w:r>
      <w:r w:rsidR="008141A2" w:rsidRPr="00F511D6">
        <w:rPr>
          <w:rFonts w:ascii="Times New Roman" w:hAnsi="Times New Roman" w:cs="Times New Roman"/>
          <w:b/>
          <w:sz w:val="24"/>
          <w:lang w:val="es-MX"/>
        </w:rPr>
        <w:t>s de S</w:t>
      </w:r>
      <w:r w:rsidRPr="00F511D6">
        <w:rPr>
          <w:rFonts w:ascii="Times New Roman" w:hAnsi="Times New Roman" w:cs="Times New Roman"/>
          <w:b/>
          <w:sz w:val="24"/>
          <w:lang w:val="es-MX"/>
        </w:rPr>
        <w:t>ostenibilidad</w:t>
      </w:r>
      <w:r w:rsidR="00A84ECC" w:rsidRPr="00F511D6">
        <w:rPr>
          <w:rFonts w:ascii="Times New Roman" w:hAnsi="Times New Roman" w:cs="Times New Roman"/>
          <w:b/>
          <w:sz w:val="24"/>
          <w:lang w:val="es-MX"/>
        </w:rPr>
        <w:t xml:space="preserve"> de la </w:t>
      </w:r>
      <w:r w:rsidR="008141A2" w:rsidRPr="00F511D6">
        <w:rPr>
          <w:rFonts w:ascii="Times New Roman" w:hAnsi="Times New Roman" w:cs="Times New Roman"/>
          <w:b/>
          <w:sz w:val="24"/>
          <w:lang w:val="es-MX"/>
        </w:rPr>
        <w:t>D</w:t>
      </w:r>
      <w:r w:rsidR="00A84ECC" w:rsidRPr="00F511D6">
        <w:rPr>
          <w:rFonts w:ascii="Times New Roman" w:hAnsi="Times New Roman" w:cs="Times New Roman"/>
          <w:b/>
          <w:sz w:val="24"/>
          <w:lang w:val="es-MX"/>
        </w:rPr>
        <w:t>euda</w:t>
      </w:r>
      <w:bookmarkEnd w:id="59"/>
      <w:r w:rsidR="00A5727F" w:rsidRPr="00F511D6">
        <w:rPr>
          <w:rFonts w:ascii="Times New Roman" w:hAnsi="Times New Roman" w:cs="Times New Roman"/>
          <w:b/>
          <w:sz w:val="24"/>
          <w:lang w:val="es-MX"/>
        </w:rPr>
        <w:t xml:space="preserve"> </w:t>
      </w:r>
      <w:r w:rsidR="00557268" w:rsidRPr="00F511D6">
        <w:rPr>
          <w:rFonts w:ascii="Times New Roman" w:hAnsi="Times New Roman" w:cs="Times New Roman"/>
          <w:b/>
          <w:sz w:val="24"/>
          <w:lang w:val="es-MX"/>
        </w:rPr>
        <w:t xml:space="preserve">   </w:t>
      </w:r>
    </w:p>
    <w:p w:rsidR="00A5727F" w:rsidRDefault="00A5727F" w:rsidP="00E7032B">
      <w:pPr>
        <w:pStyle w:val="Sinespaciado"/>
        <w:jc w:val="both"/>
        <w:rPr>
          <w:rFonts w:ascii="Times New Roman" w:hAnsi="Times New Roman" w:cs="Times New Roman"/>
          <w:b/>
          <w:lang w:val="es-MX"/>
        </w:rPr>
      </w:pPr>
    </w:p>
    <w:p w:rsidR="00612E4E" w:rsidRPr="00612E4E" w:rsidRDefault="00612E4E" w:rsidP="00612E4E">
      <w:pPr>
        <w:pStyle w:val="Prrafodelista"/>
        <w:numPr>
          <w:ilvl w:val="0"/>
          <w:numId w:val="17"/>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60" w:name="_Toc508979675"/>
      <w:bookmarkStart w:id="61" w:name="_Toc508980033"/>
      <w:bookmarkStart w:id="62" w:name="_Toc508980185"/>
      <w:bookmarkStart w:id="63" w:name="_Toc508981226"/>
      <w:bookmarkStart w:id="64" w:name="_Toc508982478"/>
      <w:bookmarkStart w:id="65" w:name="_Toc509213491"/>
      <w:bookmarkStart w:id="66" w:name="_Toc509213554"/>
      <w:bookmarkStart w:id="67" w:name="_Toc509213620"/>
      <w:bookmarkStart w:id="68" w:name="_Toc509213785"/>
      <w:bookmarkStart w:id="69" w:name="_Toc509214749"/>
      <w:bookmarkEnd w:id="60"/>
      <w:bookmarkEnd w:id="61"/>
      <w:bookmarkEnd w:id="62"/>
      <w:bookmarkEnd w:id="63"/>
      <w:bookmarkEnd w:id="64"/>
      <w:bookmarkEnd w:id="65"/>
      <w:bookmarkEnd w:id="66"/>
      <w:bookmarkEnd w:id="67"/>
      <w:bookmarkEnd w:id="68"/>
      <w:bookmarkEnd w:id="69"/>
    </w:p>
    <w:p w:rsidR="00612E4E" w:rsidRPr="00612E4E" w:rsidRDefault="00612E4E" w:rsidP="00612E4E">
      <w:pPr>
        <w:pStyle w:val="Prrafodelista"/>
        <w:numPr>
          <w:ilvl w:val="0"/>
          <w:numId w:val="17"/>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70" w:name="_Toc508982479"/>
      <w:bookmarkStart w:id="71" w:name="_Toc509213492"/>
      <w:bookmarkStart w:id="72" w:name="_Toc509213555"/>
      <w:bookmarkStart w:id="73" w:name="_Toc509213621"/>
      <w:bookmarkStart w:id="74" w:name="_Toc509213786"/>
      <w:bookmarkStart w:id="75" w:name="_Toc509214750"/>
      <w:bookmarkEnd w:id="70"/>
      <w:bookmarkEnd w:id="71"/>
      <w:bookmarkEnd w:id="72"/>
      <w:bookmarkEnd w:id="73"/>
      <w:bookmarkEnd w:id="74"/>
      <w:bookmarkEnd w:id="75"/>
    </w:p>
    <w:p w:rsidR="005544FB" w:rsidRPr="00880D9D" w:rsidRDefault="008141A2" w:rsidP="00612E4E">
      <w:pPr>
        <w:pStyle w:val="Sinespaciado"/>
        <w:numPr>
          <w:ilvl w:val="1"/>
          <w:numId w:val="17"/>
        </w:numPr>
        <w:ind w:hanging="292"/>
        <w:jc w:val="both"/>
        <w:outlineLvl w:val="1"/>
        <w:rPr>
          <w:rFonts w:ascii="Times New Roman" w:hAnsi="Times New Roman" w:cs="Times New Roman"/>
          <w:b/>
          <w:lang w:val="es-MX"/>
        </w:rPr>
      </w:pPr>
      <w:bookmarkStart w:id="76" w:name="_Toc509214751"/>
      <w:r w:rsidRPr="00F511D6">
        <w:rPr>
          <w:rFonts w:ascii="Times New Roman" w:hAnsi="Times New Roman" w:cs="Times New Roman"/>
          <w:b/>
          <w:sz w:val="24"/>
          <w:lang w:val="es-MX"/>
        </w:rPr>
        <w:t xml:space="preserve">Análisis de </w:t>
      </w:r>
      <w:r w:rsidR="00A5727F" w:rsidRPr="00F511D6">
        <w:rPr>
          <w:rFonts w:ascii="Times New Roman" w:hAnsi="Times New Roman" w:cs="Times New Roman"/>
          <w:b/>
          <w:sz w:val="24"/>
          <w:lang w:val="es-MX"/>
        </w:rPr>
        <w:t>Mediano Plazo</w:t>
      </w:r>
      <w:bookmarkEnd w:id="76"/>
      <w:r w:rsidR="00557268" w:rsidRPr="00F511D6">
        <w:rPr>
          <w:rFonts w:ascii="Times New Roman" w:hAnsi="Times New Roman" w:cs="Times New Roman"/>
          <w:b/>
          <w:sz w:val="24"/>
          <w:lang w:val="es-MX"/>
        </w:rPr>
        <w:t xml:space="preserve">    </w:t>
      </w:r>
    </w:p>
    <w:p w:rsidR="00CF4D9B" w:rsidRPr="00880D9D" w:rsidRDefault="00CF4D9B" w:rsidP="00E7032B">
      <w:pPr>
        <w:pStyle w:val="Sinespaciado"/>
        <w:jc w:val="both"/>
        <w:rPr>
          <w:rFonts w:ascii="Times New Roman" w:hAnsi="Times New Roman" w:cs="Times New Roman"/>
          <w:lang w:val="es-MX"/>
        </w:rPr>
      </w:pPr>
    </w:p>
    <w:p w:rsidR="00F667FC" w:rsidRPr="00F13E77" w:rsidRDefault="00F667FC" w:rsidP="00E7032B">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Para efectos del análisis de sostenibilidad de la deuda pública </w:t>
      </w:r>
      <w:r w:rsidR="0061288F" w:rsidRPr="00F13E77">
        <w:rPr>
          <w:rFonts w:ascii="Times New Roman" w:hAnsi="Times New Roman" w:cs="Times New Roman"/>
          <w:sz w:val="24"/>
          <w:lang w:val="es-MX"/>
        </w:rPr>
        <w:t>se tomaron</w:t>
      </w:r>
      <w:r w:rsidRPr="00F13E77">
        <w:rPr>
          <w:rFonts w:ascii="Times New Roman" w:hAnsi="Times New Roman" w:cs="Times New Roman"/>
          <w:sz w:val="24"/>
          <w:lang w:val="es-MX"/>
        </w:rPr>
        <w:t xml:space="preserve"> como referencia algunas variables macro</w:t>
      </w:r>
      <w:r w:rsidR="00BC0391" w:rsidRPr="00F13E77">
        <w:rPr>
          <w:rFonts w:ascii="Times New Roman" w:hAnsi="Times New Roman" w:cs="Times New Roman"/>
          <w:sz w:val="24"/>
          <w:lang w:val="es-MX"/>
        </w:rPr>
        <w:t xml:space="preserve"> </w:t>
      </w:r>
      <w:r w:rsidRPr="00F13E77">
        <w:rPr>
          <w:rFonts w:ascii="Times New Roman" w:hAnsi="Times New Roman" w:cs="Times New Roman"/>
          <w:sz w:val="24"/>
          <w:lang w:val="es-MX"/>
        </w:rPr>
        <w:t xml:space="preserve">fiscales </w:t>
      </w:r>
      <w:r w:rsidR="0061288F" w:rsidRPr="00F13E77">
        <w:rPr>
          <w:rFonts w:ascii="Times New Roman" w:hAnsi="Times New Roman" w:cs="Times New Roman"/>
          <w:sz w:val="24"/>
          <w:lang w:val="es-MX"/>
        </w:rPr>
        <w:t xml:space="preserve">que </w:t>
      </w:r>
      <w:r w:rsidRPr="00F13E77">
        <w:rPr>
          <w:rFonts w:ascii="Times New Roman" w:hAnsi="Times New Roman" w:cs="Times New Roman"/>
          <w:sz w:val="24"/>
          <w:lang w:val="es-MX"/>
        </w:rPr>
        <w:t xml:space="preserve">inciden en el comportamiento y dinámica de la deuda pública.   Estas variables son: el crecimiento económico real, la tasa de interés real, la variación del tipo de cambio, el resultado primario del gobierno, el mismo saldo </w:t>
      </w:r>
      <w:r w:rsidR="006201F7" w:rsidRPr="00F13E77">
        <w:rPr>
          <w:rFonts w:ascii="Times New Roman" w:hAnsi="Times New Roman" w:cs="Times New Roman"/>
          <w:sz w:val="24"/>
          <w:lang w:val="es-MX"/>
        </w:rPr>
        <w:t xml:space="preserve">de </w:t>
      </w:r>
      <w:r w:rsidR="00E152F8" w:rsidRPr="00F13E77">
        <w:rPr>
          <w:rFonts w:ascii="Times New Roman" w:hAnsi="Times New Roman" w:cs="Times New Roman"/>
          <w:sz w:val="24"/>
          <w:lang w:val="es-MX"/>
        </w:rPr>
        <w:t xml:space="preserve">la </w:t>
      </w:r>
      <w:r w:rsidR="004B6F44" w:rsidRPr="00F13E77">
        <w:rPr>
          <w:rFonts w:ascii="Times New Roman" w:hAnsi="Times New Roman" w:cs="Times New Roman"/>
          <w:sz w:val="24"/>
          <w:lang w:val="es-MX"/>
        </w:rPr>
        <w:t xml:space="preserve">deuda </w:t>
      </w:r>
      <w:r w:rsidR="00462B38" w:rsidRPr="00F13E77">
        <w:rPr>
          <w:rFonts w:ascii="Times New Roman" w:hAnsi="Times New Roman" w:cs="Times New Roman"/>
          <w:sz w:val="24"/>
          <w:lang w:val="es-MX"/>
        </w:rPr>
        <w:t>p</w:t>
      </w:r>
      <w:r w:rsidR="004B6F44" w:rsidRPr="00F13E77">
        <w:rPr>
          <w:rFonts w:ascii="Times New Roman" w:hAnsi="Times New Roman" w:cs="Times New Roman"/>
          <w:sz w:val="24"/>
          <w:lang w:val="es-MX"/>
        </w:rPr>
        <w:t>ública</w:t>
      </w:r>
      <w:r w:rsidR="0061288F" w:rsidRPr="00F13E77">
        <w:rPr>
          <w:rFonts w:ascii="Times New Roman" w:hAnsi="Times New Roman" w:cs="Times New Roman"/>
          <w:sz w:val="24"/>
          <w:lang w:val="es-MX"/>
        </w:rPr>
        <w:t xml:space="preserve"> del año anterior y</w:t>
      </w:r>
      <w:r w:rsidR="006201F7" w:rsidRPr="00F13E77">
        <w:rPr>
          <w:rFonts w:ascii="Times New Roman" w:hAnsi="Times New Roman" w:cs="Times New Roman"/>
          <w:sz w:val="24"/>
          <w:lang w:val="es-MX"/>
        </w:rPr>
        <w:t xml:space="preserve"> </w:t>
      </w:r>
      <w:r w:rsidRPr="00F13E77">
        <w:rPr>
          <w:rFonts w:ascii="Times New Roman" w:hAnsi="Times New Roman" w:cs="Times New Roman"/>
          <w:sz w:val="24"/>
          <w:lang w:val="es-MX"/>
        </w:rPr>
        <w:t xml:space="preserve">otros factores (residuos)  </w:t>
      </w:r>
    </w:p>
    <w:p w:rsidR="00F667FC" w:rsidRPr="00F13E77" w:rsidRDefault="00F667FC" w:rsidP="00E7032B">
      <w:pPr>
        <w:pStyle w:val="Sinespaciado"/>
        <w:jc w:val="both"/>
        <w:rPr>
          <w:rFonts w:ascii="Times New Roman" w:hAnsi="Times New Roman" w:cs="Times New Roman"/>
          <w:sz w:val="24"/>
          <w:lang w:val="es-MX"/>
        </w:rPr>
      </w:pPr>
    </w:p>
    <w:p w:rsidR="00036714" w:rsidRPr="00F13E77" w:rsidRDefault="00F667FC" w:rsidP="000367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En ese sentido, s</w:t>
      </w:r>
      <w:r w:rsidR="00E7032B" w:rsidRPr="00F13E77">
        <w:rPr>
          <w:rFonts w:ascii="Times New Roman" w:hAnsi="Times New Roman" w:cs="Times New Roman"/>
          <w:sz w:val="24"/>
          <w:lang w:val="es-MX"/>
        </w:rPr>
        <w:t>e realizó un análisis para observar las contribuciones de los determinantes macro</w:t>
      </w:r>
      <w:r w:rsidR="00BC0391" w:rsidRPr="00F13E77">
        <w:rPr>
          <w:rFonts w:ascii="Times New Roman" w:hAnsi="Times New Roman" w:cs="Times New Roman"/>
          <w:sz w:val="24"/>
          <w:lang w:val="es-MX"/>
        </w:rPr>
        <w:t xml:space="preserve"> </w:t>
      </w:r>
      <w:r w:rsidR="00E7032B" w:rsidRPr="00F13E77">
        <w:rPr>
          <w:rFonts w:ascii="Times New Roman" w:hAnsi="Times New Roman" w:cs="Times New Roman"/>
          <w:sz w:val="24"/>
          <w:lang w:val="es-MX"/>
        </w:rPr>
        <w:t>fi</w:t>
      </w:r>
      <w:r w:rsidR="003C48E0" w:rsidRPr="00F13E77">
        <w:rPr>
          <w:rFonts w:ascii="Times New Roman" w:hAnsi="Times New Roman" w:cs="Times New Roman"/>
          <w:sz w:val="24"/>
          <w:lang w:val="es-MX"/>
        </w:rPr>
        <w:t>scales en el</w:t>
      </w:r>
      <w:r w:rsidR="00E7032B" w:rsidRPr="00F13E77">
        <w:rPr>
          <w:rFonts w:ascii="Times New Roman" w:hAnsi="Times New Roman" w:cs="Times New Roman"/>
          <w:sz w:val="24"/>
          <w:lang w:val="es-MX"/>
        </w:rPr>
        <w:t xml:space="preserve"> </w:t>
      </w:r>
      <w:r w:rsidRPr="00F13E77">
        <w:rPr>
          <w:rFonts w:ascii="Times New Roman" w:hAnsi="Times New Roman" w:cs="Times New Roman"/>
          <w:sz w:val="24"/>
          <w:lang w:val="es-MX"/>
        </w:rPr>
        <w:t>cambio de la deuda pública.  Para lo cual, s</w:t>
      </w:r>
      <w:r w:rsidR="00036714" w:rsidRPr="00F13E77">
        <w:rPr>
          <w:rFonts w:ascii="Times New Roman" w:hAnsi="Times New Roman" w:cs="Times New Roman"/>
          <w:sz w:val="24"/>
          <w:lang w:val="es-MX"/>
        </w:rPr>
        <w:t xml:space="preserve">e observa que para el año 2017, el incremento relativo de la deuda </w:t>
      </w:r>
      <w:r w:rsidR="006201F7" w:rsidRPr="00F13E77">
        <w:rPr>
          <w:rFonts w:ascii="Times New Roman" w:hAnsi="Times New Roman" w:cs="Times New Roman"/>
          <w:sz w:val="24"/>
          <w:lang w:val="es-MX"/>
        </w:rPr>
        <w:t>es</w:t>
      </w:r>
      <w:r w:rsidR="00036714" w:rsidRPr="00F13E77">
        <w:rPr>
          <w:rFonts w:ascii="Times New Roman" w:hAnsi="Times New Roman" w:cs="Times New Roman"/>
          <w:sz w:val="24"/>
          <w:lang w:val="es-MX"/>
        </w:rPr>
        <w:t xml:space="preserve"> negativo (0.2 puntos porcentuales del PIB), lo cual es resultado </w:t>
      </w:r>
      <w:r w:rsidR="00515061" w:rsidRPr="00F13E77">
        <w:rPr>
          <w:rFonts w:ascii="Times New Roman" w:hAnsi="Times New Roman" w:cs="Times New Roman"/>
          <w:sz w:val="24"/>
          <w:lang w:val="es-MX"/>
        </w:rPr>
        <w:t xml:space="preserve">de </w:t>
      </w:r>
      <w:r w:rsidR="00036714" w:rsidRPr="00F13E77">
        <w:rPr>
          <w:rFonts w:ascii="Times New Roman" w:hAnsi="Times New Roman" w:cs="Times New Roman"/>
          <w:sz w:val="24"/>
          <w:lang w:val="es-MX"/>
        </w:rPr>
        <w:t>un posible superávit primario</w:t>
      </w:r>
      <w:r w:rsidRPr="00F13E77">
        <w:rPr>
          <w:rFonts w:ascii="Times New Roman" w:hAnsi="Times New Roman" w:cs="Times New Roman"/>
          <w:sz w:val="24"/>
          <w:lang w:val="es-MX"/>
        </w:rPr>
        <w:t xml:space="preserve"> y de la apreciaci</w:t>
      </w:r>
      <w:r w:rsidR="006201F7" w:rsidRPr="00F13E77">
        <w:rPr>
          <w:rFonts w:ascii="Times New Roman" w:hAnsi="Times New Roman" w:cs="Times New Roman"/>
          <w:sz w:val="24"/>
          <w:lang w:val="es-MX"/>
        </w:rPr>
        <w:t>ón del tipo de cambio que</w:t>
      </w:r>
      <w:r w:rsidRPr="00F13E77">
        <w:rPr>
          <w:rFonts w:ascii="Times New Roman" w:hAnsi="Times New Roman" w:cs="Times New Roman"/>
          <w:sz w:val="24"/>
          <w:lang w:val="es-MX"/>
        </w:rPr>
        <w:t xml:space="preserve"> se ha hecho evidente a lo largo </w:t>
      </w:r>
      <w:r w:rsidR="006201F7" w:rsidRPr="00F13E77">
        <w:rPr>
          <w:rFonts w:ascii="Times New Roman" w:hAnsi="Times New Roman" w:cs="Times New Roman"/>
          <w:sz w:val="24"/>
          <w:lang w:val="es-MX"/>
        </w:rPr>
        <w:t>de este año</w:t>
      </w:r>
      <w:r w:rsidRPr="00F13E77">
        <w:rPr>
          <w:rFonts w:ascii="Times New Roman" w:hAnsi="Times New Roman" w:cs="Times New Roman"/>
          <w:sz w:val="24"/>
          <w:lang w:val="es-MX"/>
        </w:rPr>
        <w:t xml:space="preserve">. </w:t>
      </w:r>
    </w:p>
    <w:p w:rsidR="00036714" w:rsidRPr="00F13E77" w:rsidRDefault="00036714" w:rsidP="00E7032B">
      <w:pPr>
        <w:pStyle w:val="Sinespaciado"/>
        <w:jc w:val="both"/>
        <w:rPr>
          <w:rFonts w:ascii="Times New Roman" w:hAnsi="Times New Roman" w:cs="Times New Roman"/>
          <w:sz w:val="24"/>
          <w:lang w:val="es-MX"/>
        </w:rPr>
      </w:pPr>
    </w:p>
    <w:p w:rsidR="00B95B9D" w:rsidRPr="00F13E77" w:rsidRDefault="00F667FC" w:rsidP="00E7032B">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Para</w:t>
      </w:r>
      <w:r w:rsidR="00E7032B" w:rsidRPr="00F13E77">
        <w:rPr>
          <w:rFonts w:ascii="Times New Roman" w:hAnsi="Times New Roman" w:cs="Times New Roman"/>
          <w:sz w:val="24"/>
          <w:lang w:val="es-MX"/>
        </w:rPr>
        <w:t xml:space="preserve"> 2018, el incremento </w:t>
      </w:r>
      <w:r w:rsidR="00B95B9D" w:rsidRPr="00F13E77">
        <w:rPr>
          <w:rFonts w:ascii="Times New Roman" w:hAnsi="Times New Roman" w:cs="Times New Roman"/>
          <w:sz w:val="24"/>
          <w:lang w:val="es-MX"/>
        </w:rPr>
        <w:t xml:space="preserve">relativo </w:t>
      </w:r>
      <w:r w:rsidR="00E7032B" w:rsidRPr="00F13E77">
        <w:rPr>
          <w:rFonts w:ascii="Times New Roman" w:hAnsi="Times New Roman" w:cs="Times New Roman"/>
          <w:sz w:val="24"/>
          <w:lang w:val="es-MX"/>
        </w:rPr>
        <w:t xml:space="preserve">de la deuda (1.1 puntos porcentuales del PIB), se debe </w:t>
      </w:r>
      <w:r w:rsidR="00B95B9D" w:rsidRPr="00F13E77">
        <w:rPr>
          <w:rFonts w:ascii="Times New Roman" w:hAnsi="Times New Roman" w:cs="Times New Roman"/>
          <w:sz w:val="24"/>
          <w:lang w:val="es-MX"/>
        </w:rPr>
        <w:t xml:space="preserve">principalmente </w:t>
      </w:r>
      <w:r w:rsidR="00E7032B" w:rsidRPr="00F13E77">
        <w:rPr>
          <w:rFonts w:ascii="Times New Roman" w:hAnsi="Times New Roman" w:cs="Times New Roman"/>
          <w:sz w:val="24"/>
          <w:lang w:val="es-MX"/>
        </w:rPr>
        <w:t>a variaciones en el resultado primario por el aumento en el gasto público por encim</w:t>
      </w:r>
      <w:r w:rsidRPr="00F13E77">
        <w:rPr>
          <w:rFonts w:ascii="Times New Roman" w:hAnsi="Times New Roman" w:cs="Times New Roman"/>
          <w:sz w:val="24"/>
          <w:lang w:val="es-MX"/>
        </w:rPr>
        <w:t>a de los ingresos fiscales</w:t>
      </w:r>
      <w:r w:rsidR="00E7032B" w:rsidRPr="00F13E77">
        <w:rPr>
          <w:rFonts w:ascii="Times New Roman" w:hAnsi="Times New Roman" w:cs="Times New Roman"/>
          <w:sz w:val="24"/>
          <w:lang w:val="es-MX"/>
        </w:rPr>
        <w:t xml:space="preserve"> y </w:t>
      </w:r>
      <w:r w:rsidRPr="00F13E77">
        <w:rPr>
          <w:rFonts w:ascii="Times New Roman" w:hAnsi="Times New Roman" w:cs="Times New Roman"/>
          <w:sz w:val="24"/>
          <w:lang w:val="es-MX"/>
        </w:rPr>
        <w:t xml:space="preserve">por </w:t>
      </w:r>
      <w:r w:rsidR="00E7032B" w:rsidRPr="00F13E77">
        <w:rPr>
          <w:rFonts w:ascii="Times New Roman" w:hAnsi="Times New Roman" w:cs="Times New Roman"/>
          <w:sz w:val="24"/>
          <w:lang w:val="es-MX"/>
        </w:rPr>
        <w:t>una depreciación esperada en el tipo de cambio</w:t>
      </w:r>
      <w:r w:rsidR="00B95B9D" w:rsidRPr="00F13E77">
        <w:rPr>
          <w:rFonts w:ascii="Times New Roman" w:hAnsi="Times New Roman" w:cs="Times New Roman"/>
          <w:sz w:val="24"/>
          <w:lang w:val="es-MX"/>
        </w:rPr>
        <w:t xml:space="preserve">.  </w:t>
      </w:r>
      <w:r w:rsidR="00E7032B" w:rsidRPr="00F13E77">
        <w:rPr>
          <w:rFonts w:ascii="Times New Roman" w:hAnsi="Times New Roman" w:cs="Times New Roman"/>
          <w:sz w:val="24"/>
          <w:lang w:val="es-MX"/>
        </w:rPr>
        <w:t xml:space="preserve"> </w:t>
      </w:r>
      <w:r w:rsidR="00B95B9D" w:rsidRPr="00F13E77">
        <w:rPr>
          <w:rFonts w:ascii="Times New Roman" w:hAnsi="Times New Roman" w:cs="Times New Roman"/>
          <w:sz w:val="24"/>
          <w:lang w:val="es-MX"/>
        </w:rPr>
        <w:t>A</w:t>
      </w:r>
      <w:r w:rsidR="00E7032B" w:rsidRPr="00F13E77">
        <w:rPr>
          <w:rFonts w:ascii="Times New Roman" w:hAnsi="Times New Roman" w:cs="Times New Roman"/>
          <w:sz w:val="24"/>
          <w:lang w:val="es-MX"/>
        </w:rPr>
        <w:t>demás</w:t>
      </w:r>
      <w:r w:rsidR="003C48E0" w:rsidRPr="00F13E77">
        <w:rPr>
          <w:rFonts w:ascii="Times New Roman" w:hAnsi="Times New Roman" w:cs="Times New Roman"/>
          <w:sz w:val="24"/>
          <w:lang w:val="es-MX"/>
        </w:rPr>
        <w:t>,</w:t>
      </w:r>
      <w:r w:rsidR="00E7032B" w:rsidRPr="00F13E77">
        <w:rPr>
          <w:rFonts w:ascii="Times New Roman" w:hAnsi="Times New Roman" w:cs="Times New Roman"/>
          <w:sz w:val="24"/>
          <w:lang w:val="es-MX"/>
        </w:rPr>
        <w:t xml:space="preserve"> de otros factores</w:t>
      </w:r>
      <w:r w:rsidR="003C48E0" w:rsidRPr="00F13E77">
        <w:rPr>
          <w:rFonts w:ascii="Times New Roman" w:hAnsi="Times New Roman" w:cs="Times New Roman"/>
          <w:sz w:val="24"/>
          <w:lang w:val="es-MX"/>
        </w:rPr>
        <w:t>,</w:t>
      </w:r>
      <w:r w:rsidR="00E7032B" w:rsidRPr="00F13E77">
        <w:rPr>
          <w:rFonts w:ascii="Times New Roman" w:hAnsi="Times New Roman" w:cs="Times New Roman"/>
          <w:sz w:val="24"/>
          <w:lang w:val="es-MX"/>
        </w:rPr>
        <w:t xml:space="preserve"> especialmente el </w:t>
      </w:r>
      <w:r w:rsidR="00B95B9D" w:rsidRPr="00F13E77">
        <w:rPr>
          <w:rFonts w:ascii="Times New Roman" w:hAnsi="Times New Roman" w:cs="Times New Roman"/>
          <w:sz w:val="24"/>
          <w:lang w:val="es-MX"/>
        </w:rPr>
        <w:t xml:space="preserve">aumento </w:t>
      </w:r>
      <w:r w:rsidR="008141A2" w:rsidRPr="00F13E77">
        <w:rPr>
          <w:rFonts w:ascii="Times New Roman" w:hAnsi="Times New Roman" w:cs="Times New Roman"/>
          <w:sz w:val="24"/>
          <w:lang w:val="es-MX"/>
        </w:rPr>
        <w:t>de la deuda derivado d</w:t>
      </w:r>
      <w:r w:rsidR="00B95B9D" w:rsidRPr="00F13E77">
        <w:rPr>
          <w:rFonts w:ascii="Times New Roman" w:hAnsi="Times New Roman" w:cs="Times New Roman"/>
          <w:sz w:val="24"/>
          <w:lang w:val="es-MX"/>
        </w:rPr>
        <w:t xml:space="preserve">el </w:t>
      </w:r>
      <w:r w:rsidR="00E7032B" w:rsidRPr="00F13E77">
        <w:rPr>
          <w:rFonts w:ascii="Times New Roman" w:hAnsi="Times New Roman" w:cs="Times New Roman"/>
          <w:sz w:val="24"/>
          <w:lang w:val="es-MX"/>
        </w:rPr>
        <w:t xml:space="preserve">pago de las deficiencias netas del Banco de Guatemala obtenidas en 2016. </w:t>
      </w:r>
      <w:r w:rsidR="00B95B9D" w:rsidRPr="00F13E77">
        <w:rPr>
          <w:rFonts w:ascii="Times New Roman" w:hAnsi="Times New Roman" w:cs="Times New Roman"/>
          <w:sz w:val="24"/>
          <w:lang w:val="es-MX"/>
        </w:rPr>
        <w:t xml:space="preserve"> </w:t>
      </w:r>
      <w:r w:rsidR="00E7032B" w:rsidRPr="00F13E77">
        <w:rPr>
          <w:rFonts w:ascii="Times New Roman" w:hAnsi="Times New Roman" w:cs="Times New Roman"/>
          <w:sz w:val="24"/>
          <w:lang w:val="es-MX"/>
        </w:rPr>
        <w:t xml:space="preserve"> </w:t>
      </w:r>
    </w:p>
    <w:p w:rsidR="00036714" w:rsidRPr="00F13E77" w:rsidRDefault="00036714" w:rsidP="00E7032B">
      <w:pPr>
        <w:pStyle w:val="Sinespaciado"/>
        <w:jc w:val="both"/>
        <w:rPr>
          <w:rFonts w:ascii="Times New Roman" w:hAnsi="Times New Roman" w:cs="Times New Roman"/>
          <w:sz w:val="24"/>
          <w:lang w:val="es-MX"/>
        </w:rPr>
      </w:pPr>
    </w:p>
    <w:p w:rsidR="00036714" w:rsidRPr="00F13E77" w:rsidRDefault="00036714" w:rsidP="00E7032B">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Para el período 2019-2022, la </w:t>
      </w:r>
      <w:r w:rsidR="00F667FC" w:rsidRPr="00F13E77">
        <w:rPr>
          <w:rFonts w:ascii="Times New Roman" w:hAnsi="Times New Roman" w:cs="Times New Roman"/>
          <w:sz w:val="24"/>
          <w:lang w:val="es-MX"/>
        </w:rPr>
        <w:t>dinámica</w:t>
      </w:r>
      <w:r w:rsidRPr="00F13E77">
        <w:rPr>
          <w:rFonts w:ascii="Times New Roman" w:hAnsi="Times New Roman" w:cs="Times New Roman"/>
          <w:sz w:val="24"/>
          <w:lang w:val="es-MX"/>
        </w:rPr>
        <w:t xml:space="preserve"> de la deuda, será más estable y se prevé un aumento acumulado de 0.6 puntos porcentuales del PIB, en los cuatro años, debido a qu</w:t>
      </w:r>
      <w:r w:rsidR="006201F7" w:rsidRPr="00F13E77">
        <w:rPr>
          <w:rFonts w:ascii="Times New Roman" w:hAnsi="Times New Roman" w:cs="Times New Roman"/>
          <w:sz w:val="24"/>
          <w:lang w:val="es-MX"/>
        </w:rPr>
        <w:t>e la contribución del</w:t>
      </w:r>
      <w:r w:rsidR="00C17644" w:rsidRPr="00F13E77">
        <w:rPr>
          <w:rFonts w:ascii="Times New Roman" w:hAnsi="Times New Roman" w:cs="Times New Roman"/>
          <w:sz w:val="24"/>
          <w:lang w:val="es-MX"/>
        </w:rPr>
        <w:t xml:space="preserve"> resultado primario rondará en</w:t>
      </w:r>
      <w:r w:rsidRPr="00F13E77">
        <w:rPr>
          <w:rFonts w:ascii="Times New Roman" w:hAnsi="Times New Roman" w:cs="Times New Roman"/>
          <w:sz w:val="24"/>
          <w:lang w:val="es-MX"/>
        </w:rPr>
        <w:t xml:space="preserve"> 0.5 del PIB en dicho</w:t>
      </w:r>
      <w:r w:rsidR="006201F7" w:rsidRPr="00F13E77">
        <w:rPr>
          <w:rFonts w:ascii="Times New Roman" w:hAnsi="Times New Roman" w:cs="Times New Roman"/>
          <w:sz w:val="24"/>
          <w:lang w:val="es-MX"/>
        </w:rPr>
        <w:t>s</w:t>
      </w:r>
      <w:r w:rsidR="0061288F" w:rsidRPr="00F13E77">
        <w:rPr>
          <w:rFonts w:ascii="Times New Roman" w:hAnsi="Times New Roman" w:cs="Times New Roman"/>
          <w:sz w:val="24"/>
          <w:lang w:val="es-MX"/>
        </w:rPr>
        <w:t xml:space="preserve"> años.  Es importante indicar que</w:t>
      </w:r>
      <w:r w:rsidRPr="00F13E77">
        <w:rPr>
          <w:rFonts w:ascii="Times New Roman" w:hAnsi="Times New Roman" w:cs="Times New Roman"/>
          <w:sz w:val="24"/>
          <w:lang w:val="es-MX"/>
        </w:rPr>
        <w:t xml:space="preserve"> el crecimiento económico se </w:t>
      </w:r>
      <w:r w:rsidR="006201F7" w:rsidRPr="00F13E77">
        <w:rPr>
          <w:rFonts w:ascii="Times New Roman" w:hAnsi="Times New Roman" w:cs="Times New Roman"/>
          <w:sz w:val="24"/>
          <w:lang w:val="es-MX"/>
        </w:rPr>
        <w:t>prevé</w:t>
      </w:r>
      <w:r w:rsidRPr="00F13E77">
        <w:rPr>
          <w:rFonts w:ascii="Times New Roman" w:hAnsi="Times New Roman" w:cs="Times New Roman"/>
          <w:sz w:val="24"/>
          <w:lang w:val="es-MX"/>
        </w:rPr>
        <w:t xml:space="preserve"> </w:t>
      </w:r>
      <w:r w:rsidR="006201F7" w:rsidRPr="00F13E77">
        <w:rPr>
          <w:rFonts w:ascii="Times New Roman" w:hAnsi="Times New Roman" w:cs="Times New Roman"/>
          <w:sz w:val="24"/>
          <w:lang w:val="es-MX"/>
        </w:rPr>
        <w:t>manten</w:t>
      </w:r>
      <w:r w:rsidR="0061288F" w:rsidRPr="00F13E77">
        <w:rPr>
          <w:rFonts w:ascii="Times New Roman" w:hAnsi="Times New Roman" w:cs="Times New Roman"/>
          <w:sz w:val="24"/>
          <w:lang w:val="es-MX"/>
        </w:rPr>
        <w:t>drá</w:t>
      </w:r>
      <w:r w:rsidRPr="00F13E77">
        <w:rPr>
          <w:rFonts w:ascii="Times New Roman" w:hAnsi="Times New Roman" w:cs="Times New Roman"/>
          <w:sz w:val="24"/>
          <w:lang w:val="es-MX"/>
        </w:rPr>
        <w:t xml:space="preserve"> por encima de </w:t>
      </w:r>
      <w:r w:rsidR="006201F7" w:rsidRPr="00F13E77">
        <w:rPr>
          <w:rFonts w:ascii="Times New Roman" w:hAnsi="Times New Roman" w:cs="Times New Roman"/>
          <w:sz w:val="24"/>
          <w:lang w:val="es-MX"/>
        </w:rPr>
        <w:t>la tasa de interés real favoreciendo con ello la estabilidad en la dinámica de la deuda.</w:t>
      </w:r>
    </w:p>
    <w:p w:rsidR="00B95B9D" w:rsidRPr="00F13E77" w:rsidRDefault="00B95B9D" w:rsidP="00E7032B">
      <w:pPr>
        <w:pStyle w:val="Sinespaciado"/>
        <w:jc w:val="both"/>
        <w:rPr>
          <w:rFonts w:ascii="Times New Roman" w:hAnsi="Times New Roman" w:cs="Times New Roman"/>
          <w:sz w:val="24"/>
          <w:lang w:val="es-MX"/>
        </w:rPr>
      </w:pPr>
    </w:p>
    <w:p w:rsidR="006201F7" w:rsidRPr="00F13E77" w:rsidRDefault="006201F7" w:rsidP="00E7032B">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Lo anterior da como resultado </w:t>
      </w:r>
      <w:r w:rsidR="008A46AE" w:rsidRPr="00F13E77">
        <w:rPr>
          <w:rFonts w:ascii="Times New Roman" w:hAnsi="Times New Roman" w:cs="Times New Roman"/>
          <w:sz w:val="24"/>
          <w:lang w:val="es-MX"/>
        </w:rPr>
        <w:t>que,</w:t>
      </w:r>
      <w:r w:rsidRPr="00F13E77">
        <w:rPr>
          <w:rFonts w:ascii="Times New Roman" w:hAnsi="Times New Roman" w:cs="Times New Roman"/>
          <w:sz w:val="24"/>
          <w:lang w:val="es-MX"/>
        </w:rPr>
        <w:t xml:space="preserve"> en términos acumulados, en el período 2017-</w:t>
      </w:r>
      <w:r w:rsidR="00280AA3" w:rsidRPr="00F13E77">
        <w:rPr>
          <w:rFonts w:ascii="Times New Roman" w:hAnsi="Times New Roman" w:cs="Times New Roman"/>
          <w:sz w:val="24"/>
          <w:lang w:val="es-MX"/>
        </w:rPr>
        <w:t>2022, la deuda pública aumente en</w:t>
      </w:r>
      <w:r w:rsidRPr="00F13E77">
        <w:rPr>
          <w:rFonts w:ascii="Times New Roman" w:hAnsi="Times New Roman" w:cs="Times New Roman"/>
          <w:sz w:val="24"/>
          <w:lang w:val="es-MX"/>
        </w:rPr>
        <w:t xml:space="preserve"> 1.5 puntos porcentuales, por lo que se esperaría que el nivel de la deuda pública para el cierre de 2018 se ubique en 25.0% del PIB y al final de 2022 se sit</w:t>
      </w:r>
      <w:r w:rsidR="00B67EC0" w:rsidRPr="00F13E77">
        <w:rPr>
          <w:rFonts w:ascii="Times New Roman" w:hAnsi="Times New Roman" w:cs="Times New Roman"/>
          <w:sz w:val="24"/>
          <w:lang w:val="es-MX"/>
        </w:rPr>
        <w:t>úe</w:t>
      </w:r>
      <w:r w:rsidRPr="00F13E77">
        <w:rPr>
          <w:rFonts w:ascii="Times New Roman" w:hAnsi="Times New Roman" w:cs="Times New Roman"/>
          <w:sz w:val="24"/>
          <w:lang w:val="es-MX"/>
        </w:rPr>
        <w:t xml:space="preserve"> en torno al 25.</w:t>
      </w:r>
      <w:r w:rsidR="008141A2" w:rsidRPr="00F13E77">
        <w:rPr>
          <w:rFonts w:ascii="Times New Roman" w:hAnsi="Times New Roman" w:cs="Times New Roman"/>
          <w:sz w:val="24"/>
          <w:lang w:val="es-MX"/>
        </w:rPr>
        <w:t>6</w:t>
      </w:r>
      <w:r w:rsidRPr="00F13E77">
        <w:rPr>
          <w:rFonts w:ascii="Times New Roman" w:hAnsi="Times New Roman" w:cs="Times New Roman"/>
          <w:sz w:val="24"/>
          <w:lang w:val="es-MX"/>
        </w:rPr>
        <w:t>% del PIB, aumento que se considera bastante moderado.</w:t>
      </w:r>
    </w:p>
    <w:p w:rsidR="006201F7" w:rsidRPr="00880D9D" w:rsidRDefault="006201F7" w:rsidP="00E7032B">
      <w:pPr>
        <w:pStyle w:val="Sinespaciado"/>
        <w:jc w:val="both"/>
        <w:rPr>
          <w:rFonts w:ascii="Times New Roman" w:hAnsi="Times New Roman" w:cs="Times New Roman"/>
          <w:lang w:val="es-MX"/>
        </w:rPr>
      </w:pPr>
    </w:p>
    <w:p w:rsidR="00BA2891" w:rsidRPr="00D5489E" w:rsidRDefault="00B710F4" w:rsidP="0061288F">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Gráfica 9</w:t>
      </w:r>
    </w:p>
    <w:p w:rsidR="006201F7" w:rsidRPr="00D5489E" w:rsidRDefault="006201F7" w:rsidP="0061288F">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Flujos Creadores de De</w:t>
      </w:r>
      <w:r w:rsidR="0061288F" w:rsidRPr="00D5489E">
        <w:rPr>
          <w:rFonts w:ascii="Times New Roman" w:hAnsi="Times New Roman" w:cs="Times New Roman"/>
          <w:b/>
          <w:sz w:val="24"/>
          <w:lang w:val="es-MX"/>
        </w:rPr>
        <w:t>uda Pública</w:t>
      </w:r>
    </w:p>
    <w:p w:rsidR="0061288F" w:rsidRPr="00D5489E" w:rsidRDefault="0061288F" w:rsidP="0061288F">
      <w:pPr>
        <w:pStyle w:val="Sinespaciado"/>
        <w:jc w:val="center"/>
        <w:rPr>
          <w:rFonts w:ascii="Times New Roman" w:hAnsi="Times New Roman" w:cs="Times New Roman"/>
          <w:sz w:val="20"/>
          <w:lang w:val="es-MX"/>
        </w:rPr>
      </w:pPr>
      <w:r w:rsidRPr="00D5489E">
        <w:rPr>
          <w:rFonts w:ascii="Times New Roman" w:hAnsi="Times New Roman" w:cs="Times New Roman"/>
          <w:sz w:val="20"/>
          <w:lang w:val="es-MX"/>
        </w:rPr>
        <w:t>Porcentajes del PIB</w:t>
      </w:r>
    </w:p>
    <w:p w:rsidR="006201F7" w:rsidRPr="00880D9D" w:rsidRDefault="00C17644" w:rsidP="00EF703E">
      <w:pPr>
        <w:pStyle w:val="Sinespaciado"/>
        <w:jc w:val="center"/>
        <w:rPr>
          <w:rFonts w:ascii="Times New Roman" w:hAnsi="Times New Roman" w:cs="Times New Roman"/>
          <w:lang w:val="es-MX"/>
        </w:rPr>
      </w:pPr>
      <w:r w:rsidRPr="00880D9D">
        <w:rPr>
          <w:rFonts w:ascii="Times New Roman" w:hAnsi="Times New Roman" w:cs="Times New Roman"/>
          <w:noProof/>
          <w:lang w:eastAsia="es-GT"/>
        </w:rPr>
        <w:drawing>
          <wp:inline distT="0" distB="0" distL="0" distR="0" wp14:anchorId="7E7A7C3A" wp14:editId="3BFCBC4D">
            <wp:extent cx="4848225" cy="3276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3016" cy="3286596"/>
                    </a:xfrm>
                    <a:prstGeom prst="rect">
                      <a:avLst/>
                    </a:prstGeom>
                    <a:noFill/>
                  </pic:spPr>
                </pic:pic>
              </a:graphicData>
            </a:graphic>
          </wp:inline>
        </w:drawing>
      </w:r>
    </w:p>
    <w:p w:rsidR="004C5A3D" w:rsidRPr="00880D9D" w:rsidRDefault="00D43F14" w:rsidP="00E75465">
      <w:pPr>
        <w:pStyle w:val="Sinespaciado"/>
        <w:ind w:left="708"/>
        <w:jc w:val="both"/>
        <w:rPr>
          <w:rFonts w:ascii="Times New Roman" w:hAnsi="Times New Roman" w:cs="Times New Roman"/>
          <w:sz w:val="16"/>
          <w:lang w:val="es-MX"/>
        </w:rPr>
      </w:pPr>
      <w:r w:rsidRPr="00880D9D">
        <w:rPr>
          <w:rFonts w:ascii="Times New Roman" w:hAnsi="Times New Roman" w:cs="Times New Roman"/>
          <w:sz w:val="16"/>
          <w:lang w:val="es-MX"/>
        </w:rPr>
        <w:t xml:space="preserve">Fuente: Datos del Ministerio de Finanzas </w:t>
      </w:r>
      <w:r w:rsidR="00B67EC0" w:rsidRPr="00880D9D">
        <w:rPr>
          <w:rFonts w:ascii="Times New Roman" w:hAnsi="Times New Roman" w:cs="Times New Roman"/>
          <w:sz w:val="16"/>
          <w:lang w:val="es-MX"/>
        </w:rPr>
        <w:t xml:space="preserve">Públicas </w:t>
      </w:r>
      <w:r w:rsidRPr="00880D9D">
        <w:rPr>
          <w:rFonts w:ascii="Times New Roman" w:hAnsi="Times New Roman" w:cs="Times New Roman"/>
          <w:sz w:val="16"/>
          <w:lang w:val="es-MX"/>
        </w:rPr>
        <w:t>con metodología del FMI</w:t>
      </w:r>
    </w:p>
    <w:p w:rsidR="00C17644" w:rsidRPr="00454F20" w:rsidRDefault="00C17644" w:rsidP="00E7032B">
      <w:pPr>
        <w:pStyle w:val="Sinespaciado"/>
        <w:jc w:val="both"/>
        <w:rPr>
          <w:rFonts w:ascii="Times New Roman" w:hAnsi="Times New Roman" w:cs="Times New Roman"/>
          <w:sz w:val="24"/>
          <w:lang w:val="es-MX"/>
        </w:rPr>
      </w:pPr>
    </w:p>
    <w:p w:rsidR="00662CFF" w:rsidRPr="00F13E77" w:rsidRDefault="00280AA3"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Considerando que persiste la volatilidad en los mercados </w:t>
      </w:r>
      <w:r w:rsidR="008A46AE" w:rsidRPr="00F13E77">
        <w:rPr>
          <w:rFonts w:ascii="Times New Roman" w:hAnsi="Times New Roman" w:cs="Times New Roman"/>
          <w:sz w:val="24"/>
          <w:lang w:val="es-MX"/>
        </w:rPr>
        <w:t>internacionales,</w:t>
      </w:r>
      <w:r w:rsidRPr="00F13E77">
        <w:rPr>
          <w:rFonts w:ascii="Times New Roman" w:hAnsi="Times New Roman" w:cs="Times New Roman"/>
          <w:sz w:val="24"/>
          <w:lang w:val="es-MX"/>
        </w:rPr>
        <w:t xml:space="preserve"> aunque de manera mucho más moderada que en años anteriores y que esto a la vez puede tener efectos sobre la actividad económica nacional, principalmente en las variables macroeconómicas que tienen incidencia en las cuentas fiscales, especialmente en la dinámica de la deuda pública.  Se consideró para el efecto la construcción de algunas pruebas de tensión para determinar cómo evolucionar</w:t>
      </w:r>
      <w:r w:rsidR="00B67EC0" w:rsidRPr="00F13E77">
        <w:rPr>
          <w:rFonts w:ascii="Times New Roman" w:hAnsi="Times New Roman" w:cs="Times New Roman"/>
          <w:sz w:val="24"/>
          <w:lang w:val="es-MX"/>
        </w:rPr>
        <w:t>í</w:t>
      </w:r>
      <w:r w:rsidRPr="00F13E77">
        <w:rPr>
          <w:rFonts w:ascii="Times New Roman" w:hAnsi="Times New Roman" w:cs="Times New Roman"/>
          <w:sz w:val="24"/>
          <w:lang w:val="es-MX"/>
        </w:rPr>
        <w:t xml:space="preserve">a la deuda en el mediano plazo ante choques que podrían producirse en el mercado externo </w:t>
      </w:r>
      <w:r w:rsidR="008A46AE" w:rsidRPr="00F13E77">
        <w:rPr>
          <w:rFonts w:ascii="Times New Roman" w:hAnsi="Times New Roman" w:cs="Times New Roman"/>
          <w:sz w:val="24"/>
          <w:lang w:val="es-MX"/>
        </w:rPr>
        <w:t>o dentro</w:t>
      </w:r>
      <w:r w:rsidRPr="00F13E77">
        <w:rPr>
          <w:rFonts w:ascii="Times New Roman" w:hAnsi="Times New Roman" w:cs="Times New Roman"/>
          <w:sz w:val="24"/>
          <w:lang w:val="es-MX"/>
        </w:rPr>
        <w:t xml:space="preserve"> de la economía nacional.   </w:t>
      </w:r>
    </w:p>
    <w:p w:rsidR="00280AA3" w:rsidRPr="00F13E77" w:rsidRDefault="00280AA3" w:rsidP="00D43F14">
      <w:pPr>
        <w:pStyle w:val="Sinespaciado"/>
        <w:jc w:val="both"/>
        <w:rPr>
          <w:rFonts w:ascii="Times New Roman" w:hAnsi="Times New Roman" w:cs="Times New Roman"/>
          <w:sz w:val="24"/>
          <w:lang w:val="es-MX"/>
        </w:rPr>
      </w:pPr>
    </w:p>
    <w:p w:rsidR="00D43F14" w:rsidRPr="00F13E77" w:rsidRDefault="00280AA3"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De esa cuenta, tomando como referencia la metodología utilizada en el Framework public debt sustainability analysis (DSA) del Fondo Monetario Internacional -FMI-, se elaboraron </w:t>
      </w:r>
      <w:r w:rsidR="00D43F14" w:rsidRPr="00F13E77">
        <w:rPr>
          <w:rFonts w:ascii="Times New Roman" w:hAnsi="Times New Roman" w:cs="Times New Roman"/>
          <w:sz w:val="24"/>
          <w:lang w:val="es-MX"/>
        </w:rPr>
        <w:t>una serie de escenarios con los diferentes choque</w:t>
      </w:r>
      <w:r w:rsidR="00B67EC0" w:rsidRPr="00F13E77">
        <w:rPr>
          <w:rFonts w:ascii="Times New Roman" w:hAnsi="Times New Roman" w:cs="Times New Roman"/>
          <w:sz w:val="24"/>
          <w:lang w:val="es-MX"/>
        </w:rPr>
        <w:t>s</w:t>
      </w:r>
      <w:r w:rsidR="00D43F14" w:rsidRPr="00F13E77">
        <w:rPr>
          <w:rFonts w:ascii="Times New Roman" w:hAnsi="Times New Roman" w:cs="Times New Roman"/>
          <w:sz w:val="24"/>
          <w:lang w:val="es-MX"/>
        </w:rPr>
        <w:t xml:space="preserve"> posibles que podrían experimentarse, estos choque</w:t>
      </w:r>
      <w:r w:rsidR="00282F7C" w:rsidRPr="00F13E77">
        <w:rPr>
          <w:rFonts w:ascii="Times New Roman" w:hAnsi="Times New Roman" w:cs="Times New Roman"/>
          <w:sz w:val="24"/>
          <w:lang w:val="es-MX"/>
        </w:rPr>
        <w:t>s</w:t>
      </w:r>
      <w:r w:rsidR="00D43F14" w:rsidRPr="00F13E77">
        <w:rPr>
          <w:rFonts w:ascii="Times New Roman" w:hAnsi="Times New Roman" w:cs="Times New Roman"/>
          <w:sz w:val="24"/>
          <w:lang w:val="es-MX"/>
        </w:rPr>
        <w:t xml:space="preserve"> deben medirse con respecto al escenario base que es consiste con la</w:t>
      </w:r>
      <w:r w:rsidR="00282F7C" w:rsidRPr="00F13E77">
        <w:rPr>
          <w:rFonts w:ascii="Times New Roman" w:hAnsi="Times New Roman" w:cs="Times New Roman"/>
          <w:sz w:val="24"/>
          <w:lang w:val="es-MX"/>
        </w:rPr>
        <w:t>s</w:t>
      </w:r>
      <w:r w:rsidR="00D43F14" w:rsidRPr="00F13E77">
        <w:rPr>
          <w:rFonts w:ascii="Times New Roman" w:hAnsi="Times New Roman" w:cs="Times New Roman"/>
          <w:sz w:val="24"/>
          <w:lang w:val="es-MX"/>
        </w:rPr>
        <w:t xml:space="preserve"> estimaciones del presupuesto multianual 2018-2022.</w:t>
      </w:r>
    </w:p>
    <w:p w:rsidR="00D43F14" w:rsidRPr="00F13E77" w:rsidRDefault="00D43F14" w:rsidP="00D43F14">
      <w:pPr>
        <w:pStyle w:val="Sinespaciado"/>
        <w:jc w:val="both"/>
        <w:rPr>
          <w:rFonts w:ascii="Times New Roman" w:hAnsi="Times New Roman" w:cs="Times New Roman"/>
          <w:sz w:val="24"/>
          <w:lang w:val="es-MX"/>
        </w:rPr>
      </w:pPr>
    </w:p>
    <w:p w:rsidR="00D43F14" w:rsidRPr="00F13E77" w:rsidRDefault="00282F7C"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De acuerdo a los resultados obtenidos al realizar los diferentes choques, se pudo observar que </w:t>
      </w:r>
      <w:r w:rsidR="00226C25" w:rsidRPr="00F13E77">
        <w:rPr>
          <w:rFonts w:ascii="Times New Roman" w:hAnsi="Times New Roman" w:cs="Times New Roman"/>
          <w:sz w:val="24"/>
          <w:lang w:val="es-MX"/>
        </w:rPr>
        <w:t xml:space="preserve">una </w:t>
      </w:r>
      <w:r w:rsidRPr="00F13E77">
        <w:rPr>
          <w:rFonts w:ascii="Times New Roman" w:hAnsi="Times New Roman" w:cs="Times New Roman"/>
          <w:sz w:val="24"/>
          <w:lang w:val="es-MX"/>
        </w:rPr>
        <w:t>de las variables que tiene mayor incidencia en la evolución de la dinámica de la deuda es el crecimiento económico real.  Se consideró que una reducción en el PIB real</w:t>
      </w:r>
      <w:r w:rsidR="00064311" w:rsidRPr="00F13E77">
        <w:rPr>
          <w:rFonts w:ascii="Times New Roman" w:hAnsi="Times New Roman" w:cs="Times New Roman"/>
          <w:sz w:val="24"/>
          <w:lang w:val="es-MX"/>
        </w:rPr>
        <w:t xml:space="preserve"> para el año 2018 y con secuelas en 2019,</w:t>
      </w:r>
      <w:r w:rsidRPr="00F13E77">
        <w:rPr>
          <w:rFonts w:ascii="Times New Roman" w:hAnsi="Times New Roman" w:cs="Times New Roman"/>
          <w:sz w:val="24"/>
          <w:lang w:val="es-MX"/>
        </w:rPr>
        <w:t xml:space="preserve"> por el equivalente a una desviación estándar </w:t>
      </w:r>
      <w:r w:rsidR="00064311" w:rsidRPr="00F13E77">
        <w:rPr>
          <w:rFonts w:ascii="Times New Roman" w:hAnsi="Times New Roman" w:cs="Times New Roman"/>
          <w:sz w:val="24"/>
          <w:lang w:val="es-MX"/>
        </w:rPr>
        <w:t>de sus niveles históricos</w:t>
      </w:r>
      <w:r w:rsidR="004327FF" w:rsidRPr="00F13E77">
        <w:rPr>
          <w:rFonts w:ascii="Times New Roman" w:hAnsi="Times New Roman" w:cs="Times New Roman"/>
          <w:sz w:val="24"/>
          <w:lang w:val="es-MX"/>
        </w:rPr>
        <w:t xml:space="preserve"> (alrededor de </w:t>
      </w:r>
      <w:r w:rsidR="004B6F44" w:rsidRPr="00F13E77">
        <w:rPr>
          <w:rFonts w:ascii="Times New Roman" w:hAnsi="Times New Roman" w:cs="Times New Roman"/>
          <w:sz w:val="24"/>
          <w:lang w:val="es-MX"/>
        </w:rPr>
        <w:t>1.4 puntos porcentuales de la tasa de crecimiento)</w:t>
      </w:r>
      <w:r w:rsidR="00064311" w:rsidRPr="00F13E77">
        <w:rPr>
          <w:rFonts w:ascii="Times New Roman" w:hAnsi="Times New Roman" w:cs="Times New Roman"/>
          <w:sz w:val="24"/>
          <w:lang w:val="es-MX"/>
        </w:rPr>
        <w:t>, manteniendo los demás factores constantes, podría aumentar la razón deuda/PIB a 25.6% en 2018 y podría llegar a 27.1% al cierre de 2022.</w:t>
      </w:r>
    </w:p>
    <w:p w:rsidR="00064311" w:rsidRPr="00F13E77" w:rsidRDefault="00064311" w:rsidP="00D43F14">
      <w:pPr>
        <w:pStyle w:val="Sinespaciado"/>
        <w:jc w:val="both"/>
        <w:rPr>
          <w:rFonts w:ascii="Times New Roman" w:hAnsi="Times New Roman" w:cs="Times New Roman"/>
          <w:sz w:val="24"/>
          <w:lang w:val="es-MX"/>
        </w:rPr>
      </w:pPr>
    </w:p>
    <w:p w:rsidR="00064311" w:rsidRPr="00F13E77" w:rsidRDefault="00064311"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Asimismo, un choque en el balance primario, según la evidencia presentada, podría elevar de manera importante la deuda pública.  Se simuló que estos choques ocurrirían en los años 2018-2019, los cuales podrían ser causados por el aumento de gasto extraordinario como un desastre natural o una súbita caída en la recaudación tributaria.   La dimensión del choque realizado es por el equivalente </w:t>
      </w:r>
      <w:r w:rsidR="00A03421" w:rsidRPr="00F13E77">
        <w:rPr>
          <w:rFonts w:ascii="Times New Roman" w:hAnsi="Times New Roman" w:cs="Times New Roman"/>
          <w:sz w:val="24"/>
          <w:lang w:val="es-MX"/>
        </w:rPr>
        <w:t>a</w:t>
      </w:r>
      <w:r w:rsidRPr="00F13E77">
        <w:rPr>
          <w:rFonts w:ascii="Times New Roman" w:hAnsi="Times New Roman" w:cs="Times New Roman"/>
          <w:sz w:val="24"/>
          <w:lang w:val="es-MX"/>
        </w:rPr>
        <w:t xml:space="preserve"> 0.4% del PIB</w:t>
      </w:r>
      <w:r w:rsidR="00A03421" w:rsidRPr="00F13E77">
        <w:rPr>
          <w:rFonts w:ascii="Times New Roman" w:hAnsi="Times New Roman" w:cs="Times New Roman"/>
          <w:sz w:val="24"/>
          <w:lang w:val="es-MX"/>
        </w:rPr>
        <w:t xml:space="preserve"> en los</w:t>
      </w:r>
      <w:r w:rsidRPr="00F13E77">
        <w:rPr>
          <w:rFonts w:ascii="Times New Roman" w:hAnsi="Times New Roman" w:cs="Times New Roman"/>
          <w:sz w:val="24"/>
          <w:lang w:val="es-MX"/>
        </w:rPr>
        <w:t xml:space="preserve"> año</w:t>
      </w:r>
      <w:r w:rsidR="00A03421" w:rsidRPr="00F13E77">
        <w:rPr>
          <w:rFonts w:ascii="Times New Roman" w:hAnsi="Times New Roman" w:cs="Times New Roman"/>
          <w:sz w:val="24"/>
          <w:lang w:val="es-MX"/>
        </w:rPr>
        <w:t>s indicado</w:t>
      </w:r>
      <w:r w:rsidR="00B67EC0" w:rsidRPr="00F13E77">
        <w:rPr>
          <w:rFonts w:ascii="Times New Roman" w:hAnsi="Times New Roman" w:cs="Times New Roman"/>
          <w:sz w:val="24"/>
          <w:lang w:val="es-MX"/>
        </w:rPr>
        <w:t>s</w:t>
      </w:r>
      <w:r w:rsidRPr="00F13E77">
        <w:rPr>
          <w:rFonts w:ascii="Times New Roman" w:hAnsi="Times New Roman" w:cs="Times New Roman"/>
          <w:sz w:val="24"/>
          <w:lang w:val="es-MX"/>
        </w:rPr>
        <w:t>.   Esto eleva</w:t>
      </w:r>
      <w:r w:rsidR="00A03421" w:rsidRPr="00F13E77">
        <w:rPr>
          <w:rFonts w:ascii="Times New Roman" w:hAnsi="Times New Roman" w:cs="Times New Roman"/>
          <w:sz w:val="24"/>
          <w:lang w:val="es-MX"/>
        </w:rPr>
        <w:t>ría</w:t>
      </w:r>
      <w:r w:rsidRPr="00F13E77">
        <w:rPr>
          <w:rFonts w:ascii="Times New Roman" w:hAnsi="Times New Roman" w:cs="Times New Roman"/>
          <w:sz w:val="24"/>
          <w:lang w:val="es-MX"/>
        </w:rPr>
        <w:t xml:space="preserve"> la razón </w:t>
      </w:r>
      <w:r w:rsidR="00A03421" w:rsidRPr="00F13E77">
        <w:rPr>
          <w:rFonts w:ascii="Times New Roman" w:hAnsi="Times New Roman" w:cs="Times New Roman"/>
          <w:sz w:val="24"/>
          <w:lang w:val="es-MX"/>
        </w:rPr>
        <w:t>deuda/PIB en 2018 a 25.6% y para 2022 podría alcanzar 26.4%.</w:t>
      </w:r>
    </w:p>
    <w:p w:rsidR="00A03421" w:rsidRPr="00F13E77" w:rsidRDefault="00A03421" w:rsidP="00D43F14">
      <w:pPr>
        <w:pStyle w:val="Sinespaciado"/>
        <w:jc w:val="both"/>
        <w:rPr>
          <w:rFonts w:ascii="Times New Roman" w:hAnsi="Times New Roman" w:cs="Times New Roman"/>
          <w:sz w:val="24"/>
          <w:lang w:val="es-MX"/>
        </w:rPr>
      </w:pPr>
    </w:p>
    <w:p w:rsidR="005A14A4" w:rsidRPr="00F13E77" w:rsidRDefault="00A03421"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Otro factor que incide sensiblemente en el comportamiento deuda pública, es la variación en el tipo de cambio, una depreciación importante podría elevar los niveles de la </w:t>
      </w:r>
      <w:r w:rsidR="00B67EC0" w:rsidRPr="00F13E77">
        <w:rPr>
          <w:rFonts w:ascii="Times New Roman" w:hAnsi="Times New Roman" w:cs="Times New Roman"/>
          <w:sz w:val="24"/>
          <w:lang w:val="es-MX"/>
        </w:rPr>
        <w:t xml:space="preserve">deuda </w:t>
      </w:r>
      <w:r w:rsidRPr="00F13E77">
        <w:rPr>
          <w:rFonts w:ascii="Times New Roman" w:hAnsi="Times New Roman" w:cs="Times New Roman"/>
          <w:sz w:val="24"/>
          <w:lang w:val="es-MX"/>
        </w:rPr>
        <w:t>pública, derivado que cerca del 50% del saldo de la misma se tiene en moneda extranjera.  De esa cuenta, se consideró una depreciación del 10% en 2018,</w:t>
      </w:r>
      <w:r w:rsidR="005A14A4" w:rsidRPr="00F13E77">
        <w:rPr>
          <w:rFonts w:ascii="Times New Roman" w:hAnsi="Times New Roman" w:cs="Times New Roman"/>
          <w:sz w:val="24"/>
          <w:lang w:val="es-MX"/>
        </w:rPr>
        <w:t xml:space="preserve"> esto elevaría </w:t>
      </w:r>
      <w:r w:rsidR="002026DD" w:rsidRPr="00F13E77">
        <w:rPr>
          <w:rFonts w:ascii="Times New Roman" w:hAnsi="Times New Roman" w:cs="Times New Roman"/>
          <w:sz w:val="24"/>
          <w:lang w:val="es-MX"/>
        </w:rPr>
        <w:t>la razón deuda/PIB</w:t>
      </w:r>
      <w:r w:rsidR="005A14A4" w:rsidRPr="00F13E77">
        <w:rPr>
          <w:rFonts w:ascii="Times New Roman" w:hAnsi="Times New Roman" w:cs="Times New Roman"/>
          <w:sz w:val="24"/>
          <w:lang w:val="es-MX"/>
        </w:rPr>
        <w:t xml:space="preserve"> a 25.6% del PIB en dicho año y se estimó que las variaciones para los </w:t>
      </w:r>
      <w:r w:rsidR="00DB3EF7" w:rsidRPr="00F13E77">
        <w:rPr>
          <w:rFonts w:ascii="Times New Roman" w:hAnsi="Times New Roman" w:cs="Times New Roman"/>
          <w:sz w:val="24"/>
          <w:lang w:val="es-MX"/>
        </w:rPr>
        <w:t xml:space="preserve">años </w:t>
      </w:r>
      <w:r w:rsidR="005A14A4" w:rsidRPr="00F13E77">
        <w:rPr>
          <w:rFonts w:ascii="Times New Roman" w:hAnsi="Times New Roman" w:cs="Times New Roman"/>
          <w:sz w:val="24"/>
          <w:lang w:val="es-MX"/>
        </w:rPr>
        <w:t xml:space="preserve">2019-2022 se mantendrían como en el escenario base, por lo que para 2022 la </w:t>
      </w:r>
      <w:r w:rsidR="002026DD" w:rsidRPr="00F13E77">
        <w:rPr>
          <w:rFonts w:ascii="Times New Roman" w:hAnsi="Times New Roman" w:cs="Times New Roman"/>
          <w:sz w:val="24"/>
          <w:lang w:val="es-MX"/>
        </w:rPr>
        <w:t xml:space="preserve">razón </w:t>
      </w:r>
      <w:r w:rsidR="005A14A4" w:rsidRPr="00F13E77">
        <w:rPr>
          <w:rFonts w:ascii="Times New Roman" w:hAnsi="Times New Roman" w:cs="Times New Roman"/>
          <w:sz w:val="24"/>
          <w:lang w:val="es-MX"/>
        </w:rPr>
        <w:t>deuda/PIB sería de 26.1%.</w:t>
      </w:r>
    </w:p>
    <w:p w:rsidR="005A14A4" w:rsidRPr="00F13E77" w:rsidRDefault="005A14A4" w:rsidP="00D43F14">
      <w:pPr>
        <w:pStyle w:val="Sinespaciado"/>
        <w:jc w:val="both"/>
        <w:rPr>
          <w:rFonts w:ascii="Times New Roman" w:hAnsi="Times New Roman" w:cs="Times New Roman"/>
          <w:sz w:val="24"/>
          <w:lang w:val="es-MX"/>
        </w:rPr>
      </w:pPr>
    </w:p>
    <w:p w:rsidR="00A03421" w:rsidRPr="00F13E77" w:rsidRDefault="00DB3EF7"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Igualmente</w:t>
      </w:r>
      <w:r w:rsidR="005A14A4" w:rsidRPr="00F13E77">
        <w:rPr>
          <w:rFonts w:ascii="Times New Roman" w:hAnsi="Times New Roman" w:cs="Times New Roman"/>
          <w:sz w:val="24"/>
          <w:lang w:val="es-MX"/>
        </w:rPr>
        <w:t>, se realizó un choque a la tasa de interés real, el cual es sensible a la volatilidad de los mercados financieros y a las decisiones en materia de política monetaria.  Para el efecto, se consideró un aumento de 200 punto</w:t>
      </w:r>
      <w:r w:rsidRPr="00F13E77">
        <w:rPr>
          <w:rFonts w:ascii="Times New Roman" w:hAnsi="Times New Roman" w:cs="Times New Roman"/>
          <w:sz w:val="24"/>
          <w:lang w:val="es-MX"/>
        </w:rPr>
        <w:t>s</w:t>
      </w:r>
      <w:r w:rsidR="005A14A4" w:rsidRPr="00F13E77">
        <w:rPr>
          <w:rFonts w:ascii="Times New Roman" w:hAnsi="Times New Roman" w:cs="Times New Roman"/>
          <w:sz w:val="24"/>
          <w:lang w:val="es-MX"/>
        </w:rPr>
        <w:t xml:space="preserve"> básicos en la tasa de interés real promedio que paga el gobierno en sus obligaci</w:t>
      </w:r>
      <w:r w:rsidRPr="00F13E77">
        <w:rPr>
          <w:rFonts w:ascii="Times New Roman" w:hAnsi="Times New Roman" w:cs="Times New Roman"/>
          <w:sz w:val="24"/>
          <w:lang w:val="es-MX"/>
        </w:rPr>
        <w:t>ones, d</w:t>
      </w:r>
      <w:r w:rsidR="005A14A4" w:rsidRPr="00F13E77">
        <w:rPr>
          <w:rFonts w:ascii="Times New Roman" w:hAnsi="Times New Roman" w:cs="Times New Roman"/>
          <w:sz w:val="24"/>
          <w:lang w:val="es-MX"/>
        </w:rPr>
        <w:t>icho incremento se mantiene constante de 2018-2022.  A pesar que es un incremento importante, el efecto para 2018, se estima que se</w:t>
      </w:r>
      <w:r w:rsidR="00F251C5" w:rsidRPr="00F13E77">
        <w:rPr>
          <w:rFonts w:ascii="Times New Roman" w:hAnsi="Times New Roman" w:cs="Times New Roman"/>
          <w:sz w:val="24"/>
          <w:lang w:val="es-MX"/>
        </w:rPr>
        <w:t>rá</w:t>
      </w:r>
      <w:r w:rsidR="005A14A4" w:rsidRPr="00F13E77">
        <w:rPr>
          <w:rFonts w:ascii="Times New Roman" w:hAnsi="Times New Roman" w:cs="Times New Roman"/>
          <w:sz w:val="24"/>
          <w:lang w:val="es-MX"/>
        </w:rPr>
        <w:t xml:space="preserve"> mínimo debido a que la mayor parte de la deuda se tiene contratada a tasa fija, por lo que el principal ajuste se obtendrá en los años siguiente</w:t>
      </w:r>
      <w:r w:rsidR="00F251C5" w:rsidRPr="00F13E77">
        <w:rPr>
          <w:rFonts w:ascii="Times New Roman" w:hAnsi="Times New Roman" w:cs="Times New Roman"/>
          <w:sz w:val="24"/>
          <w:lang w:val="es-MX"/>
        </w:rPr>
        <w:t>s</w:t>
      </w:r>
      <w:r w:rsidR="005A14A4" w:rsidRPr="00F13E77">
        <w:rPr>
          <w:rFonts w:ascii="Times New Roman" w:hAnsi="Times New Roman" w:cs="Times New Roman"/>
          <w:sz w:val="24"/>
          <w:lang w:val="es-MX"/>
        </w:rPr>
        <w:t xml:space="preserve"> con la contratación de nueva deuda o el repago de la misma.   De esa cuenta, para 2018 se mantiene la misma </w:t>
      </w:r>
      <w:r w:rsidR="00475C3F" w:rsidRPr="00F13E77">
        <w:rPr>
          <w:rFonts w:ascii="Times New Roman" w:hAnsi="Times New Roman" w:cs="Times New Roman"/>
          <w:sz w:val="24"/>
          <w:lang w:val="es-MX"/>
        </w:rPr>
        <w:t xml:space="preserve">razón </w:t>
      </w:r>
      <w:r w:rsidR="005A14A4" w:rsidRPr="00F13E77">
        <w:rPr>
          <w:rFonts w:ascii="Times New Roman" w:hAnsi="Times New Roman" w:cs="Times New Roman"/>
          <w:sz w:val="24"/>
          <w:lang w:val="es-MX"/>
        </w:rPr>
        <w:t>deuda/PIB (25.0%), para 2019 aumenta a 25.3% y para el c</w:t>
      </w:r>
      <w:r w:rsidRPr="00F13E77">
        <w:rPr>
          <w:rFonts w:ascii="Times New Roman" w:hAnsi="Times New Roman" w:cs="Times New Roman"/>
          <w:sz w:val="24"/>
          <w:lang w:val="es-MX"/>
        </w:rPr>
        <w:t>ierre 2022 podría ubicarse en 26</w:t>
      </w:r>
      <w:r w:rsidR="005A14A4" w:rsidRPr="00F13E77">
        <w:rPr>
          <w:rFonts w:ascii="Times New Roman" w:hAnsi="Times New Roman" w:cs="Times New Roman"/>
          <w:sz w:val="24"/>
          <w:lang w:val="es-MX"/>
        </w:rPr>
        <w:t>.</w:t>
      </w:r>
      <w:r w:rsidRPr="00F13E77">
        <w:rPr>
          <w:rFonts w:ascii="Times New Roman" w:hAnsi="Times New Roman" w:cs="Times New Roman"/>
          <w:sz w:val="24"/>
          <w:lang w:val="es-MX"/>
        </w:rPr>
        <w:t>1</w:t>
      </w:r>
      <w:r w:rsidR="005A14A4" w:rsidRPr="00F13E77">
        <w:rPr>
          <w:rFonts w:ascii="Times New Roman" w:hAnsi="Times New Roman" w:cs="Times New Roman"/>
          <w:sz w:val="24"/>
          <w:lang w:val="es-MX"/>
        </w:rPr>
        <w:t>% del PIB.</w:t>
      </w:r>
      <w:r w:rsidR="00A03421" w:rsidRPr="00F13E77">
        <w:rPr>
          <w:rFonts w:ascii="Times New Roman" w:hAnsi="Times New Roman" w:cs="Times New Roman"/>
          <w:sz w:val="24"/>
          <w:lang w:val="es-MX"/>
        </w:rPr>
        <w:t xml:space="preserve"> </w:t>
      </w:r>
    </w:p>
    <w:p w:rsidR="00DB3EF7" w:rsidRPr="00F13E77" w:rsidRDefault="00DB3EF7" w:rsidP="00D43F14">
      <w:pPr>
        <w:pStyle w:val="Sinespaciado"/>
        <w:jc w:val="both"/>
        <w:rPr>
          <w:rFonts w:ascii="Times New Roman" w:hAnsi="Times New Roman" w:cs="Times New Roman"/>
          <w:sz w:val="24"/>
          <w:lang w:val="es-MX"/>
        </w:rPr>
      </w:pPr>
    </w:p>
    <w:p w:rsidR="00DB3EF7" w:rsidRPr="00F13E77" w:rsidRDefault="00DB3EF7"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Por último, </w:t>
      </w:r>
      <w:r w:rsidR="00F251C5" w:rsidRPr="00F13E77">
        <w:rPr>
          <w:rFonts w:ascii="Times New Roman" w:hAnsi="Times New Roman" w:cs="Times New Roman"/>
          <w:sz w:val="24"/>
          <w:lang w:val="es-MX"/>
        </w:rPr>
        <w:t xml:space="preserve">se considera un efecto combinado de los diferentes choques y se estima que para 2018 </w:t>
      </w:r>
      <w:r w:rsidR="006F165A" w:rsidRPr="00F13E77">
        <w:rPr>
          <w:rFonts w:ascii="Times New Roman" w:hAnsi="Times New Roman" w:cs="Times New Roman"/>
          <w:sz w:val="24"/>
          <w:lang w:val="es-MX"/>
        </w:rPr>
        <w:t xml:space="preserve">la </w:t>
      </w:r>
      <w:r w:rsidR="00475C3F" w:rsidRPr="00F13E77">
        <w:rPr>
          <w:rFonts w:ascii="Times New Roman" w:hAnsi="Times New Roman" w:cs="Times New Roman"/>
          <w:sz w:val="24"/>
          <w:lang w:val="es-MX"/>
        </w:rPr>
        <w:t>razón</w:t>
      </w:r>
      <w:r w:rsidR="00F251C5" w:rsidRPr="00F13E77">
        <w:rPr>
          <w:rFonts w:ascii="Times New Roman" w:hAnsi="Times New Roman" w:cs="Times New Roman"/>
          <w:sz w:val="24"/>
          <w:lang w:val="es-MX"/>
        </w:rPr>
        <w:t xml:space="preserve"> deuda/PIB podría ascender a 27.0% y para el año 2022 podría ubicarse, si todos los choque</w:t>
      </w:r>
      <w:r w:rsidR="00BC5499" w:rsidRPr="00F13E77">
        <w:rPr>
          <w:rFonts w:ascii="Times New Roman" w:hAnsi="Times New Roman" w:cs="Times New Roman"/>
          <w:sz w:val="24"/>
          <w:lang w:val="es-MX"/>
        </w:rPr>
        <w:t>s</w:t>
      </w:r>
      <w:r w:rsidR="00F251C5" w:rsidRPr="00F13E77">
        <w:rPr>
          <w:rFonts w:ascii="Times New Roman" w:hAnsi="Times New Roman" w:cs="Times New Roman"/>
          <w:sz w:val="24"/>
          <w:lang w:val="es-MX"/>
        </w:rPr>
        <w:t xml:space="preserve"> se dan al unísono, en 29.1%</w:t>
      </w:r>
    </w:p>
    <w:p w:rsidR="00DB3EF7" w:rsidRPr="00F13E77" w:rsidRDefault="00DB3EF7" w:rsidP="00D43F14">
      <w:pPr>
        <w:pStyle w:val="Sinespaciado"/>
        <w:jc w:val="both"/>
        <w:rPr>
          <w:rFonts w:ascii="Times New Roman" w:hAnsi="Times New Roman" w:cs="Times New Roman"/>
          <w:sz w:val="24"/>
          <w:lang w:val="es-MX"/>
        </w:rPr>
      </w:pPr>
    </w:p>
    <w:p w:rsidR="00DB3EF7" w:rsidRPr="00F13E77" w:rsidRDefault="00DB3EF7"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De igual forma, se analizó la rel</w:t>
      </w:r>
      <w:r w:rsidR="00F251C5" w:rsidRPr="00F13E77">
        <w:rPr>
          <w:rFonts w:ascii="Times New Roman" w:hAnsi="Times New Roman" w:cs="Times New Roman"/>
          <w:sz w:val="24"/>
          <w:lang w:val="es-MX"/>
        </w:rPr>
        <w:t xml:space="preserve">ación deuda/ ingresos fiscales.  Con dicho indicador en el escenario base que es el de presupuesto multianual, es decreciente en el tiempo debido a que las estimaciones fiscales se prevé una mejora gradual en la recaudación tributaria, únicamente para 2018 este indicador aumentaría a 222.6%, debido al aumento del déficit fiscal y por ende de las necesidades de endeudamiento, posteriormente se reduciría hasta alcanzar 213.6%.   </w:t>
      </w:r>
    </w:p>
    <w:p w:rsidR="00F251C5" w:rsidRPr="00F13E77" w:rsidRDefault="00F251C5" w:rsidP="00D43F14">
      <w:pPr>
        <w:pStyle w:val="Sinespaciado"/>
        <w:jc w:val="both"/>
        <w:rPr>
          <w:rFonts w:ascii="Times New Roman" w:hAnsi="Times New Roman" w:cs="Times New Roman"/>
          <w:sz w:val="24"/>
          <w:lang w:val="es-MX"/>
        </w:rPr>
      </w:pPr>
    </w:p>
    <w:p w:rsidR="00F251C5" w:rsidRPr="00F13E77" w:rsidRDefault="00F251C5" w:rsidP="00D43F1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 xml:space="preserve">Con la aplicación de </w:t>
      </w:r>
      <w:r w:rsidR="00DE617D" w:rsidRPr="00F13E77">
        <w:rPr>
          <w:rFonts w:ascii="Times New Roman" w:hAnsi="Times New Roman" w:cs="Times New Roman"/>
          <w:sz w:val="24"/>
          <w:lang w:val="es-MX"/>
        </w:rPr>
        <w:t xml:space="preserve">un </w:t>
      </w:r>
      <w:r w:rsidRPr="00F13E77">
        <w:rPr>
          <w:rFonts w:ascii="Times New Roman" w:hAnsi="Times New Roman" w:cs="Times New Roman"/>
          <w:sz w:val="24"/>
          <w:lang w:val="es-MX"/>
        </w:rPr>
        <w:t xml:space="preserve">choque </w:t>
      </w:r>
      <w:r w:rsidR="00DE617D" w:rsidRPr="00F13E77">
        <w:rPr>
          <w:rFonts w:ascii="Times New Roman" w:hAnsi="Times New Roman" w:cs="Times New Roman"/>
          <w:sz w:val="24"/>
          <w:lang w:val="es-MX"/>
        </w:rPr>
        <w:t>combinado</w:t>
      </w:r>
      <w:r w:rsidRPr="00F13E77">
        <w:rPr>
          <w:rFonts w:ascii="Times New Roman" w:hAnsi="Times New Roman" w:cs="Times New Roman"/>
          <w:sz w:val="24"/>
          <w:lang w:val="es-MX"/>
        </w:rPr>
        <w:t xml:space="preserve"> la relación deuda / ingresos fiscales podría alcanzar </w:t>
      </w:r>
      <w:r w:rsidR="00DE617D" w:rsidRPr="00F13E77">
        <w:rPr>
          <w:rFonts w:ascii="Times New Roman" w:hAnsi="Times New Roman" w:cs="Times New Roman"/>
          <w:sz w:val="24"/>
          <w:lang w:val="es-MX"/>
        </w:rPr>
        <w:t>248.5% en 2019, y se estima que se reduciría levemente en los próximos años hasta llegar a 243.5% en 2022.</w:t>
      </w:r>
    </w:p>
    <w:p w:rsidR="00BA2891" w:rsidRPr="00D5489E" w:rsidRDefault="00B710F4" w:rsidP="00BA2891">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Gráfica 10</w:t>
      </w:r>
    </w:p>
    <w:p w:rsidR="004C5A3D" w:rsidRPr="00880D9D" w:rsidRDefault="00C17644" w:rsidP="00EF703E">
      <w:pPr>
        <w:pStyle w:val="Sinespaciado"/>
        <w:jc w:val="center"/>
        <w:rPr>
          <w:rFonts w:ascii="Times New Roman" w:hAnsi="Times New Roman" w:cs="Times New Roman"/>
          <w:lang w:val="es-MX"/>
        </w:rPr>
      </w:pPr>
      <w:r w:rsidRPr="00880D9D">
        <w:rPr>
          <w:noProof/>
          <w:sz w:val="20"/>
          <w:lang w:eastAsia="es-GT"/>
        </w:rPr>
        <w:drawing>
          <wp:inline distT="0" distB="0" distL="0" distR="0" wp14:anchorId="69D099EE" wp14:editId="02AE3600">
            <wp:extent cx="5382426" cy="5310317"/>
            <wp:effectExtent l="0" t="0" r="889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6" t="1022" r="1386" b="1486"/>
                    <a:stretch/>
                  </pic:blipFill>
                  <pic:spPr bwMode="auto">
                    <a:xfrm>
                      <a:off x="0" y="0"/>
                      <a:ext cx="5391571" cy="5319340"/>
                    </a:xfrm>
                    <a:prstGeom prst="rect">
                      <a:avLst/>
                    </a:prstGeom>
                    <a:noFill/>
                    <a:ln>
                      <a:noFill/>
                    </a:ln>
                    <a:extLst>
                      <a:ext uri="{53640926-AAD7-44D8-BBD7-CCE9431645EC}">
                        <a14:shadowObscured xmlns:a14="http://schemas.microsoft.com/office/drawing/2010/main"/>
                      </a:ext>
                    </a:extLst>
                  </pic:spPr>
                </pic:pic>
              </a:graphicData>
            </a:graphic>
          </wp:inline>
        </w:drawing>
      </w:r>
    </w:p>
    <w:p w:rsidR="004B78B5" w:rsidRPr="00880D9D" w:rsidRDefault="004B78B5" w:rsidP="004B78B5">
      <w:pPr>
        <w:pStyle w:val="Sinespaciado"/>
        <w:jc w:val="both"/>
        <w:rPr>
          <w:rFonts w:ascii="Times New Roman" w:hAnsi="Times New Roman" w:cs="Times New Roman"/>
          <w:sz w:val="16"/>
          <w:lang w:val="es-MX"/>
        </w:rPr>
      </w:pPr>
      <w:r w:rsidRPr="00880D9D">
        <w:rPr>
          <w:rFonts w:ascii="Times New Roman" w:hAnsi="Times New Roman" w:cs="Times New Roman"/>
          <w:sz w:val="16"/>
          <w:lang w:val="es-MX"/>
        </w:rPr>
        <w:t>Fuente: Datos del Ministerio de Finanzas</w:t>
      </w:r>
      <w:r w:rsidR="002412C9" w:rsidRPr="00880D9D">
        <w:rPr>
          <w:rFonts w:ascii="Times New Roman" w:hAnsi="Times New Roman" w:cs="Times New Roman"/>
          <w:sz w:val="16"/>
          <w:lang w:val="es-MX"/>
        </w:rPr>
        <w:t xml:space="preserve"> Públicas</w:t>
      </w:r>
      <w:r w:rsidRPr="00880D9D">
        <w:rPr>
          <w:rFonts w:ascii="Times New Roman" w:hAnsi="Times New Roman" w:cs="Times New Roman"/>
          <w:sz w:val="16"/>
          <w:lang w:val="es-MX"/>
        </w:rPr>
        <w:t xml:space="preserve"> con metodología del FMI</w:t>
      </w:r>
    </w:p>
    <w:p w:rsidR="004C5A3D" w:rsidRPr="00880D9D" w:rsidRDefault="004C5A3D" w:rsidP="00714C9F">
      <w:pPr>
        <w:pStyle w:val="Sinespaciado"/>
        <w:jc w:val="both"/>
        <w:rPr>
          <w:rFonts w:ascii="Times New Roman" w:hAnsi="Times New Roman" w:cs="Times New Roman"/>
          <w:lang w:val="es-MX"/>
        </w:rPr>
      </w:pPr>
    </w:p>
    <w:p w:rsidR="00C17644" w:rsidRPr="00F13E77" w:rsidRDefault="00B14869" w:rsidP="00C17644">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Por otro lado, s</w:t>
      </w:r>
      <w:r w:rsidR="00C17644" w:rsidRPr="00F13E77">
        <w:rPr>
          <w:rFonts w:ascii="Times New Roman" w:hAnsi="Times New Roman" w:cs="Times New Roman"/>
          <w:sz w:val="24"/>
          <w:lang w:val="es-MX"/>
        </w:rPr>
        <w:t>e realizó el análisis de sostenibilidad de deuda pública bajo un enfoque estocástico sobre los determinantes macro</w:t>
      </w:r>
      <w:r w:rsidR="001B5526" w:rsidRPr="00F13E77">
        <w:rPr>
          <w:rFonts w:ascii="Times New Roman" w:hAnsi="Times New Roman" w:cs="Times New Roman"/>
          <w:sz w:val="24"/>
          <w:lang w:val="es-MX"/>
        </w:rPr>
        <w:t xml:space="preserve"> </w:t>
      </w:r>
      <w:r w:rsidR="00C17644" w:rsidRPr="00F13E77">
        <w:rPr>
          <w:rFonts w:ascii="Times New Roman" w:hAnsi="Times New Roman" w:cs="Times New Roman"/>
          <w:sz w:val="24"/>
          <w:lang w:val="es-MX"/>
        </w:rPr>
        <w:t xml:space="preserve">fiscales del ratio de deuda pública sobre PIB.  </w:t>
      </w:r>
      <w:r w:rsidR="008D1B94" w:rsidRPr="00F13E77">
        <w:rPr>
          <w:rFonts w:ascii="Times New Roman" w:hAnsi="Times New Roman" w:cs="Times New Roman"/>
          <w:sz w:val="24"/>
          <w:lang w:val="es-MX"/>
        </w:rPr>
        <w:t>Con esta metodología se</w:t>
      </w:r>
      <w:r w:rsidR="00C17644" w:rsidRPr="00F13E77">
        <w:rPr>
          <w:rFonts w:ascii="Times New Roman" w:hAnsi="Times New Roman" w:cs="Times New Roman"/>
          <w:sz w:val="24"/>
          <w:lang w:val="es-MX"/>
        </w:rPr>
        <w:t xml:space="preserve"> busca determinar la distribución de probabilidades de las sendas de trayectoria de la deuda pública en un determinado horizonte de proyección. El desarrollo de este enfoque reconoce explícitamente la existencia de un grado de incertidumbre acerca de las futuras condiciones macroeconómicas y de la política fiscal. Este instrumento mejora la comprensión y transparencia acerca de los riesgos en torno a la dinámica de la deuda pública. </w:t>
      </w:r>
    </w:p>
    <w:p w:rsidR="00C17644" w:rsidRPr="00F13E77" w:rsidRDefault="00C17644" w:rsidP="00C17644">
      <w:pPr>
        <w:pStyle w:val="Sinespaciado"/>
        <w:jc w:val="both"/>
        <w:rPr>
          <w:rFonts w:ascii="Times New Roman" w:hAnsi="Times New Roman" w:cs="Times New Roman"/>
          <w:sz w:val="24"/>
          <w:lang w:val="es-MX"/>
        </w:rPr>
      </w:pPr>
    </w:p>
    <w:p w:rsidR="004C5A3D" w:rsidRPr="00F13E77" w:rsidRDefault="00C17644" w:rsidP="00714C9F">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En el escenario central, el análisis estocástico de la deuda pública permite evidenciar un incremento gradual en el</w:t>
      </w:r>
      <w:r w:rsidR="00000D6B" w:rsidRPr="00F13E77">
        <w:rPr>
          <w:rFonts w:ascii="Times New Roman" w:hAnsi="Times New Roman" w:cs="Times New Roman"/>
          <w:sz w:val="24"/>
          <w:lang w:val="es-MX"/>
        </w:rPr>
        <w:t xml:space="preserve"> </w:t>
      </w:r>
      <w:r w:rsidRPr="00F13E77">
        <w:rPr>
          <w:rFonts w:ascii="Times New Roman" w:hAnsi="Times New Roman" w:cs="Times New Roman"/>
          <w:sz w:val="24"/>
          <w:lang w:val="es-MX"/>
        </w:rPr>
        <w:t>ratio de deuda sobre PIB y una posterior estabilización en torno al 25</w:t>
      </w:r>
      <w:r w:rsidR="00E50146" w:rsidRPr="00F13E77">
        <w:rPr>
          <w:rFonts w:ascii="Times New Roman" w:hAnsi="Times New Roman" w:cs="Times New Roman"/>
          <w:sz w:val="24"/>
          <w:lang w:val="es-MX"/>
        </w:rPr>
        <w:t>.5</w:t>
      </w:r>
      <w:r w:rsidRPr="00F13E77">
        <w:rPr>
          <w:rFonts w:ascii="Times New Roman" w:hAnsi="Times New Roman" w:cs="Times New Roman"/>
          <w:sz w:val="24"/>
          <w:lang w:val="es-MX"/>
        </w:rPr>
        <w:t xml:space="preserve">% del PIB. </w:t>
      </w:r>
      <w:r w:rsidR="00CE6297" w:rsidRPr="00F13E77">
        <w:rPr>
          <w:rFonts w:ascii="Times New Roman" w:hAnsi="Times New Roman" w:cs="Times New Roman"/>
          <w:sz w:val="24"/>
          <w:lang w:val="es-MX"/>
        </w:rPr>
        <w:t xml:space="preserve">Asimismo, considerando el comportamiento de la deuda y los diferentes choques internos y externos que podrían experimentarse, se estima que hay una probabilidad del 50% que la deuda pública podría situarse entre 23.3% y 27.6%.  Asimismo, hay una probabilidad del 80% que la deuda pública se ubique para 2022 entre 21.6% y 29.5%.   </w:t>
      </w:r>
    </w:p>
    <w:p w:rsidR="007D25A6" w:rsidRPr="00880D9D" w:rsidRDefault="007D25A6" w:rsidP="00714C9F">
      <w:pPr>
        <w:pStyle w:val="Sinespaciado"/>
        <w:jc w:val="both"/>
        <w:rPr>
          <w:rFonts w:ascii="Times New Roman" w:hAnsi="Times New Roman" w:cs="Times New Roman"/>
          <w:lang w:val="es-MX"/>
        </w:rPr>
      </w:pPr>
    </w:p>
    <w:p w:rsidR="00BA2891" w:rsidRPr="00D5489E" w:rsidRDefault="00B710F4" w:rsidP="00CA218B">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Gráfica 11</w:t>
      </w:r>
    </w:p>
    <w:p w:rsidR="00CA218B" w:rsidRPr="00D5489E" w:rsidRDefault="00CA218B" w:rsidP="00CA218B">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Evolución de la Deuda</w:t>
      </w:r>
    </w:p>
    <w:p w:rsidR="00CA218B" w:rsidRPr="00D5489E" w:rsidRDefault="00CA218B" w:rsidP="00CA218B">
      <w:pPr>
        <w:pStyle w:val="Sinespaciado"/>
        <w:jc w:val="center"/>
        <w:rPr>
          <w:rFonts w:ascii="Times New Roman" w:hAnsi="Times New Roman" w:cs="Times New Roman"/>
          <w:sz w:val="20"/>
          <w:lang w:val="es-MX"/>
        </w:rPr>
      </w:pPr>
      <w:r w:rsidRPr="00D5489E">
        <w:rPr>
          <w:rFonts w:ascii="Times New Roman" w:hAnsi="Times New Roman" w:cs="Times New Roman"/>
          <w:sz w:val="20"/>
          <w:lang w:val="es-MX"/>
        </w:rPr>
        <w:t>Fan Chart</w:t>
      </w:r>
    </w:p>
    <w:p w:rsidR="00CA218B" w:rsidRPr="00D5489E" w:rsidRDefault="00CA218B" w:rsidP="00CA218B">
      <w:pPr>
        <w:pStyle w:val="Sinespaciado"/>
        <w:jc w:val="center"/>
        <w:rPr>
          <w:rFonts w:ascii="Times New Roman" w:hAnsi="Times New Roman" w:cs="Times New Roman"/>
          <w:sz w:val="20"/>
          <w:lang w:val="es-MX"/>
        </w:rPr>
      </w:pPr>
      <w:r w:rsidRPr="00D5489E">
        <w:rPr>
          <w:rFonts w:ascii="Times New Roman" w:hAnsi="Times New Roman" w:cs="Times New Roman"/>
          <w:sz w:val="20"/>
          <w:lang w:val="es-MX"/>
        </w:rPr>
        <w:t>Porcentajes del PIB</w:t>
      </w:r>
    </w:p>
    <w:p w:rsidR="00CA218B" w:rsidRPr="00880D9D" w:rsidRDefault="00CA218B" w:rsidP="00CA218B">
      <w:pPr>
        <w:pStyle w:val="Sinespaciado"/>
        <w:jc w:val="center"/>
        <w:rPr>
          <w:rFonts w:ascii="Times New Roman" w:hAnsi="Times New Roman" w:cs="Times New Roman"/>
          <w:lang w:val="es-MX"/>
        </w:rPr>
      </w:pPr>
      <w:r w:rsidRPr="00880D9D">
        <w:rPr>
          <w:noProof/>
          <w:sz w:val="20"/>
          <w:lang w:eastAsia="es-GT"/>
        </w:rPr>
        <w:drawing>
          <wp:inline distT="0" distB="0" distL="0" distR="0" wp14:anchorId="705A5F1C" wp14:editId="55FFAF75">
            <wp:extent cx="4666679" cy="307715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4218" cy="3082126"/>
                    </a:xfrm>
                    <a:prstGeom prst="rect">
                      <a:avLst/>
                    </a:prstGeom>
                    <a:noFill/>
                    <a:ln>
                      <a:noFill/>
                    </a:ln>
                  </pic:spPr>
                </pic:pic>
              </a:graphicData>
            </a:graphic>
          </wp:inline>
        </w:drawing>
      </w:r>
    </w:p>
    <w:p w:rsidR="00CA218B" w:rsidRPr="00880D9D" w:rsidRDefault="00CA218B" w:rsidP="00E75465">
      <w:pPr>
        <w:pStyle w:val="Sinespaciado"/>
        <w:ind w:left="708" w:firstLine="708"/>
        <w:jc w:val="both"/>
        <w:rPr>
          <w:rFonts w:ascii="Times New Roman" w:hAnsi="Times New Roman" w:cs="Times New Roman"/>
          <w:sz w:val="16"/>
          <w:lang w:val="es-MX"/>
        </w:rPr>
      </w:pPr>
      <w:r w:rsidRPr="00880D9D">
        <w:rPr>
          <w:rFonts w:ascii="Times New Roman" w:hAnsi="Times New Roman" w:cs="Times New Roman"/>
          <w:sz w:val="16"/>
          <w:lang w:val="es-MX"/>
        </w:rPr>
        <w:t>Fuente: Datos del Ministerio de Finanzas con metodología del FMI</w:t>
      </w:r>
    </w:p>
    <w:p w:rsidR="00CA218B" w:rsidRPr="00880D9D" w:rsidRDefault="00CA218B" w:rsidP="00CA218B">
      <w:pPr>
        <w:pStyle w:val="Sinespaciado"/>
        <w:jc w:val="both"/>
        <w:rPr>
          <w:rFonts w:ascii="Times New Roman" w:hAnsi="Times New Roman" w:cs="Times New Roman"/>
          <w:lang w:val="es-MX"/>
        </w:rPr>
      </w:pPr>
    </w:p>
    <w:p w:rsidR="00312661" w:rsidRPr="00F13E77" w:rsidRDefault="00B14869" w:rsidP="00B14869">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Tomando en cuenta las pruebas de tensión</w:t>
      </w:r>
      <w:r w:rsidR="00CA218B" w:rsidRPr="00F13E77">
        <w:rPr>
          <w:rFonts w:ascii="Times New Roman" w:hAnsi="Times New Roman" w:cs="Times New Roman"/>
          <w:sz w:val="24"/>
          <w:szCs w:val="24"/>
          <w:lang w:val="es-MX"/>
        </w:rPr>
        <w:t xml:space="preserve"> y el análisis estocástico</w:t>
      </w:r>
      <w:r w:rsidRPr="00F13E77">
        <w:rPr>
          <w:rFonts w:ascii="Times New Roman" w:hAnsi="Times New Roman" w:cs="Times New Roman"/>
          <w:sz w:val="24"/>
          <w:szCs w:val="24"/>
          <w:lang w:val="es-MX"/>
        </w:rPr>
        <w:t xml:space="preserve"> realizad</w:t>
      </w:r>
      <w:r w:rsidR="00CA218B" w:rsidRPr="00F13E77">
        <w:rPr>
          <w:rFonts w:ascii="Times New Roman" w:hAnsi="Times New Roman" w:cs="Times New Roman"/>
          <w:sz w:val="24"/>
          <w:szCs w:val="24"/>
          <w:lang w:val="es-MX"/>
        </w:rPr>
        <w:t>o</w:t>
      </w:r>
      <w:r w:rsidRPr="00F13E77">
        <w:rPr>
          <w:rFonts w:ascii="Times New Roman" w:hAnsi="Times New Roman" w:cs="Times New Roman"/>
          <w:sz w:val="24"/>
          <w:szCs w:val="24"/>
          <w:lang w:val="es-MX"/>
        </w:rPr>
        <w:t xml:space="preserve"> se puede concluir que ante la posibilidad de choques internos o externos que incidan en la dinámica de la deuda pública estás no afectaría</w:t>
      </w:r>
      <w:r w:rsidR="00CA218B" w:rsidRPr="00F13E77">
        <w:rPr>
          <w:rFonts w:ascii="Times New Roman" w:hAnsi="Times New Roman" w:cs="Times New Roman"/>
          <w:sz w:val="24"/>
          <w:szCs w:val="24"/>
          <w:lang w:val="es-MX"/>
        </w:rPr>
        <w:t>n</w:t>
      </w:r>
      <w:r w:rsidRPr="00F13E77">
        <w:rPr>
          <w:rFonts w:ascii="Times New Roman" w:hAnsi="Times New Roman" w:cs="Times New Roman"/>
          <w:sz w:val="24"/>
          <w:szCs w:val="24"/>
          <w:lang w:val="es-MX"/>
        </w:rPr>
        <w:t xml:space="preserve"> </w:t>
      </w:r>
      <w:r w:rsidR="00620CD2" w:rsidRPr="00F13E77">
        <w:rPr>
          <w:rFonts w:ascii="Times New Roman" w:hAnsi="Times New Roman" w:cs="Times New Roman"/>
          <w:sz w:val="24"/>
          <w:szCs w:val="24"/>
          <w:lang w:val="es-MX"/>
        </w:rPr>
        <w:t xml:space="preserve">su </w:t>
      </w:r>
      <w:r w:rsidRPr="00F13E77">
        <w:rPr>
          <w:rFonts w:ascii="Times New Roman" w:hAnsi="Times New Roman" w:cs="Times New Roman"/>
          <w:sz w:val="24"/>
          <w:szCs w:val="24"/>
          <w:lang w:val="es-MX"/>
        </w:rPr>
        <w:t xml:space="preserve">capacidad de pago en el mediano plazo, </w:t>
      </w:r>
      <w:r w:rsidR="00CA218B" w:rsidRPr="00F13E77">
        <w:rPr>
          <w:rFonts w:ascii="Times New Roman" w:hAnsi="Times New Roman" w:cs="Times New Roman"/>
          <w:sz w:val="24"/>
          <w:szCs w:val="24"/>
          <w:lang w:val="es-MX"/>
        </w:rPr>
        <w:t>sobre todo al considerar que los principales indicadores de solvencia de la deuda pública se mantiene</w:t>
      </w:r>
      <w:r w:rsidR="001A6B14" w:rsidRPr="00F13E77">
        <w:rPr>
          <w:rFonts w:ascii="Times New Roman" w:hAnsi="Times New Roman" w:cs="Times New Roman"/>
          <w:sz w:val="24"/>
          <w:szCs w:val="24"/>
          <w:lang w:val="es-MX"/>
        </w:rPr>
        <w:t>n</w:t>
      </w:r>
      <w:r w:rsidR="00CA218B" w:rsidRPr="00F13E77">
        <w:rPr>
          <w:rFonts w:ascii="Times New Roman" w:hAnsi="Times New Roman" w:cs="Times New Roman"/>
          <w:sz w:val="24"/>
          <w:szCs w:val="24"/>
          <w:lang w:val="es-MX"/>
        </w:rPr>
        <w:t xml:space="preserve"> por debajo del umbral recomendado por los organismos financieros internacionales como el Fondo Monetario Internacional </w:t>
      </w:r>
      <w:r w:rsidR="005E75AF" w:rsidRPr="00F13E77">
        <w:rPr>
          <w:rFonts w:ascii="Times New Roman" w:hAnsi="Times New Roman" w:cs="Times New Roman"/>
          <w:sz w:val="24"/>
          <w:szCs w:val="24"/>
          <w:lang w:val="es-MX"/>
        </w:rPr>
        <w:t xml:space="preserve">(ratio deuda/PIB </w:t>
      </w:r>
      <w:r w:rsidR="00CA218B" w:rsidRPr="00F13E77">
        <w:rPr>
          <w:rFonts w:ascii="Times New Roman" w:hAnsi="Times New Roman" w:cs="Times New Roman"/>
          <w:sz w:val="24"/>
          <w:szCs w:val="24"/>
          <w:lang w:val="es-MX"/>
        </w:rPr>
        <w:t xml:space="preserve"> 40% y relación deuda/ingresos 250%). </w:t>
      </w:r>
    </w:p>
    <w:p w:rsidR="00C17B32" w:rsidRPr="00F13E77" w:rsidRDefault="00C17B32" w:rsidP="00B14869">
      <w:pPr>
        <w:pStyle w:val="Sinespaciado"/>
        <w:jc w:val="both"/>
        <w:rPr>
          <w:rFonts w:ascii="Times New Roman" w:hAnsi="Times New Roman" w:cs="Times New Roman"/>
          <w:sz w:val="24"/>
          <w:szCs w:val="24"/>
          <w:lang w:val="es-MX"/>
        </w:rPr>
      </w:pPr>
    </w:p>
    <w:p w:rsidR="00612E4E" w:rsidRPr="00612E4E" w:rsidRDefault="00612E4E" w:rsidP="00612E4E">
      <w:pPr>
        <w:pStyle w:val="Prrafodelista"/>
        <w:numPr>
          <w:ilvl w:val="0"/>
          <w:numId w:val="18"/>
        </w:numPr>
        <w:spacing w:after="0" w:line="240" w:lineRule="auto"/>
        <w:contextualSpacing w:val="0"/>
        <w:jc w:val="both"/>
        <w:outlineLvl w:val="1"/>
        <w:rPr>
          <w:rFonts w:ascii="Times New Roman" w:eastAsiaTheme="minorEastAsia" w:hAnsi="Times New Roman" w:cs="Times New Roman"/>
          <w:b/>
          <w:vanish/>
          <w:sz w:val="24"/>
          <w:szCs w:val="24"/>
          <w:lang w:val="es-MX"/>
        </w:rPr>
      </w:pPr>
      <w:bookmarkStart w:id="77" w:name="_Toc508979679"/>
      <w:bookmarkStart w:id="78" w:name="_Toc508980037"/>
      <w:bookmarkStart w:id="79" w:name="_Toc508980189"/>
      <w:bookmarkStart w:id="80" w:name="_Toc508981230"/>
      <w:bookmarkStart w:id="81" w:name="_Toc508982481"/>
      <w:bookmarkStart w:id="82" w:name="_Toc509213494"/>
      <w:bookmarkStart w:id="83" w:name="_Toc509213557"/>
      <w:bookmarkStart w:id="84" w:name="_Toc509213623"/>
      <w:bookmarkStart w:id="85" w:name="_Toc509213788"/>
      <w:bookmarkStart w:id="86" w:name="_Toc509214752"/>
      <w:bookmarkEnd w:id="77"/>
      <w:bookmarkEnd w:id="78"/>
      <w:bookmarkEnd w:id="79"/>
      <w:bookmarkEnd w:id="80"/>
      <w:bookmarkEnd w:id="81"/>
      <w:bookmarkEnd w:id="82"/>
      <w:bookmarkEnd w:id="83"/>
      <w:bookmarkEnd w:id="84"/>
      <w:bookmarkEnd w:id="85"/>
      <w:bookmarkEnd w:id="86"/>
    </w:p>
    <w:p w:rsidR="00612E4E" w:rsidRPr="00612E4E" w:rsidRDefault="00612E4E" w:rsidP="00612E4E">
      <w:pPr>
        <w:pStyle w:val="Prrafodelista"/>
        <w:numPr>
          <w:ilvl w:val="0"/>
          <w:numId w:val="18"/>
        </w:numPr>
        <w:spacing w:after="0" w:line="240" w:lineRule="auto"/>
        <w:contextualSpacing w:val="0"/>
        <w:jc w:val="both"/>
        <w:outlineLvl w:val="1"/>
        <w:rPr>
          <w:rFonts w:ascii="Times New Roman" w:eastAsiaTheme="minorEastAsia" w:hAnsi="Times New Roman" w:cs="Times New Roman"/>
          <w:b/>
          <w:vanish/>
          <w:sz w:val="24"/>
          <w:szCs w:val="24"/>
          <w:lang w:val="es-MX"/>
        </w:rPr>
      </w:pPr>
      <w:bookmarkStart w:id="87" w:name="_Toc508982482"/>
      <w:bookmarkStart w:id="88" w:name="_Toc509213495"/>
      <w:bookmarkStart w:id="89" w:name="_Toc509213558"/>
      <w:bookmarkStart w:id="90" w:name="_Toc509213624"/>
      <w:bookmarkStart w:id="91" w:name="_Toc509213789"/>
      <w:bookmarkStart w:id="92" w:name="_Toc509214753"/>
      <w:bookmarkEnd w:id="87"/>
      <w:bookmarkEnd w:id="88"/>
      <w:bookmarkEnd w:id="89"/>
      <w:bookmarkEnd w:id="90"/>
      <w:bookmarkEnd w:id="91"/>
      <w:bookmarkEnd w:id="92"/>
    </w:p>
    <w:p w:rsidR="00612E4E" w:rsidRPr="00612E4E" w:rsidRDefault="00612E4E" w:rsidP="00612E4E">
      <w:pPr>
        <w:pStyle w:val="Prrafodelista"/>
        <w:numPr>
          <w:ilvl w:val="1"/>
          <w:numId w:val="18"/>
        </w:numPr>
        <w:spacing w:after="0" w:line="240" w:lineRule="auto"/>
        <w:contextualSpacing w:val="0"/>
        <w:jc w:val="both"/>
        <w:outlineLvl w:val="1"/>
        <w:rPr>
          <w:rFonts w:ascii="Times New Roman" w:eastAsiaTheme="minorEastAsia" w:hAnsi="Times New Roman" w:cs="Times New Roman"/>
          <w:b/>
          <w:vanish/>
          <w:sz w:val="24"/>
          <w:szCs w:val="24"/>
          <w:lang w:val="es-MX"/>
        </w:rPr>
      </w:pPr>
      <w:bookmarkStart w:id="93" w:name="_Toc508982483"/>
      <w:bookmarkStart w:id="94" w:name="_Toc509213496"/>
      <w:bookmarkStart w:id="95" w:name="_Toc509213559"/>
      <w:bookmarkStart w:id="96" w:name="_Toc509213625"/>
      <w:bookmarkStart w:id="97" w:name="_Toc509213790"/>
      <w:bookmarkStart w:id="98" w:name="_Toc509214754"/>
      <w:bookmarkEnd w:id="93"/>
      <w:bookmarkEnd w:id="94"/>
      <w:bookmarkEnd w:id="95"/>
      <w:bookmarkEnd w:id="96"/>
      <w:bookmarkEnd w:id="97"/>
      <w:bookmarkEnd w:id="98"/>
    </w:p>
    <w:p w:rsidR="00A5727F" w:rsidRPr="00F13E77" w:rsidRDefault="008141A2" w:rsidP="00612E4E">
      <w:pPr>
        <w:pStyle w:val="Sinespaciado"/>
        <w:numPr>
          <w:ilvl w:val="1"/>
          <w:numId w:val="18"/>
        </w:numPr>
        <w:ind w:left="567" w:hanging="283"/>
        <w:jc w:val="both"/>
        <w:outlineLvl w:val="1"/>
        <w:rPr>
          <w:rFonts w:ascii="Times New Roman" w:hAnsi="Times New Roman" w:cs="Times New Roman"/>
          <w:b/>
          <w:sz w:val="24"/>
          <w:szCs w:val="24"/>
          <w:lang w:val="es-MX"/>
        </w:rPr>
      </w:pPr>
      <w:bookmarkStart w:id="99" w:name="_Toc509214755"/>
      <w:r w:rsidRPr="00F13E77">
        <w:rPr>
          <w:rFonts w:ascii="Times New Roman" w:hAnsi="Times New Roman" w:cs="Times New Roman"/>
          <w:b/>
          <w:sz w:val="24"/>
          <w:szCs w:val="24"/>
          <w:lang w:val="es-MX"/>
        </w:rPr>
        <w:t xml:space="preserve">Análisis de </w:t>
      </w:r>
      <w:r w:rsidR="00A5727F" w:rsidRPr="00F13E77">
        <w:rPr>
          <w:rFonts w:ascii="Times New Roman" w:hAnsi="Times New Roman" w:cs="Times New Roman"/>
          <w:b/>
          <w:sz w:val="24"/>
          <w:szCs w:val="24"/>
          <w:lang w:val="es-MX"/>
        </w:rPr>
        <w:t>Largo Plazo</w:t>
      </w:r>
      <w:bookmarkEnd w:id="99"/>
      <w:r w:rsidR="00557268">
        <w:rPr>
          <w:rFonts w:ascii="Times New Roman" w:hAnsi="Times New Roman" w:cs="Times New Roman"/>
          <w:b/>
          <w:sz w:val="24"/>
          <w:szCs w:val="24"/>
          <w:lang w:val="es-MX"/>
        </w:rPr>
        <w:t xml:space="preserve">   </w:t>
      </w:r>
    </w:p>
    <w:p w:rsidR="00A5727F" w:rsidRPr="00F13E77" w:rsidRDefault="00A5727F" w:rsidP="00B14869">
      <w:pPr>
        <w:pStyle w:val="Sinespaciado"/>
        <w:jc w:val="both"/>
        <w:rPr>
          <w:rFonts w:ascii="Times New Roman" w:hAnsi="Times New Roman" w:cs="Times New Roman"/>
          <w:sz w:val="24"/>
          <w:szCs w:val="24"/>
          <w:lang w:val="es-MX"/>
        </w:rPr>
      </w:pPr>
    </w:p>
    <w:p w:rsidR="00C17B32" w:rsidRPr="00F13E77" w:rsidRDefault="00CD30EB" w:rsidP="00B14869">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 xml:space="preserve">Para evaluar el comportamiento y posible trayectoria de la deuda pública en el largo plazo, es decir en un horizonte de 20 años, se realizó un análisis simplificado de </w:t>
      </w:r>
      <w:r w:rsidR="00174386" w:rsidRPr="00F13E77">
        <w:rPr>
          <w:rFonts w:ascii="Times New Roman" w:hAnsi="Times New Roman" w:cs="Times New Roman"/>
          <w:sz w:val="24"/>
          <w:szCs w:val="24"/>
          <w:lang w:val="es-MX"/>
        </w:rPr>
        <w:t>choques</w:t>
      </w:r>
      <w:r w:rsidRPr="00F13E77">
        <w:rPr>
          <w:rFonts w:ascii="Times New Roman" w:hAnsi="Times New Roman" w:cs="Times New Roman"/>
          <w:sz w:val="24"/>
          <w:szCs w:val="24"/>
          <w:lang w:val="es-MX"/>
        </w:rPr>
        <w:t xml:space="preserve"> </w:t>
      </w:r>
      <w:r w:rsidR="00174386" w:rsidRPr="00F13E77">
        <w:rPr>
          <w:rFonts w:ascii="Times New Roman" w:hAnsi="Times New Roman" w:cs="Times New Roman"/>
          <w:sz w:val="24"/>
          <w:szCs w:val="24"/>
          <w:lang w:val="es-MX"/>
        </w:rPr>
        <w:t>a</w:t>
      </w:r>
      <w:r w:rsidRPr="00F13E77">
        <w:rPr>
          <w:rFonts w:ascii="Times New Roman" w:hAnsi="Times New Roman" w:cs="Times New Roman"/>
          <w:sz w:val="24"/>
          <w:szCs w:val="24"/>
          <w:lang w:val="es-MX"/>
        </w:rPr>
        <w:t xml:space="preserve"> l</w:t>
      </w:r>
      <w:r w:rsidR="00174386" w:rsidRPr="00F13E77">
        <w:rPr>
          <w:rFonts w:ascii="Times New Roman" w:hAnsi="Times New Roman" w:cs="Times New Roman"/>
          <w:sz w:val="24"/>
          <w:szCs w:val="24"/>
          <w:lang w:val="es-MX"/>
        </w:rPr>
        <w:t>o</w:t>
      </w:r>
      <w:r w:rsidRPr="00F13E77">
        <w:rPr>
          <w:rFonts w:ascii="Times New Roman" w:hAnsi="Times New Roman" w:cs="Times New Roman"/>
          <w:sz w:val="24"/>
          <w:szCs w:val="24"/>
          <w:lang w:val="es-MX"/>
        </w:rPr>
        <w:t xml:space="preserve">s principales determinantes de la deuda pública que podría generarse a partir de 2023 tomando como referencia el escenario base de 2022.   </w:t>
      </w:r>
    </w:p>
    <w:p w:rsidR="00CD30EB" w:rsidRPr="00F13E77" w:rsidRDefault="00CD30EB" w:rsidP="00B14869">
      <w:pPr>
        <w:pStyle w:val="Sinespaciado"/>
        <w:jc w:val="both"/>
        <w:rPr>
          <w:rFonts w:ascii="Times New Roman" w:hAnsi="Times New Roman" w:cs="Times New Roman"/>
          <w:sz w:val="24"/>
          <w:szCs w:val="24"/>
          <w:lang w:val="es-MX"/>
        </w:rPr>
      </w:pPr>
    </w:p>
    <w:p w:rsidR="005820D9" w:rsidRPr="00F13E77" w:rsidRDefault="00CD30EB" w:rsidP="00B14869">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En ese sentido, de mantenerse</w:t>
      </w:r>
      <w:r w:rsidR="00702E72" w:rsidRPr="00F13E77">
        <w:rPr>
          <w:rFonts w:ascii="Times New Roman" w:hAnsi="Times New Roman" w:cs="Times New Roman"/>
          <w:sz w:val="24"/>
          <w:szCs w:val="24"/>
          <w:lang w:val="es-MX"/>
        </w:rPr>
        <w:t xml:space="preserve"> las condiciones previstas en</w:t>
      </w:r>
      <w:r w:rsidRPr="00F13E77">
        <w:rPr>
          <w:rFonts w:ascii="Times New Roman" w:hAnsi="Times New Roman" w:cs="Times New Roman"/>
          <w:sz w:val="24"/>
          <w:szCs w:val="24"/>
          <w:lang w:val="es-MX"/>
        </w:rPr>
        <w:t xml:space="preserve"> 2022 </w:t>
      </w:r>
      <w:r w:rsidR="00702E72" w:rsidRPr="00F13E77">
        <w:rPr>
          <w:rFonts w:ascii="Times New Roman" w:hAnsi="Times New Roman" w:cs="Times New Roman"/>
          <w:sz w:val="24"/>
          <w:szCs w:val="24"/>
          <w:lang w:val="es-MX"/>
        </w:rPr>
        <w:t>y que estas se extienda</w:t>
      </w:r>
      <w:r w:rsidR="005820D9" w:rsidRPr="00F13E77">
        <w:rPr>
          <w:rFonts w:ascii="Times New Roman" w:hAnsi="Times New Roman" w:cs="Times New Roman"/>
          <w:sz w:val="24"/>
          <w:szCs w:val="24"/>
          <w:lang w:val="es-MX"/>
        </w:rPr>
        <w:t>n</w:t>
      </w:r>
      <w:r w:rsidR="00702E72" w:rsidRPr="00F13E77">
        <w:rPr>
          <w:rFonts w:ascii="Times New Roman" w:hAnsi="Times New Roman" w:cs="Times New Roman"/>
          <w:sz w:val="24"/>
          <w:szCs w:val="24"/>
          <w:lang w:val="es-MX"/>
        </w:rPr>
        <w:t xml:space="preserve"> </w:t>
      </w:r>
      <w:r w:rsidRPr="00F13E77">
        <w:rPr>
          <w:rFonts w:ascii="Times New Roman" w:hAnsi="Times New Roman" w:cs="Times New Roman"/>
          <w:sz w:val="24"/>
          <w:szCs w:val="24"/>
          <w:lang w:val="es-MX"/>
        </w:rPr>
        <w:t xml:space="preserve">en el largo plazo </w:t>
      </w:r>
      <w:r w:rsidR="00702E72" w:rsidRPr="00F13E77">
        <w:rPr>
          <w:rFonts w:ascii="Times New Roman" w:hAnsi="Times New Roman" w:cs="Times New Roman"/>
          <w:sz w:val="24"/>
          <w:szCs w:val="24"/>
          <w:lang w:val="es-MX"/>
        </w:rPr>
        <w:t>(</w:t>
      </w:r>
      <w:r w:rsidRPr="00F13E77">
        <w:rPr>
          <w:rFonts w:ascii="Times New Roman" w:hAnsi="Times New Roman" w:cs="Times New Roman"/>
          <w:sz w:val="24"/>
          <w:szCs w:val="24"/>
          <w:lang w:val="es-MX"/>
        </w:rPr>
        <w:t>2037</w:t>
      </w:r>
      <w:r w:rsidR="00702E72" w:rsidRPr="00F13E77">
        <w:rPr>
          <w:rFonts w:ascii="Times New Roman" w:hAnsi="Times New Roman" w:cs="Times New Roman"/>
          <w:sz w:val="24"/>
          <w:szCs w:val="24"/>
          <w:lang w:val="es-MX"/>
        </w:rPr>
        <w:t>)</w:t>
      </w:r>
      <w:r w:rsidRPr="00F13E77">
        <w:rPr>
          <w:rFonts w:ascii="Times New Roman" w:hAnsi="Times New Roman" w:cs="Times New Roman"/>
          <w:sz w:val="24"/>
          <w:szCs w:val="24"/>
          <w:lang w:val="es-MX"/>
        </w:rPr>
        <w:t xml:space="preserve">, </w:t>
      </w:r>
      <w:r w:rsidR="00702E72" w:rsidRPr="00F13E77">
        <w:rPr>
          <w:rFonts w:ascii="Times New Roman" w:hAnsi="Times New Roman" w:cs="Times New Roman"/>
          <w:sz w:val="24"/>
          <w:szCs w:val="24"/>
          <w:lang w:val="es-MX"/>
        </w:rPr>
        <w:t>es decir un</w:t>
      </w:r>
      <w:r w:rsidRPr="00F13E77">
        <w:rPr>
          <w:rFonts w:ascii="Times New Roman" w:hAnsi="Times New Roman" w:cs="Times New Roman"/>
          <w:sz w:val="24"/>
          <w:szCs w:val="24"/>
          <w:lang w:val="es-MX"/>
        </w:rPr>
        <w:t xml:space="preserve"> resultado primario</w:t>
      </w:r>
      <w:r w:rsidR="00702E72" w:rsidRPr="00F13E77">
        <w:rPr>
          <w:rFonts w:ascii="Times New Roman" w:hAnsi="Times New Roman" w:cs="Times New Roman"/>
          <w:sz w:val="24"/>
          <w:szCs w:val="24"/>
          <w:lang w:val="es-MX"/>
        </w:rPr>
        <w:t xml:space="preserve"> </w:t>
      </w:r>
      <w:r w:rsidRPr="00F13E77">
        <w:rPr>
          <w:rFonts w:ascii="Times New Roman" w:hAnsi="Times New Roman" w:cs="Times New Roman"/>
          <w:sz w:val="24"/>
          <w:szCs w:val="24"/>
          <w:lang w:val="es-MX"/>
        </w:rPr>
        <w:t xml:space="preserve">deficitario </w:t>
      </w:r>
      <w:r w:rsidR="00702E72" w:rsidRPr="00F13E77">
        <w:rPr>
          <w:rFonts w:ascii="Times New Roman" w:hAnsi="Times New Roman" w:cs="Times New Roman"/>
          <w:sz w:val="24"/>
          <w:szCs w:val="24"/>
          <w:lang w:val="es-MX"/>
        </w:rPr>
        <w:t xml:space="preserve">que se ubique en torno al </w:t>
      </w:r>
      <w:r w:rsidRPr="00F13E77">
        <w:rPr>
          <w:rFonts w:ascii="Times New Roman" w:hAnsi="Times New Roman" w:cs="Times New Roman"/>
          <w:sz w:val="24"/>
          <w:szCs w:val="24"/>
          <w:lang w:val="es-MX"/>
        </w:rPr>
        <w:t xml:space="preserve">0.3% del PIB, el crecimiento económico promedio </w:t>
      </w:r>
      <w:r w:rsidR="00702E72" w:rsidRPr="00F13E77">
        <w:rPr>
          <w:rFonts w:ascii="Times New Roman" w:hAnsi="Times New Roman" w:cs="Times New Roman"/>
          <w:sz w:val="24"/>
          <w:szCs w:val="24"/>
          <w:lang w:val="es-MX"/>
        </w:rPr>
        <w:t>se ubique en</w:t>
      </w:r>
      <w:r w:rsidRPr="00F13E77">
        <w:rPr>
          <w:rFonts w:ascii="Times New Roman" w:hAnsi="Times New Roman" w:cs="Times New Roman"/>
          <w:sz w:val="24"/>
          <w:szCs w:val="24"/>
          <w:lang w:val="es-MX"/>
        </w:rPr>
        <w:t xml:space="preserve"> el equivalente al PIB potencial, la tasa de interés real </w:t>
      </w:r>
      <w:r w:rsidR="00174386" w:rsidRPr="00F13E77">
        <w:rPr>
          <w:rFonts w:ascii="Times New Roman" w:hAnsi="Times New Roman" w:cs="Times New Roman"/>
          <w:sz w:val="24"/>
          <w:szCs w:val="24"/>
          <w:lang w:val="es-MX"/>
        </w:rPr>
        <w:t xml:space="preserve">se estima </w:t>
      </w:r>
      <w:r w:rsidRPr="00F13E77">
        <w:rPr>
          <w:rFonts w:ascii="Times New Roman" w:hAnsi="Times New Roman" w:cs="Times New Roman"/>
          <w:sz w:val="24"/>
          <w:szCs w:val="24"/>
          <w:lang w:val="es-MX"/>
        </w:rPr>
        <w:t xml:space="preserve">levemente por </w:t>
      </w:r>
      <w:r w:rsidR="00702E72" w:rsidRPr="00F13E77">
        <w:rPr>
          <w:rFonts w:ascii="Times New Roman" w:hAnsi="Times New Roman" w:cs="Times New Roman"/>
          <w:sz w:val="24"/>
          <w:szCs w:val="24"/>
          <w:lang w:val="es-MX"/>
        </w:rPr>
        <w:t>a</w:t>
      </w:r>
      <w:r w:rsidRPr="00F13E77">
        <w:rPr>
          <w:rFonts w:ascii="Times New Roman" w:hAnsi="Times New Roman" w:cs="Times New Roman"/>
          <w:sz w:val="24"/>
          <w:szCs w:val="24"/>
          <w:lang w:val="es-MX"/>
        </w:rPr>
        <w:t xml:space="preserve">bajo del PIB potencial y </w:t>
      </w:r>
      <w:r w:rsidR="00702E72" w:rsidRPr="00F13E77">
        <w:rPr>
          <w:rFonts w:ascii="Times New Roman" w:hAnsi="Times New Roman" w:cs="Times New Roman"/>
          <w:sz w:val="24"/>
          <w:szCs w:val="24"/>
          <w:lang w:val="es-MX"/>
        </w:rPr>
        <w:t>el</w:t>
      </w:r>
      <w:r w:rsidRPr="00F13E77">
        <w:rPr>
          <w:rFonts w:ascii="Times New Roman" w:hAnsi="Times New Roman" w:cs="Times New Roman"/>
          <w:sz w:val="24"/>
          <w:szCs w:val="24"/>
          <w:lang w:val="es-MX"/>
        </w:rPr>
        <w:t xml:space="preserve"> tipo de cambio nominal </w:t>
      </w:r>
      <w:r w:rsidR="00174386" w:rsidRPr="00F13E77">
        <w:rPr>
          <w:rFonts w:ascii="Times New Roman" w:hAnsi="Times New Roman" w:cs="Times New Roman"/>
          <w:sz w:val="24"/>
          <w:szCs w:val="24"/>
          <w:lang w:val="es-MX"/>
        </w:rPr>
        <w:t xml:space="preserve">se prevé </w:t>
      </w:r>
      <w:r w:rsidRPr="00F13E77">
        <w:rPr>
          <w:rFonts w:ascii="Times New Roman" w:hAnsi="Times New Roman" w:cs="Times New Roman"/>
          <w:sz w:val="24"/>
          <w:szCs w:val="24"/>
          <w:lang w:val="es-MX"/>
        </w:rPr>
        <w:t>que en promedio se mant</w:t>
      </w:r>
      <w:r w:rsidR="005820D9" w:rsidRPr="00F13E77">
        <w:rPr>
          <w:rFonts w:ascii="Times New Roman" w:hAnsi="Times New Roman" w:cs="Times New Roman"/>
          <w:sz w:val="24"/>
          <w:szCs w:val="24"/>
          <w:lang w:val="es-MX"/>
        </w:rPr>
        <w:t xml:space="preserve">enga </w:t>
      </w:r>
      <w:r w:rsidR="00174386" w:rsidRPr="00F13E77">
        <w:rPr>
          <w:rFonts w:ascii="Times New Roman" w:hAnsi="Times New Roman" w:cs="Times New Roman"/>
          <w:sz w:val="24"/>
          <w:szCs w:val="24"/>
          <w:lang w:val="es-MX"/>
        </w:rPr>
        <w:t xml:space="preserve">más o menos </w:t>
      </w:r>
      <w:r w:rsidRPr="00F13E77">
        <w:rPr>
          <w:rFonts w:ascii="Times New Roman" w:hAnsi="Times New Roman" w:cs="Times New Roman"/>
          <w:sz w:val="24"/>
          <w:szCs w:val="24"/>
          <w:lang w:val="es-MX"/>
        </w:rPr>
        <w:t>constante como se ha observado en los últimos</w:t>
      </w:r>
      <w:r w:rsidR="00702E72" w:rsidRPr="00F13E77">
        <w:rPr>
          <w:rFonts w:ascii="Times New Roman" w:hAnsi="Times New Roman" w:cs="Times New Roman"/>
          <w:sz w:val="24"/>
          <w:szCs w:val="24"/>
          <w:lang w:val="es-MX"/>
        </w:rPr>
        <w:t xml:space="preserve"> quince años.  Con dichos supuestos </w:t>
      </w:r>
      <w:r w:rsidRPr="00F13E77">
        <w:rPr>
          <w:rFonts w:ascii="Times New Roman" w:hAnsi="Times New Roman" w:cs="Times New Roman"/>
          <w:sz w:val="24"/>
          <w:szCs w:val="24"/>
          <w:lang w:val="es-MX"/>
        </w:rPr>
        <w:t xml:space="preserve">la relación Deuda / PIB </w:t>
      </w:r>
      <w:r w:rsidR="00702E72" w:rsidRPr="00F13E77">
        <w:rPr>
          <w:rFonts w:ascii="Times New Roman" w:hAnsi="Times New Roman" w:cs="Times New Roman"/>
          <w:sz w:val="24"/>
          <w:szCs w:val="24"/>
          <w:lang w:val="es-MX"/>
        </w:rPr>
        <w:t>si bien muestra un comportamiento creciente, este será moderado y se prevé que dicho indicador alcance al final del período indicado en 28.9%, es decir</w:t>
      </w:r>
      <w:r w:rsidR="005820D9" w:rsidRPr="00F13E77">
        <w:rPr>
          <w:rFonts w:ascii="Times New Roman" w:hAnsi="Times New Roman" w:cs="Times New Roman"/>
          <w:sz w:val="24"/>
          <w:szCs w:val="24"/>
          <w:lang w:val="es-MX"/>
        </w:rPr>
        <w:t>,</w:t>
      </w:r>
      <w:r w:rsidR="00702E72" w:rsidRPr="00F13E77">
        <w:rPr>
          <w:rFonts w:ascii="Times New Roman" w:hAnsi="Times New Roman" w:cs="Times New Roman"/>
          <w:sz w:val="24"/>
          <w:szCs w:val="24"/>
          <w:lang w:val="es-MX"/>
        </w:rPr>
        <w:t xml:space="preserve"> un aumento de 3.3 punto porcentuales por encima de la estimación prevista para 2022 (25.6%). </w:t>
      </w:r>
    </w:p>
    <w:p w:rsidR="005820D9" w:rsidRPr="00F13E77" w:rsidRDefault="005820D9" w:rsidP="00B14869">
      <w:pPr>
        <w:pStyle w:val="Sinespaciado"/>
        <w:jc w:val="both"/>
        <w:rPr>
          <w:rFonts w:ascii="Times New Roman" w:hAnsi="Times New Roman" w:cs="Times New Roman"/>
          <w:sz w:val="24"/>
          <w:szCs w:val="24"/>
          <w:lang w:val="es-MX"/>
        </w:rPr>
      </w:pPr>
    </w:p>
    <w:p w:rsidR="00233FED" w:rsidRPr="00F13E77" w:rsidRDefault="005820D9" w:rsidP="00B14869">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 xml:space="preserve">Lo anterior muestra que hay margen suficiente para soportar choques </w:t>
      </w:r>
      <w:r w:rsidR="0079695D" w:rsidRPr="00F13E77">
        <w:rPr>
          <w:rFonts w:ascii="Times New Roman" w:hAnsi="Times New Roman" w:cs="Times New Roman"/>
          <w:sz w:val="24"/>
          <w:szCs w:val="24"/>
          <w:lang w:val="es-MX"/>
        </w:rPr>
        <w:t>de</w:t>
      </w:r>
      <w:r w:rsidRPr="00F13E77">
        <w:rPr>
          <w:rFonts w:ascii="Times New Roman" w:hAnsi="Times New Roman" w:cs="Times New Roman"/>
          <w:sz w:val="24"/>
          <w:szCs w:val="24"/>
          <w:lang w:val="es-MX"/>
        </w:rPr>
        <w:t xml:space="preserve"> la economía sin que esto repercuta severamente en la sostenibilidad fiscal.  Para visualizar lo anterior se aplicaron choques</w:t>
      </w:r>
      <w:r w:rsidR="001B5526" w:rsidRPr="00F13E77">
        <w:rPr>
          <w:rFonts w:ascii="Times New Roman" w:hAnsi="Times New Roman" w:cs="Times New Roman"/>
          <w:sz w:val="24"/>
          <w:szCs w:val="24"/>
          <w:lang w:val="es-MX"/>
        </w:rPr>
        <w:t xml:space="preserve"> transitorios</w:t>
      </w:r>
      <w:r w:rsidRPr="00F13E77">
        <w:rPr>
          <w:rFonts w:ascii="Times New Roman" w:hAnsi="Times New Roman" w:cs="Times New Roman"/>
          <w:sz w:val="24"/>
          <w:szCs w:val="24"/>
          <w:lang w:val="es-MX"/>
        </w:rPr>
        <w:t xml:space="preserve"> a los principales determinantes del comportamiento de la deuda y en el peor escenario </w:t>
      </w:r>
      <w:r w:rsidR="001B5526" w:rsidRPr="00F13E77">
        <w:rPr>
          <w:rFonts w:ascii="Times New Roman" w:hAnsi="Times New Roman" w:cs="Times New Roman"/>
          <w:sz w:val="24"/>
          <w:szCs w:val="24"/>
          <w:lang w:val="es-MX"/>
        </w:rPr>
        <w:t xml:space="preserve">de </w:t>
      </w:r>
      <w:r w:rsidRPr="00F13E77">
        <w:rPr>
          <w:rFonts w:ascii="Times New Roman" w:hAnsi="Times New Roman" w:cs="Times New Roman"/>
          <w:sz w:val="24"/>
          <w:szCs w:val="24"/>
          <w:lang w:val="es-MX"/>
        </w:rPr>
        <w:t>u</w:t>
      </w:r>
      <w:r w:rsidR="00174386" w:rsidRPr="00F13E77">
        <w:rPr>
          <w:rFonts w:ascii="Times New Roman" w:hAnsi="Times New Roman" w:cs="Times New Roman"/>
          <w:sz w:val="24"/>
          <w:szCs w:val="24"/>
          <w:lang w:val="es-MX"/>
        </w:rPr>
        <w:t>n choque combinado en el que se</w:t>
      </w:r>
      <w:r w:rsidRPr="00F13E77">
        <w:rPr>
          <w:rFonts w:ascii="Times New Roman" w:hAnsi="Times New Roman" w:cs="Times New Roman"/>
          <w:sz w:val="24"/>
          <w:szCs w:val="24"/>
          <w:lang w:val="es-MX"/>
        </w:rPr>
        <w:t xml:space="preserve"> da una reducción del PIB real en </w:t>
      </w:r>
      <w:r w:rsidR="00233FED" w:rsidRPr="00F13E77">
        <w:rPr>
          <w:rFonts w:ascii="Times New Roman" w:hAnsi="Times New Roman" w:cs="Times New Roman"/>
          <w:sz w:val="24"/>
          <w:szCs w:val="24"/>
          <w:lang w:val="es-MX"/>
        </w:rPr>
        <w:t xml:space="preserve">los primeros </w:t>
      </w:r>
      <w:r w:rsidRPr="00F13E77">
        <w:rPr>
          <w:rFonts w:ascii="Times New Roman" w:hAnsi="Times New Roman" w:cs="Times New Roman"/>
          <w:sz w:val="24"/>
          <w:szCs w:val="24"/>
          <w:lang w:val="es-MX"/>
        </w:rPr>
        <w:t>dos años</w:t>
      </w:r>
      <w:r w:rsidR="00233FED" w:rsidRPr="00F13E77">
        <w:rPr>
          <w:rFonts w:ascii="Times New Roman" w:hAnsi="Times New Roman" w:cs="Times New Roman"/>
          <w:sz w:val="24"/>
          <w:szCs w:val="24"/>
          <w:lang w:val="es-MX"/>
        </w:rPr>
        <w:t xml:space="preserve"> (caída del 30%)</w:t>
      </w:r>
      <w:r w:rsidRPr="00F13E77">
        <w:rPr>
          <w:rFonts w:ascii="Times New Roman" w:hAnsi="Times New Roman" w:cs="Times New Roman"/>
          <w:sz w:val="24"/>
          <w:szCs w:val="24"/>
          <w:lang w:val="es-MX"/>
        </w:rPr>
        <w:t>, inc</w:t>
      </w:r>
      <w:r w:rsidR="00233FED" w:rsidRPr="00F13E77">
        <w:rPr>
          <w:rFonts w:ascii="Times New Roman" w:hAnsi="Times New Roman" w:cs="Times New Roman"/>
          <w:sz w:val="24"/>
          <w:szCs w:val="24"/>
          <w:lang w:val="es-MX"/>
        </w:rPr>
        <w:t xml:space="preserve">remento </w:t>
      </w:r>
      <w:r w:rsidRPr="00F13E77">
        <w:rPr>
          <w:rFonts w:ascii="Times New Roman" w:hAnsi="Times New Roman" w:cs="Times New Roman"/>
          <w:sz w:val="24"/>
          <w:szCs w:val="24"/>
          <w:lang w:val="es-MX"/>
        </w:rPr>
        <w:t>de la tasa de interés real en 150 punto</w:t>
      </w:r>
      <w:r w:rsidR="00312661" w:rsidRPr="00F13E77">
        <w:rPr>
          <w:rFonts w:ascii="Times New Roman" w:hAnsi="Times New Roman" w:cs="Times New Roman"/>
          <w:sz w:val="24"/>
          <w:szCs w:val="24"/>
          <w:lang w:val="es-MX"/>
        </w:rPr>
        <w:t>s</w:t>
      </w:r>
      <w:r w:rsidRPr="00F13E77">
        <w:rPr>
          <w:rFonts w:ascii="Times New Roman" w:hAnsi="Times New Roman" w:cs="Times New Roman"/>
          <w:sz w:val="24"/>
          <w:szCs w:val="24"/>
          <w:lang w:val="es-MX"/>
        </w:rPr>
        <w:t xml:space="preserve"> básicos y un aumento importante en el déficit primario </w:t>
      </w:r>
      <w:r w:rsidR="00233FED" w:rsidRPr="00F13E77">
        <w:rPr>
          <w:rFonts w:ascii="Times New Roman" w:hAnsi="Times New Roman" w:cs="Times New Roman"/>
          <w:sz w:val="24"/>
          <w:szCs w:val="24"/>
          <w:lang w:val="es-MX"/>
        </w:rPr>
        <w:t>en los primeros tres años (aumentos en puntos porcentuales del PIB de 1.2, 0.9 y 0.7).  Con estos choques la relación deuda / PIB para 2037 podría</w:t>
      </w:r>
      <w:r w:rsidR="00A5727F" w:rsidRPr="00F13E77">
        <w:rPr>
          <w:rFonts w:ascii="Times New Roman" w:hAnsi="Times New Roman" w:cs="Times New Roman"/>
          <w:sz w:val="24"/>
          <w:szCs w:val="24"/>
          <w:lang w:val="es-MX"/>
        </w:rPr>
        <w:t xml:space="preserve"> situarse en 39.4</w:t>
      </w:r>
      <w:r w:rsidR="00233FED" w:rsidRPr="00F13E77">
        <w:rPr>
          <w:rFonts w:ascii="Times New Roman" w:hAnsi="Times New Roman" w:cs="Times New Roman"/>
          <w:sz w:val="24"/>
          <w:szCs w:val="24"/>
          <w:lang w:val="es-MX"/>
        </w:rPr>
        <w:t xml:space="preserve">%, nivel que aún sigue estando por debajo del máximo recomendado para economías como Guatemala, cuyo techo es de 40%.  </w:t>
      </w:r>
    </w:p>
    <w:p w:rsidR="00233FED" w:rsidRDefault="00233FED" w:rsidP="00B14869">
      <w:pPr>
        <w:pStyle w:val="Sinespaciado"/>
        <w:jc w:val="both"/>
        <w:rPr>
          <w:rFonts w:ascii="Times New Roman" w:hAnsi="Times New Roman" w:cs="Times New Roman"/>
          <w:lang w:val="es-MX"/>
        </w:rPr>
      </w:pPr>
    </w:p>
    <w:p w:rsidR="00BC5499" w:rsidRPr="00D5489E" w:rsidRDefault="00BC5499" w:rsidP="00BC5499">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Gráfica 12</w:t>
      </w:r>
    </w:p>
    <w:p w:rsidR="00233FED" w:rsidRPr="00D5489E" w:rsidRDefault="00233FED" w:rsidP="00233FED">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Escenarios del Comportamiento de la Deuda Pública en el Largo Plazo</w:t>
      </w:r>
    </w:p>
    <w:p w:rsidR="00233FED" w:rsidRPr="00D5489E" w:rsidRDefault="00233FED" w:rsidP="00233FED">
      <w:pPr>
        <w:pStyle w:val="Sinespaciado"/>
        <w:jc w:val="center"/>
        <w:rPr>
          <w:rFonts w:ascii="Times New Roman" w:hAnsi="Times New Roman" w:cs="Times New Roman"/>
          <w:sz w:val="20"/>
          <w:lang w:val="es-MX"/>
        </w:rPr>
      </w:pPr>
      <w:r w:rsidRPr="00D5489E">
        <w:rPr>
          <w:rFonts w:ascii="Times New Roman" w:hAnsi="Times New Roman" w:cs="Times New Roman"/>
          <w:sz w:val="20"/>
          <w:lang w:val="es-MX"/>
        </w:rPr>
        <w:t>Porcentajes del PIB</w:t>
      </w:r>
    </w:p>
    <w:p w:rsidR="00CD30EB" w:rsidRDefault="0079695D" w:rsidP="00233FED">
      <w:pPr>
        <w:pStyle w:val="Sinespaciado"/>
        <w:jc w:val="center"/>
        <w:rPr>
          <w:rFonts w:ascii="Times New Roman" w:hAnsi="Times New Roman" w:cs="Times New Roman"/>
          <w:lang w:val="es-MX"/>
        </w:rPr>
      </w:pPr>
      <w:r>
        <w:rPr>
          <w:rFonts w:ascii="Times New Roman" w:hAnsi="Times New Roman" w:cs="Times New Roman"/>
          <w:noProof/>
          <w:lang w:eastAsia="es-GT"/>
        </w:rPr>
        <w:drawing>
          <wp:inline distT="0" distB="0" distL="0" distR="0" wp14:anchorId="4CFAF6D7" wp14:editId="52DC800E">
            <wp:extent cx="4905375" cy="3325495"/>
            <wp:effectExtent l="0" t="0" r="952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0313" cy="3335622"/>
                    </a:xfrm>
                    <a:prstGeom prst="rect">
                      <a:avLst/>
                    </a:prstGeom>
                    <a:noFill/>
                  </pic:spPr>
                </pic:pic>
              </a:graphicData>
            </a:graphic>
          </wp:inline>
        </w:drawing>
      </w:r>
    </w:p>
    <w:p w:rsidR="00BF3B52" w:rsidRPr="00D5489E" w:rsidRDefault="00BF3B52" w:rsidP="00BF3B52">
      <w:pPr>
        <w:pStyle w:val="Sinespaciado"/>
        <w:ind w:left="708"/>
        <w:rPr>
          <w:rFonts w:ascii="Times New Roman" w:hAnsi="Times New Roman" w:cs="Times New Roman"/>
          <w:sz w:val="16"/>
          <w:lang w:val="es-MX"/>
        </w:rPr>
      </w:pPr>
      <w:r w:rsidRPr="00D5489E">
        <w:rPr>
          <w:rFonts w:ascii="Times New Roman" w:hAnsi="Times New Roman" w:cs="Times New Roman"/>
          <w:sz w:val="16"/>
          <w:lang w:val="es-MX"/>
        </w:rPr>
        <w:t>Fuente: Ministerio de Finanzas Públicas, aplicando supuestos propios utilizando el análisis de Olivier Blanchard</w:t>
      </w:r>
    </w:p>
    <w:p w:rsidR="00BF3B52" w:rsidRDefault="00BF3B52" w:rsidP="00233FED">
      <w:pPr>
        <w:pStyle w:val="Sinespaciado"/>
        <w:jc w:val="center"/>
        <w:rPr>
          <w:rFonts w:ascii="Times New Roman" w:hAnsi="Times New Roman" w:cs="Times New Roman"/>
          <w:lang w:val="es-MX"/>
        </w:rPr>
      </w:pPr>
    </w:p>
    <w:p w:rsidR="00BF3B52" w:rsidRPr="00F13E77" w:rsidRDefault="00084C7C" w:rsidP="00A5727F">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 xml:space="preserve">Considerando los resultados mostrados, es importante indicar que la autoridad fiscal puede tomar medidas de política para evitar un deterioro de las cuentas fiscales y </w:t>
      </w:r>
      <w:r w:rsidR="00174386" w:rsidRPr="00F13E77">
        <w:rPr>
          <w:rFonts w:ascii="Times New Roman" w:hAnsi="Times New Roman" w:cs="Times New Roman"/>
          <w:sz w:val="24"/>
          <w:szCs w:val="24"/>
          <w:lang w:val="es-MX"/>
        </w:rPr>
        <w:t xml:space="preserve">revertir así </w:t>
      </w:r>
      <w:r w:rsidRPr="00F13E77">
        <w:rPr>
          <w:rFonts w:ascii="Times New Roman" w:hAnsi="Times New Roman" w:cs="Times New Roman"/>
          <w:sz w:val="24"/>
          <w:szCs w:val="24"/>
          <w:lang w:val="es-MX"/>
        </w:rPr>
        <w:t>la tendencia de la deuda mediante ajustes en los ingresos o gastos del gobierno que pueden reducir o minimizar el impacto de los efectos adversos en el largo plazo.  En ese sentido, se elaboraron dos escenarios adicionales que muestran dos tipo</w:t>
      </w:r>
      <w:r w:rsidR="00A5727F" w:rsidRPr="00F13E77">
        <w:rPr>
          <w:rFonts w:ascii="Times New Roman" w:hAnsi="Times New Roman" w:cs="Times New Roman"/>
          <w:sz w:val="24"/>
          <w:szCs w:val="24"/>
          <w:lang w:val="es-MX"/>
        </w:rPr>
        <w:t>s</w:t>
      </w:r>
      <w:r w:rsidRPr="00F13E77">
        <w:rPr>
          <w:rFonts w:ascii="Times New Roman" w:hAnsi="Times New Roman" w:cs="Times New Roman"/>
          <w:sz w:val="24"/>
          <w:szCs w:val="24"/>
          <w:lang w:val="es-MX"/>
        </w:rPr>
        <w:t xml:space="preserve"> de ajustes fiscales uno en e</w:t>
      </w:r>
      <w:r w:rsidR="00A5727F" w:rsidRPr="00F13E77">
        <w:rPr>
          <w:rFonts w:ascii="Times New Roman" w:hAnsi="Times New Roman" w:cs="Times New Roman"/>
          <w:sz w:val="24"/>
          <w:szCs w:val="24"/>
          <w:lang w:val="es-MX"/>
        </w:rPr>
        <w:t xml:space="preserve">l que se busca un equilibrio en el balance primario después de los choques en la economía y otro escenario en el que el ajuste fiscal es más severo y se logra un superávit primario (0.2% del PIB) posterior a los choques.   </w:t>
      </w:r>
    </w:p>
    <w:p w:rsidR="00A5727F" w:rsidRPr="00F13E77" w:rsidRDefault="00A5727F" w:rsidP="00A5727F">
      <w:pPr>
        <w:pStyle w:val="Sinespaciado"/>
        <w:jc w:val="both"/>
        <w:rPr>
          <w:rFonts w:ascii="Times New Roman" w:hAnsi="Times New Roman" w:cs="Times New Roman"/>
          <w:sz w:val="24"/>
          <w:szCs w:val="24"/>
          <w:lang w:val="es-MX"/>
        </w:rPr>
      </w:pPr>
    </w:p>
    <w:p w:rsidR="00A5727F" w:rsidRPr="00F13E77" w:rsidRDefault="00A5727F" w:rsidP="00A5727F">
      <w:pPr>
        <w:pStyle w:val="Sinespaciado"/>
        <w:jc w:val="both"/>
        <w:rPr>
          <w:rFonts w:ascii="Times New Roman" w:hAnsi="Times New Roman" w:cs="Times New Roman"/>
          <w:sz w:val="24"/>
          <w:szCs w:val="24"/>
          <w:lang w:val="es-MX"/>
        </w:rPr>
      </w:pPr>
      <w:r w:rsidRPr="00F13E77">
        <w:rPr>
          <w:rFonts w:ascii="Times New Roman" w:hAnsi="Times New Roman" w:cs="Times New Roman"/>
          <w:sz w:val="24"/>
          <w:szCs w:val="24"/>
          <w:lang w:val="es-MX"/>
        </w:rPr>
        <w:t xml:space="preserve">Con dichos ajustes la relación de deuda PIB pasa de 39.4% a 35.2% en 2037, únicamente logrando un equilibrio en el resultado primario y con un ajuste un poco más fuerte logrando un superávit fiscal, la relación deuda/PIB disminuiría a 32.6% del PIB.   </w:t>
      </w:r>
    </w:p>
    <w:p w:rsidR="00BF3B52" w:rsidRPr="00F13E77" w:rsidRDefault="00BF3B52" w:rsidP="00A5727F">
      <w:pPr>
        <w:pStyle w:val="Sinespaciado"/>
        <w:jc w:val="both"/>
        <w:rPr>
          <w:rFonts w:ascii="Times New Roman" w:hAnsi="Times New Roman" w:cs="Times New Roman"/>
          <w:sz w:val="24"/>
          <w:szCs w:val="24"/>
          <w:lang w:val="es-MX"/>
        </w:rPr>
      </w:pPr>
    </w:p>
    <w:p w:rsidR="00BC5499" w:rsidRPr="00D5489E" w:rsidRDefault="00BC5499" w:rsidP="00BC5499">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Gráfica 13</w:t>
      </w:r>
    </w:p>
    <w:p w:rsidR="00A5727F" w:rsidRPr="00D5489E" w:rsidRDefault="00A5727F" w:rsidP="00A5727F">
      <w:pPr>
        <w:pStyle w:val="Sinespaciado"/>
        <w:jc w:val="center"/>
        <w:rPr>
          <w:rFonts w:ascii="Times New Roman" w:hAnsi="Times New Roman" w:cs="Times New Roman"/>
          <w:b/>
          <w:sz w:val="24"/>
          <w:lang w:val="es-MX"/>
        </w:rPr>
      </w:pPr>
      <w:r w:rsidRPr="00D5489E">
        <w:rPr>
          <w:rFonts w:ascii="Times New Roman" w:hAnsi="Times New Roman" w:cs="Times New Roman"/>
          <w:b/>
          <w:sz w:val="24"/>
          <w:lang w:val="es-MX"/>
        </w:rPr>
        <w:t>Escenarios de Ajuste fiscal para atenuar choques adversos en la Deuda Pública de LP</w:t>
      </w:r>
    </w:p>
    <w:p w:rsidR="00A5727F" w:rsidRPr="00D5489E" w:rsidRDefault="00A5727F" w:rsidP="00A5727F">
      <w:pPr>
        <w:pStyle w:val="Sinespaciado"/>
        <w:jc w:val="center"/>
        <w:rPr>
          <w:rFonts w:ascii="Times New Roman" w:hAnsi="Times New Roman" w:cs="Times New Roman"/>
          <w:sz w:val="20"/>
          <w:lang w:val="es-MX"/>
        </w:rPr>
      </w:pPr>
      <w:r w:rsidRPr="00D5489E">
        <w:rPr>
          <w:rFonts w:ascii="Times New Roman" w:hAnsi="Times New Roman" w:cs="Times New Roman"/>
          <w:sz w:val="20"/>
          <w:lang w:val="es-MX"/>
        </w:rPr>
        <w:t>Porcentajes del PIB</w:t>
      </w:r>
    </w:p>
    <w:p w:rsidR="00A5727F" w:rsidRDefault="00A5727F" w:rsidP="00A5727F">
      <w:pPr>
        <w:pStyle w:val="Sinespaciado"/>
        <w:jc w:val="center"/>
        <w:rPr>
          <w:rFonts w:ascii="Times New Roman" w:hAnsi="Times New Roman" w:cs="Times New Roman"/>
          <w:lang w:val="es-MX"/>
        </w:rPr>
      </w:pPr>
      <w:r>
        <w:rPr>
          <w:noProof/>
          <w:lang w:eastAsia="es-GT"/>
        </w:rPr>
        <w:drawing>
          <wp:inline distT="0" distB="0" distL="0" distR="0" wp14:anchorId="70296CC7" wp14:editId="003F0A61">
            <wp:extent cx="5168348" cy="3514476"/>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727F" w:rsidRPr="00D5489E" w:rsidRDefault="00A5727F" w:rsidP="00A5727F">
      <w:pPr>
        <w:pStyle w:val="Sinespaciado"/>
        <w:ind w:left="708"/>
        <w:rPr>
          <w:rFonts w:ascii="Times New Roman" w:hAnsi="Times New Roman" w:cs="Times New Roman"/>
          <w:sz w:val="16"/>
          <w:lang w:val="es-MX"/>
        </w:rPr>
      </w:pPr>
      <w:r w:rsidRPr="00D5489E">
        <w:rPr>
          <w:rFonts w:ascii="Times New Roman" w:hAnsi="Times New Roman" w:cs="Times New Roman"/>
          <w:sz w:val="16"/>
          <w:lang w:val="es-MX"/>
        </w:rPr>
        <w:t>Fuente: Ministerio de Finanzas Públicas, aplicando supuestos propios utilizando el análisis de Olivier Blanchard</w:t>
      </w:r>
    </w:p>
    <w:p w:rsidR="00A5727F" w:rsidRPr="00A86634" w:rsidRDefault="00A5727F" w:rsidP="00A5727F">
      <w:pPr>
        <w:pStyle w:val="Sinespaciado"/>
        <w:jc w:val="center"/>
        <w:rPr>
          <w:rFonts w:ascii="Times New Roman" w:hAnsi="Times New Roman" w:cs="Times New Roman"/>
          <w:b/>
          <w:lang w:val="es-MX"/>
        </w:rPr>
      </w:pPr>
    </w:p>
    <w:p w:rsidR="00A86634" w:rsidRPr="00A86634" w:rsidRDefault="00A86634" w:rsidP="00612E4E">
      <w:pPr>
        <w:pStyle w:val="Sinespaciado"/>
        <w:numPr>
          <w:ilvl w:val="1"/>
          <w:numId w:val="18"/>
        </w:numPr>
        <w:ind w:left="567" w:hanging="283"/>
        <w:jc w:val="both"/>
        <w:outlineLvl w:val="1"/>
        <w:rPr>
          <w:rFonts w:ascii="Times New Roman" w:hAnsi="Times New Roman" w:cs="Times New Roman"/>
          <w:b/>
          <w:sz w:val="24"/>
          <w:lang w:val="es-MX"/>
        </w:rPr>
      </w:pPr>
      <w:bookmarkStart w:id="100" w:name="_Toc509214756"/>
      <w:r w:rsidRPr="00A86634">
        <w:rPr>
          <w:rFonts w:ascii="Times New Roman" w:hAnsi="Times New Roman" w:cs="Times New Roman"/>
          <w:b/>
          <w:sz w:val="24"/>
          <w:lang w:val="es-MX"/>
        </w:rPr>
        <w:t>Aspectos generales para la mitigación</w:t>
      </w:r>
      <w:bookmarkEnd w:id="100"/>
      <w:r w:rsidR="00557268">
        <w:rPr>
          <w:rFonts w:ascii="Times New Roman" w:hAnsi="Times New Roman" w:cs="Times New Roman"/>
          <w:b/>
          <w:sz w:val="24"/>
          <w:lang w:val="es-MX"/>
        </w:rPr>
        <w:t xml:space="preserve">   </w:t>
      </w:r>
    </w:p>
    <w:p w:rsidR="00A86634" w:rsidRDefault="00A86634" w:rsidP="0079695D">
      <w:pPr>
        <w:pStyle w:val="Sinespaciado"/>
        <w:jc w:val="both"/>
        <w:rPr>
          <w:rFonts w:ascii="Times New Roman" w:hAnsi="Times New Roman" w:cs="Times New Roman"/>
          <w:sz w:val="24"/>
          <w:lang w:val="es-MX"/>
        </w:rPr>
      </w:pPr>
    </w:p>
    <w:p w:rsidR="00C25A33" w:rsidRPr="00F13E77" w:rsidRDefault="007D6C1D" w:rsidP="0079695D">
      <w:pPr>
        <w:pStyle w:val="Sinespaciado"/>
        <w:jc w:val="both"/>
        <w:rPr>
          <w:rFonts w:ascii="Times New Roman" w:hAnsi="Times New Roman" w:cs="Times New Roman"/>
          <w:sz w:val="24"/>
          <w:lang w:val="es-MX"/>
        </w:rPr>
      </w:pPr>
      <w:r w:rsidRPr="00F13E77">
        <w:rPr>
          <w:rFonts w:ascii="Times New Roman" w:hAnsi="Times New Roman" w:cs="Times New Roman"/>
          <w:sz w:val="24"/>
          <w:lang w:val="es-MX"/>
        </w:rPr>
        <w:t>Las medidas de política fiscal para atenuar los choques exógenos podrían fundamentarse en una mejora sustancial de la recaudación tributaria que permita ampliar la base tributaria, modificar o modernizar alguna</w:t>
      </w:r>
      <w:r w:rsidR="0079695D" w:rsidRPr="00F13E77">
        <w:rPr>
          <w:rFonts w:ascii="Times New Roman" w:hAnsi="Times New Roman" w:cs="Times New Roman"/>
          <w:sz w:val="24"/>
          <w:lang w:val="es-MX"/>
        </w:rPr>
        <w:t>s tarifas impositivas y que la Superintendencia de Administración T</w:t>
      </w:r>
      <w:r w:rsidRPr="00F13E77">
        <w:rPr>
          <w:rFonts w:ascii="Times New Roman" w:hAnsi="Times New Roman" w:cs="Times New Roman"/>
          <w:sz w:val="24"/>
          <w:lang w:val="es-MX"/>
        </w:rPr>
        <w:t xml:space="preserve">ributaria mejore </w:t>
      </w:r>
      <w:r w:rsidR="0079695D" w:rsidRPr="00F13E77">
        <w:rPr>
          <w:rFonts w:ascii="Times New Roman" w:hAnsi="Times New Roman" w:cs="Times New Roman"/>
          <w:sz w:val="24"/>
          <w:lang w:val="es-MX"/>
        </w:rPr>
        <w:t xml:space="preserve">la fiscalización y los controles aduaneros para la reducción de la evasión y el contrabando aduanero.  Asimismo, se podría avanzar en la evaluación de la gestión de gasto público para tener elementos para su priorización y optimización, lo cual podría generar espacios para reestructurar los destinos y reducir algunos rubros para tener economías que permitan una mejor posición fiscal en el mediano y largo plazos.  </w:t>
      </w:r>
    </w:p>
    <w:p w:rsidR="0059661F" w:rsidRDefault="0059661F" w:rsidP="0079695D">
      <w:pPr>
        <w:pStyle w:val="Sinespaciado"/>
        <w:jc w:val="both"/>
        <w:rPr>
          <w:rFonts w:ascii="Times New Roman" w:hAnsi="Times New Roman" w:cs="Times New Roman"/>
          <w:sz w:val="24"/>
          <w:lang w:val="es-MX"/>
        </w:rPr>
      </w:pPr>
    </w:p>
    <w:p w:rsidR="003845CA" w:rsidRDefault="003845CA" w:rsidP="0079695D">
      <w:pPr>
        <w:pStyle w:val="Sinespaciado"/>
        <w:jc w:val="both"/>
        <w:rPr>
          <w:rFonts w:ascii="Times New Roman" w:hAnsi="Times New Roman" w:cs="Times New Roman"/>
          <w:sz w:val="24"/>
          <w:lang w:val="es-MX"/>
        </w:rPr>
      </w:pPr>
    </w:p>
    <w:p w:rsidR="003845CA" w:rsidRDefault="003845CA" w:rsidP="0079695D">
      <w:pPr>
        <w:pStyle w:val="Sinespaciado"/>
        <w:jc w:val="both"/>
        <w:rPr>
          <w:rFonts w:ascii="Times New Roman" w:hAnsi="Times New Roman" w:cs="Times New Roman"/>
          <w:sz w:val="24"/>
          <w:lang w:val="es-MX"/>
        </w:rPr>
      </w:pPr>
    </w:p>
    <w:p w:rsidR="003845CA" w:rsidRDefault="003845CA" w:rsidP="0079695D">
      <w:pPr>
        <w:pStyle w:val="Sinespaciado"/>
        <w:jc w:val="both"/>
        <w:rPr>
          <w:rFonts w:ascii="Times New Roman" w:hAnsi="Times New Roman" w:cs="Times New Roman"/>
          <w:sz w:val="24"/>
          <w:lang w:val="es-MX"/>
        </w:rPr>
      </w:pPr>
    </w:p>
    <w:p w:rsidR="003845CA" w:rsidRPr="00F13E77" w:rsidRDefault="003845CA" w:rsidP="0079695D">
      <w:pPr>
        <w:pStyle w:val="Sinespaciado"/>
        <w:jc w:val="both"/>
        <w:rPr>
          <w:rFonts w:ascii="Times New Roman" w:hAnsi="Times New Roman" w:cs="Times New Roman"/>
          <w:sz w:val="24"/>
          <w:lang w:val="es-MX"/>
        </w:rPr>
      </w:pPr>
    </w:p>
    <w:p w:rsidR="00A86634" w:rsidRPr="0059661F" w:rsidRDefault="00A86634" w:rsidP="00A86634">
      <w:pPr>
        <w:pStyle w:val="Sinespaciado"/>
        <w:numPr>
          <w:ilvl w:val="1"/>
          <w:numId w:val="21"/>
        </w:numPr>
        <w:ind w:hanging="434"/>
        <w:jc w:val="both"/>
        <w:outlineLvl w:val="0"/>
        <w:rPr>
          <w:rFonts w:ascii="Times New Roman" w:hAnsi="Times New Roman" w:cs="Times New Roman"/>
          <w:b/>
        </w:rPr>
      </w:pPr>
      <w:bookmarkStart w:id="101" w:name="_Toc508979685"/>
      <w:bookmarkStart w:id="102" w:name="_Toc508980043"/>
      <w:bookmarkStart w:id="103" w:name="_Toc508980195"/>
      <w:bookmarkStart w:id="104" w:name="_Toc508981236"/>
      <w:bookmarkStart w:id="105" w:name="_Toc508982486"/>
      <w:bookmarkStart w:id="106" w:name="_Toc508727308"/>
      <w:bookmarkStart w:id="107" w:name="_Toc509214757"/>
      <w:bookmarkEnd w:id="101"/>
      <w:bookmarkEnd w:id="102"/>
      <w:bookmarkEnd w:id="103"/>
      <w:bookmarkEnd w:id="104"/>
      <w:bookmarkEnd w:id="105"/>
      <w:r w:rsidRPr="00DB3C57">
        <w:rPr>
          <w:rFonts w:ascii="Times New Roman" w:hAnsi="Times New Roman" w:cs="Times New Roman"/>
          <w:b/>
          <w:sz w:val="24"/>
        </w:rPr>
        <w:t xml:space="preserve">Riesgos fiscales que generan los desastres provocados por </w:t>
      </w:r>
      <w:r w:rsidRPr="00DB3C57">
        <w:rPr>
          <w:rFonts w:ascii="Times New Roman" w:hAnsi="Times New Roman" w:cs="Times New Roman"/>
          <w:b/>
          <w:sz w:val="24"/>
          <w:szCs w:val="24"/>
        </w:rPr>
        <w:t>fenómenos naturales</w:t>
      </w:r>
      <w:bookmarkEnd w:id="106"/>
      <w:bookmarkEnd w:id="107"/>
      <w:r w:rsidRPr="00A86634">
        <w:rPr>
          <w:rFonts w:ascii="Times New Roman" w:hAnsi="Times New Roman" w:cs="Times New Roman"/>
          <w:b/>
        </w:rPr>
        <w:t xml:space="preserve"> </w:t>
      </w:r>
      <w:r w:rsidR="00557268">
        <w:rPr>
          <w:rFonts w:ascii="Times New Roman" w:hAnsi="Times New Roman" w:cs="Times New Roman"/>
          <w:b/>
        </w:rPr>
        <w:t xml:space="preserve">  </w:t>
      </w:r>
      <w:bookmarkStart w:id="108" w:name="_Toc508720903"/>
      <w:bookmarkStart w:id="109" w:name="_Toc508727309"/>
    </w:p>
    <w:p w:rsidR="00F0276E" w:rsidRPr="009D340A" w:rsidRDefault="00F0276E" w:rsidP="009D340A">
      <w:pPr>
        <w:spacing w:after="0" w:line="240" w:lineRule="auto"/>
        <w:jc w:val="both"/>
        <w:rPr>
          <w:rFonts w:ascii="Times New Roman" w:hAnsi="Times New Roman" w:cs="Times New Roman"/>
          <w:b/>
          <w:sz w:val="24"/>
          <w:lang w:val="es-MX"/>
        </w:rPr>
      </w:pPr>
    </w:p>
    <w:p w:rsidR="009D340A" w:rsidRPr="009D340A" w:rsidRDefault="009D340A" w:rsidP="009D340A">
      <w:pPr>
        <w:pStyle w:val="Prrafodelista"/>
        <w:numPr>
          <w:ilvl w:val="0"/>
          <w:numId w:val="18"/>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10" w:name="_Toc509213500"/>
      <w:bookmarkStart w:id="111" w:name="_Toc509213563"/>
      <w:bookmarkStart w:id="112" w:name="_Toc509213629"/>
      <w:bookmarkStart w:id="113" w:name="_Toc509213794"/>
      <w:bookmarkStart w:id="114" w:name="_Toc509214758"/>
      <w:bookmarkEnd w:id="110"/>
      <w:bookmarkEnd w:id="111"/>
      <w:bookmarkEnd w:id="112"/>
      <w:bookmarkEnd w:id="113"/>
      <w:bookmarkEnd w:id="114"/>
    </w:p>
    <w:p w:rsidR="00A86634" w:rsidRPr="00E83DF1" w:rsidRDefault="00A86634" w:rsidP="009D340A">
      <w:pPr>
        <w:pStyle w:val="Sinespaciado"/>
        <w:numPr>
          <w:ilvl w:val="1"/>
          <w:numId w:val="18"/>
        </w:numPr>
        <w:ind w:left="860"/>
        <w:jc w:val="both"/>
        <w:outlineLvl w:val="1"/>
        <w:rPr>
          <w:rFonts w:ascii="Times New Roman" w:hAnsi="Times New Roman" w:cs="Times New Roman"/>
          <w:b/>
          <w:sz w:val="24"/>
        </w:rPr>
      </w:pPr>
      <w:bookmarkStart w:id="115" w:name="_Toc509214759"/>
      <w:r w:rsidRPr="009D340A">
        <w:rPr>
          <w:rFonts w:ascii="Times New Roman" w:hAnsi="Times New Roman" w:cs="Times New Roman"/>
          <w:b/>
          <w:sz w:val="24"/>
          <w:lang w:val="es-MX"/>
        </w:rPr>
        <w:t>Antecedentes</w:t>
      </w:r>
      <w:bookmarkEnd w:id="108"/>
      <w:bookmarkEnd w:id="109"/>
      <w:bookmarkEnd w:id="115"/>
    </w:p>
    <w:p w:rsidR="00F0276E" w:rsidRPr="00A86634" w:rsidRDefault="00F0276E" w:rsidP="00F0276E">
      <w:pPr>
        <w:pStyle w:val="Sinespaciado"/>
        <w:ind w:left="993"/>
        <w:jc w:val="both"/>
        <w:outlineLvl w:val="2"/>
        <w:rPr>
          <w:rFonts w:ascii="Times New Roman" w:hAnsi="Times New Roman" w:cs="Times New Roman"/>
          <w:b/>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 xml:space="preserve">Derivado de su posición geográfica y sus altos índices de vulnerabilidad, Guatemala muestra una alta exposición a desastres ocasionados por fenómenos naturales (Geológicos: Terremotos; erupciones volcánicas, e Hidrometeorológicos: Tormentas tropicales; inundaciones; y sequías). </w:t>
      </w:r>
    </w:p>
    <w:p w:rsidR="00A86634" w:rsidRPr="00612E4E" w:rsidRDefault="00A86634"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eastAsiaTheme="minorHAnsi" w:hAnsi="Times New Roman" w:cs="Times New Roman"/>
          <w:sz w:val="24"/>
        </w:rPr>
      </w:pPr>
      <w:r w:rsidRPr="00612E4E">
        <w:rPr>
          <w:rFonts w:ascii="Times New Roman" w:eastAsiaTheme="minorHAnsi" w:hAnsi="Times New Roman" w:cs="Times New Roman"/>
          <w:sz w:val="24"/>
        </w:rPr>
        <w:t xml:space="preserve">El país está ubicado en una zona de alto riesgo, sometido a un régimen bi-marítimo, en el cinturón tropical en una zona de interacción entre los sistemas climáticos de los hemisferios Norte y Sur, en el desplazamiento de la Zona de Convergencia Intertropical (ZCIT), los eventos de acoplamiento océano–atmósfera, los ciclones tropicales y oscilaciones como la Oscilación del Atlántico Sur (OAS) o El Niño Oscilación Sur (ENOS), significando una recurrencia de la variabilidad climática (Rojas, et al 2003). Geológicamente, está ubicado en el denominado &lt;&lt;cinturón de fuego del pacífico&gt;&gt; la configuración del área es el resultado de una sucesión de eventos de actividad sísmica y volcánica muy intensa y en el territorio confluyen tres placas tectónicas, (Cocos, </w:t>
      </w:r>
      <w:r w:rsidR="00ED1197" w:rsidRPr="00612E4E">
        <w:rPr>
          <w:rFonts w:ascii="Times New Roman" w:eastAsiaTheme="minorHAnsi" w:hAnsi="Times New Roman" w:cs="Times New Roman"/>
          <w:sz w:val="24"/>
        </w:rPr>
        <w:t>norteamericana</w:t>
      </w:r>
      <w:r w:rsidRPr="00612E4E">
        <w:rPr>
          <w:rFonts w:ascii="Times New Roman" w:eastAsiaTheme="minorHAnsi" w:hAnsi="Times New Roman" w:cs="Times New Roman"/>
          <w:sz w:val="24"/>
        </w:rPr>
        <w:t xml:space="preserve"> y del Caribe).</w:t>
      </w:r>
    </w:p>
    <w:p w:rsidR="00A86634" w:rsidRPr="00612E4E" w:rsidRDefault="00A86634" w:rsidP="00A86634">
      <w:pPr>
        <w:pStyle w:val="Sinespaciado"/>
        <w:jc w:val="both"/>
        <w:rPr>
          <w:rFonts w:ascii="Times New Roman" w:hAnsi="Times New Roman" w:cs="Times New Roman"/>
          <w:sz w:val="24"/>
        </w:rPr>
      </w:pPr>
    </w:p>
    <w:p w:rsidR="00EF5E98" w:rsidRDefault="00EF5E98" w:rsidP="00A86634">
      <w:pPr>
        <w:pStyle w:val="Sinespaciado"/>
        <w:jc w:val="center"/>
        <w:rPr>
          <w:rFonts w:ascii="Times New Roman" w:hAnsi="Times New Roman" w:cs="Times New Roman"/>
          <w:b/>
          <w:sz w:val="24"/>
        </w:rPr>
      </w:pPr>
      <w:r>
        <w:rPr>
          <w:rFonts w:ascii="Times New Roman" w:hAnsi="Times New Roman" w:cs="Times New Roman"/>
          <w:b/>
          <w:sz w:val="24"/>
        </w:rPr>
        <w:t>Figura 1</w:t>
      </w:r>
    </w:p>
    <w:p w:rsidR="00A86634" w:rsidRPr="00A86634" w:rsidRDefault="00A86634" w:rsidP="00A86634">
      <w:pPr>
        <w:pStyle w:val="Sinespaciado"/>
        <w:jc w:val="center"/>
        <w:rPr>
          <w:rFonts w:ascii="Times New Roman" w:hAnsi="Times New Roman" w:cs="Times New Roman"/>
          <w:b/>
        </w:rPr>
      </w:pPr>
      <w:r w:rsidRPr="0059661F">
        <w:rPr>
          <w:rFonts w:ascii="Times New Roman" w:hAnsi="Times New Roman" w:cs="Times New Roman"/>
          <w:b/>
          <w:sz w:val="24"/>
        </w:rPr>
        <w:t>Posición Geográfica de Guatemala</w:t>
      </w:r>
    </w:p>
    <w:p w:rsidR="00A86634" w:rsidRPr="00A86634" w:rsidRDefault="00A86634" w:rsidP="00A86634">
      <w:pPr>
        <w:pStyle w:val="Sinespaciado"/>
        <w:jc w:val="center"/>
        <w:rPr>
          <w:rFonts w:ascii="Times New Roman" w:hAnsi="Times New Roman" w:cs="Times New Roman"/>
        </w:rPr>
      </w:pPr>
      <w:r w:rsidRPr="00A86634">
        <w:rPr>
          <w:rFonts w:ascii="Times New Roman" w:hAnsi="Times New Roman" w:cs="Times New Roman"/>
          <w:noProof/>
          <w:lang w:eastAsia="es-GT"/>
        </w:rPr>
        <mc:AlternateContent>
          <mc:Choice Requires="wps">
            <w:drawing>
              <wp:anchor distT="0" distB="0" distL="114300" distR="114300" simplePos="0" relativeHeight="251660288" behindDoc="0" locked="0" layoutInCell="1" allowOverlap="1" wp14:anchorId="0D7DD6ED" wp14:editId="2FAAF19B">
                <wp:simplePos x="0" y="0"/>
                <wp:positionH relativeFrom="column">
                  <wp:posOffset>-10160</wp:posOffset>
                </wp:positionH>
                <wp:positionV relativeFrom="paragraph">
                  <wp:posOffset>1129030</wp:posOffset>
                </wp:positionV>
                <wp:extent cx="438150" cy="209550"/>
                <wp:effectExtent l="0" t="0" r="0" b="0"/>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solidFill>
                          <a:srgbClr val="FFFFFF"/>
                        </a:solidFill>
                        <a:ln w="9525">
                          <a:noFill/>
                          <a:miter lim="800000"/>
                          <a:headEnd/>
                          <a:tailEnd/>
                        </a:ln>
                      </wps:spPr>
                      <wps:txbx>
                        <w:txbxContent>
                          <w:p w:rsidR="00124DC7" w:rsidRDefault="00124DC7" w:rsidP="00A86634">
                            <w:pPr>
                              <w:rPr>
                                <w:rFonts w:ascii="Times New Roman" w:hAnsi="Times New Roman" w:cs="Times New Roman"/>
                                <w:b/>
                                <w:sz w:val="14"/>
                                <w:lang w:val="es-ES"/>
                              </w:rPr>
                            </w:pPr>
                            <w:r>
                              <w:rPr>
                                <w:rFonts w:ascii="Times New Roman" w:hAnsi="Times New Roman" w:cs="Times New Roman"/>
                                <w:b/>
                                <w:sz w:val="10"/>
                                <w:lang w:val="es-ES"/>
                              </w:rPr>
                              <w:t>ZCIT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D7DD6ED" id="_x0000_t202" coordsize="21600,21600" o:spt="202" path="m,l,21600r21600,l21600,xe">
                <v:stroke joinstyle="miter"/>
                <v:path gradientshapeok="t" o:connecttype="rect"/>
              </v:shapetype>
              <v:shape id="Cuadro de texto 288" o:spid="_x0000_s1026" type="#_x0000_t202" style="position:absolute;left:0;text-align:left;margin-left:-.8pt;margin-top:88.9pt;width:34.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" stroked="f">
                <v:textbox>
                  <w:txbxContent>
                    <w:p w:rsidR="00124DC7" w:rsidRDefault="00124DC7" w:rsidP="00A86634">
                      <w:pPr>
                        <w:rPr>
                          <w:rFonts w:ascii="Times New Roman" w:hAnsi="Times New Roman" w:cs="Times New Roman"/>
                          <w:b/>
                          <w:sz w:val="14"/>
                          <w:lang w:val="es-ES"/>
                        </w:rPr>
                      </w:pPr>
                      <w:r>
                        <w:rPr>
                          <w:rFonts w:ascii="Times New Roman" w:hAnsi="Times New Roman" w:cs="Times New Roman"/>
                          <w:b/>
                          <w:sz w:val="10"/>
                          <w:lang w:val="es-ES"/>
                        </w:rPr>
                        <w:t>ZCIT</w:t>
                      </w:r>
                    </w:p>
                  </w:txbxContent>
                </v:textbox>
              </v:shape>
            </w:pict>
          </mc:Fallback>
        </mc:AlternateContent>
      </w:r>
      <w:r w:rsidRPr="00A86634">
        <w:rPr>
          <w:rFonts w:ascii="Times New Roman" w:hAnsi="Times New Roman" w:cs="Times New Roman"/>
        </w:rPr>
        <w:t>Zona de Convergencia Intertropical y Cinturón de Fuego del Pacifico</w:t>
      </w:r>
    </w:p>
    <w:p w:rsidR="00A86634" w:rsidRPr="00A86634" w:rsidRDefault="00A86634" w:rsidP="00A86634">
      <w:pPr>
        <w:pStyle w:val="Sinespaciado"/>
        <w:jc w:val="both"/>
        <w:rPr>
          <w:rFonts w:ascii="Times New Roman" w:hAnsi="Times New Roman" w:cs="Times New Roman"/>
        </w:rPr>
      </w:pPr>
    </w:p>
    <w:tbl>
      <w:tblPr>
        <w:tblStyle w:val="Tablaconcuadrcula"/>
        <w:tblpPr w:leftFromText="141" w:rightFromText="141" w:vertAnchor="text" w:horzAnchor="margin" w:tblpX="358" w:tblpY="-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62"/>
      </w:tblGrid>
      <w:tr w:rsidR="00A86634" w:rsidRPr="00A86634" w:rsidTr="00A86634">
        <w:tc>
          <w:tcPr>
            <w:tcW w:w="4644" w:type="dxa"/>
            <w:hideMark/>
          </w:tcPr>
          <w:p w:rsidR="00A86634" w:rsidRPr="00A86634" w:rsidRDefault="00A86634" w:rsidP="00A86634">
            <w:pPr>
              <w:pStyle w:val="Sinespaciado"/>
              <w:jc w:val="both"/>
              <w:rPr>
                <w:rFonts w:ascii="Times New Roman" w:hAnsi="Times New Roman" w:cs="Times New Roman"/>
              </w:rPr>
            </w:pPr>
            <w:r w:rsidRPr="00A86634">
              <w:rPr>
                <w:rFonts w:ascii="Times New Roman" w:hAnsi="Times New Roman" w:cs="Times New Roman"/>
                <w:noProof/>
                <w:lang w:eastAsia="es-GT"/>
              </w:rPr>
              <mc:AlternateContent>
                <mc:Choice Requires="wps">
                  <w:drawing>
                    <wp:anchor distT="0" distB="0" distL="114300" distR="114300" simplePos="0" relativeHeight="251661312" behindDoc="0" locked="0" layoutInCell="1" allowOverlap="1" wp14:anchorId="4C038F4C" wp14:editId="3F9D274F">
                      <wp:simplePos x="0" y="0"/>
                      <wp:positionH relativeFrom="column">
                        <wp:posOffset>34290</wp:posOffset>
                      </wp:positionH>
                      <wp:positionV relativeFrom="paragraph">
                        <wp:posOffset>703580</wp:posOffset>
                      </wp:positionV>
                      <wp:extent cx="234950" cy="438150"/>
                      <wp:effectExtent l="0" t="0" r="12700" b="19050"/>
                      <wp:wrapNone/>
                      <wp:docPr id="31" name="Abrir llave 31"/>
                      <wp:cNvGraphicFramePr/>
                      <a:graphic xmlns:a="http://schemas.openxmlformats.org/drawingml/2006/main">
                        <a:graphicData uri="http://schemas.microsoft.com/office/word/2010/wordprocessingShape">
                          <wps:wsp>
                            <wps:cNvSpPr/>
                            <wps:spPr>
                              <a:xfrm>
                                <a:off x="0" y="0"/>
                                <a:ext cx="234950" cy="438150"/>
                              </a:xfrm>
                              <a:prstGeom prst="leftBrace">
                                <a:avLst/>
                              </a:prstGeom>
                              <a:solidFill>
                                <a:srgbClr val="FFFFFF"/>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F10E1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1" o:spid="_x0000_s1026" type="#_x0000_t87" style="position:absolute;margin-left:2.7pt;margin-top:55.4pt;width:18.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" adj="965" filled="t" strokecolor="black [3213]" strokeweight="1pt"/>
                  </w:pict>
                </mc:Fallback>
              </mc:AlternateContent>
            </w:r>
            <w:r w:rsidRPr="00A86634">
              <w:rPr>
                <w:rFonts w:ascii="Times New Roman" w:hAnsi="Times New Roman" w:cs="Times New Roman"/>
                <w:noProof/>
                <w:lang w:eastAsia="es-GT"/>
              </w:rPr>
              <w:t xml:space="preserve"> </w:t>
            </w:r>
            <w:r w:rsidRPr="00A86634">
              <w:rPr>
                <w:rFonts w:ascii="Times New Roman" w:hAnsi="Times New Roman" w:cs="Times New Roman"/>
                <w:noProof/>
                <w:lang w:eastAsia="es-GT"/>
              </w:rPr>
              <w:drawing>
                <wp:inline distT="0" distB="0" distL="0" distR="0" wp14:anchorId="0AF9CD3B" wp14:editId="2C430782">
                  <wp:extent cx="2621580" cy="184785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4301" cy="1849768"/>
                          </a:xfrm>
                          <a:prstGeom prst="rect">
                            <a:avLst/>
                          </a:prstGeom>
                          <a:noFill/>
                          <a:ln>
                            <a:noFill/>
                          </a:ln>
                        </pic:spPr>
                      </pic:pic>
                    </a:graphicData>
                  </a:graphic>
                </wp:inline>
              </w:drawing>
            </w:r>
          </w:p>
        </w:tc>
        <w:tc>
          <w:tcPr>
            <w:tcW w:w="4962" w:type="dxa"/>
            <w:hideMark/>
          </w:tcPr>
          <w:p w:rsidR="00A86634" w:rsidRPr="00A86634" w:rsidRDefault="00A86634" w:rsidP="00A86634">
            <w:pPr>
              <w:pStyle w:val="Sinespaciado"/>
              <w:jc w:val="both"/>
              <w:rPr>
                <w:rFonts w:ascii="Times New Roman" w:hAnsi="Times New Roman" w:cs="Times New Roman"/>
              </w:rPr>
            </w:pPr>
            <w:r w:rsidRPr="00A86634">
              <w:rPr>
                <w:rFonts w:ascii="Times New Roman" w:hAnsi="Times New Roman" w:cs="Times New Roman"/>
                <w:noProof/>
                <w:lang w:eastAsia="es-GT"/>
              </w:rPr>
              <w:t xml:space="preserve">  </w:t>
            </w:r>
            <w:r w:rsidRPr="00A86634">
              <w:rPr>
                <w:rFonts w:ascii="Times New Roman" w:hAnsi="Times New Roman" w:cs="Times New Roman"/>
                <w:noProof/>
                <w:lang w:eastAsia="es-GT"/>
              </w:rPr>
              <w:drawing>
                <wp:inline distT="0" distB="0" distL="0" distR="0" wp14:anchorId="2283CD1C" wp14:editId="35607E91">
                  <wp:extent cx="2305050" cy="191436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7475" cy="1966208"/>
                          </a:xfrm>
                          <a:prstGeom prst="rect">
                            <a:avLst/>
                          </a:prstGeom>
                          <a:noFill/>
                          <a:ln>
                            <a:noFill/>
                          </a:ln>
                        </pic:spPr>
                      </pic:pic>
                    </a:graphicData>
                  </a:graphic>
                </wp:inline>
              </w:drawing>
            </w:r>
          </w:p>
        </w:tc>
      </w:tr>
    </w:tbl>
    <w:p w:rsidR="00A86634" w:rsidRPr="0059661F" w:rsidRDefault="00A86634" w:rsidP="00A86634">
      <w:pPr>
        <w:pStyle w:val="Sinespaciado"/>
        <w:jc w:val="both"/>
        <w:rPr>
          <w:rFonts w:ascii="Times New Roman" w:eastAsiaTheme="minorHAnsi" w:hAnsi="Times New Roman" w:cs="Times New Roman"/>
          <w:sz w:val="16"/>
        </w:rPr>
      </w:pPr>
      <w:r w:rsidRPr="0059661F">
        <w:rPr>
          <w:rFonts w:ascii="Times New Roman" w:eastAsiaTheme="minorHAnsi" w:hAnsi="Times New Roman" w:cs="Times New Roman"/>
          <w:sz w:val="16"/>
        </w:rPr>
        <w:t>Fuente: Adaptado de MINFIN-GIZ, 2013</w:t>
      </w:r>
    </w:p>
    <w:p w:rsidR="008F4D0C" w:rsidRDefault="008F4D0C" w:rsidP="00A86634">
      <w:pPr>
        <w:pStyle w:val="Sinespaciado"/>
        <w:jc w:val="both"/>
        <w:rPr>
          <w:rFonts w:ascii="Times New Roman" w:hAnsi="Times New Roman" w:cs="Times New Roman"/>
        </w:rPr>
      </w:pPr>
    </w:p>
    <w:p w:rsidR="00A86634" w:rsidRPr="00A86634" w:rsidRDefault="00A86634" w:rsidP="00A86634">
      <w:pPr>
        <w:pStyle w:val="Sinespaciado"/>
        <w:jc w:val="both"/>
        <w:rPr>
          <w:rFonts w:ascii="Times New Roman" w:hAnsi="Times New Roman" w:cs="Times New Roman"/>
        </w:rPr>
      </w:pPr>
      <w:r w:rsidRPr="00612E4E">
        <w:rPr>
          <w:rFonts w:ascii="Times New Roman" w:hAnsi="Times New Roman" w:cs="Times New Roman"/>
          <w:sz w:val="24"/>
          <w:szCs w:val="24"/>
        </w:rPr>
        <w:t>De acuerdo con el Índice de Riesgo Climático Global (IRC), elaborado por Germanwatch</w:t>
      </w:r>
      <w:r w:rsidRPr="00612E4E">
        <w:rPr>
          <w:rStyle w:val="Refdenotaalpie"/>
          <w:rFonts w:ascii="Times New Roman" w:hAnsi="Times New Roman" w:cs="Times New Roman"/>
          <w:sz w:val="24"/>
          <w:szCs w:val="24"/>
        </w:rPr>
        <w:footnoteReference w:id="3"/>
      </w:r>
      <w:r w:rsidRPr="00612E4E">
        <w:rPr>
          <w:rFonts w:ascii="Times New Roman" w:hAnsi="Times New Roman" w:cs="Times New Roman"/>
          <w:sz w:val="24"/>
          <w:szCs w:val="24"/>
        </w:rPr>
        <w:t>,  Guatemala, se ubicó dentro de los diez primeros países del mundo más afectados por fenómenos naturales climáticos durante el período 1996-2015</w:t>
      </w:r>
      <w:r w:rsidRPr="00A86634">
        <w:rPr>
          <w:rFonts w:ascii="Times New Roman" w:hAnsi="Times New Roman" w:cs="Times New Roman"/>
        </w:rPr>
        <w:t xml:space="preserve">. </w:t>
      </w:r>
    </w:p>
    <w:p w:rsidR="00A86634" w:rsidRPr="00612E4E" w:rsidRDefault="00A86634" w:rsidP="00A86634">
      <w:pPr>
        <w:pStyle w:val="Sinespaciado"/>
        <w:jc w:val="both"/>
        <w:rPr>
          <w:rFonts w:ascii="Times New Roman" w:eastAsia="MS Mincho" w:hAnsi="Times New Roman" w:cs="Times New Roman"/>
          <w:sz w:val="24"/>
          <w:lang w:eastAsia="ja-JP"/>
        </w:rPr>
      </w:pPr>
    </w:p>
    <w:p w:rsidR="00A86634" w:rsidRDefault="00A86634" w:rsidP="00A86634">
      <w:pPr>
        <w:pStyle w:val="Sinespaciado"/>
        <w:jc w:val="both"/>
        <w:rPr>
          <w:rFonts w:ascii="Times New Roman" w:eastAsia="MS Mincho" w:hAnsi="Times New Roman" w:cs="Times New Roman"/>
          <w:lang w:eastAsia="ja-JP"/>
        </w:rPr>
      </w:pPr>
    </w:p>
    <w:p w:rsidR="0059661F" w:rsidRDefault="0059661F" w:rsidP="00A86634">
      <w:pPr>
        <w:pStyle w:val="Sinespaciado"/>
        <w:jc w:val="both"/>
        <w:rPr>
          <w:rFonts w:ascii="Times New Roman" w:eastAsia="MS Mincho" w:hAnsi="Times New Roman" w:cs="Times New Roman"/>
          <w:lang w:eastAsia="ja-JP"/>
        </w:rPr>
      </w:pPr>
    </w:p>
    <w:p w:rsidR="003845CA" w:rsidRDefault="003845CA" w:rsidP="00A86634">
      <w:pPr>
        <w:pStyle w:val="Sinespaciado"/>
        <w:jc w:val="center"/>
        <w:rPr>
          <w:rFonts w:ascii="Times New Roman" w:eastAsia="MS Mincho" w:hAnsi="Times New Roman" w:cs="Times New Roman"/>
          <w:b/>
          <w:sz w:val="24"/>
          <w:lang w:eastAsia="ja-JP"/>
        </w:rPr>
      </w:pPr>
    </w:p>
    <w:p w:rsidR="00EF5E98" w:rsidRDefault="00BC6054" w:rsidP="00A86634">
      <w:pPr>
        <w:pStyle w:val="Sinespaciado"/>
        <w:jc w:val="center"/>
        <w:rPr>
          <w:rFonts w:ascii="Times New Roman" w:eastAsia="MS Mincho" w:hAnsi="Times New Roman" w:cs="Times New Roman"/>
          <w:b/>
          <w:sz w:val="24"/>
          <w:lang w:eastAsia="ja-JP"/>
        </w:rPr>
      </w:pPr>
      <w:r>
        <w:rPr>
          <w:rFonts w:ascii="Times New Roman" w:eastAsia="MS Mincho" w:hAnsi="Times New Roman" w:cs="Times New Roman"/>
          <w:b/>
          <w:sz w:val="24"/>
          <w:lang w:eastAsia="ja-JP"/>
        </w:rPr>
        <w:t>Cuadro 4</w:t>
      </w:r>
      <w:r w:rsidR="00A86634" w:rsidRPr="0059661F">
        <w:rPr>
          <w:rFonts w:ascii="Times New Roman" w:eastAsia="MS Mincho" w:hAnsi="Times New Roman" w:cs="Times New Roman"/>
          <w:b/>
          <w:sz w:val="24"/>
          <w:lang w:eastAsia="ja-JP"/>
        </w:rPr>
        <w:t xml:space="preserve"> </w:t>
      </w:r>
    </w:p>
    <w:p w:rsidR="00A86634" w:rsidRPr="0059661F" w:rsidRDefault="00A86634" w:rsidP="00A86634">
      <w:pPr>
        <w:pStyle w:val="Sinespaciado"/>
        <w:jc w:val="center"/>
        <w:rPr>
          <w:rFonts w:ascii="Times New Roman" w:eastAsia="MS Mincho" w:hAnsi="Times New Roman" w:cs="Times New Roman"/>
          <w:b/>
          <w:sz w:val="24"/>
          <w:lang w:eastAsia="ja-JP"/>
        </w:rPr>
      </w:pPr>
      <w:r w:rsidRPr="0059661F">
        <w:rPr>
          <w:rFonts w:ascii="Times New Roman" w:eastAsia="MS Mincho" w:hAnsi="Times New Roman" w:cs="Times New Roman"/>
          <w:b/>
          <w:sz w:val="24"/>
          <w:lang w:eastAsia="ja-JP"/>
        </w:rPr>
        <w:t>Índice de Riesgo Climático a Largo Plazo (IRC)</w:t>
      </w:r>
    </w:p>
    <w:p w:rsidR="00A86634" w:rsidRPr="00A86634" w:rsidRDefault="00A86634" w:rsidP="00A86634">
      <w:pPr>
        <w:pStyle w:val="Sinespaciado"/>
        <w:jc w:val="center"/>
        <w:rPr>
          <w:rFonts w:ascii="Times New Roman" w:eastAsia="MS Mincho" w:hAnsi="Times New Roman" w:cs="Times New Roman"/>
          <w:i/>
          <w:lang w:eastAsia="ja-JP"/>
        </w:rPr>
      </w:pPr>
      <w:r w:rsidRPr="00A86634">
        <w:rPr>
          <w:rFonts w:ascii="Times New Roman" w:eastAsia="MS Mincho" w:hAnsi="Times New Roman" w:cs="Times New Roman"/>
          <w:i/>
          <w:lang w:eastAsia="ja-JP"/>
        </w:rPr>
        <w:t>10 países más afectados desde 1996 A 2015</w:t>
      </w:r>
    </w:p>
    <w:p w:rsidR="00A86634" w:rsidRPr="00A86634" w:rsidRDefault="00A86634" w:rsidP="00A86634">
      <w:pPr>
        <w:pStyle w:val="Sinespaciado"/>
        <w:jc w:val="center"/>
        <w:rPr>
          <w:rFonts w:ascii="Times New Roman" w:eastAsia="MS Mincho" w:hAnsi="Times New Roman" w:cs="Times New Roman"/>
          <w:i/>
          <w:lang w:eastAsia="ja-JP"/>
        </w:rPr>
      </w:pPr>
      <w:r w:rsidRPr="00A86634">
        <w:rPr>
          <w:rFonts w:ascii="Times New Roman" w:eastAsia="MS Mincho" w:hAnsi="Times New Roman" w:cs="Times New Roman"/>
          <w:i/>
          <w:lang w:eastAsia="ja-JP"/>
        </w:rPr>
        <w:t>(Promedios anuales)</w:t>
      </w:r>
    </w:p>
    <w:p w:rsidR="00A86634" w:rsidRPr="00A86634" w:rsidRDefault="00A86634" w:rsidP="00A86634">
      <w:pPr>
        <w:pStyle w:val="Sinespaciado"/>
        <w:jc w:val="center"/>
        <w:rPr>
          <w:rFonts w:ascii="Times New Roman" w:hAnsi="Times New Roman" w:cs="Times New Roman"/>
        </w:rPr>
      </w:pPr>
      <w:r w:rsidRPr="00A86634">
        <w:rPr>
          <w:rFonts w:ascii="Times New Roman" w:hAnsi="Times New Roman" w:cs="Times New Roman"/>
          <w:noProof/>
          <w:lang w:eastAsia="es-GT"/>
        </w:rPr>
        <w:drawing>
          <wp:inline distT="0" distB="0" distL="0" distR="0" wp14:anchorId="51E460E2" wp14:editId="4165A0A2">
            <wp:extent cx="2847975" cy="18954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p w:rsidR="00A86634" w:rsidRPr="00A86634" w:rsidRDefault="00A86634" w:rsidP="00A86634">
      <w:pPr>
        <w:pStyle w:val="Sinespaciado"/>
        <w:ind w:left="1416" w:firstLine="708"/>
        <w:jc w:val="both"/>
        <w:rPr>
          <w:rFonts w:ascii="Times New Roman" w:hAnsi="Times New Roman" w:cs="Times New Roman"/>
          <w:sz w:val="16"/>
        </w:rPr>
      </w:pPr>
      <w:r w:rsidRPr="00A86634">
        <w:rPr>
          <w:rFonts w:ascii="Times New Roman" w:hAnsi="Times New Roman" w:cs="Times New Roman"/>
          <w:sz w:val="16"/>
        </w:rPr>
        <w:t>Fuente: Adaptado de Germanwatch, 2017.</w:t>
      </w:r>
    </w:p>
    <w:p w:rsidR="00A86634" w:rsidRPr="00A86634" w:rsidRDefault="00A86634" w:rsidP="00A86634">
      <w:pPr>
        <w:pStyle w:val="Sinespaciado"/>
        <w:jc w:val="both"/>
        <w:rPr>
          <w:rFonts w:ascii="Times New Roman" w:hAnsi="Times New Roman" w:cs="Times New Roman"/>
          <w:sz w:val="4"/>
        </w:rPr>
      </w:pPr>
    </w:p>
    <w:p w:rsidR="00A86634" w:rsidRDefault="00A86634" w:rsidP="00A86634">
      <w:pPr>
        <w:pStyle w:val="Sinespaciado"/>
        <w:jc w:val="both"/>
        <w:rPr>
          <w:rFonts w:ascii="Times New Roman" w:hAnsi="Times New Roman" w:cs="Times New Roman"/>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 xml:space="preserve">En función de esa exposición, Guatemala ha experimentado un alto número de eventos </w:t>
      </w:r>
      <w:r w:rsidR="0059661F" w:rsidRPr="00612E4E">
        <w:rPr>
          <w:rFonts w:ascii="Times New Roman" w:hAnsi="Times New Roman" w:cs="Times New Roman"/>
          <w:sz w:val="24"/>
        </w:rPr>
        <w:t>Hidrometeorológicos</w:t>
      </w:r>
      <w:r w:rsidRPr="00612E4E">
        <w:rPr>
          <w:rFonts w:ascii="Times New Roman" w:hAnsi="Times New Roman" w:cs="Times New Roman"/>
          <w:sz w:val="24"/>
        </w:rPr>
        <w:t xml:space="preserve"> de impacto severo, situación que podría empeorar ante los efectos adversos del cambio climático. Del total de fenómenos observados, las tormentas tropicales e inundaciones son los eventos más frecuentes, representando el 40% en el período de 1990 a 2016. </w:t>
      </w:r>
    </w:p>
    <w:p w:rsidR="00A86634" w:rsidRPr="00A86634" w:rsidRDefault="00A86634" w:rsidP="00A86634">
      <w:pPr>
        <w:pStyle w:val="Sinespaciado"/>
        <w:jc w:val="both"/>
        <w:rPr>
          <w:rFonts w:ascii="Times New Roman" w:hAnsi="Times New Roman" w:cs="Times New Roman"/>
        </w:rPr>
      </w:pPr>
    </w:p>
    <w:p w:rsidR="00EF5E98" w:rsidRDefault="00BC6054" w:rsidP="00A86634">
      <w:pPr>
        <w:pStyle w:val="Sinespaciado"/>
        <w:jc w:val="center"/>
        <w:rPr>
          <w:rFonts w:ascii="Times New Roman" w:hAnsi="Times New Roman" w:cs="Times New Roman"/>
          <w:b/>
          <w:sz w:val="24"/>
        </w:rPr>
      </w:pPr>
      <w:r>
        <w:rPr>
          <w:rFonts w:ascii="Times New Roman" w:hAnsi="Times New Roman" w:cs="Times New Roman"/>
          <w:b/>
          <w:sz w:val="24"/>
        </w:rPr>
        <w:t xml:space="preserve">Gráfica </w:t>
      </w:r>
      <w:r w:rsidR="00A86634" w:rsidRPr="00612E4E">
        <w:rPr>
          <w:rFonts w:ascii="Times New Roman" w:hAnsi="Times New Roman" w:cs="Times New Roman"/>
          <w:b/>
          <w:sz w:val="24"/>
        </w:rPr>
        <w:t>1</w:t>
      </w:r>
      <w:r>
        <w:rPr>
          <w:rFonts w:ascii="Times New Roman" w:hAnsi="Times New Roman" w:cs="Times New Roman"/>
          <w:b/>
          <w:sz w:val="24"/>
        </w:rPr>
        <w:t>4</w:t>
      </w:r>
    </w:p>
    <w:p w:rsidR="00A86634" w:rsidRPr="00612E4E" w:rsidRDefault="00A86634" w:rsidP="00A86634">
      <w:pPr>
        <w:pStyle w:val="Sinespaciado"/>
        <w:jc w:val="center"/>
        <w:rPr>
          <w:rFonts w:ascii="Times New Roman" w:hAnsi="Times New Roman" w:cs="Times New Roman"/>
          <w:b/>
          <w:sz w:val="24"/>
        </w:rPr>
      </w:pPr>
      <w:r w:rsidRPr="00612E4E">
        <w:rPr>
          <w:rFonts w:ascii="Times New Roman" w:hAnsi="Times New Roman" w:cs="Times New Roman"/>
          <w:b/>
          <w:sz w:val="24"/>
        </w:rPr>
        <w:t>Distribución del número de eventos que impactaron Guatemala,</w:t>
      </w:r>
    </w:p>
    <w:p w:rsidR="00A86634" w:rsidRPr="00612E4E" w:rsidRDefault="00A86634" w:rsidP="00A86634">
      <w:pPr>
        <w:pStyle w:val="Sinespaciado"/>
        <w:jc w:val="center"/>
        <w:rPr>
          <w:rFonts w:ascii="Times New Roman" w:hAnsi="Times New Roman" w:cs="Times New Roman"/>
          <w:sz w:val="20"/>
        </w:rPr>
      </w:pPr>
      <w:r w:rsidRPr="00612E4E">
        <w:rPr>
          <w:rFonts w:ascii="Times New Roman" w:hAnsi="Times New Roman" w:cs="Times New Roman"/>
          <w:sz w:val="20"/>
        </w:rPr>
        <w:t>Período1990-2016</w:t>
      </w:r>
    </w:p>
    <w:p w:rsidR="00A86634" w:rsidRPr="00612E4E" w:rsidRDefault="00A86634" w:rsidP="00A86634">
      <w:pPr>
        <w:pStyle w:val="Sinespaciado"/>
        <w:jc w:val="center"/>
        <w:rPr>
          <w:rFonts w:ascii="Times New Roman" w:hAnsi="Times New Roman" w:cs="Times New Roman"/>
          <w:i/>
          <w:sz w:val="20"/>
        </w:rPr>
      </w:pPr>
      <w:r w:rsidRPr="00612E4E">
        <w:rPr>
          <w:rFonts w:ascii="Times New Roman" w:hAnsi="Times New Roman" w:cs="Times New Roman"/>
          <w:i/>
          <w:sz w:val="20"/>
        </w:rPr>
        <w:t>(Como % del total de fenómenos naturales)</w:t>
      </w:r>
    </w:p>
    <w:p w:rsidR="00A86634" w:rsidRPr="00A86634" w:rsidRDefault="00A86634" w:rsidP="00A86634">
      <w:pPr>
        <w:pStyle w:val="Sinespaciado"/>
        <w:jc w:val="both"/>
        <w:rPr>
          <w:rFonts w:ascii="Times New Roman" w:hAnsi="Times New Roman" w:cs="Times New Roman"/>
        </w:rPr>
      </w:pPr>
    </w:p>
    <w:p w:rsidR="00A86634" w:rsidRPr="00A86634" w:rsidRDefault="00A86634" w:rsidP="00A86634">
      <w:pPr>
        <w:pStyle w:val="Sinespaciado"/>
        <w:jc w:val="both"/>
        <w:rPr>
          <w:rFonts w:ascii="Times New Roman" w:hAnsi="Times New Roman" w:cs="Times New Roman"/>
        </w:rPr>
      </w:pPr>
      <w:r w:rsidRPr="00A86634">
        <w:rPr>
          <w:rFonts w:ascii="Times New Roman" w:hAnsi="Times New Roman" w:cs="Times New Roman"/>
          <w:noProof/>
          <w:lang w:eastAsia="es-GT"/>
        </w:rPr>
        <w:drawing>
          <wp:inline distT="0" distB="0" distL="0" distR="0" wp14:anchorId="72D03B38" wp14:editId="397CC16A">
            <wp:extent cx="5525770" cy="2926080"/>
            <wp:effectExtent l="0" t="0" r="0" b="7620"/>
            <wp:docPr id="20" name="Gráfico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CB278DE-2F7D-4958-B371-0DFC1A1FA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6634" w:rsidRPr="00A86634" w:rsidRDefault="00A86634" w:rsidP="00A86634">
      <w:pPr>
        <w:pStyle w:val="Sinespaciado"/>
        <w:jc w:val="both"/>
        <w:rPr>
          <w:rFonts w:ascii="Times New Roman" w:hAnsi="Times New Roman" w:cs="Times New Roman"/>
          <w:sz w:val="16"/>
          <w:szCs w:val="18"/>
        </w:rPr>
      </w:pPr>
      <w:r w:rsidRPr="00A86634">
        <w:rPr>
          <w:rFonts w:ascii="Times New Roman" w:hAnsi="Times New Roman" w:cs="Times New Roman"/>
          <w:sz w:val="16"/>
          <w:szCs w:val="18"/>
        </w:rPr>
        <w:t>Fuente: elaboración DEF con datos de EM-DAT.</w:t>
      </w:r>
    </w:p>
    <w:p w:rsidR="00A86634" w:rsidRPr="00A86634" w:rsidRDefault="00A86634" w:rsidP="00A86634">
      <w:pPr>
        <w:pStyle w:val="Sinespaciado"/>
        <w:jc w:val="both"/>
        <w:rPr>
          <w:rFonts w:ascii="Times New Roman" w:hAnsi="Times New Roman" w:cs="Times New Roman"/>
        </w:rPr>
      </w:pPr>
    </w:p>
    <w:p w:rsidR="00A86634"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Adicionalmente, el crecimiento urbano y el elevado índice de pobreza, que supera el 59% de la población, son factores que contribuyen al incremento de la vulnerabilidad. La población se estima en 16.4 millones de habitantes, con una densidad poblacional de 152.5 habitantes/km</w:t>
      </w:r>
      <w:r w:rsidRPr="00612E4E">
        <w:rPr>
          <w:rFonts w:ascii="Times New Roman" w:hAnsi="Times New Roman" w:cs="Times New Roman"/>
          <w:sz w:val="24"/>
          <w:vertAlign w:val="superscript"/>
        </w:rPr>
        <w:t>2</w:t>
      </w:r>
      <w:r w:rsidRPr="00612E4E">
        <w:rPr>
          <w:rFonts w:ascii="Times New Roman" w:hAnsi="Times New Roman" w:cs="Times New Roman"/>
          <w:sz w:val="24"/>
        </w:rPr>
        <w:t xml:space="preserve"> (Banco Mundial 2016). Debido a esta combinación de factores las amenazas naturales han resultado en desastres con un elevado impacto en pérdidas de vidas humanas y en la productividad, limitando aún más el desarrollo del país.</w:t>
      </w:r>
    </w:p>
    <w:p w:rsidR="00612E4E" w:rsidRPr="00612E4E" w:rsidRDefault="00612E4E"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bookmarkStart w:id="116" w:name="_Toc508720904"/>
      <w:bookmarkStart w:id="117" w:name="_Toc508727310"/>
      <w:r w:rsidRPr="00612E4E">
        <w:rPr>
          <w:rFonts w:ascii="Times New Roman" w:hAnsi="Times New Roman" w:cs="Times New Roman"/>
          <w:sz w:val="24"/>
        </w:rPr>
        <w:t>Evaluación de impacto económico de los desastres provocados por los desastres ocasionados por tormentas tropicales y huracanes durante el período 1998-2016</w:t>
      </w:r>
      <w:bookmarkEnd w:id="116"/>
      <w:bookmarkEnd w:id="117"/>
      <w:r w:rsidR="00047A77" w:rsidRPr="00612E4E">
        <w:rPr>
          <w:rFonts w:ascii="Times New Roman" w:hAnsi="Times New Roman" w:cs="Times New Roman"/>
          <w:sz w:val="24"/>
        </w:rPr>
        <w:t>.</w:t>
      </w:r>
    </w:p>
    <w:p w:rsidR="00047A77" w:rsidRPr="00612E4E" w:rsidRDefault="00047A77"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 xml:space="preserve">Por lo general, se analiza el impacto negativo de un evento catastrófico tomando como punto de partida el impacto económico que estos causan y sus efectos sobre la tasa de crecimiento del PIB en términos de puntos porcentuales.  Al comparar las tasas de crecimiento interanual del PIB incluidas en los escenarios macroeconómicos considerados para la formulación de los Proyectos de Presupuesto General de Ingresos y Egresos del Estado y las variaciones interanuales observadas al final del periodo reportadas por el Banco de Guatemala, es posible construir una gráfica que muestra variaciones ocurridas, durante algunos de los años en los que se ha suscitado un evento natural de gran intensidad.   </w:t>
      </w:r>
    </w:p>
    <w:p w:rsidR="00A86634" w:rsidRPr="0059661F" w:rsidRDefault="00A86634" w:rsidP="00A86634">
      <w:pPr>
        <w:pStyle w:val="Sinespaciado"/>
        <w:jc w:val="both"/>
        <w:rPr>
          <w:rFonts w:ascii="Times New Roman" w:hAnsi="Times New Roman" w:cs="Times New Roman"/>
          <w:sz w:val="24"/>
        </w:rPr>
      </w:pPr>
    </w:p>
    <w:p w:rsidR="00EF5E98" w:rsidRDefault="00BC6054" w:rsidP="00A86634">
      <w:pPr>
        <w:pStyle w:val="Sinespaciado"/>
        <w:jc w:val="center"/>
        <w:rPr>
          <w:rFonts w:ascii="Times New Roman" w:hAnsi="Times New Roman" w:cs="Times New Roman"/>
          <w:b/>
          <w:sz w:val="24"/>
        </w:rPr>
      </w:pPr>
      <w:r>
        <w:rPr>
          <w:rFonts w:ascii="Times New Roman" w:hAnsi="Times New Roman" w:cs="Times New Roman"/>
          <w:b/>
          <w:sz w:val="24"/>
        </w:rPr>
        <w:t>Gráfica 15</w:t>
      </w:r>
    </w:p>
    <w:p w:rsidR="00A86634" w:rsidRPr="00612E4E" w:rsidRDefault="00A86634" w:rsidP="00A86634">
      <w:pPr>
        <w:pStyle w:val="Sinespaciado"/>
        <w:jc w:val="center"/>
        <w:rPr>
          <w:rFonts w:ascii="Times New Roman" w:hAnsi="Times New Roman" w:cs="Times New Roman"/>
          <w:b/>
          <w:sz w:val="24"/>
        </w:rPr>
      </w:pPr>
      <w:r w:rsidRPr="00612E4E">
        <w:rPr>
          <w:rFonts w:ascii="Times New Roman" w:hAnsi="Times New Roman" w:cs="Times New Roman"/>
          <w:b/>
          <w:sz w:val="24"/>
        </w:rPr>
        <w:t>Comportamiento de la variación interanual del Producto Interno Bruto</w:t>
      </w:r>
    </w:p>
    <w:p w:rsidR="00A86634" w:rsidRPr="00612E4E" w:rsidRDefault="00A86634" w:rsidP="00A86634">
      <w:pPr>
        <w:pStyle w:val="Sinespaciado"/>
        <w:jc w:val="center"/>
        <w:rPr>
          <w:rFonts w:ascii="Times New Roman" w:hAnsi="Times New Roman" w:cs="Times New Roman"/>
          <w:sz w:val="20"/>
        </w:rPr>
      </w:pPr>
      <w:r w:rsidRPr="00612E4E">
        <w:rPr>
          <w:rFonts w:ascii="Times New Roman" w:hAnsi="Times New Roman" w:cs="Times New Roman"/>
          <w:sz w:val="20"/>
        </w:rPr>
        <w:t>Período1991-2016</w:t>
      </w:r>
    </w:p>
    <w:p w:rsidR="00A86634" w:rsidRPr="00612E4E" w:rsidRDefault="00A86634" w:rsidP="00A86634">
      <w:pPr>
        <w:pStyle w:val="Sinespaciado"/>
        <w:jc w:val="center"/>
        <w:rPr>
          <w:rFonts w:ascii="Times New Roman" w:hAnsi="Times New Roman" w:cs="Times New Roman"/>
          <w:i/>
          <w:sz w:val="20"/>
        </w:rPr>
      </w:pPr>
      <w:r w:rsidRPr="00612E4E">
        <w:rPr>
          <w:rFonts w:ascii="Times New Roman" w:hAnsi="Times New Roman" w:cs="Times New Roman"/>
          <w:i/>
          <w:sz w:val="20"/>
        </w:rPr>
        <w:t>(cifras en porcentajes)</w:t>
      </w:r>
    </w:p>
    <w:p w:rsidR="00A86634" w:rsidRPr="00A86634" w:rsidRDefault="00A86634" w:rsidP="00A86634">
      <w:pPr>
        <w:pStyle w:val="Sinespaciado"/>
        <w:jc w:val="both"/>
        <w:rPr>
          <w:rFonts w:ascii="Times New Roman" w:hAnsi="Times New Roman" w:cs="Times New Roman"/>
        </w:rPr>
      </w:pPr>
      <w:r w:rsidRPr="00A86634">
        <w:rPr>
          <w:rFonts w:ascii="Times New Roman" w:hAnsi="Times New Roman" w:cs="Times New Roman"/>
          <w:noProof/>
          <w:sz w:val="14"/>
          <w:lang w:eastAsia="es-GT"/>
        </w:rPr>
        <w:drawing>
          <wp:inline distT="0" distB="0" distL="0" distR="0" wp14:anchorId="0214D2E8" wp14:editId="73EBC820">
            <wp:extent cx="5267325" cy="31813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6634" w:rsidRPr="00A86634" w:rsidRDefault="00A86634" w:rsidP="00A86634">
      <w:pPr>
        <w:pStyle w:val="Sinespaciado"/>
        <w:jc w:val="both"/>
        <w:rPr>
          <w:rFonts w:ascii="Times New Roman" w:hAnsi="Times New Roman" w:cs="Times New Roman"/>
          <w:sz w:val="16"/>
        </w:rPr>
      </w:pPr>
      <w:r w:rsidRPr="00A86634">
        <w:rPr>
          <w:rFonts w:ascii="Times New Roman" w:hAnsi="Times New Roman" w:cs="Times New Roman"/>
          <w:sz w:val="16"/>
        </w:rPr>
        <w:t>Fuente: Cifras Banguat, Proyectos de Presupuesto Minfin.</w:t>
      </w:r>
    </w:p>
    <w:p w:rsidR="00A86634" w:rsidRDefault="00A86634" w:rsidP="00A86634">
      <w:pPr>
        <w:pStyle w:val="Sinespaciado"/>
        <w:jc w:val="both"/>
        <w:rPr>
          <w:rFonts w:ascii="Times New Roman" w:hAnsi="Times New Roman" w:cs="Times New Roman"/>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 xml:space="preserve">En la cuantificación de los daños se distinguen dos tipos de efectos. El primero sobre los acervos de capital y el segundo sobre los flujos macroeconómicos. Un huracán de alta intensidad puede destruir gran parte de la capacidad productiva del país, entre ellos, capital fijo de las empresas, unidades habitacionales de los hogares, infraestructura pública, capital humano y hasta capital social. Todo ello se refleja en un ajuste negativo en la tasa de crecimiento de la economía. </w:t>
      </w:r>
    </w:p>
    <w:p w:rsidR="00A86634" w:rsidRPr="00612E4E" w:rsidRDefault="00A86634"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Aparte de los efectos directos por pérdidas de vidas y por daños a la in</w:t>
      </w:r>
      <w:r w:rsidRPr="00612E4E">
        <w:rPr>
          <w:rFonts w:ascii="Times New Roman" w:hAnsi="Times New Roman" w:cs="Times New Roman"/>
          <w:sz w:val="24"/>
        </w:rPr>
        <w:softHyphen/>
        <w:t>fraestructura física, los desastres naturales también generan efectos indi</w:t>
      </w:r>
      <w:r w:rsidRPr="00612E4E">
        <w:rPr>
          <w:rFonts w:ascii="Times New Roman" w:hAnsi="Times New Roman" w:cs="Times New Roman"/>
          <w:sz w:val="24"/>
        </w:rPr>
        <w:softHyphen/>
        <w:t>rectos por pérdidas de producción económica (bien sea debido a daños en los activos productivos y otras causas que generan disrupciones en la producción o el comercio). En la mayoría de casos, estos efectos indirec</w:t>
      </w:r>
      <w:r w:rsidRPr="00612E4E">
        <w:rPr>
          <w:rFonts w:ascii="Times New Roman" w:hAnsi="Times New Roman" w:cs="Times New Roman"/>
          <w:sz w:val="24"/>
        </w:rPr>
        <w:softHyphen/>
        <w:t>tos sobre la producción son transitorios, ya que la economía alcanza el nivel de producción e ingresos que habría tenido si no hubiera ocurrido el desastre rápidamente (BID, 2015. Realidad Macroeconómica Latinoamericana, Módulo V. Inestabilidad y crisis macroeconómicas).</w:t>
      </w:r>
    </w:p>
    <w:p w:rsidR="00A86634" w:rsidRDefault="00A86634" w:rsidP="00A86634">
      <w:pPr>
        <w:pStyle w:val="Sinespaciado"/>
        <w:jc w:val="center"/>
        <w:rPr>
          <w:rFonts w:ascii="Times New Roman" w:hAnsi="Times New Roman" w:cs="Times New Roman"/>
        </w:rPr>
      </w:pPr>
    </w:p>
    <w:p w:rsidR="00EF5E98" w:rsidRDefault="00BC6054" w:rsidP="00A86634">
      <w:pPr>
        <w:pStyle w:val="Sinespaciado"/>
        <w:jc w:val="center"/>
        <w:rPr>
          <w:rFonts w:ascii="Times New Roman" w:hAnsi="Times New Roman" w:cs="Times New Roman"/>
          <w:b/>
          <w:sz w:val="24"/>
        </w:rPr>
      </w:pPr>
      <w:r>
        <w:rPr>
          <w:rFonts w:ascii="Times New Roman" w:hAnsi="Times New Roman" w:cs="Times New Roman"/>
          <w:b/>
          <w:sz w:val="24"/>
        </w:rPr>
        <w:t>Gráfica 16</w:t>
      </w:r>
    </w:p>
    <w:p w:rsidR="00A86634" w:rsidRPr="00612E4E" w:rsidRDefault="00A86634" w:rsidP="00A86634">
      <w:pPr>
        <w:pStyle w:val="Sinespaciado"/>
        <w:jc w:val="center"/>
        <w:rPr>
          <w:rFonts w:ascii="Times New Roman" w:hAnsi="Times New Roman" w:cs="Times New Roman"/>
          <w:b/>
          <w:sz w:val="24"/>
        </w:rPr>
      </w:pPr>
      <w:r w:rsidRPr="00612E4E">
        <w:rPr>
          <w:rFonts w:ascii="Times New Roman" w:hAnsi="Times New Roman" w:cs="Times New Roman"/>
          <w:b/>
          <w:sz w:val="24"/>
        </w:rPr>
        <w:t>Daños y pérdidas provocados por desastres provocados por fenómenos naturales</w:t>
      </w:r>
    </w:p>
    <w:p w:rsidR="00A86634" w:rsidRPr="00612E4E" w:rsidRDefault="00A86634" w:rsidP="00A86634">
      <w:pPr>
        <w:pStyle w:val="Sinespaciado"/>
        <w:jc w:val="center"/>
        <w:rPr>
          <w:rFonts w:ascii="Times New Roman" w:hAnsi="Times New Roman" w:cs="Times New Roman"/>
          <w:sz w:val="20"/>
        </w:rPr>
      </w:pPr>
      <w:r w:rsidRPr="00612E4E">
        <w:rPr>
          <w:rFonts w:ascii="Times New Roman" w:hAnsi="Times New Roman" w:cs="Times New Roman"/>
          <w:sz w:val="20"/>
        </w:rPr>
        <w:t>1998-2016</w:t>
      </w:r>
    </w:p>
    <w:p w:rsidR="00A86634" w:rsidRPr="00612E4E" w:rsidRDefault="00A86634" w:rsidP="00A86634">
      <w:pPr>
        <w:pStyle w:val="Sinespaciado"/>
        <w:jc w:val="center"/>
        <w:rPr>
          <w:rFonts w:ascii="Times New Roman" w:hAnsi="Times New Roman" w:cs="Times New Roman"/>
          <w:i/>
          <w:sz w:val="20"/>
        </w:rPr>
      </w:pPr>
      <w:r w:rsidRPr="00612E4E">
        <w:rPr>
          <w:rFonts w:ascii="Times New Roman" w:hAnsi="Times New Roman" w:cs="Times New Roman"/>
          <w:i/>
          <w:sz w:val="20"/>
        </w:rPr>
        <w:t>(% del PIB del año del desastre)</w:t>
      </w:r>
    </w:p>
    <w:p w:rsidR="00A86634" w:rsidRPr="00A86634" w:rsidRDefault="00A86634" w:rsidP="00ED1197">
      <w:pPr>
        <w:pStyle w:val="Sinespaciado"/>
        <w:jc w:val="center"/>
        <w:rPr>
          <w:rFonts w:ascii="Times New Roman" w:hAnsi="Times New Roman" w:cs="Times New Roman"/>
        </w:rPr>
      </w:pPr>
      <w:r w:rsidRPr="00A86634">
        <w:rPr>
          <w:rFonts w:ascii="Times New Roman" w:hAnsi="Times New Roman" w:cs="Times New Roman"/>
          <w:noProof/>
          <w:lang w:eastAsia="es-GT"/>
        </w:rPr>
        <w:drawing>
          <wp:inline distT="0" distB="0" distL="0" distR="0" wp14:anchorId="37695629" wp14:editId="5F1B27E7">
            <wp:extent cx="4905955" cy="32008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03" t="1094" r="1265" b="1517"/>
                    <a:stretch/>
                  </pic:blipFill>
                  <pic:spPr bwMode="auto">
                    <a:xfrm>
                      <a:off x="0" y="0"/>
                      <a:ext cx="4922144" cy="3211410"/>
                    </a:xfrm>
                    <a:prstGeom prst="rect">
                      <a:avLst/>
                    </a:prstGeom>
                    <a:noFill/>
                    <a:ln>
                      <a:noFill/>
                    </a:ln>
                    <a:extLst>
                      <a:ext uri="{53640926-AAD7-44D8-BBD7-CCE9431645EC}">
                        <a14:shadowObscured xmlns:a14="http://schemas.microsoft.com/office/drawing/2010/main"/>
                      </a:ext>
                    </a:extLst>
                  </pic:spPr>
                </pic:pic>
              </a:graphicData>
            </a:graphic>
          </wp:inline>
        </w:drawing>
      </w:r>
    </w:p>
    <w:p w:rsidR="00A86634" w:rsidRPr="00A86634" w:rsidRDefault="00612E4E" w:rsidP="00ED1197">
      <w:pPr>
        <w:pStyle w:val="Sinespaciado"/>
        <w:ind w:firstLine="708"/>
        <w:jc w:val="both"/>
        <w:rPr>
          <w:rFonts w:ascii="Times New Roman" w:hAnsi="Times New Roman" w:cs="Times New Roman"/>
          <w:sz w:val="18"/>
          <w:szCs w:val="18"/>
        </w:rPr>
      </w:pPr>
      <w:r>
        <w:rPr>
          <w:rFonts w:ascii="Times New Roman" w:hAnsi="Times New Roman" w:cs="Times New Roman"/>
          <w:sz w:val="18"/>
          <w:szCs w:val="18"/>
        </w:rPr>
        <w:t xml:space="preserve"> </w:t>
      </w:r>
      <w:r w:rsidR="00A86634" w:rsidRPr="0059661F">
        <w:rPr>
          <w:rFonts w:ascii="Times New Roman" w:hAnsi="Times New Roman" w:cs="Times New Roman"/>
          <w:sz w:val="16"/>
          <w:szCs w:val="18"/>
        </w:rPr>
        <w:t>Fuente: Elaboración DEF</w:t>
      </w:r>
    </w:p>
    <w:p w:rsidR="00A86634" w:rsidRPr="0059661F" w:rsidRDefault="00A86634"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La estimación histórica del impacto económico por tormentas tropicales, considera cuatro eventos severos: Mitch 1998 (4.2% del PIB); Stan 2005 (4.1% del PIB); el impacto conjunto de la tormenta Agatha y la erupción del volcán Pacaya en 2010 (3.9% del PIB); y la Tormenta 12E del 2011 (0.8% del PIB). Entre 1998 y 2011, los daños y pérdidas provocados por estos eventos severos en Guatemala se estiman en US$ 5,297 millones.</w:t>
      </w:r>
      <w:r w:rsidRPr="00612E4E">
        <w:rPr>
          <w:rFonts w:ascii="Times New Roman" w:hAnsi="Times New Roman" w:cs="Times New Roman"/>
          <w:sz w:val="24"/>
          <w:vertAlign w:val="superscript"/>
        </w:rPr>
        <w:footnoteReference w:id="4"/>
      </w:r>
      <w:r w:rsidRPr="00612E4E">
        <w:rPr>
          <w:rFonts w:ascii="Times New Roman" w:hAnsi="Times New Roman" w:cs="Times New Roman"/>
          <w:sz w:val="24"/>
        </w:rPr>
        <w:t xml:space="preserve"> Esta evaluación incluye afectaciones directas por “daños” y afectaciones indirectas por “pérdidas” (los daños y pérdidas por eventos hidrometeorológicos se han concentrado en agricultura e infraestructura de transporte y comunicación), además consideran las variaciones en el flujo económico debido a mayores costos y/o menores ingresos por la interrupción de servicios. </w:t>
      </w:r>
    </w:p>
    <w:p w:rsidR="00A86634" w:rsidRPr="00612E4E" w:rsidRDefault="00A86634"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Uno de los mecanismos de transmisión de los desastres ocasionados por los eventos naturales extremos hacia el desempeño de las finanzas públicas es el que se manifiesta en el déficit fiscal que estos provocan</w:t>
      </w:r>
      <w:r w:rsidRPr="00612E4E">
        <w:rPr>
          <w:rFonts w:ascii="Times New Roman" w:hAnsi="Times New Roman" w:cs="Times New Roman"/>
          <w:sz w:val="24"/>
          <w:vertAlign w:val="superscript"/>
        </w:rPr>
        <w:footnoteReference w:id="5"/>
      </w:r>
      <w:r w:rsidRPr="00612E4E">
        <w:rPr>
          <w:rFonts w:ascii="Times New Roman" w:hAnsi="Times New Roman" w:cs="Times New Roman"/>
          <w:sz w:val="24"/>
        </w:rPr>
        <w:t xml:space="preserve">, mediante la erogación de gastos que normalmente se realizan en más de un período fiscal y sin cuya existencia, el déficit sería menor. </w:t>
      </w:r>
    </w:p>
    <w:p w:rsidR="00A86634" w:rsidRPr="00612E4E" w:rsidRDefault="00A86634" w:rsidP="00A86634">
      <w:pPr>
        <w:pStyle w:val="Sinespaciado"/>
        <w:jc w:val="both"/>
        <w:rPr>
          <w:rFonts w:ascii="Times New Roman" w:hAnsi="Times New Roman" w:cs="Times New Roman"/>
          <w:sz w:val="24"/>
        </w:rPr>
      </w:pPr>
    </w:p>
    <w:p w:rsidR="00EF5E98" w:rsidRDefault="00BC6054" w:rsidP="00A86634">
      <w:pPr>
        <w:pStyle w:val="Sinespaciado"/>
        <w:jc w:val="center"/>
        <w:rPr>
          <w:rFonts w:ascii="Times New Roman" w:hAnsi="Times New Roman" w:cs="Times New Roman"/>
          <w:b/>
          <w:sz w:val="24"/>
        </w:rPr>
      </w:pPr>
      <w:r>
        <w:rPr>
          <w:rFonts w:ascii="Times New Roman" w:hAnsi="Times New Roman" w:cs="Times New Roman"/>
          <w:b/>
          <w:sz w:val="24"/>
        </w:rPr>
        <w:t>Gráfica 17</w:t>
      </w:r>
    </w:p>
    <w:p w:rsidR="00A86634" w:rsidRPr="00A86634" w:rsidRDefault="00A86634" w:rsidP="00A86634">
      <w:pPr>
        <w:pStyle w:val="Sinespaciado"/>
        <w:jc w:val="center"/>
        <w:rPr>
          <w:rFonts w:ascii="Times New Roman" w:hAnsi="Times New Roman" w:cs="Times New Roman"/>
          <w:b/>
        </w:rPr>
      </w:pPr>
      <w:r w:rsidRPr="00612E4E">
        <w:rPr>
          <w:rFonts w:ascii="Times New Roman" w:hAnsi="Times New Roman" w:cs="Times New Roman"/>
          <w:b/>
          <w:sz w:val="24"/>
        </w:rPr>
        <w:t>Efectos sobre el Déficit Fiscal de los desastres provocados por fenómenos naturales</w:t>
      </w:r>
    </w:p>
    <w:p w:rsidR="00A86634" w:rsidRPr="00612E4E" w:rsidRDefault="00A86634" w:rsidP="00A86634">
      <w:pPr>
        <w:pStyle w:val="Sinespaciado"/>
        <w:jc w:val="center"/>
        <w:rPr>
          <w:rFonts w:ascii="Times New Roman" w:hAnsi="Times New Roman" w:cs="Times New Roman"/>
          <w:sz w:val="20"/>
        </w:rPr>
      </w:pPr>
      <w:r w:rsidRPr="00612E4E">
        <w:rPr>
          <w:rFonts w:ascii="Times New Roman" w:hAnsi="Times New Roman" w:cs="Times New Roman"/>
          <w:sz w:val="20"/>
        </w:rPr>
        <w:t>Periodo 1998-2013</w:t>
      </w:r>
    </w:p>
    <w:p w:rsidR="00A86634" w:rsidRPr="00612E4E" w:rsidRDefault="00A86634" w:rsidP="00A86634">
      <w:pPr>
        <w:pStyle w:val="Sinespaciado"/>
        <w:jc w:val="center"/>
        <w:rPr>
          <w:rFonts w:ascii="Times New Roman" w:hAnsi="Times New Roman" w:cs="Times New Roman"/>
          <w:i/>
          <w:sz w:val="20"/>
        </w:rPr>
      </w:pPr>
      <w:r w:rsidRPr="00612E4E">
        <w:rPr>
          <w:rFonts w:ascii="Times New Roman" w:hAnsi="Times New Roman" w:cs="Times New Roman"/>
          <w:i/>
          <w:sz w:val="20"/>
        </w:rPr>
        <w:t>(Cifras en porcentajes del PIB)</w:t>
      </w:r>
    </w:p>
    <w:p w:rsidR="00A86634" w:rsidRPr="00A86634" w:rsidRDefault="00A86634" w:rsidP="00EF5E98">
      <w:pPr>
        <w:pStyle w:val="Sinespaciado"/>
        <w:jc w:val="center"/>
        <w:rPr>
          <w:rFonts w:ascii="Times New Roman" w:hAnsi="Times New Roman" w:cs="Times New Roman"/>
          <w:sz w:val="18"/>
          <w:szCs w:val="20"/>
        </w:rPr>
      </w:pPr>
      <w:r w:rsidRPr="00612E4E">
        <w:rPr>
          <w:rFonts w:ascii="Times New Roman" w:hAnsi="Times New Roman" w:cs="Times New Roman"/>
          <w:noProof/>
          <w:sz w:val="20"/>
          <w:lang w:eastAsia="es-GT"/>
        </w:rPr>
        <w:drawing>
          <wp:inline distT="0" distB="0" distL="0" distR="0" wp14:anchorId="2FD6ADEC" wp14:editId="59DB0AE1">
            <wp:extent cx="5200153" cy="2587310"/>
            <wp:effectExtent l="0" t="0" r="63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8529" cy="2591478"/>
                    </a:xfrm>
                    <a:prstGeom prst="rect">
                      <a:avLst/>
                    </a:prstGeom>
                    <a:noFill/>
                    <a:ln>
                      <a:noFill/>
                    </a:ln>
                  </pic:spPr>
                </pic:pic>
              </a:graphicData>
            </a:graphic>
          </wp:inline>
        </w:drawing>
      </w:r>
    </w:p>
    <w:p w:rsidR="00A86634" w:rsidRPr="00A86634" w:rsidRDefault="00A86634" w:rsidP="00A86634">
      <w:pPr>
        <w:pStyle w:val="Sinespaciado"/>
        <w:jc w:val="both"/>
        <w:rPr>
          <w:rFonts w:ascii="Times New Roman" w:hAnsi="Times New Roman" w:cs="Times New Roman"/>
          <w:sz w:val="16"/>
          <w:szCs w:val="20"/>
        </w:rPr>
      </w:pPr>
      <w:r w:rsidRPr="00A86634">
        <w:rPr>
          <w:rFonts w:ascii="Times New Roman" w:hAnsi="Times New Roman" w:cs="Times New Roman"/>
          <w:sz w:val="16"/>
          <w:szCs w:val="20"/>
        </w:rPr>
        <w:t>Fuente: MINFIN, GIZ</w:t>
      </w:r>
    </w:p>
    <w:p w:rsidR="00A86634" w:rsidRPr="00A86634" w:rsidRDefault="00A86634" w:rsidP="00A86634">
      <w:pPr>
        <w:pStyle w:val="Sinespaciado"/>
        <w:jc w:val="both"/>
        <w:rPr>
          <w:rFonts w:ascii="Times New Roman" w:hAnsi="Times New Roman" w:cs="Times New Roman"/>
          <w:sz w:val="2"/>
        </w:rPr>
      </w:pPr>
    </w:p>
    <w:p w:rsidR="00A86634" w:rsidRPr="00612E4E" w:rsidRDefault="00A86634"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De acuerdo con las estimaciones del gasto asignado a la recon</w:t>
      </w:r>
      <w:r w:rsidR="00612E4E">
        <w:rPr>
          <w:rFonts w:ascii="Times New Roman" w:hAnsi="Times New Roman" w:cs="Times New Roman"/>
          <w:sz w:val="24"/>
        </w:rPr>
        <w:t xml:space="preserve">strucción, el impacto de Mitch </w:t>
      </w:r>
      <w:r w:rsidRPr="00612E4E">
        <w:rPr>
          <w:rFonts w:ascii="Times New Roman" w:hAnsi="Times New Roman" w:cs="Times New Roman"/>
          <w:sz w:val="24"/>
        </w:rPr>
        <w:t>causó incrementos sobre el déficit fiscal en términos del PIB en 1998 (0.2 %) y en 1999 (1.0%) ubicándose en 2.42 y 3.12 por ciento, respectivamente (SEGEPLAN 1999).</w:t>
      </w:r>
    </w:p>
    <w:p w:rsidR="00A86634" w:rsidRPr="00612E4E" w:rsidRDefault="00A86634"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En cuanto al comportamiento del déficit fiscal observado para los ejercicios fiscales de los años 2005 y 2006, este estuvo asociado, a un mayor gasto para financiar el Programa de Rehabilitación y Reconstrucción Originado por la Tormenta Tropical Stan (BANGUAT 2005). Derivado de lo anterior, el déficit fiscal en 2005 se situó en Q 3,593.8 millones, representado el 1.7 por ciento del PIB, al evaluar, en qué media se habría manifestado el déficit de no haberse producido la Tormenta Tropical Stan en 2005, este se hubiera situado en 1.3 por ciento del (MINFIN 2005).</w:t>
      </w:r>
    </w:p>
    <w:p w:rsidR="00A86634" w:rsidRPr="00612E4E" w:rsidRDefault="00A86634"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 xml:space="preserve">Para el 2010, se observa un incremento en el déficit fiscal de 0.2% del PIB, mientras que en 2011 el déficit se estimó en 0.8% del PIB, originados por el gasto realizado para la atención de la Tormenta Tropical Agatha (MINFIN 2011). </w:t>
      </w:r>
    </w:p>
    <w:p w:rsidR="00DB3C57" w:rsidRPr="009D340A" w:rsidRDefault="00DB3C57" w:rsidP="009D340A">
      <w:pPr>
        <w:pStyle w:val="Sinespaciado"/>
        <w:ind w:left="860"/>
        <w:jc w:val="both"/>
        <w:outlineLvl w:val="1"/>
        <w:rPr>
          <w:rFonts w:ascii="Times New Roman" w:hAnsi="Times New Roman" w:cs="Times New Roman"/>
          <w:b/>
          <w:sz w:val="24"/>
          <w:lang w:val="es-MX"/>
        </w:rPr>
      </w:pPr>
      <w:bookmarkStart w:id="118" w:name="_Toc508979690"/>
      <w:bookmarkStart w:id="119" w:name="_Toc508980048"/>
      <w:bookmarkStart w:id="120" w:name="_Toc508980201"/>
      <w:bookmarkStart w:id="121" w:name="_Toc508981242"/>
      <w:bookmarkStart w:id="122" w:name="_Toc508979691"/>
      <w:bookmarkStart w:id="123" w:name="_Toc508980049"/>
      <w:bookmarkStart w:id="124" w:name="_Toc508980202"/>
      <w:bookmarkStart w:id="125" w:name="_Toc508981243"/>
      <w:bookmarkStart w:id="126" w:name="_Toc508979692"/>
      <w:bookmarkStart w:id="127" w:name="_Toc508980050"/>
      <w:bookmarkStart w:id="128" w:name="_Toc508980203"/>
      <w:bookmarkStart w:id="129" w:name="_Toc508981244"/>
      <w:bookmarkStart w:id="130" w:name="_Toc508979693"/>
      <w:bookmarkStart w:id="131" w:name="_Toc508980051"/>
      <w:bookmarkStart w:id="132" w:name="_Toc508980204"/>
      <w:bookmarkStart w:id="133" w:name="_Toc508981245"/>
      <w:bookmarkStart w:id="134" w:name="_Toc508979694"/>
      <w:bookmarkStart w:id="135" w:name="_Toc508980052"/>
      <w:bookmarkStart w:id="136" w:name="_Toc508980205"/>
      <w:bookmarkStart w:id="137" w:name="_Toc508981246"/>
      <w:bookmarkStart w:id="138" w:name="_Toc508720905"/>
      <w:bookmarkStart w:id="139" w:name="_Toc508727311"/>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86634" w:rsidRPr="00A86634" w:rsidRDefault="00A86634" w:rsidP="009D340A">
      <w:pPr>
        <w:pStyle w:val="Sinespaciado"/>
        <w:numPr>
          <w:ilvl w:val="1"/>
          <w:numId w:val="18"/>
        </w:numPr>
        <w:ind w:left="860"/>
        <w:jc w:val="both"/>
        <w:outlineLvl w:val="1"/>
        <w:rPr>
          <w:rFonts w:ascii="Times New Roman" w:hAnsi="Times New Roman" w:cs="Times New Roman"/>
          <w:b/>
        </w:rPr>
      </w:pPr>
      <w:bookmarkStart w:id="140" w:name="_Toc509214760"/>
      <w:r w:rsidRPr="009D340A">
        <w:rPr>
          <w:rFonts w:ascii="Times New Roman" w:hAnsi="Times New Roman" w:cs="Times New Roman"/>
          <w:b/>
          <w:sz w:val="24"/>
          <w:lang w:val="es-MX"/>
        </w:rPr>
        <w:t>Vulnerabilidad fiscal ante los desastres ocasionados por fenómenos naturales</w:t>
      </w:r>
      <w:bookmarkEnd w:id="138"/>
      <w:bookmarkEnd w:id="139"/>
      <w:bookmarkEnd w:id="140"/>
      <w:r w:rsidRPr="00A86634">
        <w:rPr>
          <w:rFonts w:ascii="Times New Roman" w:hAnsi="Times New Roman" w:cs="Times New Roman"/>
          <w:b/>
        </w:rPr>
        <w:t xml:space="preserve"> </w:t>
      </w:r>
      <w:r w:rsidR="00557268">
        <w:rPr>
          <w:rFonts w:ascii="Times New Roman" w:hAnsi="Times New Roman" w:cs="Times New Roman"/>
          <w:b/>
        </w:rPr>
        <w:t xml:space="preserve">  </w:t>
      </w:r>
    </w:p>
    <w:p w:rsidR="00A86634" w:rsidRDefault="00A86634" w:rsidP="00A86634">
      <w:pPr>
        <w:pStyle w:val="Sinespaciado"/>
        <w:jc w:val="both"/>
        <w:rPr>
          <w:rFonts w:ascii="Times New Roman" w:hAnsi="Times New Roman" w:cs="Times New Roman"/>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 xml:space="preserve">De acuerdo con el Banco Mundial, los datos históricos de los que se dispone son insuficientes para cuantificar el riesgo de desastres que enfrenta Guatemala para eventos poco frecuentes y severos. La serie histórica disponible no permite reflejar el perfil completo de las amenazas naturales que pueden afectar al país. Esto se debe, al corto período que cubren los datos de pérdidas por desastres, de forma que limitar el análisis a la evaluación de datos históricos podría llevar a subestimar el potencial de las pérdidas por desastres. Además, los datos no reflejan el crecimiento y la acumulación de activos que ha experimentado el país a lo largo del tiempo y que pudieran verse afectados por algún nuevo evento. </w:t>
      </w:r>
    </w:p>
    <w:p w:rsidR="00047A77" w:rsidRPr="00612E4E" w:rsidRDefault="00047A77" w:rsidP="00A86634">
      <w:pPr>
        <w:pStyle w:val="Sinespaciado"/>
        <w:jc w:val="both"/>
        <w:rPr>
          <w:rFonts w:ascii="Times New Roman" w:hAnsi="Times New Roman" w:cs="Times New Roman"/>
          <w:sz w:val="24"/>
        </w:rPr>
      </w:pPr>
    </w:p>
    <w:p w:rsidR="00A86634" w:rsidRPr="00612E4E" w:rsidRDefault="00A86634" w:rsidP="00A86634">
      <w:pPr>
        <w:pStyle w:val="Sinespaciado"/>
        <w:jc w:val="both"/>
        <w:rPr>
          <w:rFonts w:ascii="Times New Roman" w:hAnsi="Times New Roman" w:cs="Times New Roman"/>
          <w:sz w:val="24"/>
        </w:rPr>
      </w:pPr>
      <w:r w:rsidRPr="00612E4E">
        <w:rPr>
          <w:rFonts w:ascii="Times New Roman" w:hAnsi="Times New Roman" w:cs="Times New Roman"/>
          <w:sz w:val="24"/>
        </w:rPr>
        <w:t>Sin embargo, las estimaciones del Banco Mundial señalan que los eventos por exceso de lluvias pueden provocar un nivel de pérdidas significativo, existiendo una probabilidad anual del 20% de que las pérdidas por exceso de lluvias superen los US$464 millones, equivalente al 0.7% del PIB. Los resultados del modelo indican que la pérdida promedio anual probable por exceso de lluvias sería de unos US$595 millones, equivalente al 0.9% del PIB.</w:t>
      </w:r>
    </w:p>
    <w:p w:rsidR="00612E4E" w:rsidRPr="0059661F" w:rsidRDefault="00612E4E" w:rsidP="00A86634">
      <w:pPr>
        <w:pStyle w:val="Sinespaciado"/>
        <w:jc w:val="center"/>
        <w:rPr>
          <w:rFonts w:ascii="Times New Roman" w:eastAsia="Calibri" w:hAnsi="Times New Roman" w:cs="Times New Roman"/>
          <w:sz w:val="24"/>
          <w:lang w:val="es-MX"/>
        </w:rPr>
      </w:pPr>
    </w:p>
    <w:p w:rsidR="00EF5E98" w:rsidRDefault="00BC6054" w:rsidP="00A86634">
      <w:pPr>
        <w:pStyle w:val="Sinespaciado"/>
        <w:jc w:val="center"/>
        <w:rPr>
          <w:rFonts w:ascii="Times New Roman" w:eastAsia="Calibri" w:hAnsi="Times New Roman" w:cs="Times New Roman"/>
          <w:b/>
          <w:sz w:val="24"/>
          <w:lang w:val="es-MX"/>
        </w:rPr>
      </w:pPr>
      <w:r>
        <w:rPr>
          <w:rFonts w:ascii="Times New Roman" w:eastAsia="Calibri" w:hAnsi="Times New Roman" w:cs="Times New Roman"/>
          <w:b/>
          <w:sz w:val="24"/>
          <w:lang w:val="es-MX"/>
        </w:rPr>
        <w:t>Cuadro 5</w:t>
      </w:r>
    </w:p>
    <w:p w:rsidR="00A86634" w:rsidRPr="00EF5E98" w:rsidRDefault="00A86634" w:rsidP="00EF5E98">
      <w:pPr>
        <w:pStyle w:val="Sinespaciado"/>
        <w:jc w:val="center"/>
        <w:rPr>
          <w:rFonts w:ascii="Times New Roman" w:eastAsia="Calibri" w:hAnsi="Times New Roman" w:cs="Times New Roman"/>
          <w:b/>
          <w:sz w:val="24"/>
          <w:lang w:val="es-MX"/>
        </w:rPr>
      </w:pPr>
      <w:r w:rsidRPr="0059661F">
        <w:rPr>
          <w:rFonts w:ascii="Times New Roman" w:eastAsia="Calibri" w:hAnsi="Times New Roman" w:cs="Times New Roman"/>
          <w:b/>
          <w:sz w:val="24"/>
          <w:lang w:val="es-MX"/>
        </w:rPr>
        <w:t>Pérdida promedio anual y pérdida máxima probable por exceso de lluvias</w:t>
      </w:r>
    </w:p>
    <w:tbl>
      <w:tblPr>
        <w:tblW w:w="6420" w:type="dxa"/>
        <w:jc w:val="center"/>
        <w:tblLook w:val="04A0" w:firstRow="1" w:lastRow="0" w:firstColumn="1" w:lastColumn="0" w:noHBand="0" w:noVBand="1"/>
      </w:tblPr>
      <w:tblGrid>
        <w:gridCol w:w="1485"/>
        <w:gridCol w:w="1559"/>
        <w:gridCol w:w="1701"/>
        <w:gridCol w:w="1675"/>
      </w:tblGrid>
      <w:tr w:rsidR="00A86634" w:rsidRPr="00A86634" w:rsidTr="00ED1197">
        <w:trPr>
          <w:trHeight w:val="38"/>
          <w:jc w:val="center"/>
        </w:trPr>
        <w:tc>
          <w:tcPr>
            <w:tcW w:w="1485" w:type="dxa"/>
            <w:tcBorders>
              <w:top w:val="single" w:sz="8" w:space="0" w:color="auto"/>
              <w:left w:val="single" w:sz="8" w:space="0" w:color="auto"/>
              <w:bottom w:val="single" w:sz="8" w:space="0" w:color="auto"/>
              <w:right w:val="single" w:sz="8" w:space="0" w:color="auto"/>
            </w:tcBorders>
            <w:shd w:val="clear" w:color="auto" w:fill="D9E2F3"/>
            <w:noWrap/>
            <w:vAlign w:val="center"/>
            <w:hideMark/>
          </w:tcPr>
          <w:p w:rsidR="00A86634" w:rsidRPr="00EF5E98" w:rsidRDefault="00A86634" w:rsidP="00A86634">
            <w:pPr>
              <w:pStyle w:val="Sinespaciado"/>
              <w:jc w:val="both"/>
              <w:rPr>
                <w:rFonts w:ascii="Times New Roman" w:eastAsia="Times New Roman" w:hAnsi="Times New Roman" w:cs="Times New Roman"/>
                <w:bCs/>
                <w:i/>
                <w:iCs/>
                <w:sz w:val="18"/>
                <w:lang w:val="es-MX"/>
              </w:rPr>
            </w:pPr>
            <w:r w:rsidRPr="00EF5E98">
              <w:rPr>
                <w:rFonts w:ascii="Times New Roman" w:eastAsia="Times New Roman" w:hAnsi="Times New Roman" w:cs="Times New Roman"/>
                <w:bCs/>
                <w:i/>
                <w:iCs/>
                <w:sz w:val="18"/>
                <w:lang w:val="es-MX"/>
              </w:rPr>
              <w:t>Periodo de retorno (años)</w:t>
            </w:r>
          </w:p>
        </w:tc>
        <w:tc>
          <w:tcPr>
            <w:tcW w:w="1559" w:type="dxa"/>
            <w:tcBorders>
              <w:top w:val="single" w:sz="8" w:space="0" w:color="auto"/>
              <w:left w:val="nil"/>
              <w:bottom w:val="single" w:sz="8" w:space="0" w:color="auto"/>
              <w:right w:val="single" w:sz="8" w:space="0" w:color="auto"/>
            </w:tcBorders>
            <w:shd w:val="clear" w:color="auto" w:fill="D9E2F3"/>
            <w:vAlign w:val="center"/>
            <w:hideMark/>
          </w:tcPr>
          <w:p w:rsidR="00A86634" w:rsidRPr="00EF5E98" w:rsidRDefault="00A86634" w:rsidP="00A86634">
            <w:pPr>
              <w:pStyle w:val="Sinespaciado"/>
              <w:jc w:val="both"/>
              <w:rPr>
                <w:rFonts w:ascii="Times New Roman" w:eastAsia="Times New Roman" w:hAnsi="Times New Roman" w:cs="Times New Roman"/>
                <w:bCs/>
                <w:i/>
                <w:iCs/>
                <w:sz w:val="18"/>
                <w:lang w:val="es-MX"/>
              </w:rPr>
            </w:pPr>
            <w:r w:rsidRPr="00EF5E98">
              <w:rPr>
                <w:rFonts w:ascii="Times New Roman" w:eastAsia="Times New Roman" w:hAnsi="Times New Roman" w:cs="Times New Roman"/>
                <w:bCs/>
                <w:i/>
                <w:iCs/>
                <w:sz w:val="18"/>
                <w:lang w:val="es-MX"/>
              </w:rPr>
              <w:t>Probabilidad anual de ocurrencia</w:t>
            </w:r>
          </w:p>
        </w:tc>
        <w:tc>
          <w:tcPr>
            <w:tcW w:w="1701" w:type="dxa"/>
            <w:tcBorders>
              <w:top w:val="single" w:sz="8" w:space="0" w:color="auto"/>
              <w:left w:val="nil"/>
              <w:bottom w:val="single" w:sz="8" w:space="0" w:color="auto"/>
              <w:right w:val="single" w:sz="8" w:space="0" w:color="auto"/>
            </w:tcBorders>
            <w:shd w:val="clear" w:color="auto" w:fill="D9E2F3"/>
            <w:vAlign w:val="center"/>
            <w:hideMark/>
          </w:tcPr>
          <w:p w:rsidR="00A86634" w:rsidRPr="00EF5E98" w:rsidRDefault="00A86634" w:rsidP="00A86634">
            <w:pPr>
              <w:pStyle w:val="Sinespaciado"/>
              <w:jc w:val="both"/>
              <w:rPr>
                <w:rFonts w:ascii="Times New Roman" w:eastAsia="Times New Roman" w:hAnsi="Times New Roman" w:cs="Times New Roman"/>
                <w:bCs/>
                <w:i/>
                <w:iCs/>
                <w:sz w:val="18"/>
                <w:lang w:val="es-MX"/>
              </w:rPr>
            </w:pPr>
            <w:r w:rsidRPr="00EF5E98">
              <w:rPr>
                <w:rFonts w:ascii="Times New Roman" w:eastAsia="Times New Roman" w:hAnsi="Times New Roman" w:cs="Times New Roman"/>
                <w:bCs/>
                <w:i/>
                <w:iCs/>
                <w:sz w:val="18"/>
                <w:lang w:val="es-MX"/>
              </w:rPr>
              <w:t>Valores de pérdidas modeladas (US$ millones)</w:t>
            </w:r>
          </w:p>
        </w:tc>
        <w:tc>
          <w:tcPr>
            <w:tcW w:w="1675" w:type="dxa"/>
            <w:tcBorders>
              <w:top w:val="single" w:sz="8" w:space="0" w:color="auto"/>
              <w:left w:val="nil"/>
              <w:bottom w:val="single" w:sz="8" w:space="0" w:color="auto"/>
              <w:right w:val="single" w:sz="8" w:space="0" w:color="auto"/>
            </w:tcBorders>
            <w:shd w:val="clear" w:color="auto" w:fill="D9E2F3"/>
            <w:vAlign w:val="center"/>
            <w:hideMark/>
          </w:tcPr>
          <w:p w:rsidR="00A86634" w:rsidRPr="00EF5E98" w:rsidRDefault="00A86634" w:rsidP="00A86634">
            <w:pPr>
              <w:pStyle w:val="Sinespaciado"/>
              <w:jc w:val="both"/>
              <w:rPr>
                <w:rFonts w:ascii="Times New Roman" w:eastAsia="Times New Roman" w:hAnsi="Times New Roman" w:cs="Times New Roman"/>
                <w:bCs/>
                <w:i/>
                <w:iCs/>
                <w:sz w:val="18"/>
                <w:lang w:val="es-MX"/>
              </w:rPr>
            </w:pPr>
            <w:r w:rsidRPr="00EF5E98">
              <w:rPr>
                <w:rFonts w:ascii="Times New Roman" w:eastAsia="Times New Roman" w:hAnsi="Times New Roman" w:cs="Times New Roman"/>
                <w:bCs/>
                <w:i/>
                <w:iCs/>
                <w:sz w:val="18"/>
                <w:lang w:val="es-MX"/>
              </w:rPr>
              <w:t>Equivalente en % del PIB 2015</w:t>
            </w:r>
          </w:p>
        </w:tc>
      </w:tr>
      <w:tr w:rsidR="00A86634" w:rsidRPr="00A86634" w:rsidTr="00ED1197">
        <w:trPr>
          <w:trHeight w:val="314"/>
          <w:jc w:val="center"/>
        </w:trPr>
        <w:tc>
          <w:tcPr>
            <w:tcW w:w="1485" w:type="dxa"/>
            <w:tcBorders>
              <w:top w:val="nil"/>
              <w:left w:val="single" w:sz="8" w:space="0" w:color="auto"/>
              <w:bottom w:val="nil"/>
              <w:right w:val="single" w:sz="8" w:space="0" w:color="auto"/>
            </w:tcBorders>
            <w:shd w:val="clear" w:color="auto" w:fill="D9E2F3"/>
            <w:noWrap/>
            <w:vAlign w:val="center"/>
            <w:hideMark/>
          </w:tcPr>
          <w:p w:rsidR="00A86634" w:rsidRPr="00EF5E98" w:rsidRDefault="00A86634" w:rsidP="00A86634">
            <w:pPr>
              <w:pStyle w:val="Sinespaciado"/>
              <w:jc w:val="both"/>
              <w:rPr>
                <w:rFonts w:ascii="Times New Roman" w:eastAsia="Times New Roman" w:hAnsi="Times New Roman" w:cs="Times New Roman"/>
                <w:b/>
                <w:sz w:val="18"/>
                <w:lang w:val="es-MX"/>
              </w:rPr>
            </w:pPr>
            <w:r w:rsidRPr="00EF5E98">
              <w:rPr>
                <w:rFonts w:ascii="Times New Roman" w:eastAsia="Times New Roman" w:hAnsi="Times New Roman" w:cs="Times New Roman"/>
                <w:b/>
                <w:sz w:val="18"/>
                <w:lang w:val="es-MX"/>
              </w:rPr>
              <w:t>5</w:t>
            </w:r>
          </w:p>
        </w:tc>
        <w:tc>
          <w:tcPr>
            <w:tcW w:w="1559" w:type="dxa"/>
            <w:tcBorders>
              <w:top w:val="nil"/>
              <w:left w:val="nil"/>
              <w:bottom w:val="nil"/>
              <w:right w:val="single" w:sz="8" w:space="0" w:color="auto"/>
            </w:tcBorders>
            <w:shd w:val="clear" w:color="auto" w:fill="FFFFFF"/>
            <w:noWrap/>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20.0%</w:t>
            </w:r>
          </w:p>
        </w:tc>
        <w:tc>
          <w:tcPr>
            <w:tcW w:w="1701"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464</w:t>
            </w:r>
          </w:p>
        </w:tc>
        <w:tc>
          <w:tcPr>
            <w:tcW w:w="1675"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0.7%</w:t>
            </w:r>
          </w:p>
        </w:tc>
      </w:tr>
      <w:tr w:rsidR="00A86634" w:rsidRPr="00A86634" w:rsidTr="00ED1197">
        <w:trPr>
          <w:trHeight w:val="314"/>
          <w:jc w:val="center"/>
        </w:trPr>
        <w:tc>
          <w:tcPr>
            <w:tcW w:w="1485" w:type="dxa"/>
            <w:tcBorders>
              <w:top w:val="nil"/>
              <w:left w:val="single" w:sz="8" w:space="0" w:color="auto"/>
              <w:bottom w:val="nil"/>
              <w:right w:val="single" w:sz="8" w:space="0" w:color="auto"/>
            </w:tcBorders>
            <w:shd w:val="clear" w:color="auto" w:fill="D9E2F3"/>
            <w:noWrap/>
            <w:vAlign w:val="center"/>
            <w:hideMark/>
          </w:tcPr>
          <w:p w:rsidR="00A86634" w:rsidRPr="00EF5E98" w:rsidRDefault="00A86634" w:rsidP="00A86634">
            <w:pPr>
              <w:pStyle w:val="Sinespaciado"/>
              <w:jc w:val="both"/>
              <w:rPr>
                <w:rFonts w:ascii="Times New Roman" w:eastAsia="Times New Roman" w:hAnsi="Times New Roman" w:cs="Times New Roman"/>
                <w:b/>
                <w:sz w:val="18"/>
                <w:lang w:val="es-MX"/>
              </w:rPr>
            </w:pPr>
            <w:r w:rsidRPr="00EF5E98">
              <w:rPr>
                <w:rFonts w:ascii="Times New Roman" w:eastAsia="Times New Roman" w:hAnsi="Times New Roman" w:cs="Times New Roman"/>
                <w:b/>
                <w:sz w:val="18"/>
                <w:lang w:val="es-MX"/>
              </w:rPr>
              <w:t>10</w:t>
            </w:r>
          </w:p>
        </w:tc>
        <w:tc>
          <w:tcPr>
            <w:tcW w:w="1559" w:type="dxa"/>
            <w:tcBorders>
              <w:top w:val="nil"/>
              <w:left w:val="nil"/>
              <w:bottom w:val="nil"/>
              <w:right w:val="single" w:sz="8" w:space="0" w:color="auto"/>
            </w:tcBorders>
            <w:shd w:val="clear" w:color="auto" w:fill="FFFFFF"/>
            <w:noWrap/>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10.0%</w:t>
            </w:r>
          </w:p>
        </w:tc>
        <w:tc>
          <w:tcPr>
            <w:tcW w:w="1701"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801</w:t>
            </w:r>
          </w:p>
        </w:tc>
        <w:tc>
          <w:tcPr>
            <w:tcW w:w="1675"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1.3%</w:t>
            </w:r>
          </w:p>
        </w:tc>
      </w:tr>
      <w:tr w:rsidR="00A86634" w:rsidRPr="00A86634" w:rsidTr="00ED1197">
        <w:trPr>
          <w:trHeight w:val="315"/>
          <w:jc w:val="center"/>
        </w:trPr>
        <w:tc>
          <w:tcPr>
            <w:tcW w:w="1485" w:type="dxa"/>
            <w:tcBorders>
              <w:top w:val="nil"/>
              <w:left w:val="single" w:sz="8" w:space="0" w:color="auto"/>
              <w:bottom w:val="nil"/>
              <w:right w:val="single" w:sz="8" w:space="0" w:color="auto"/>
            </w:tcBorders>
            <w:shd w:val="clear" w:color="auto" w:fill="D9E2F3"/>
            <w:noWrap/>
            <w:vAlign w:val="center"/>
            <w:hideMark/>
          </w:tcPr>
          <w:p w:rsidR="00A86634" w:rsidRPr="00EF5E98" w:rsidRDefault="00A86634" w:rsidP="00A86634">
            <w:pPr>
              <w:pStyle w:val="Sinespaciado"/>
              <w:jc w:val="both"/>
              <w:rPr>
                <w:rFonts w:ascii="Times New Roman" w:eastAsia="Times New Roman" w:hAnsi="Times New Roman" w:cs="Times New Roman"/>
                <w:b/>
                <w:sz w:val="18"/>
                <w:lang w:val="es-MX"/>
              </w:rPr>
            </w:pPr>
            <w:r w:rsidRPr="00EF5E98">
              <w:rPr>
                <w:rFonts w:ascii="Times New Roman" w:eastAsia="Times New Roman" w:hAnsi="Times New Roman" w:cs="Times New Roman"/>
                <w:b/>
                <w:sz w:val="18"/>
                <w:lang w:val="es-MX"/>
              </w:rPr>
              <w:t>20</w:t>
            </w:r>
          </w:p>
        </w:tc>
        <w:tc>
          <w:tcPr>
            <w:tcW w:w="1559" w:type="dxa"/>
            <w:tcBorders>
              <w:top w:val="nil"/>
              <w:left w:val="nil"/>
              <w:bottom w:val="nil"/>
              <w:right w:val="single" w:sz="8" w:space="0" w:color="auto"/>
            </w:tcBorders>
            <w:shd w:val="clear" w:color="auto" w:fill="FFFFFF"/>
            <w:noWrap/>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5.0%</w:t>
            </w:r>
          </w:p>
        </w:tc>
        <w:tc>
          <w:tcPr>
            <w:tcW w:w="1701"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1,566</w:t>
            </w:r>
          </w:p>
        </w:tc>
        <w:tc>
          <w:tcPr>
            <w:tcW w:w="1675"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2.5%</w:t>
            </w:r>
          </w:p>
        </w:tc>
      </w:tr>
      <w:tr w:rsidR="00A86634" w:rsidRPr="00A86634" w:rsidTr="00ED1197">
        <w:trPr>
          <w:trHeight w:val="314"/>
          <w:jc w:val="center"/>
        </w:trPr>
        <w:tc>
          <w:tcPr>
            <w:tcW w:w="1485" w:type="dxa"/>
            <w:tcBorders>
              <w:top w:val="nil"/>
              <w:left w:val="single" w:sz="8" w:space="0" w:color="auto"/>
              <w:bottom w:val="nil"/>
              <w:right w:val="single" w:sz="8" w:space="0" w:color="auto"/>
            </w:tcBorders>
            <w:shd w:val="clear" w:color="auto" w:fill="D9E2F3"/>
            <w:noWrap/>
            <w:vAlign w:val="center"/>
            <w:hideMark/>
          </w:tcPr>
          <w:p w:rsidR="00A86634" w:rsidRPr="00EF5E98" w:rsidRDefault="00A86634" w:rsidP="00A86634">
            <w:pPr>
              <w:pStyle w:val="Sinespaciado"/>
              <w:jc w:val="both"/>
              <w:rPr>
                <w:rFonts w:ascii="Times New Roman" w:eastAsia="Times New Roman" w:hAnsi="Times New Roman" w:cs="Times New Roman"/>
                <w:b/>
                <w:sz w:val="18"/>
                <w:lang w:val="es-MX"/>
              </w:rPr>
            </w:pPr>
            <w:r w:rsidRPr="00EF5E98">
              <w:rPr>
                <w:rFonts w:ascii="Times New Roman" w:eastAsia="Times New Roman" w:hAnsi="Times New Roman" w:cs="Times New Roman"/>
                <w:b/>
                <w:sz w:val="18"/>
                <w:lang w:val="es-MX"/>
              </w:rPr>
              <w:t>50</w:t>
            </w:r>
          </w:p>
        </w:tc>
        <w:tc>
          <w:tcPr>
            <w:tcW w:w="1559" w:type="dxa"/>
            <w:tcBorders>
              <w:top w:val="nil"/>
              <w:left w:val="nil"/>
              <w:bottom w:val="nil"/>
              <w:right w:val="single" w:sz="8" w:space="0" w:color="auto"/>
            </w:tcBorders>
            <w:shd w:val="clear" w:color="auto" w:fill="FFFFFF"/>
            <w:noWrap/>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2.0%</w:t>
            </w:r>
          </w:p>
        </w:tc>
        <w:tc>
          <w:tcPr>
            <w:tcW w:w="1701"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3,846</w:t>
            </w:r>
          </w:p>
        </w:tc>
        <w:tc>
          <w:tcPr>
            <w:tcW w:w="1675"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6.0%</w:t>
            </w:r>
          </w:p>
        </w:tc>
      </w:tr>
      <w:tr w:rsidR="00A86634" w:rsidRPr="00A86634" w:rsidTr="00ED1197">
        <w:trPr>
          <w:trHeight w:val="315"/>
          <w:jc w:val="center"/>
        </w:trPr>
        <w:tc>
          <w:tcPr>
            <w:tcW w:w="1485" w:type="dxa"/>
            <w:tcBorders>
              <w:top w:val="nil"/>
              <w:left w:val="single" w:sz="8" w:space="0" w:color="auto"/>
              <w:bottom w:val="nil"/>
              <w:right w:val="single" w:sz="8" w:space="0" w:color="auto"/>
            </w:tcBorders>
            <w:shd w:val="clear" w:color="auto" w:fill="D9E2F3"/>
            <w:noWrap/>
            <w:vAlign w:val="center"/>
            <w:hideMark/>
          </w:tcPr>
          <w:p w:rsidR="00A86634" w:rsidRPr="00EF5E98" w:rsidRDefault="00A86634" w:rsidP="00A86634">
            <w:pPr>
              <w:pStyle w:val="Sinespaciado"/>
              <w:jc w:val="both"/>
              <w:rPr>
                <w:rFonts w:ascii="Times New Roman" w:eastAsia="Times New Roman" w:hAnsi="Times New Roman" w:cs="Times New Roman"/>
                <w:b/>
                <w:sz w:val="18"/>
                <w:lang w:val="es-MX"/>
              </w:rPr>
            </w:pPr>
            <w:r w:rsidRPr="00EF5E98">
              <w:rPr>
                <w:rFonts w:ascii="Times New Roman" w:eastAsia="Times New Roman" w:hAnsi="Times New Roman" w:cs="Times New Roman"/>
                <w:b/>
                <w:sz w:val="18"/>
                <w:lang w:val="es-MX"/>
              </w:rPr>
              <w:t>100</w:t>
            </w:r>
          </w:p>
        </w:tc>
        <w:tc>
          <w:tcPr>
            <w:tcW w:w="1559" w:type="dxa"/>
            <w:tcBorders>
              <w:top w:val="nil"/>
              <w:left w:val="nil"/>
              <w:bottom w:val="nil"/>
              <w:right w:val="single" w:sz="8" w:space="0" w:color="auto"/>
            </w:tcBorders>
            <w:shd w:val="clear" w:color="auto" w:fill="FFFFFF"/>
            <w:noWrap/>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1.0%</w:t>
            </w:r>
          </w:p>
        </w:tc>
        <w:tc>
          <w:tcPr>
            <w:tcW w:w="1701"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6,883</w:t>
            </w:r>
          </w:p>
        </w:tc>
        <w:tc>
          <w:tcPr>
            <w:tcW w:w="1675"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10.8%</w:t>
            </w:r>
          </w:p>
        </w:tc>
      </w:tr>
      <w:tr w:rsidR="00A86634" w:rsidRPr="00A86634" w:rsidTr="00ED1197">
        <w:trPr>
          <w:trHeight w:val="314"/>
          <w:jc w:val="center"/>
        </w:trPr>
        <w:tc>
          <w:tcPr>
            <w:tcW w:w="1485" w:type="dxa"/>
            <w:tcBorders>
              <w:top w:val="nil"/>
              <w:left w:val="single" w:sz="8" w:space="0" w:color="auto"/>
              <w:bottom w:val="nil"/>
              <w:right w:val="single" w:sz="8" w:space="0" w:color="auto"/>
            </w:tcBorders>
            <w:shd w:val="clear" w:color="auto" w:fill="D9E2F3"/>
            <w:noWrap/>
            <w:vAlign w:val="center"/>
            <w:hideMark/>
          </w:tcPr>
          <w:p w:rsidR="00A86634" w:rsidRPr="00EF5E98" w:rsidRDefault="00A86634" w:rsidP="00A86634">
            <w:pPr>
              <w:pStyle w:val="Sinespaciado"/>
              <w:jc w:val="both"/>
              <w:rPr>
                <w:rFonts w:ascii="Times New Roman" w:eastAsia="Times New Roman" w:hAnsi="Times New Roman" w:cs="Times New Roman"/>
                <w:b/>
                <w:sz w:val="18"/>
                <w:lang w:val="es-MX"/>
              </w:rPr>
            </w:pPr>
            <w:r w:rsidRPr="00EF5E98">
              <w:rPr>
                <w:rFonts w:ascii="Times New Roman" w:eastAsia="Times New Roman" w:hAnsi="Times New Roman" w:cs="Times New Roman"/>
                <w:b/>
                <w:sz w:val="18"/>
                <w:lang w:val="es-MX"/>
              </w:rPr>
              <w:t>250</w:t>
            </w:r>
          </w:p>
        </w:tc>
        <w:tc>
          <w:tcPr>
            <w:tcW w:w="1559" w:type="dxa"/>
            <w:tcBorders>
              <w:top w:val="nil"/>
              <w:left w:val="nil"/>
              <w:bottom w:val="nil"/>
              <w:right w:val="single" w:sz="8" w:space="0" w:color="auto"/>
            </w:tcBorders>
            <w:shd w:val="clear" w:color="auto" w:fill="FFFFFF"/>
            <w:noWrap/>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0.4%</w:t>
            </w:r>
          </w:p>
        </w:tc>
        <w:tc>
          <w:tcPr>
            <w:tcW w:w="1701"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14,965</w:t>
            </w:r>
          </w:p>
        </w:tc>
        <w:tc>
          <w:tcPr>
            <w:tcW w:w="1675" w:type="dxa"/>
            <w:tcBorders>
              <w:top w:val="nil"/>
              <w:left w:val="nil"/>
              <w:bottom w:val="nil"/>
              <w:right w:val="single" w:sz="8" w:space="0" w:color="auto"/>
            </w:tcBorders>
            <w:shd w:val="clear" w:color="auto" w:fill="FFFFFF"/>
            <w:vAlign w:val="center"/>
            <w:hideMark/>
          </w:tcPr>
          <w:p w:rsidR="00A86634" w:rsidRPr="00EF5E98" w:rsidRDefault="00A86634" w:rsidP="00A86634">
            <w:pPr>
              <w:pStyle w:val="Sinespaciado"/>
              <w:jc w:val="both"/>
              <w:rPr>
                <w:rFonts w:ascii="Times New Roman" w:eastAsia="Times New Roman" w:hAnsi="Times New Roman" w:cs="Times New Roman"/>
                <w:sz w:val="18"/>
                <w:lang w:val="es-MX"/>
              </w:rPr>
            </w:pPr>
            <w:r w:rsidRPr="00EF5E98">
              <w:rPr>
                <w:rFonts w:ascii="Times New Roman" w:eastAsia="Times New Roman" w:hAnsi="Times New Roman" w:cs="Times New Roman"/>
                <w:sz w:val="18"/>
                <w:lang w:val="es-MX"/>
              </w:rPr>
              <w:t>23.5%</w:t>
            </w:r>
          </w:p>
        </w:tc>
      </w:tr>
      <w:tr w:rsidR="00A86634" w:rsidRPr="00A86634" w:rsidTr="00ED1197">
        <w:trPr>
          <w:trHeight w:val="125"/>
          <w:jc w:val="center"/>
        </w:trPr>
        <w:tc>
          <w:tcPr>
            <w:tcW w:w="3044" w:type="dxa"/>
            <w:gridSpan w:val="2"/>
            <w:tcBorders>
              <w:top w:val="single" w:sz="8" w:space="0" w:color="auto"/>
              <w:left w:val="single" w:sz="8" w:space="0" w:color="auto"/>
              <w:bottom w:val="single" w:sz="8" w:space="0" w:color="auto"/>
              <w:right w:val="single" w:sz="8" w:space="0" w:color="000000"/>
            </w:tcBorders>
            <w:shd w:val="clear" w:color="auto" w:fill="D9E2F3"/>
            <w:noWrap/>
            <w:vAlign w:val="center"/>
            <w:hideMark/>
          </w:tcPr>
          <w:p w:rsidR="00A86634" w:rsidRPr="00EF5E98" w:rsidRDefault="00A86634" w:rsidP="00A86634">
            <w:pPr>
              <w:pStyle w:val="Sinespaciado"/>
              <w:jc w:val="both"/>
              <w:rPr>
                <w:rFonts w:ascii="Times New Roman" w:eastAsia="Times New Roman" w:hAnsi="Times New Roman" w:cs="Times New Roman"/>
                <w:b/>
                <w:bCs/>
                <w:i/>
                <w:iCs/>
                <w:sz w:val="18"/>
                <w:lang w:val="es-MX"/>
              </w:rPr>
            </w:pPr>
            <w:r w:rsidRPr="00EF5E98">
              <w:rPr>
                <w:rFonts w:ascii="Times New Roman" w:eastAsia="Times New Roman" w:hAnsi="Times New Roman" w:cs="Times New Roman"/>
                <w:b/>
                <w:bCs/>
                <w:i/>
                <w:iCs/>
                <w:sz w:val="18"/>
                <w:lang w:val="es-MX"/>
              </w:rPr>
              <w:t>Pérdida Promedio Anual</w:t>
            </w:r>
          </w:p>
        </w:tc>
        <w:tc>
          <w:tcPr>
            <w:tcW w:w="1701" w:type="dxa"/>
            <w:tcBorders>
              <w:top w:val="single" w:sz="8" w:space="0" w:color="auto"/>
              <w:left w:val="nil"/>
              <w:bottom w:val="single" w:sz="8" w:space="0" w:color="auto"/>
              <w:right w:val="single" w:sz="8" w:space="0" w:color="auto"/>
            </w:tcBorders>
            <w:shd w:val="clear" w:color="auto" w:fill="D9E2F3"/>
            <w:vAlign w:val="center"/>
            <w:hideMark/>
          </w:tcPr>
          <w:p w:rsidR="00A86634" w:rsidRPr="00EF5E98" w:rsidRDefault="00A86634" w:rsidP="00A86634">
            <w:pPr>
              <w:pStyle w:val="Sinespaciado"/>
              <w:jc w:val="both"/>
              <w:rPr>
                <w:rFonts w:ascii="Times New Roman" w:eastAsia="Times New Roman" w:hAnsi="Times New Roman" w:cs="Times New Roman"/>
                <w:b/>
                <w:bCs/>
                <w:sz w:val="18"/>
                <w:lang w:val="es-MX"/>
              </w:rPr>
            </w:pPr>
            <w:r w:rsidRPr="00EF5E98">
              <w:rPr>
                <w:rFonts w:ascii="Times New Roman" w:eastAsia="Times New Roman" w:hAnsi="Times New Roman" w:cs="Times New Roman"/>
                <w:b/>
                <w:bCs/>
                <w:sz w:val="18"/>
                <w:lang w:val="es-MX"/>
              </w:rPr>
              <w:t>595</w:t>
            </w:r>
          </w:p>
        </w:tc>
        <w:tc>
          <w:tcPr>
            <w:tcW w:w="1675" w:type="dxa"/>
            <w:tcBorders>
              <w:top w:val="single" w:sz="8" w:space="0" w:color="auto"/>
              <w:left w:val="nil"/>
              <w:bottom w:val="single" w:sz="8" w:space="0" w:color="auto"/>
              <w:right w:val="single" w:sz="8" w:space="0" w:color="auto"/>
            </w:tcBorders>
            <w:shd w:val="clear" w:color="auto" w:fill="D9E1F2"/>
            <w:vAlign w:val="center"/>
            <w:hideMark/>
          </w:tcPr>
          <w:p w:rsidR="00A86634" w:rsidRPr="00EF5E98" w:rsidRDefault="00A86634" w:rsidP="00A86634">
            <w:pPr>
              <w:pStyle w:val="Sinespaciado"/>
              <w:jc w:val="both"/>
              <w:rPr>
                <w:rFonts w:ascii="Times New Roman" w:eastAsia="Times New Roman" w:hAnsi="Times New Roman" w:cs="Times New Roman"/>
                <w:b/>
                <w:sz w:val="18"/>
                <w:lang w:val="es-MX"/>
              </w:rPr>
            </w:pPr>
            <w:r w:rsidRPr="00EF5E98">
              <w:rPr>
                <w:rFonts w:ascii="Times New Roman" w:eastAsia="Times New Roman" w:hAnsi="Times New Roman" w:cs="Times New Roman"/>
                <w:b/>
                <w:sz w:val="18"/>
                <w:lang w:val="es-MX"/>
              </w:rPr>
              <w:t>0.9%</w:t>
            </w:r>
          </w:p>
        </w:tc>
      </w:tr>
    </w:tbl>
    <w:p w:rsidR="00A86634" w:rsidRPr="00A86634" w:rsidRDefault="003845CA" w:rsidP="003845CA">
      <w:pPr>
        <w:pStyle w:val="Sinespaciado"/>
        <w:ind w:left="708"/>
        <w:jc w:val="both"/>
        <w:rPr>
          <w:rFonts w:ascii="Times New Roman" w:hAnsi="Times New Roman" w:cs="Times New Roman"/>
          <w:sz w:val="16"/>
          <w:szCs w:val="20"/>
        </w:rPr>
      </w:pPr>
      <w:r>
        <w:rPr>
          <w:rFonts w:ascii="Times New Roman" w:hAnsi="Times New Roman" w:cs="Times New Roman"/>
          <w:sz w:val="16"/>
          <w:szCs w:val="20"/>
        </w:rPr>
        <w:t xml:space="preserve">           </w:t>
      </w:r>
      <w:r w:rsidR="00A86634" w:rsidRPr="00A86634">
        <w:rPr>
          <w:rFonts w:ascii="Times New Roman" w:hAnsi="Times New Roman" w:cs="Times New Roman"/>
          <w:sz w:val="16"/>
          <w:szCs w:val="20"/>
        </w:rPr>
        <w:t>Fuente: Banco Mundial 2017, elaboración con información de las evaluaciones del modelo ERN-RED.</w:t>
      </w:r>
    </w:p>
    <w:p w:rsidR="00A86634" w:rsidRDefault="00A86634" w:rsidP="00A86634">
      <w:pPr>
        <w:pStyle w:val="Sinespaciado"/>
        <w:jc w:val="both"/>
        <w:rPr>
          <w:rFonts w:ascii="Times New Roman" w:hAnsi="Times New Roman" w:cs="Times New Roman"/>
          <w:sz w:val="24"/>
          <w:szCs w:val="24"/>
        </w:rPr>
      </w:pPr>
    </w:p>
    <w:p w:rsid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A los altos niveles de exposición y las estimaciones de pérdidas probables, debe sumarse la baja resiliencia económica y fiscal que Guatemala presenta. De esta forma, el impacto de los fenómenos naturales supone un costo de oportunidad importante en el uso de los recursos públicos, toda vez que las principales fuentes de financiamiento del gasto para la atención de emergencias han sido los ingresos tributarios, préstamos, colocaciones de Bonos del Tesoro y donaciones. Para la atención de emergencias se ha optado por realizar reasignaciones presupuestales y en un único evento,  se incorporaron al presupuesto, recursos provenientes de una línea de crédito contingente que Guatemala concertó con el Banco Mundial</w:t>
      </w:r>
      <w:r w:rsidRPr="00A86634">
        <w:rPr>
          <w:rStyle w:val="Refdenotaalpie"/>
          <w:rFonts w:ascii="Times New Roman" w:hAnsi="Times New Roman" w:cs="Times New Roman"/>
          <w:sz w:val="24"/>
          <w:szCs w:val="24"/>
        </w:rPr>
        <w:footnoteReference w:id="6"/>
      </w:r>
      <w:r w:rsidRPr="00A86634">
        <w:rPr>
          <w:rFonts w:ascii="Times New Roman" w:hAnsi="Times New Roman" w:cs="Times New Roman"/>
          <w:sz w:val="24"/>
          <w:szCs w:val="24"/>
        </w:rPr>
        <w:t xml:space="preserve">. </w:t>
      </w:r>
    </w:p>
    <w:p w:rsidR="00A86634" w:rsidRPr="00A86634" w:rsidRDefault="00A86634" w:rsidP="00A86634">
      <w:pPr>
        <w:pStyle w:val="Sinespaciado"/>
        <w:jc w:val="both"/>
        <w:rPr>
          <w:rFonts w:ascii="Times New Roman" w:hAnsi="Times New Roman" w:cs="Times New Roman"/>
          <w:sz w:val="24"/>
          <w:szCs w:val="24"/>
        </w:rPr>
      </w:pPr>
    </w:p>
    <w:p w:rsid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Tal como se evidencia, para la atención el gasto público en reconstrucción resultado de los desastres provocados por fenómenos naturales, las Administraciones de turno, se han visto obligadas a utilizar recursos presupuestarios que habían sido previamente destinados a atender programas y proyectos fundamentales para el desarrollo del país. De mantenerse la tendencia, los futuros eventos extremos representarán pasivos contingentes de considerable magnitud. La ausencia de mecanismos eficientes de preparación y atención de emergencias y de una adecuada planeación financiera para hacer frente a los desastres puede crear dificultades y demoras en la respuesta, lo que podría agravar las consecuencias en términos de pérdidas humanas y económicas. En términos fiscales, la creciente exposición y la vulnerabilidad exacerbada pueden potencialmente agravar la tendencia creciente en las pérdidas económicas causadas por desastres y en el mediano y largo plazo, comprometer la sostenibilidad fiscal del Estado. En este contexto, es de suma importancia que se le dé un mayor énfasis a la gestión integral del riesgo de desastres para poder hacer frente a estas tendencias y de esta forma crear resiliencia fiscal (MINFIN GIZ 2013).</w:t>
      </w:r>
    </w:p>
    <w:p w:rsidR="00A86634" w:rsidRPr="00A86634" w:rsidRDefault="00A86634" w:rsidP="00A86634">
      <w:pPr>
        <w:pStyle w:val="Sinespaciado"/>
        <w:jc w:val="both"/>
        <w:rPr>
          <w:rFonts w:ascii="Times New Roman" w:hAnsi="Times New Roman" w:cs="Times New Roman"/>
          <w:sz w:val="24"/>
          <w:szCs w:val="24"/>
        </w:rPr>
      </w:pPr>
    </w:p>
    <w:p w:rsidR="00A86634" w:rsidRPr="009D340A" w:rsidRDefault="00A86634" w:rsidP="009D340A">
      <w:pPr>
        <w:pStyle w:val="Sinespaciado"/>
        <w:numPr>
          <w:ilvl w:val="1"/>
          <w:numId w:val="18"/>
        </w:numPr>
        <w:ind w:left="860"/>
        <w:jc w:val="both"/>
        <w:outlineLvl w:val="1"/>
        <w:rPr>
          <w:rFonts w:ascii="Times New Roman" w:hAnsi="Times New Roman" w:cs="Times New Roman"/>
          <w:b/>
          <w:sz w:val="24"/>
          <w:lang w:val="es-MX"/>
        </w:rPr>
      </w:pPr>
      <w:bookmarkStart w:id="141" w:name="_Toc508720906"/>
      <w:bookmarkStart w:id="142" w:name="_Toc508727312"/>
      <w:bookmarkStart w:id="143" w:name="_Toc509214761"/>
      <w:r w:rsidRPr="009D340A">
        <w:rPr>
          <w:rFonts w:ascii="Times New Roman" w:hAnsi="Times New Roman" w:cs="Times New Roman"/>
          <w:b/>
          <w:sz w:val="24"/>
          <w:lang w:val="es-MX"/>
        </w:rPr>
        <w:t>Importancia de implementar una estrategia financiera para la gestión de riesgo de desastres provocados por fenómenos naturales</w:t>
      </w:r>
      <w:bookmarkEnd w:id="141"/>
      <w:bookmarkEnd w:id="142"/>
      <w:bookmarkEnd w:id="143"/>
      <w:r w:rsidR="00557268" w:rsidRPr="009D340A">
        <w:rPr>
          <w:rFonts w:ascii="Times New Roman" w:hAnsi="Times New Roman" w:cs="Times New Roman"/>
          <w:b/>
          <w:sz w:val="24"/>
          <w:lang w:val="es-MX"/>
        </w:rPr>
        <w:t xml:space="preserve">  </w:t>
      </w:r>
    </w:p>
    <w:p w:rsidR="00A86634" w:rsidRPr="00A86634" w:rsidRDefault="00557268" w:rsidP="00A86634">
      <w:pPr>
        <w:pStyle w:val="Sinespaciad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 xml:space="preserve">Al acontecer los desastres, la atención de la emergencia y el gasto en reconstrucción que estos provocan, ha implicado la reasignación y reorientación de recursos presupuestarios que originalmente estaban destinados a atender las necesidades de desarrollo del país, lo que supone un costo de oportunidad en inversión social, incluyendo inevitablemente, la que estaba concebida para la propia disminución de la vulnerabilidad. </w:t>
      </w:r>
    </w:p>
    <w:p w:rsidR="00A86634" w:rsidRPr="00A86634" w:rsidRDefault="00A86634" w:rsidP="00A86634">
      <w:pPr>
        <w:pStyle w:val="Sinespaciado"/>
        <w:jc w:val="both"/>
        <w:rPr>
          <w:rFonts w:ascii="Times New Roman" w:hAnsi="Times New Roman" w:cs="Times New Roman"/>
          <w:sz w:val="24"/>
          <w:szCs w:val="24"/>
        </w:rPr>
      </w:pPr>
    </w:p>
    <w:p w:rsidR="00AD0A05"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 xml:space="preserve">De esta forma, resulta imprescindible, a efecto de realizar una adecuada gestión de los riesgos fiscales que este tipo de eventos representan, contar con una estrategia integral de riesgo que incorpore un portafolio diversificado de instrumentos diseñados el manejo de contingencias; instrumentos económicos que no solamente mitiguen la ausencia de financiamiento interno y externo en un momento dado, sino que además permitan transferir parte de este riesgo, por lo que la estrategia debe estar diseñada para financiar acciones de prevención y recuperación. </w:t>
      </w:r>
    </w:p>
    <w:p w:rsidR="00A86634" w:rsidRDefault="00A86634" w:rsidP="003845CA">
      <w:pPr>
        <w:pStyle w:val="Sinespaciado"/>
        <w:rPr>
          <w:rFonts w:ascii="Times New Roman" w:hAnsi="Times New Roman" w:cs="Times New Roman"/>
          <w:b/>
          <w:sz w:val="24"/>
          <w:szCs w:val="24"/>
        </w:rPr>
      </w:pPr>
    </w:p>
    <w:p w:rsidR="00EF5E98" w:rsidRDefault="00A86634" w:rsidP="00A86634">
      <w:pPr>
        <w:pStyle w:val="Sinespaciado"/>
        <w:jc w:val="center"/>
        <w:rPr>
          <w:rFonts w:ascii="Times New Roman" w:hAnsi="Times New Roman" w:cs="Times New Roman"/>
          <w:b/>
          <w:sz w:val="24"/>
          <w:szCs w:val="24"/>
        </w:rPr>
      </w:pPr>
      <w:r w:rsidRPr="00A86634">
        <w:rPr>
          <w:rFonts w:ascii="Times New Roman" w:hAnsi="Times New Roman" w:cs="Times New Roman"/>
          <w:b/>
          <w:sz w:val="24"/>
          <w:szCs w:val="24"/>
        </w:rPr>
        <w:t>Figura 2</w:t>
      </w:r>
    </w:p>
    <w:p w:rsidR="00A86634" w:rsidRPr="00A86634" w:rsidRDefault="00A86634" w:rsidP="00A86634">
      <w:pPr>
        <w:pStyle w:val="Sinespaciado"/>
        <w:jc w:val="center"/>
        <w:rPr>
          <w:rFonts w:ascii="Times New Roman" w:hAnsi="Times New Roman" w:cs="Times New Roman"/>
          <w:b/>
          <w:sz w:val="24"/>
          <w:szCs w:val="24"/>
        </w:rPr>
      </w:pPr>
      <w:r w:rsidRPr="00A86634">
        <w:rPr>
          <w:rFonts w:ascii="Times New Roman" w:hAnsi="Times New Roman" w:cs="Times New Roman"/>
          <w:b/>
          <w:sz w:val="24"/>
          <w:szCs w:val="24"/>
        </w:rPr>
        <w:t>Diseño conceptual de una estrategia financiera por capas</w:t>
      </w:r>
    </w:p>
    <w:p w:rsidR="00A86634" w:rsidRPr="00A86634" w:rsidRDefault="00A86634" w:rsidP="00EF5E98">
      <w:pPr>
        <w:pStyle w:val="Sinespaciado"/>
        <w:jc w:val="center"/>
        <w:rPr>
          <w:rFonts w:ascii="Times New Roman" w:hAnsi="Times New Roman" w:cs="Times New Roman"/>
          <w:sz w:val="24"/>
          <w:szCs w:val="24"/>
        </w:rPr>
      </w:pPr>
      <w:r w:rsidRPr="00A86634">
        <w:rPr>
          <w:rFonts w:ascii="Times New Roman" w:hAnsi="Times New Roman" w:cs="Times New Roman"/>
          <w:noProof/>
          <w:lang w:eastAsia="es-GT"/>
        </w:rPr>
        <w:drawing>
          <wp:inline distT="0" distB="0" distL="0" distR="0" wp14:anchorId="433D32E7" wp14:editId="1DD6A79B">
            <wp:extent cx="4919934" cy="23456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5754" cy="2448529"/>
                    </a:xfrm>
                    <a:prstGeom prst="rect">
                      <a:avLst/>
                    </a:prstGeom>
                    <a:noFill/>
                    <a:ln>
                      <a:noFill/>
                    </a:ln>
                  </pic:spPr>
                </pic:pic>
              </a:graphicData>
            </a:graphic>
          </wp:inline>
        </w:drawing>
      </w:r>
    </w:p>
    <w:p w:rsidR="00A86634" w:rsidRPr="0059661F" w:rsidRDefault="00A86634" w:rsidP="00EF5E98">
      <w:pPr>
        <w:pStyle w:val="Sinespaciado"/>
        <w:ind w:firstLine="708"/>
        <w:jc w:val="both"/>
        <w:rPr>
          <w:rFonts w:ascii="Times New Roman" w:hAnsi="Times New Roman" w:cs="Times New Roman"/>
          <w:sz w:val="16"/>
          <w:szCs w:val="24"/>
        </w:rPr>
      </w:pPr>
      <w:r w:rsidRPr="0059661F">
        <w:rPr>
          <w:rFonts w:ascii="Times New Roman" w:hAnsi="Times New Roman" w:cs="Times New Roman"/>
          <w:sz w:val="16"/>
          <w:szCs w:val="24"/>
        </w:rPr>
        <w:t>Fuente: MINFIN GIZ 2013</w:t>
      </w:r>
    </w:p>
    <w:p w:rsidR="00ED1197" w:rsidRDefault="00ED1197" w:rsidP="00A86634">
      <w:pPr>
        <w:pStyle w:val="Sinespaciado"/>
        <w:jc w:val="both"/>
        <w:rPr>
          <w:rFonts w:ascii="Times New Roman" w:hAnsi="Times New Roman" w:cs="Times New Roman"/>
          <w:sz w:val="24"/>
          <w:szCs w:val="24"/>
        </w:rPr>
      </w:pPr>
    </w:p>
    <w:p w:rsid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La idea básica es que los recursos presupuestarios, ya sea que se reasignen en forma directa o a través de un fondo de reserva, son los más adecuados para cubrir desastres de alta frecuencia y baja gravedad, ya que no generan un significativo gasto público extraordinario, y por su recurrencia, deben ser atendidos en el marco del proceso presupuestario ordinario. Por otra parte, los desastres con una menor probabilidad de ocurrencia y de alta gravedad o catastrófica, generan un gasto público extraordinario mucho más elevado, que requieren de un financiamiento eficiente, como los instrumentos de crédito contingente a largo plazo. Mientras que en casos donde los gastos son aún mayores, podrían ser cubiertos por instrumentos de seguro, seguros paramétricos y reaseguro u otros instrumentos de transferencia de riesgo en el mercado de capitales, además de los recursos originados en la ayuda humanitaria (donaciones internas y externas).</w:t>
      </w:r>
    </w:p>
    <w:p w:rsidR="00A86634" w:rsidRPr="00A86634" w:rsidRDefault="00A86634" w:rsidP="00A86634">
      <w:pPr>
        <w:pStyle w:val="Sinespaciado"/>
        <w:jc w:val="both"/>
        <w:rPr>
          <w:rFonts w:ascii="Times New Roman" w:hAnsi="Times New Roman" w:cs="Times New Roman"/>
          <w:sz w:val="24"/>
          <w:szCs w:val="24"/>
        </w:rPr>
      </w:pPr>
    </w:p>
    <w:p w:rsid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La incorporación de la gestión de riesgos de desastres en el manejo amplio de las finanzas públicas deber contar con una estrategia financiera ante desastres que guíe la implementación articulada e integral de diversos instrumentos financieros que contribuirán con el aumento de la resiliencia fiscal de Guatemala ante desastres, así como al uso eficiente de los recursos públicos. En la actualidad, se cuenta con al apoyo técnico del Banco Mundial en el desarrollo de una propuesta de lineamientos para una estrategia financiera que podría implementar el Gobierno de Guatemala en el futuro cercano, la implementación de esta estrategia complementaría un aspecto poco desarrollado en el marco legal e institucional de la gestión de riesgos de desastres.</w:t>
      </w:r>
    </w:p>
    <w:p w:rsidR="00A86634" w:rsidRPr="00A86634" w:rsidRDefault="00A86634" w:rsidP="00A86634">
      <w:pPr>
        <w:pStyle w:val="Sinespaciado"/>
        <w:jc w:val="both"/>
        <w:rPr>
          <w:rFonts w:ascii="Times New Roman" w:hAnsi="Times New Roman" w:cs="Times New Roman"/>
          <w:sz w:val="24"/>
          <w:szCs w:val="24"/>
        </w:rPr>
      </w:pPr>
    </w:p>
    <w:p w:rsidR="009D340A" w:rsidRPr="009D340A" w:rsidRDefault="009D340A" w:rsidP="009D340A">
      <w:pPr>
        <w:pStyle w:val="Prrafodelista"/>
        <w:numPr>
          <w:ilvl w:val="0"/>
          <w:numId w:val="25"/>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44" w:name="_Toc508979697"/>
      <w:bookmarkStart w:id="145" w:name="_Toc508980055"/>
      <w:bookmarkStart w:id="146" w:name="_Toc508980208"/>
      <w:bookmarkStart w:id="147" w:name="_Toc508981249"/>
      <w:bookmarkStart w:id="148" w:name="_Toc508982494"/>
      <w:bookmarkStart w:id="149" w:name="_Toc509213504"/>
      <w:bookmarkStart w:id="150" w:name="_Toc509213567"/>
      <w:bookmarkStart w:id="151" w:name="_Toc509213633"/>
      <w:bookmarkStart w:id="152" w:name="_Toc509213798"/>
      <w:bookmarkStart w:id="153" w:name="_Toc509214762"/>
      <w:bookmarkEnd w:id="144"/>
      <w:bookmarkEnd w:id="145"/>
      <w:bookmarkEnd w:id="146"/>
      <w:bookmarkEnd w:id="147"/>
      <w:bookmarkEnd w:id="148"/>
      <w:bookmarkEnd w:id="149"/>
      <w:bookmarkEnd w:id="150"/>
      <w:bookmarkEnd w:id="151"/>
      <w:bookmarkEnd w:id="152"/>
      <w:bookmarkEnd w:id="153"/>
    </w:p>
    <w:p w:rsidR="009D340A" w:rsidRPr="009D340A" w:rsidRDefault="009D340A" w:rsidP="009D340A">
      <w:pPr>
        <w:pStyle w:val="Prrafodelista"/>
        <w:numPr>
          <w:ilvl w:val="0"/>
          <w:numId w:val="25"/>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54" w:name="_Toc509213505"/>
      <w:bookmarkStart w:id="155" w:name="_Toc509213568"/>
      <w:bookmarkStart w:id="156" w:name="_Toc509213634"/>
      <w:bookmarkStart w:id="157" w:name="_Toc509213799"/>
      <w:bookmarkStart w:id="158" w:name="_Toc509214763"/>
      <w:bookmarkEnd w:id="154"/>
      <w:bookmarkEnd w:id="155"/>
      <w:bookmarkEnd w:id="156"/>
      <w:bookmarkEnd w:id="157"/>
      <w:bookmarkEnd w:id="158"/>
    </w:p>
    <w:p w:rsidR="009D340A" w:rsidRPr="009D340A" w:rsidRDefault="009D340A" w:rsidP="009D340A">
      <w:pPr>
        <w:pStyle w:val="Prrafodelista"/>
        <w:numPr>
          <w:ilvl w:val="0"/>
          <w:numId w:val="25"/>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59" w:name="_Toc509213506"/>
      <w:bookmarkStart w:id="160" w:name="_Toc509213569"/>
      <w:bookmarkStart w:id="161" w:name="_Toc509213635"/>
      <w:bookmarkStart w:id="162" w:name="_Toc509213800"/>
      <w:bookmarkStart w:id="163" w:name="_Toc509214764"/>
      <w:bookmarkEnd w:id="159"/>
      <w:bookmarkEnd w:id="160"/>
      <w:bookmarkEnd w:id="161"/>
      <w:bookmarkEnd w:id="162"/>
      <w:bookmarkEnd w:id="163"/>
    </w:p>
    <w:p w:rsidR="009D340A" w:rsidRPr="009D340A" w:rsidRDefault="009D340A" w:rsidP="009D340A">
      <w:pPr>
        <w:pStyle w:val="Prrafodelista"/>
        <w:numPr>
          <w:ilvl w:val="1"/>
          <w:numId w:val="25"/>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64" w:name="_Toc509213507"/>
      <w:bookmarkStart w:id="165" w:name="_Toc509213570"/>
      <w:bookmarkStart w:id="166" w:name="_Toc509213636"/>
      <w:bookmarkStart w:id="167" w:name="_Toc509213801"/>
      <w:bookmarkStart w:id="168" w:name="_Toc509214765"/>
      <w:bookmarkEnd w:id="164"/>
      <w:bookmarkEnd w:id="165"/>
      <w:bookmarkEnd w:id="166"/>
      <w:bookmarkEnd w:id="167"/>
      <w:bookmarkEnd w:id="168"/>
    </w:p>
    <w:p w:rsidR="009D340A" w:rsidRPr="009D340A" w:rsidRDefault="009D340A" w:rsidP="009D340A">
      <w:pPr>
        <w:pStyle w:val="Prrafodelista"/>
        <w:numPr>
          <w:ilvl w:val="1"/>
          <w:numId w:val="25"/>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69" w:name="_Toc509213508"/>
      <w:bookmarkStart w:id="170" w:name="_Toc509213571"/>
      <w:bookmarkStart w:id="171" w:name="_Toc509213637"/>
      <w:bookmarkStart w:id="172" w:name="_Toc509213802"/>
      <w:bookmarkStart w:id="173" w:name="_Toc509214766"/>
      <w:bookmarkEnd w:id="169"/>
      <w:bookmarkEnd w:id="170"/>
      <w:bookmarkEnd w:id="171"/>
      <w:bookmarkEnd w:id="172"/>
      <w:bookmarkEnd w:id="173"/>
    </w:p>
    <w:p w:rsidR="009D340A" w:rsidRPr="009D340A" w:rsidRDefault="009D340A" w:rsidP="009D340A">
      <w:pPr>
        <w:pStyle w:val="Prrafodelista"/>
        <w:numPr>
          <w:ilvl w:val="1"/>
          <w:numId w:val="25"/>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74" w:name="_Toc509213509"/>
      <w:bookmarkStart w:id="175" w:name="_Toc509213572"/>
      <w:bookmarkStart w:id="176" w:name="_Toc509213638"/>
      <w:bookmarkStart w:id="177" w:name="_Toc509213803"/>
      <w:bookmarkStart w:id="178" w:name="_Toc509214767"/>
      <w:bookmarkEnd w:id="174"/>
      <w:bookmarkEnd w:id="175"/>
      <w:bookmarkEnd w:id="176"/>
      <w:bookmarkEnd w:id="177"/>
      <w:bookmarkEnd w:id="178"/>
    </w:p>
    <w:p w:rsidR="00A86634" w:rsidRPr="00A86634" w:rsidRDefault="00A86634" w:rsidP="009D340A">
      <w:pPr>
        <w:pStyle w:val="Sinespaciado"/>
        <w:numPr>
          <w:ilvl w:val="1"/>
          <w:numId w:val="25"/>
        </w:numPr>
        <w:jc w:val="both"/>
        <w:outlineLvl w:val="1"/>
        <w:rPr>
          <w:rFonts w:ascii="Times New Roman" w:hAnsi="Times New Roman" w:cs="Times New Roman"/>
          <w:b/>
          <w:sz w:val="24"/>
          <w:lang w:val="es-MX"/>
        </w:rPr>
      </w:pPr>
      <w:bookmarkStart w:id="179" w:name="_Toc509214768"/>
      <w:r w:rsidRPr="00A86634">
        <w:rPr>
          <w:rFonts w:ascii="Times New Roman" w:hAnsi="Times New Roman" w:cs="Times New Roman"/>
          <w:b/>
          <w:sz w:val="24"/>
          <w:lang w:val="es-MX"/>
        </w:rPr>
        <w:t>Aspectos generales para la mitigación</w:t>
      </w:r>
      <w:bookmarkEnd w:id="179"/>
      <w:r w:rsidR="00557268">
        <w:rPr>
          <w:rFonts w:ascii="Times New Roman" w:hAnsi="Times New Roman" w:cs="Times New Roman"/>
          <w:b/>
          <w:sz w:val="24"/>
          <w:lang w:val="es-MX"/>
        </w:rPr>
        <w:t xml:space="preserve">   </w:t>
      </w:r>
    </w:p>
    <w:p w:rsidR="00A86634" w:rsidRPr="00A86634" w:rsidRDefault="00A86634" w:rsidP="00A86634">
      <w:pPr>
        <w:pStyle w:val="Sinespaciado"/>
        <w:jc w:val="both"/>
        <w:rPr>
          <w:rFonts w:ascii="Times New Roman" w:hAnsi="Times New Roman" w:cs="Times New Roman"/>
          <w:sz w:val="24"/>
          <w:szCs w:val="24"/>
        </w:rPr>
      </w:pPr>
    </w:p>
    <w:p w:rsid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 xml:space="preserve">Para el mejoramiento de la resiliencia física, económica y fiscal del país, así como la adecuada gestión de los riesgos fiscales, es necesario que paralelo al desarrollo de las políticas de gestión de riesgo y el fortalecimiento de capacidades institucionales que ya vienen trabajando los entes rectores sectoriales, el Ministerio de Finanzas Públicas en el ámbito de su competencia  promueva el diseño e implementación de una estrategia de protección financiera, combinando instrumentos que respondan a eventos de alta probabilidad y baja intensidad, y aquellos otros instrumentos que cubran fenómenos de alta intensidad y baja probabilidad. </w:t>
      </w:r>
    </w:p>
    <w:p w:rsidR="00A86634" w:rsidRPr="00A86634" w:rsidRDefault="00A86634" w:rsidP="00A86634">
      <w:pPr>
        <w:pStyle w:val="Sinespaciado"/>
        <w:jc w:val="both"/>
        <w:rPr>
          <w:rFonts w:ascii="Times New Roman" w:hAnsi="Times New Roman" w:cs="Times New Roman"/>
          <w:sz w:val="24"/>
          <w:szCs w:val="24"/>
        </w:rPr>
      </w:pPr>
    </w:p>
    <w:p w:rsid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Se recomienda, entonces, la estructuración de una estrategia que incluya entre su portafolio de instrumentos:</w:t>
      </w:r>
    </w:p>
    <w:p w:rsidR="0059661F" w:rsidRPr="00A86634" w:rsidRDefault="0059661F" w:rsidP="00A86634">
      <w:pPr>
        <w:pStyle w:val="Sinespaciado"/>
        <w:jc w:val="both"/>
        <w:rPr>
          <w:rFonts w:ascii="Times New Roman" w:hAnsi="Times New Roman" w:cs="Times New Roman"/>
          <w:sz w:val="24"/>
          <w:szCs w:val="24"/>
        </w:rPr>
      </w:pPr>
    </w:p>
    <w:p w:rsidR="00A86634" w:rsidRPr="00A86634" w:rsidRDefault="00A86634" w:rsidP="00085259">
      <w:pPr>
        <w:pStyle w:val="Sinespaciado"/>
        <w:ind w:left="708"/>
        <w:jc w:val="both"/>
        <w:rPr>
          <w:rFonts w:ascii="Times New Roman" w:hAnsi="Times New Roman" w:cs="Times New Roman"/>
          <w:sz w:val="24"/>
          <w:szCs w:val="24"/>
        </w:rPr>
      </w:pPr>
      <w:r w:rsidRPr="00A86634">
        <w:rPr>
          <w:rFonts w:ascii="Times New Roman" w:hAnsi="Times New Roman" w:cs="Times New Roman"/>
          <w:i/>
          <w:sz w:val="24"/>
          <w:szCs w:val="24"/>
        </w:rPr>
        <w:t>Fondos de reserva.</w:t>
      </w:r>
      <w:r w:rsidRPr="00A86634">
        <w:rPr>
          <w:rFonts w:ascii="Times New Roman" w:hAnsi="Times New Roman" w:cs="Times New Roman"/>
          <w:sz w:val="24"/>
          <w:szCs w:val="24"/>
        </w:rPr>
        <w:t xml:space="preserve"> Fortalecer y establecer mecanismos adecuados para la utilización del Fondo Emergente contemplado en el Acuerdo Gubernativo 105-2012/TN</w:t>
      </w:r>
      <w:r w:rsidRPr="00A86634">
        <w:rPr>
          <w:rStyle w:val="Refdenotaalpie"/>
          <w:rFonts w:ascii="Times New Roman" w:hAnsi="Times New Roman" w:cs="Times New Roman"/>
          <w:sz w:val="24"/>
          <w:szCs w:val="24"/>
        </w:rPr>
        <w:footnoteReference w:id="7"/>
      </w:r>
      <w:r w:rsidRPr="00A86634">
        <w:rPr>
          <w:rFonts w:ascii="Times New Roman" w:hAnsi="Times New Roman" w:cs="Times New Roman"/>
          <w:sz w:val="24"/>
          <w:szCs w:val="24"/>
        </w:rPr>
        <w:t xml:space="preserve">, de manera que se cuente con recursos de disponibilidad inmediata para el manejo de emergencias y la liquidez necesaria para la respuesta ante eventos de baja intensidad. Dichos fondos deben de ir acompañados de asignaciones presupuestarias hacia los entes rectores sectoriales, para el fortalecimiento de la gestión integral del riesgo. </w:t>
      </w:r>
    </w:p>
    <w:p w:rsidR="00A86634" w:rsidRPr="00A86634" w:rsidRDefault="00A86634" w:rsidP="00A86634">
      <w:pPr>
        <w:pStyle w:val="Sinespaciado"/>
        <w:jc w:val="both"/>
        <w:rPr>
          <w:rFonts w:ascii="Times New Roman" w:hAnsi="Times New Roman" w:cs="Times New Roman"/>
          <w:sz w:val="24"/>
          <w:szCs w:val="24"/>
        </w:rPr>
      </w:pPr>
    </w:p>
    <w:p w:rsid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 xml:space="preserve">Considerar la negociación y contratación de </w:t>
      </w:r>
      <w:r w:rsidRPr="00A86634">
        <w:rPr>
          <w:rFonts w:ascii="Times New Roman" w:hAnsi="Times New Roman" w:cs="Times New Roman"/>
          <w:i/>
          <w:sz w:val="24"/>
          <w:szCs w:val="24"/>
        </w:rPr>
        <w:t>líneas de crédito contingente</w:t>
      </w:r>
      <w:r w:rsidRPr="00A86634">
        <w:rPr>
          <w:rStyle w:val="Refdenotaalpie"/>
          <w:rFonts w:ascii="Times New Roman" w:hAnsi="Times New Roman" w:cs="Times New Roman"/>
          <w:sz w:val="24"/>
          <w:szCs w:val="24"/>
        </w:rPr>
        <w:footnoteReference w:id="8"/>
      </w:r>
      <w:r w:rsidRPr="00A86634">
        <w:rPr>
          <w:rFonts w:ascii="Times New Roman" w:hAnsi="Times New Roman" w:cs="Times New Roman"/>
          <w:sz w:val="24"/>
          <w:szCs w:val="24"/>
        </w:rPr>
        <w:t xml:space="preserve">, para enfrentar eventos con niveles intermedios de intensidad. </w:t>
      </w:r>
    </w:p>
    <w:p w:rsidR="00085259" w:rsidRPr="00A86634" w:rsidRDefault="00085259" w:rsidP="00A86634">
      <w:pPr>
        <w:pStyle w:val="Sinespaciado"/>
        <w:jc w:val="both"/>
        <w:rPr>
          <w:rFonts w:ascii="Times New Roman" w:hAnsi="Times New Roman" w:cs="Times New Roman"/>
          <w:sz w:val="24"/>
          <w:szCs w:val="24"/>
        </w:rPr>
      </w:pPr>
    </w:p>
    <w:p w:rsidR="00A86634" w:rsidRPr="00A86634" w:rsidRDefault="00A86634" w:rsidP="00A86634">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 xml:space="preserve">Considerar la negociación y contratación de </w:t>
      </w:r>
      <w:r w:rsidRPr="00A86634">
        <w:rPr>
          <w:rFonts w:ascii="Times New Roman" w:hAnsi="Times New Roman" w:cs="Times New Roman"/>
          <w:i/>
          <w:sz w:val="24"/>
          <w:szCs w:val="24"/>
        </w:rPr>
        <w:t>mecanismos para la transferencia del riesgo</w:t>
      </w:r>
      <w:r w:rsidRPr="00A86634">
        <w:rPr>
          <w:rFonts w:ascii="Times New Roman" w:hAnsi="Times New Roman" w:cs="Times New Roman"/>
          <w:sz w:val="24"/>
          <w:szCs w:val="24"/>
        </w:rPr>
        <w:t>, tales como seguros, seguros paramétricos, reaseguros, bonos de catástrofe, u otros instrumentos ligados a valores o activos de capital.</w:t>
      </w:r>
    </w:p>
    <w:p w:rsidR="00A86634" w:rsidRPr="00A86634" w:rsidRDefault="00A86634" w:rsidP="00A86634">
      <w:pPr>
        <w:pStyle w:val="Sinespaciado"/>
        <w:jc w:val="both"/>
        <w:rPr>
          <w:rFonts w:ascii="Times New Roman" w:hAnsi="Times New Roman" w:cs="Times New Roman"/>
          <w:sz w:val="24"/>
          <w:szCs w:val="24"/>
        </w:rPr>
      </w:pPr>
    </w:p>
    <w:p w:rsidR="00047A77" w:rsidRPr="00612E4E" w:rsidRDefault="00A86634" w:rsidP="000A113D">
      <w:pPr>
        <w:pStyle w:val="Sinespaciado"/>
        <w:jc w:val="both"/>
        <w:rPr>
          <w:rFonts w:ascii="Times New Roman" w:hAnsi="Times New Roman" w:cs="Times New Roman"/>
          <w:sz w:val="24"/>
          <w:szCs w:val="24"/>
        </w:rPr>
      </w:pPr>
      <w:r w:rsidRPr="00A86634">
        <w:rPr>
          <w:rFonts w:ascii="Times New Roman" w:hAnsi="Times New Roman" w:cs="Times New Roman"/>
          <w:sz w:val="24"/>
          <w:szCs w:val="24"/>
        </w:rPr>
        <w:t>reorientación y reprogramación de recursos financieros originalmente destinados para la</w:t>
      </w:r>
      <w:bookmarkStart w:id="180" w:name="_Toc508726940"/>
      <w:r w:rsidR="00612E4E">
        <w:rPr>
          <w:rFonts w:ascii="Times New Roman" w:hAnsi="Times New Roman" w:cs="Times New Roman"/>
          <w:sz w:val="24"/>
          <w:szCs w:val="24"/>
        </w:rPr>
        <w:t xml:space="preserve"> atención de otras necesidades.</w:t>
      </w:r>
    </w:p>
    <w:p w:rsidR="00047A77" w:rsidRDefault="00047A77" w:rsidP="000A113D">
      <w:pPr>
        <w:pStyle w:val="Sinespaciado"/>
        <w:jc w:val="both"/>
        <w:rPr>
          <w:rFonts w:ascii="Times New Roman" w:hAnsi="Times New Roman" w:cs="Times New Roman"/>
          <w:b/>
          <w:sz w:val="24"/>
          <w:lang w:val="es-MX"/>
        </w:rPr>
      </w:pPr>
    </w:p>
    <w:p w:rsidR="000A113D" w:rsidRPr="000A113D" w:rsidRDefault="000A113D" w:rsidP="009D340A">
      <w:pPr>
        <w:pStyle w:val="Sinespaciado"/>
        <w:numPr>
          <w:ilvl w:val="0"/>
          <w:numId w:val="27"/>
        </w:numPr>
        <w:ind w:hanging="290"/>
        <w:jc w:val="both"/>
        <w:outlineLvl w:val="0"/>
        <w:rPr>
          <w:rFonts w:ascii="Times New Roman" w:hAnsi="Times New Roman" w:cs="Times New Roman"/>
          <w:b/>
          <w:sz w:val="24"/>
          <w:lang w:val="es-MX"/>
        </w:rPr>
      </w:pPr>
      <w:bookmarkStart w:id="181" w:name="_Toc509214769"/>
      <w:r w:rsidRPr="000A113D">
        <w:rPr>
          <w:rFonts w:ascii="Times New Roman" w:hAnsi="Times New Roman" w:cs="Times New Roman"/>
          <w:b/>
          <w:sz w:val="24"/>
          <w:lang w:val="es-MX"/>
        </w:rPr>
        <w:t>Sistemas de pensiones: Régimen de Clases Pasivas Civiles del Estado</w:t>
      </w:r>
      <w:bookmarkEnd w:id="180"/>
      <w:bookmarkEnd w:id="181"/>
      <w:r w:rsidR="00557268">
        <w:rPr>
          <w:rFonts w:ascii="Times New Roman" w:hAnsi="Times New Roman" w:cs="Times New Roman"/>
          <w:b/>
          <w:sz w:val="24"/>
          <w:lang w:val="es-MX"/>
        </w:rPr>
        <w:t xml:space="preserve">  </w:t>
      </w:r>
    </w:p>
    <w:p w:rsidR="000A113D" w:rsidRPr="000A113D" w:rsidRDefault="000A113D" w:rsidP="000A113D">
      <w:pPr>
        <w:pStyle w:val="Sinespaciado"/>
        <w:jc w:val="both"/>
        <w:rPr>
          <w:rFonts w:ascii="Times New Roman" w:hAnsi="Times New Roman" w:cs="Times New Roman"/>
          <w:b/>
          <w:sz w:val="24"/>
          <w:lang w:val="es-MX"/>
        </w:rPr>
      </w:pPr>
    </w:p>
    <w:p w:rsidR="009D340A" w:rsidRPr="009D340A" w:rsidRDefault="009D340A" w:rsidP="009D340A">
      <w:pPr>
        <w:pStyle w:val="Prrafodelista"/>
        <w:numPr>
          <w:ilvl w:val="0"/>
          <w:numId w:val="28"/>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82" w:name="_Toc508979704"/>
      <w:bookmarkStart w:id="183" w:name="_Toc508980062"/>
      <w:bookmarkStart w:id="184" w:name="_Toc508980215"/>
      <w:bookmarkStart w:id="185" w:name="_Toc508981256"/>
      <w:bookmarkStart w:id="186" w:name="_Toc508982501"/>
      <w:bookmarkStart w:id="187" w:name="_Toc509213512"/>
      <w:bookmarkStart w:id="188" w:name="_Toc509213575"/>
      <w:bookmarkStart w:id="189" w:name="_Toc509213641"/>
      <w:bookmarkStart w:id="190" w:name="_Toc509213806"/>
      <w:bookmarkStart w:id="191" w:name="_Toc509214770"/>
      <w:bookmarkStart w:id="192" w:name="_Toc508726941"/>
      <w:bookmarkEnd w:id="182"/>
      <w:bookmarkEnd w:id="183"/>
      <w:bookmarkEnd w:id="184"/>
      <w:bookmarkEnd w:id="185"/>
      <w:bookmarkEnd w:id="186"/>
      <w:bookmarkEnd w:id="187"/>
      <w:bookmarkEnd w:id="188"/>
      <w:bookmarkEnd w:id="189"/>
      <w:bookmarkEnd w:id="190"/>
      <w:bookmarkEnd w:id="191"/>
    </w:p>
    <w:p w:rsidR="009D340A" w:rsidRPr="009D340A" w:rsidRDefault="009D340A" w:rsidP="009D340A">
      <w:pPr>
        <w:pStyle w:val="Prrafodelista"/>
        <w:numPr>
          <w:ilvl w:val="0"/>
          <w:numId w:val="28"/>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93" w:name="_Toc509213513"/>
      <w:bookmarkStart w:id="194" w:name="_Toc509213576"/>
      <w:bookmarkStart w:id="195" w:name="_Toc509213642"/>
      <w:bookmarkStart w:id="196" w:name="_Toc509213807"/>
      <w:bookmarkStart w:id="197" w:name="_Toc509214771"/>
      <w:bookmarkEnd w:id="193"/>
      <w:bookmarkEnd w:id="194"/>
      <w:bookmarkEnd w:id="195"/>
      <w:bookmarkEnd w:id="196"/>
      <w:bookmarkEnd w:id="197"/>
    </w:p>
    <w:p w:rsidR="009D340A" w:rsidRPr="009D340A" w:rsidRDefault="009D340A" w:rsidP="009D340A">
      <w:pPr>
        <w:pStyle w:val="Prrafodelista"/>
        <w:numPr>
          <w:ilvl w:val="0"/>
          <w:numId w:val="28"/>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198" w:name="_Toc509213514"/>
      <w:bookmarkStart w:id="199" w:name="_Toc509213577"/>
      <w:bookmarkStart w:id="200" w:name="_Toc509213643"/>
      <w:bookmarkStart w:id="201" w:name="_Toc509213808"/>
      <w:bookmarkStart w:id="202" w:name="_Toc509214772"/>
      <w:bookmarkEnd w:id="198"/>
      <w:bookmarkEnd w:id="199"/>
      <w:bookmarkEnd w:id="200"/>
      <w:bookmarkEnd w:id="201"/>
      <w:bookmarkEnd w:id="202"/>
    </w:p>
    <w:p w:rsidR="009D340A" w:rsidRPr="009D340A" w:rsidRDefault="009D340A" w:rsidP="009D340A">
      <w:pPr>
        <w:pStyle w:val="Prrafodelista"/>
        <w:numPr>
          <w:ilvl w:val="0"/>
          <w:numId w:val="28"/>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03" w:name="_Toc509213515"/>
      <w:bookmarkStart w:id="204" w:name="_Toc509213578"/>
      <w:bookmarkStart w:id="205" w:name="_Toc509213644"/>
      <w:bookmarkStart w:id="206" w:name="_Toc509213809"/>
      <w:bookmarkStart w:id="207" w:name="_Toc509214773"/>
      <w:bookmarkEnd w:id="203"/>
      <w:bookmarkEnd w:id="204"/>
      <w:bookmarkEnd w:id="205"/>
      <w:bookmarkEnd w:id="206"/>
      <w:bookmarkEnd w:id="207"/>
    </w:p>
    <w:p w:rsidR="000A113D" w:rsidRDefault="000A113D" w:rsidP="009D340A">
      <w:pPr>
        <w:pStyle w:val="Sinespaciado"/>
        <w:numPr>
          <w:ilvl w:val="1"/>
          <w:numId w:val="28"/>
        </w:numPr>
        <w:jc w:val="both"/>
        <w:outlineLvl w:val="1"/>
        <w:rPr>
          <w:rFonts w:ascii="Times New Roman" w:hAnsi="Times New Roman" w:cs="Times New Roman"/>
          <w:b/>
          <w:sz w:val="24"/>
          <w:lang w:val="es-MX"/>
        </w:rPr>
      </w:pPr>
      <w:bookmarkStart w:id="208" w:name="_Toc509214774"/>
      <w:r w:rsidRPr="000A113D">
        <w:rPr>
          <w:rFonts w:ascii="Times New Roman" w:hAnsi="Times New Roman" w:cs="Times New Roman"/>
          <w:b/>
          <w:sz w:val="24"/>
          <w:lang w:val="es-MX"/>
        </w:rPr>
        <w:t>Antecedentes</w:t>
      </w:r>
      <w:bookmarkEnd w:id="192"/>
      <w:bookmarkEnd w:id="208"/>
    </w:p>
    <w:p w:rsidR="00612E4E" w:rsidRPr="00612E4E" w:rsidRDefault="00612E4E" w:rsidP="00612E4E">
      <w:pPr>
        <w:pStyle w:val="Sinespaciado"/>
        <w:ind w:left="576"/>
        <w:jc w:val="both"/>
        <w:outlineLvl w:val="1"/>
        <w:rPr>
          <w:rFonts w:ascii="Times New Roman" w:hAnsi="Times New Roman" w:cs="Times New Roman"/>
          <w:b/>
          <w:sz w:val="24"/>
          <w:lang w:val="es-MX"/>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En Guatemala, el régimen de clases pasivas civiles del Estado está regulado por el Decreto No. 63-88 del Congreso de la República. A lo largo de los años esta Ley ha tenido varias reformas</w:t>
      </w:r>
      <w:r w:rsidR="00124DC7">
        <w:rPr>
          <w:rFonts w:ascii="Times New Roman" w:hAnsi="Times New Roman" w:cs="Times New Roman"/>
          <w:sz w:val="24"/>
        </w:rPr>
        <w:t>,</w:t>
      </w:r>
      <w:r w:rsidRPr="00612E4E">
        <w:rPr>
          <w:rFonts w:ascii="Times New Roman" w:hAnsi="Times New Roman" w:cs="Times New Roman"/>
          <w:sz w:val="24"/>
        </w:rPr>
        <w:t xml:space="preserve"> sin que se haya efectuado estudios rigurosos para determinar su sostenibilidad financiera, en detrimento de los ingresos tributarios que podrían utilizarse para gasto social o construcción de infraestructura.</w:t>
      </w:r>
    </w:p>
    <w:p w:rsidR="00047A77" w:rsidRPr="00612E4E" w:rsidRDefault="00047A77" w:rsidP="00047A77">
      <w:pPr>
        <w:pStyle w:val="Sinespaciado"/>
        <w:jc w:val="both"/>
        <w:rPr>
          <w:rFonts w:ascii="Times New Roman" w:hAnsi="Times New Roman" w:cs="Times New Roman"/>
          <w:sz w:val="24"/>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 xml:space="preserve">Dichas reformas lejos de buscar un beneficio efectivo para los jubilados del Estado, han sido planteadas con fines de elección o reelección de diputados, por lo que han carecido de evaluaciones de impacto presupuestario y financiero, </w:t>
      </w:r>
      <w:r w:rsidR="00124DC7">
        <w:rPr>
          <w:rFonts w:ascii="Times New Roman" w:hAnsi="Times New Roman" w:cs="Times New Roman"/>
          <w:sz w:val="24"/>
        </w:rPr>
        <w:t xml:space="preserve">y </w:t>
      </w:r>
      <w:r w:rsidRPr="00612E4E">
        <w:rPr>
          <w:rFonts w:ascii="Times New Roman" w:hAnsi="Times New Roman" w:cs="Times New Roman"/>
          <w:sz w:val="24"/>
        </w:rPr>
        <w:t>las convierte en situaciones de riesgo fiscal.</w:t>
      </w:r>
    </w:p>
    <w:p w:rsidR="00047A77" w:rsidRPr="00612E4E" w:rsidRDefault="00047A77" w:rsidP="00047A77">
      <w:pPr>
        <w:pStyle w:val="Sinespaciado"/>
        <w:jc w:val="both"/>
        <w:rPr>
          <w:rFonts w:ascii="Times New Roman" w:hAnsi="Times New Roman" w:cs="Times New Roman"/>
          <w:sz w:val="24"/>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Los riesgos son altos y están asociados con: la falta de información pública sobre los sistemas (estudios actuariales y situación financiera de las entidades) y la situación patrimonial de los fondos de pensiones. No existe un seguimiento a las estadísticas de pensiones, ni un organismo que supervise a estas entidades.</w:t>
      </w: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La cobertura del régimen de clases pasivas civiles del Estado (Administración Central y descentralizadas) es de carácter obligatorio para los trabajadores presupuestados en la Presidencia de la República, Ministerios de Estado, Secretarías de la Presidencia y otras entidades del Organismo Ejecutivo.  En el caso de los trabajadores de entidades descentralizadas y autónomas es opcional siempre y cuando la entidad esté inscrita al régimen y aporte una cuota patronal de por lo menos el 10.0% de las remuneraciones y la respectiva cuota laboral que se descuenta a los trabajadores de conformidad con la escala contenida en el artículo 18, literal c) de la Ley de Clases Pasivas Civiles del Estado, Decreto No. 63-88 del Congreso de la República.</w:t>
      </w:r>
    </w:p>
    <w:p w:rsidR="00047A77" w:rsidRPr="00612E4E" w:rsidRDefault="00047A77" w:rsidP="00047A77">
      <w:pPr>
        <w:pStyle w:val="Sinespaciado"/>
        <w:jc w:val="both"/>
        <w:rPr>
          <w:rFonts w:ascii="Times New Roman" w:hAnsi="Times New Roman" w:cs="Times New Roman"/>
          <w:sz w:val="24"/>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La principal amenaza a que está expuesto el régimen de clases pasivas civiles del Estado es la aprobación de leyes que incrementan los montos de las pensiones u otros beneficios, sin haber realizado previamente un estudio actuarial ni un análisis presupuestario y financiero para determinar la capacidad del Estado para absorber los costos, lo que compromete el destino de ingresos.</w:t>
      </w:r>
    </w:p>
    <w:p w:rsidR="00047A77" w:rsidRPr="00612E4E" w:rsidRDefault="00047A77" w:rsidP="00047A77">
      <w:pPr>
        <w:pStyle w:val="Sinespaciado"/>
        <w:jc w:val="both"/>
        <w:rPr>
          <w:rFonts w:ascii="Times New Roman" w:hAnsi="Times New Roman" w:cs="Times New Roman"/>
          <w:sz w:val="24"/>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A lo anterior, se adiciona la situación actual de la base de datos de los pensionados, ya que la misma no ha</w:t>
      </w:r>
      <w:r w:rsidR="00124DC7">
        <w:rPr>
          <w:rFonts w:ascii="Times New Roman" w:hAnsi="Times New Roman" w:cs="Times New Roman"/>
          <w:sz w:val="24"/>
        </w:rPr>
        <w:t xml:space="preserve"> tenido una depuración inicial que ha ayudado a disminuir </w:t>
      </w:r>
      <w:r w:rsidRPr="00612E4E">
        <w:rPr>
          <w:rFonts w:ascii="Times New Roman" w:hAnsi="Times New Roman" w:cs="Times New Roman"/>
          <w:sz w:val="24"/>
        </w:rPr>
        <w:t xml:space="preserve">el aparente cobro de pensiones por personas ya fallecidas, hijos beneficiarios que ya cumplieron la mayoría de edad y aún reciben la pensión, entre otros; </w:t>
      </w:r>
      <w:r w:rsidR="00124DC7">
        <w:rPr>
          <w:rFonts w:ascii="Times New Roman" w:hAnsi="Times New Roman" w:cs="Times New Roman"/>
          <w:sz w:val="24"/>
        </w:rPr>
        <w:t xml:space="preserve">hasta la fecha, </w:t>
      </w:r>
      <w:r w:rsidRPr="00612E4E">
        <w:rPr>
          <w:rFonts w:ascii="Times New Roman" w:hAnsi="Times New Roman" w:cs="Times New Roman"/>
          <w:sz w:val="24"/>
        </w:rPr>
        <w:t xml:space="preserve">de acuerdo a la Dirección de Contabilidad del Estado, mensualmente el Renap envía las bases de datos de las defunciones, con lo </w:t>
      </w:r>
      <w:r w:rsidR="00124DC7">
        <w:rPr>
          <w:rFonts w:ascii="Times New Roman" w:hAnsi="Times New Roman" w:cs="Times New Roman"/>
          <w:sz w:val="24"/>
        </w:rPr>
        <w:t>cual se ha mejorado</w:t>
      </w:r>
      <w:r w:rsidRPr="00612E4E">
        <w:rPr>
          <w:rFonts w:ascii="Times New Roman" w:hAnsi="Times New Roman" w:cs="Times New Roman"/>
          <w:sz w:val="24"/>
        </w:rPr>
        <w:t xml:space="preserve"> este aspecto.</w:t>
      </w:r>
    </w:p>
    <w:p w:rsidR="00047A77" w:rsidRPr="00612E4E" w:rsidRDefault="00047A77" w:rsidP="00047A77">
      <w:pPr>
        <w:pStyle w:val="Sinespaciado"/>
        <w:jc w:val="both"/>
        <w:rPr>
          <w:rFonts w:ascii="Times New Roman" w:hAnsi="Times New Roman" w:cs="Times New Roman"/>
          <w:sz w:val="24"/>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La brecha se ha cubierto</w:t>
      </w:r>
      <w:r w:rsidR="00124DC7">
        <w:rPr>
          <w:rFonts w:ascii="Times New Roman" w:hAnsi="Times New Roman" w:cs="Times New Roman"/>
          <w:sz w:val="24"/>
        </w:rPr>
        <w:t>,</w:t>
      </w:r>
      <w:r w:rsidRPr="00612E4E">
        <w:rPr>
          <w:rFonts w:ascii="Times New Roman" w:hAnsi="Times New Roman" w:cs="Times New Roman"/>
          <w:sz w:val="24"/>
        </w:rPr>
        <w:t xml:space="preserve"> generalmente, con recursos provenientes de la tributación, lo que ha implicado una disminución de recursos destinados al gasto social, en ocasiones, se han utilizado bonos del tesoro o préstamos externos, lo que ha representado una disminución en la Inversión Real Directa, e implica a la vez un aumento del déficit fiscal derivado del incremento en el endeudamiento público.</w:t>
      </w:r>
    </w:p>
    <w:p w:rsidR="000A113D" w:rsidRPr="00612E4E" w:rsidRDefault="000A113D" w:rsidP="00047A77">
      <w:pPr>
        <w:pStyle w:val="Sinespaciado"/>
        <w:jc w:val="both"/>
        <w:rPr>
          <w:rFonts w:ascii="Times New Roman" w:hAnsi="Times New Roman" w:cs="Times New Roman"/>
          <w:sz w:val="24"/>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La Ley de Clases Pasivas Civiles del Estado en el artículo 62 establece que para garantizar la estabilidad financiera del régimen, el Organismo Ejecutivo, por medio de la Oficina Nacional de Servicio Civil (ONSEC) efectuará revisiones técnicas y actuariales por lo menos cada cinco años. Asimismo, el artículo 64 de la citada Ley indica que para garantizar la permanencia del régimen, el Organismo Ejecutivo podrá crear un fondo específico que deberá administrar conforme a un reglamento aprobado.</w:t>
      </w:r>
    </w:p>
    <w:p w:rsidR="000A113D" w:rsidRPr="00612E4E" w:rsidRDefault="000A113D" w:rsidP="00047A77">
      <w:pPr>
        <w:pStyle w:val="Sinespaciado"/>
        <w:jc w:val="both"/>
        <w:rPr>
          <w:rFonts w:ascii="Times New Roman" w:hAnsi="Times New Roman" w:cs="Times New Roman"/>
          <w:sz w:val="24"/>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hAnsi="Times New Roman" w:cs="Times New Roman"/>
          <w:sz w:val="24"/>
        </w:rPr>
        <w:t>Por lo expuesto, la misma Ley establece la obligatoriedad de revisar periódicamente el régimen de clases pasivas, así como la facultad de poder crear un fondo con las aportaciones que administrado correctamente puede contribuir a su sostenibilidad financiera</w:t>
      </w:r>
    </w:p>
    <w:p w:rsidR="00ED1197" w:rsidRPr="00612E4E" w:rsidRDefault="00ED1197" w:rsidP="00047A77">
      <w:pPr>
        <w:pStyle w:val="Sinespaciado"/>
        <w:jc w:val="both"/>
        <w:rPr>
          <w:rFonts w:ascii="Times New Roman" w:hAnsi="Times New Roman" w:cs="Times New Roman"/>
          <w:b/>
          <w:sz w:val="24"/>
        </w:rPr>
      </w:pPr>
    </w:p>
    <w:p w:rsidR="00DB3C57" w:rsidRPr="00DB3C57" w:rsidRDefault="00DB3C57" w:rsidP="00DB3C57">
      <w:pPr>
        <w:pStyle w:val="Prrafodelista"/>
        <w:numPr>
          <w:ilvl w:val="0"/>
          <w:numId w:val="29"/>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09" w:name="_Toc508979711"/>
      <w:bookmarkStart w:id="210" w:name="_Toc508980069"/>
      <w:bookmarkStart w:id="211" w:name="_Toc508980222"/>
      <w:bookmarkStart w:id="212" w:name="_Toc508981263"/>
      <w:bookmarkStart w:id="213" w:name="_Toc508982508"/>
      <w:bookmarkStart w:id="214" w:name="_Toc509213517"/>
      <w:bookmarkStart w:id="215" w:name="_Toc509213580"/>
      <w:bookmarkStart w:id="216" w:name="_Toc509213646"/>
      <w:bookmarkStart w:id="217" w:name="_Toc509213811"/>
      <w:bookmarkStart w:id="218" w:name="_Toc509214775"/>
      <w:bookmarkStart w:id="219" w:name="_Toc508726942"/>
      <w:bookmarkEnd w:id="209"/>
      <w:bookmarkEnd w:id="210"/>
      <w:bookmarkEnd w:id="211"/>
      <w:bookmarkEnd w:id="212"/>
      <w:bookmarkEnd w:id="213"/>
      <w:bookmarkEnd w:id="214"/>
      <w:bookmarkEnd w:id="215"/>
      <w:bookmarkEnd w:id="216"/>
      <w:bookmarkEnd w:id="217"/>
      <w:bookmarkEnd w:id="218"/>
    </w:p>
    <w:p w:rsidR="00DB3C57" w:rsidRPr="00DB3C57" w:rsidRDefault="00DB3C57" w:rsidP="00DB3C57">
      <w:pPr>
        <w:pStyle w:val="Prrafodelista"/>
        <w:numPr>
          <w:ilvl w:val="0"/>
          <w:numId w:val="29"/>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20" w:name="_Toc508979712"/>
      <w:bookmarkStart w:id="221" w:name="_Toc508980070"/>
      <w:bookmarkStart w:id="222" w:name="_Toc508980223"/>
      <w:bookmarkStart w:id="223" w:name="_Toc508981264"/>
      <w:bookmarkStart w:id="224" w:name="_Toc508982509"/>
      <w:bookmarkStart w:id="225" w:name="_Toc509213518"/>
      <w:bookmarkStart w:id="226" w:name="_Toc509213581"/>
      <w:bookmarkStart w:id="227" w:name="_Toc509213647"/>
      <w:bookmarkStart w:id="228" w:name="_Toc509213812"/>
      <w:bookmarkStart w:id="229" w:name="_Toc509214776"/>
      <w:bookmarkEnd w:id="220"/>
      <w:bookmarkEnd w:id="221"/>
      <w:bookmarkEnd w:id="222"/>
      <w:bookmarkEnd w:id="223"/>
      <w:bookmarkEnd w:id="224"/>
      <w:bookmarkEnd w:id="225"/>
      <w:bookmarkEnd w:id="226"/>
      <w:bookmarkEnd w:id="227"/>
      <w:bookmarkEnd w:id="228"/>
      <w:bookmarkEnd w:id="229"/>
    </w:p>
    <w:p w:rsidR="00DB3C57" w:rsidRPr="00DB3C57" w:rsidRDefault="00DB3C57" w:rsidP="00DB3C57">
      <w:pPr>
        <w:pStyle w:val="Prrafodelista"/>
        <w:numPr>
          <w:ilvl w:val="0"/>
          <w:numId w:val="29"/>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30" w:name="_Toc508979713"/>
      <w:bookmarkStart w:id="231" w:name="_Toc508980071"/>
      <w:bookmarkStart w:id="232" w:name="_Toc508980224"/>
      <w:bookmarkStart w:id="233" w:name="_Toc508981265"/>
      <w:bookmarkStart w:id="234" w:name="_Toc508982510"/>
      <w:bookmarkStart w:id="235" w:name="_Toc509213519"/>
      <w:bookmarkStart w:id="236" w:name="_Toc509213582"/>
      <w:bookmarkStart w:id="237" w:name="_Toc509213648"/>
      <w:bookmarkStart w:id="238" w:name="_Toc509213813"/>
      <w:bookmarkStart w:id="239" w:name="_Toc509214777"/>
      <w:bookmarkEnd w:id="230"/>
      <w:bookmarkEnd w:id="231"/>
      <w:bookmarkEnd w:id="232"/>
      <w:bookmarkEnd w:id="233"/>
      <w:bookmarkEnd w:id="234"/>
      <w:bookmarkEnd w:id="235"/>
      <w:bookmarkEnd w:id="236"/>
      <w:bookmarkEnd w:id="237"/>
      <w:bookmarkEnd w:id="238"/>
      <w:bookmarkEnd w:id="239"/>
    </w:p>
    <w:p w:rsidR="00DB3C57" w:rsidRPr="00DB3C57" w:rsidRDefault="00DB3C57" w:rsidP="00DB3C57">
      <w:pPr>
        <w:pStyle w:val="Prrafodelista"/>
        <w:numPr>
          <w:ilvl w:val="0"/>
          <w:numId w:val="29"/>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40" w:name="_Toc508979714"/>
      <w:bookmarkStart w:id="241" w:name="_Toc508980072"/>
      <w:bookmarkStart w:id="242" w:name="_Toc508980225"/>
      <w:bookmarkStart w:id="243" w:name="_Toc508981266"/>
      <w:bookmarkStart w:id="244" w:name="_Toc508982511"/>
      <w:bookmarkStart w:id="245" w:name="_Toc509213520"/>
      <w:bookmarkStart w:id="246" w:name="_Toc509213583"/>
      <w:bookmarkStart w:id="247" w:name="_Toc509213649"/>
      <w:bookmarkStart w:id="248" w:name="_Toc509213814"/>
      <w:bookmarkStart w:id="249" w:name="_Toc509214778"/>
      <w:bookmarkEnd w:id="240"/>
      <w:bookmarkEnd w:id="241"/>
      <w:bookmarkEnd w:id="242"/>
      <w:bookmarkEnd w:id="243"/>
      <w:bookmarkEnd w:id="244"/>
      <w:bookmarkEnd w:id="245"/>
      <w:bookmarkEnd w:id="246"/>
      <w:bookmarkEnd w:id="247"/>
      <w:bookmarkEnd w:id="248"/>
      <w:bookmarkEnd w:id="249"/>
    </w:p>
    <w:p w:rsidR="00DB3C57" w:rsidRPr="00DB3C57" w:rsidRDefault="00DB3C57" w:rsidP="00DB3C57">
      <w:pPr>
        <w:pStyle w:val="Prrafodelista"/>
        <w:numPr>
          <w:ilvl w:val="0"/>
          <w:numId w:val="29"/>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50" w:name="_Toc508979715"/>
      <w:bookmarkStart w:id="251" w:name="_Toc508980073"/>
      <w:bookmarkStart w:id="252" w:name="_Toc508980226"/>
      <w:bookmarkStart w:id="253" w:name="_Toc508981267"/>
      <w:bookmarkStart w:id="254" w:name="_Toc508982512"/>
      <w:bookmarkStart w:id="255" w:name="_Toc509213521"/>
      <w:bookmarkStart w:id="256" w:name="_Toc509213584"/>
      <w:bookmarkStart w:id="257" w:name="_Toc509213650"/>
      <w:bookmarkStart w:id="258" w:name="_Toc509213815"/>
      <w:bookmarkStart w:id="259" w:name="_Toc509214779"/>
      <w:bookmarkEnd w:id="250"/>
      <w:bookmarkEnd w:id="251"/>
      <w:bookmarkEnd w:id="252"/>
      <w:bookmarkEnd w:id="253"/>
      <w:bookmarkEnd w:id="254"/>
      <w:bookmarkEnd w:id="255"/>
      <w:bookmarkEnd w:id="256"/>
      <w:bookmarkEnd w:id="257"/>
      <w:bookmarkEnd w:id="258"/>
      <w:bookmarkEnd w:id="259"/>
    </w:p>
    <w:p w:rsidR="00DB3C57" w:rsidRPr="00DB3C57" w:rsidRDefault="00DB3C57" w:rsidP="00DB3C57">
      <w:pPr>
        <w:pStyle w:val="Prrafodelista"/>
        <w:numPr>
          <w:ilvl w:val="0"/>
          <w:numId w:val="29"/>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60" w:name="_Toc508979716"/>
      <w:bookmarkStart w:id="261" w:name="_Toc508980074"/>
      <w:bookmarkStart w:id="262" w:name="_Toc508980227"/>
      <w:bookmarkStart w:id="263" w:name="_Toc508981268"/>
      <w:bookmarkStart w:id="264" w:name="_Toc508982513"/>
      <w:bookmarkStart w:id="265" w:name="_Toc509213522"/>
      <w:bookmarkStart w:id="266" w:name="_Toc509213585"/>
      <w:bookmarkStart w:id="267" w:name="_Toc509213651"/>
      <w:bookmarkStart w:id="268" w:name="_Toc509213816"/>
      <w:bookmarkStart w:id="269" w:name="_Toc509214780"/>
      <w:bookmarkEnd w:id="260"/>
      <w:bookmarkEnd w:id="261"/>
      <w:bookmarkEnd w:id="262"/>
      <w:bookmarkEnd w:id="263"/>
      <w:bookmarkEnd w:id="264"/>
      <w:bookmarkEnd w:id="265"/>
      <w:bookmarkEnd w:id="266"/>
      <w:bookmarkEnd w:id="267"/>
      <w:bookmarkEnd w:id="268"/>
      <w:bookmarkEnd w:id="269"/>
    </w:p>
    <w:p w:rsidR="00DB3C57" w:rsidRPr="00DB3C57" w:rsidRDefault="00DB3C57" w:rsidP="00DB3C57">
      <w:pPr>
        <w:pStyle w:val="Prrafodelista"/>
        <w:numPr>
          <w:ilvl w:val="1"/>
          <w:numId w:val="29"/>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70" w:name="_Toc508979717"/>
      <w:bookmarkStart w:id="271" w:name="_Toc508980075"/>
      <w:bookmarkStart w:id="272" w:name="_Toc508980228"/>
      <w:bookmarkStart w:id="273" w:name="_Toc508981269"/>
      <w:bookmarkStart w:id="274" w:name="_Toc508982514"/>
      <w:bookmarkStart w:id="275" w:name="_Toc509213523"/>
      <w:bookmarkStart w:id="276" w:name="_Toc509213586"/>
      <w:bookmarkStart w:id="277" w:name="_Toc509213652"/>
      <w:bookmarkStart w:id="278" w:name="_Toc509213817"/>
      <w:bookmarkStart w:id="279" w:name="_Toc509214781"/>
      <w:bookmarkEnd w:id="270"/>
      <w:bookmarkEnd w:id="271"/>
      <w:bookmarkEnd w:id="272"/>
      <w:bookmarkEnd w:id="273"/>
      <w:bookmarkEnd w:id="274"/>
      <w:bookmarkEnd w:id="275"/>
      <w:bookmarkEnd w:id="276"/>
      <w:bookmarkEnd w:id="277"/>
      <w:bookmarkEnd w:id="278"/>
      <w:bookmarkEnd w:id="279"/>
    </w:p>
    <w:p w:rsidR="000A113D" w:rsidRPr="009D340A" w:rsidRDefault="000A113D" w:rsidP="009D340A">
      <w:pPr>
        <w:pStyle w:val="Sinespaciado"/>
        <w:numPr>
          <w:ilvl w:val="1"/>
          <w:numId w:val="28"/>
        </w:numPr>
        <w:jc w:val="both"/>
        <w:outlineLvl w:val="1"/>
        <w:rPr>
          <w:rFonts w:ascii="Times New Roman" w:hAnsi="Times New Roman" w:cs="Times New Roman"/>
          <w:b/>
          <w:sz w:val="24"/>
          <w:lang w:val="es-MX"/>
        </w:rPr>
      </w:pPr>
      <w:bookmarkStart w:id="280" w:name="_Toc509214782"/>
      <w:r w:rsidRPr="00DB3C57">
        <w:rPr>
          <w:rFonts w:ascii="Times New Roman" w:hAnsi="Times New Roman" w:cs="Times New Roman"/>
          <w:b/>
          <w:sz w:val="24"/>
          <w:lang w:val="es-MX"/>
        </w:rPr>
        <w:t xml:space="preserve">Situación actual del Régimen de Clases Pasivas </w:t>
      </w:r>
      <w:r w:rsidRPr="009D340A">
        <w:rPr>
          <w:rFonts w:ascii="Times New Roman" w:hAnsi="Times New Roman" w:cs="Times New Roman"/>
          <w:b/>
          <w:sz w:val="24"/>
          <w:lang w:val="es-MX"/>
        </w:rPr>
        <w:t>Civiles del Estado</w:t>
      </w:r>
      <w:bookmarkEnd w:id="219"/>
      <w:bookmarkEnd w:id="280"/>
      <w:r w:rsidR="00557268" w:rsidRPr="009D340A">
        <w:rPr>
          <w:rFonts w:ascii="Times New Roman" w:hAnsi="Times New Roman" w:cs="Times New Roman"/>
          <w:b/>
          <w:sz w:val="24"/>
          <w:lang w:val="es-MX"/>
        </w:rPr>
        <w:t xml:space="preserve">   </w:t>
      </w:r>
    </w:p>
    <w:p w:rsidR="000A113D" w:rsidRPr="0059661F" w:rsidRDefault="000A113D" w:rsidP="00047A77">
      <w:pPr>
        <w:pStyle w:val="Sinespaciado"/>
        <w:jc w:val="both"/>
        <w:rPr>
          <w:rFonts w:ascii="Times New Roman" w:hAnsi="Times New Roman" w:cs="Times New Roman"/>
          <w:sz w:val="24"/>
        </w:rPr>
      </w:pPr>
    </w:p>
    <w:p w:rsidR="000A113D" w:rsidRPr="00612E4E" w:rsidRDefault="000A113D" w:rsidP="00047A77">
      <w:pPr>
        <w:pStyle w:val="Sinespaciado"/>
        <w:jc w:val="both"/>
        <w:rPr>
          <w:rFonts w:ascii="Times New Roman" w:hAnsi="Times New Roman" w:cs="Times New Roman"/>
          <w:sz w:val="22"/>
        </w:rPr>
      </w:pPr>
      <w:r w:rsidRPr="00612E4E">
        <w:rPr>
          <w:rFonts w:ascii="Times New Roman" w:hAnsi="Times New Roman" w:cs="Times New Roman"/>
          <w:sz w:val="22"/>
        </w:rPr>
        <w:t>El Régimen de Clases Pasivas tiene varios factores que influyen en el comportamiento y magnitud de las contribuciones y pensiones, entre los que están las disposiciones legales, presupuestarias, incentivos gubernamentales, fenómenos externos, transición demográfica de los empleados públicos y la tasa de ingreso a las clases pasivas, la edad de jubilación, el aumento de la esperanza de vida, el tiempo mínimo de cotización, la tasa de cotización</w:t>
      </w:r>
      <w:r w:rsidRPr="00612E4E">
        <w:rPr>
          <w:rFonts w:ascii="Times New Roman" w:hAnsi="Times New Roman" w:cs="Times New Roman"/>
          <w:sz w:val="22"/>
          <w:vertAlign w:val="superscript"/>
        </w:rPr>
        <w:footnoteReference w:id="9"/>
      </w:r>
      <w:r w:rsidRPr="00612E4E">
        <w:rPr>
          <w:rFonts w:ascii="Times New Roman" w:hAnsi="Times New Roman" w:cs="Times New Roman"/>
          <w:sz w:val="22"/>
        </w:rPr>
        <w:t xml:space="preserve"> y la tasa de reemplazo.</w:t>
      </w:r>
    </w:p>
    <w:p w:rsidR="000A113D" w:rsidRPr="00612E4E" w:rsidRDefault="000A113D" w:rsidP="00047A77">
      <w:pPr>
        <w:pStyle w:val="Sinespaciado"/>
        <w:jc w:val="both"/>
        <w:rPr>
          <w:rFonts w:ascii="Times New Roman" w:hAnsi="Times New Roman" w:cs="Times New Roman"/>
          <w:sz w:val="22"/>
        </w:rPr>
      </w:pPr>
    </w:p>
    <w:p w:rsidR="00047A77" w:rsidRDefault="000A113D" w:rsidP="00047A77">
      <w:pPr>
        <w:pStyle w:val="Sinespaciado"/>
        <w:jc w:val="both"/>
        <w:rPr>
          <w:rFonts w:ascii="Times New Roman" w:hAnsi="Times New Roman" w:cs="Times New Roman"/>
          <w:sz w:val="22"/>
        </w:rPr>
      </w:pPr>
      <w:r w:rsidRPr="00612E4E">
        <w:rPr>
          <w:rFonts w:ascii="Times New Roman" w:hAnsi="Times New Roman" w:cs="Times New Roman"/>
          <w:noProof/>
          <w:sz w:val="22"/>
          <w:lang w:val="es-ES" w:eastAsia="es-ES"/>
        </w:rPr>
        <w:t xml:space="preserve">Se observa ciertas oscilaciones de las pensiones durante el periodo de analisis 1998 - 2016. En el 2000 fue el pago adicional de Q.250.0 quetzales a cada pensionado como </w:t>
      </w:r>
      <w:r w:rsidRPr="00612E4E">
        <w:rPr>
          <w:rFonts w:ascii="Times New Roman" w:hAnsi="Times New Roman" w:cs="Times New Roman"/>
          <w:sz w:val="22"/>
        </w:rPr>
        <w:t>bonificación, según Acuerdo Gubernativo 66-2000, también se observó un aumento en la pensión media de ese año; en 2008 fue la incorporación de 115 pensionados provenientes del sistema de pensiones del Banvi</w:t>
      </w:r>
      <w:r w:rsidRPr="00612E4E">
        <w:rPr>
          <w:rFonts w:ascii="Times New Roman" w:hAnsi="Times New Roman" w:cs="Times New Roman"/>
          <w:sz w:val="22"/>
          <w:vertAlign w:val="superscript"/>
        </w:rPr>
        <w:footnoteReference w:id="10"/>
      </w:r>
      <w:r w:rsidRPr="00612E4E">
        <w:rPr>
          <w:rFonts w:ascii="Times New Roman" w:hAnsi="Times New Roman" w:cs="Times New Roman"/>
          <w:sz w:val="22"/>
        </w:rPr>
        <w:t>; en el 2012 la adición de 1,251 jubilados del antiguo sistema de pensiones de Guatel</w:t>
      </w:r>
      <w:r w:rsidRPr="00612E4E">
        <w:rPr>
          <w:rFonts w:ascii="Times New Roman" w:hAnsi="Times New Roman" w:cs="Times New Roman"/>
          <w:sz w:val="22"/>
          <w:vertAlign w:val="superscript"/>
        </w:rPr>
        <w:footnoteReference w:id="11"/>
      </w:r>
      <w:r w:rsidRPr="00612E4E">
        <w:rPr>
          <w:rFonts w:ascii="Times New Roman" w:hAnsi="Times New Roman" w:cs="Times New Roman"/>
          <w:sz w:val="22"/>
        </w:rPr>
        <w:t xml:space="preserve"> que posteriormente llegarían a sumar 2,151 jubilados; en 2016 por la entrada en vigencia del Decreto 11-2016, que considera el aumento de Q.500.0 a las pensiones cuyo monto es menor al salario mínimo vigente y un incremento de Q.500.0 para el 2017 a los pensionados que continuaran percibiendo jubilación por debajo del salario mínimo.</w:t>
      </w:r>
    </w:p>
    <w:p w:rsidR="00ED1197" w:rsidRPr="00612E4E" w:rsidRDefault="00ED1197" w:rsidP="00047A77">
      <w:pPr>
        <w:pStyle w:val="Sinespaciado"/>
        <w:jc w:val="both"/>
        <w:rPr>
          <w:rFonts w:ascii="Times New Roman" w:hAnsi="Times New Roman" w:cs="Times New Roman"/>
          <w:sz w:val="22"/>
        </w:rPr>
      </w:pPr>
    </w:p>
    <w:tbl>
      <w:tblPr>
        <w:tblW w:w="6851" w:type="dxa"/>
        <w:jc w:val="center"/>
        <w:tblCellMar>
          <w:left w:w="70" w:type="dxa"/>
          <w:right w:w="70" w:type="dxa"/>
        </w:tblCellMar>
        <w:tblLook w:val="04A0" w:firstRow="1" w:lastRow="0" w:firstColumn="1" w:lastColumn="0" w:noHBand="0" w:noVBand="1"/>
      </w:tblPr>
      <w:tblGrid>
        <w:gridCol w:w="805"/>
        <w:gridCol w:w="1412"/>
        <w:gridCol w:w="1547"/>
        <w:gridCol w:w="1634"/>
        <w:gridCol w:w="1453"/>
      </w:tblGrid>
      <w:tr w:rsidR="000A113D" w:rsidRPr="00566194" w:rsidTr="00ED1197">
        <w:trPr>
          <w:trHeight w:val="330"/>
          <w:jc w:val="center"/>
        </w:trPr>
        <w:tc>
          <w:tcPr>
            <w:tcW w:w="6851" w:type="dxa"/>
            <w:gridSpan w:val="5"/>
            <w:tcBorders>
              <w:top w:val="nil"/>
              <w:left w:val="nil"/>
              <w:bottom w:val="nil"/>
              <w:right w:val="nil"/>
            </w:tcBorders>
            <w:shd w:val="clear" w:color="000000" w:fill="auto"/>
            <w:noWrap/>
            <w:vAlign w:val="center"/>
            <w:hideMark/>
          </w:tcPr>
          <w:p w:rsidR="00EF5E98" w:rsidRDefault="00BC6054" w:rsidP="000A113D">
            <w:pPr>
              <w:keepNext/>
              <w:spacing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val="es-ES" w:eastAsia="es-ES"/>
              </w:rPr>
              <w:t>Cuadro 6</w:t>
            </w:r>
          </w:p>
          <w:p w:rsidR="000A113D" w:rsidRPr="00566194" w:rsidRDefault="000A113D" w:rsidP="000A113D">
            <w:pPr>
              <w:keepNext/>
              <w:spacing w:after="0" w:line="240" w:lineRule="auto"/>
              <w:jc w:val="center"/>
              <w:rPr>
                <w:rFonts w:ascii="Times New Roman" w:eastAsia="Times New Roman" w:hAnsi="Times New Roman" w:cs="Times New Roman"/>
                <w:b/>
                <w:bCs/>
                <w:color w:val="000000"/>
                <w:sz w:val="24"/>
                <w:szCs w:val="24"/>
                <w:lang w:val="es-ES" w:eastAsia="es-ES"/>
              </w:rPr>
            </w:pPr>
            <w:r w:rsidRPr="00566194">
              <w:rPr>
                <w:rFonts w:ascii="Times New Roman" w:eastAsia="Times New Roman" w:hAnsi="Times New Roman" w:cs="Times New Roman"/>
                <w:b/>
                <w:bCs/>
                <w:color w:val="000000"/>
                <w:sz w:val="24"/>
                <w:szCs w:val="24"/>
                <w:lang w:val="es-ES" w:eastAsia="es-ES"/>
              </w:rPr>
              <w:t>Situación de las Clases Pasivas Civiles del Estado</w:t>
            </w:r>
          </w:p>
        </w:tc>
      </w:tr>
      <w:tr w:rsidR="000A113D" w:rsidRPr="00566194" w:rsidTr="00ED1197">
        <w:trPr>
          <w:trHeight w:val="241"/>
          <w:jc w:val="center"/>
        </w:trPr>
        <w:tc>
          <w:tcPr>
            <w:tcW w:w="6851" w:type="dxa"/>
            <w:gridSpan w:val="5"/>
            <w:tcBorders>
              <w:top w:val="nil"/>
              <w:left w:val="nil"/>
              <w:bottom w:val="nil"/>
              <w:right w:val="nil"/>
            </w:tcBorders>
            <w:shd w:val="clear" w:color="000000" w:fill="auto"/>
            <w:noWrap/>
            <w:vAlign w:val="center"/>
            <w:hideMark/>
          </w:tcPr>
          <w:p w:rsidR="000A113D" w:rsidRPr="00612E4E" w:rsidRDefault="000A113D" w:rsidP="000A113D">
            <w:pPr>
              <w:keepNext/>
              <w:spacing w:after="0" w:line="240" w:lineRule="auto"/>
              <w:jc w:val="center"/>
              <w:rPr>
                <w:rFonts w:ascii="Times New Roman" w:eastAsia="Times New Roman" w:hAnsi="Times New Roman" w:cs="Times New Roman"/>
                <w:bCs/>
                <w:color w:val="000000"/>
                <w:sz w:val="20"/>
                <w:szCs w:val="24"/>
                <w:lang w:val="es-ES" w:eastAsia="es-ES"/>
              </w:rPr>
            </w:pPr>
            <w:r w:rsidRPr="00612E4E">
              <w:rPr>
                <w:rFonts w:ascii="Times New Roman" w:eastAsia="Times New Roman" w:hAnsi="Times New Roman" w:cs="Times New Roman"/>
                <w:bCs/>
                <w:color w:val="000000"/>
                <w:sz w:val="20"/>
                <w:szCs w:val="24"/>
                <w:lang w:val="es-ES" w:eastAsia="es-ES"/>
              </w:rPr>
              <w:t>Periodo 1998 – 2022</w:t>
            </w:r>
          </w:p>
        </w:tc>
      </w:tr>
      <w:tr w:rsidR="000A113D" w:rsidRPr="00566194" w:rsidTr="00ED1197">
        <w:trPr>
          <w:trHeight w:val="130"/>
          <w:jc w:val="center"/>
        </w:trPr>
        <w:tc>
          <w:tcPr>
            <w:tcW w:w="6851" w:type="dxa"/>
            <w:gridSpan w:val="5"/>
            <w:tcBorders>
              <w:top w:val="nil"/>
              <w:left w:val="nil"/>
              <w:bottom w:val="single" w:sz="12" w:space="0" w:color="auto"/>
              <w:right w:val="nil"/>
            </w:tcBorders>
            <w:shd w:val="clear" w:color="000000" w:fill="auto"/>
            <w:noWrap/>
            <w:vAlign w:val="center"/>
            <w:hideMark/>
          </w:tcPr>
          <w:p w:rsidR="000A113D" w:rsidRPr="00612E4E" w:rsidRDefault="000A113D" w:rsidP="000A113D">
            <w:pPr>
              <w:keepNext/>
              <w:spacing w:after="0" w:line="240" w:lineRule="auto"/>
              <w:jc w:val="center"/>
              <w:rPr>
                <w:rFonts w:ascii="Times New Roman" w:eastAsia="Times New Roman" w:hAnsi="Times New Roman" w:cs="Times New Roman"/>
                <w:bCs/>
                <w:color w:val="000000"/>
                <w:sz w:val="20"/>
                <w:szCs w:val="24"/>
                <w:lang w:val="es-ES" w:eastAsia="es-ES"/>
              </w:rPr>
            </w:pPr>
            <w:r w:rsidRPr="00612E4E">
              <w:rPr>
                <w:rFonts w:ascii="Times New Roman" w:eastAsia="Times New Roman" w:hAnsi="Times New Roman" w:cs="Times New Roman"/>
                <w:bCs/>
                <w:color w:val="000000"/>
                <w:sz w:val="20"/>
                <w:szCs w:val="24"/>
                <w:lang w:val="es-ES" w:eastAsia="es-ES"/>
              </w:rPr>
              <w:t>Millones de Quetzales</w:t>
            </w:r>
          </w:p>
        </w:tc>
      </w:tr>
      <w:tr w:rsidR="000A113D" w:rsidRPr="00566194" w:rsidTr="00ED1197">
        <w:trPr>
          <w:trHeight w:val="550"/>
          <w:jc w:val="center"/>
        </w:trPr>
        <w:tc>
          <w:tcPr>
            <w:tcW w:w="805" w:type="dxa"/>
            <w:tcBorders>
              <w:top w:val="single" w:sz="12"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b/>
                <w:bCs/>
                <w:color w:val="000000"/>
                <w:sz w:val="18"/>
                <w:lang w:val="es-ES" w:eastAsia="es-ES"/>
              </w:rPr>
            </w:pPr>
            <w:r w:rsidRPr="0059661F">
              <w:rPr>
                <w:rFonts w:ascii="Times New Roman" w:eastAsia="Times New Roman" w:hAnsi="Times New Roman" w:cs="Times New Roman"/>
                <w:b/>
                <w:bCs/>
                <w:color w:val="000000"/>
                <w:sz w:val="18"/>
                <w:lang w:val="es-ES" w:eastAsia="es-ES"/>
              </w:rPr>
              <w:t>Año </w:t>
            </w:r>
          </w:p>
        </w:tc>
        <w:tc>
          <w:tcPr>
            <w:tcW w:w="1412" w:type="dxa"/>
            <w:tcBorders>
              <w:top w:val="single" w:sz="12" w:space="0" w:color="auto"/>
              <w:left w:val="dotted" w:sz="4" w:space="0" w:color="auto"/>
              <w:bottom w:val="dotted" w:sz="4" w:space="0" w:color="auto"/>
              <w:right w:val="dotted" w:sz="4" w:space="0" w:color="auto"/>
            </w:tcBorders>
            <w:shd w:val="clear" w:color="000000" w:fill="auto"/>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b/>
                <w:bCs/>
                <w:color w:val="000000"/>
                <w:sz w:val="18"/>
                <w:lang w:val="es-ES" w:eastAsia="es-ES"/>
              </w:rPr>
            </w:pPr>
            <w:r w:rsidRPr="0059661F">
              <w:rPr>
                <w:rFonts w:ascii="Times New Roman" w:eastAsia="Times New Roman" w:hAnsi="Times New Roman" w:cs="Times New Roman"/>
                <w:b/>
                <w:bCs/>
                <w:color w:val="000000"/>
                <w:sz w:val="18"/>
                <w:lang w:val="es-ES" w:eastAsia="es-ES"/>
              </w:rPr>
              <w:t>Pago de pensiones</w:t>
            </w:r>
          </w:p>
        </w:tc>
        <w:tc>
          <w:tcPr>
            <w:tcW w:w="1547" w:type="dxa"/>
            <w:tcBorders>
              <w:top w:val="single" w:sz="12" w:space="0" w:color="auto"/>
              <w:left w:val="dotted" w:sz="4" w:space="0" w:color="auto"/>
              <w:bottom w:val="dotted" w:sz="4" w:space="0" w:color="auto"/>
              <w:right w:val="dotted" w:sz="4" w:space="0" w:color="auto"/>
            </w:tcBorders>
            <w:shd w:val="clear" w:color="000000" w:fill="auto"/>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b/>
                <w:bCs/>
                <w:color w:val="000000"/>
                <w:sz w:val="18"/>
                <w:lang w:val="es-ES" w:eastAsia="es-ES"/>
              </w:rPr>
            </w:pPr>
            <w:r w:rsidRPr="0059661F">
              <w:rPr>
                <w:rFonts w:ascii="Times New Roman" w:eastAsia="Times New Roman" w:hAnsi="Times New Roman" w:cs="Times New Roman"/>
                <w:b/>
                <w:bCs/>
                <w:color w:val="000000"/>
                <w:sz w:val="18"/>
                <w:lang w:val="es-ES" w:eastAsia="es-ES"/>
              </w:rPr>
              <w:t>Contribuciones laborales</w:t>
            </w:r>
          </w:p>
        </w:tc>
        <w:tc>
          <w:tcPr>
            <w:tcW w:w="1634" w:type="dxa"/>
            <w:tcBorders>
              <w:top w:val="single" w:sz="12" w:space="0" w:color="auto"/>
              <w:left w:val="dotted" w:sz="4" w:space="0" w:color="auto"/>
              <w:bottom w:val="dotted" w:sz="4" w:space="0" w:color="auto"/>
              <w:right w:val="dotted" w:sz="4" w:space="0" w:color="auto"/>
            </w:tcBorders>
            <w:shd w:val="clear" w:color="000000" w:fill="auto"/>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b/>
                <w:bCs/>
                <w:color w:val="000000"/>
                <w:sz w:val="18"/>
                <w:lang w:val="es-ES" w:eastAsia="es-ES"/>
              </w:rPr>
            </w:pPr>
            <w:r w:rsidRPr="0059661F">
              <w:rPr>
                <w:rFonts w:ascii="Times New Roman" w:eastAsia="Times New Roman" w:hAnsi="Times New Roman" w:cs="Times New Roman"/>
                <w:b/>
                <w:bCs/>
                <w:color w:val="000000"/>
                <w:sz w:val="18"/>
                <w:lang w:val="es-ES" w:eastAsia="es-ES"/>
              </w:rPr>
              <w:t>Aporte del Estado</w:t>
            </w:r>
          </w:p>
        </w:tc>
        <w:tc>
          <w:tcPr>
            <w:tcW w:w="1453" w:type="dxa"/>
            <w:tcBorders>
              <w:top w:val="single" w:sz="12" w:space="0" w:color="auto"/>
              <w:left w:val="dotted" w:sz="4" w:space="0" w:color="auto"/>
              <w:bottom w:val="dotted" w:sz="4" w:space="0" w:color="auto"/>
              <w:right w:val="single" w:sz="12" w:space="0" w:color="auto"/>
            </w:tcBorders>
            <w:shd w:val="clear" w:color="000000" w:fill="auto"/>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b/>
                <w:bCs/>
                <w:color w:val="000000"/>
                <w:sz w:val="18"/>
                <w:lang w:val="es-ES" w:eastAsia="es-ES"/>
              </w:rPr>
            </w:pPr>
            <w:r w:rsidRPr="0059661F">
              <w:rPr>
                <w:rFonts w:ascii="Times New Roman" w:eastAsia="Times New Roman" w:hAnsi="Times New Roman" w:cs="Times New Roman"/>
                <w:b/>
                <w:bCs/>
                <w:color w:val="000000"/>
                <w:sz w:val="18"/>
                <w:lang w:val="es-ES" w:eastAsia="es-ES"/>
              </w:rPr>
              <w:t>Aporte Laboral como % de pago de pensiones</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1998</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944.1</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223.9</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720.2</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23.7%</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1999</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1,005.8</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302.6</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703.2</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30.1%</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2000</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1,395.2</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356.7</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1,038.5</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25.6%</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2001</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1,295.1</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414.2</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880.9</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32.0%</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2002</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1,459.6</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466.2</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993.4</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31.9%</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2003</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1,590.5</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501.7</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1,088.8</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31.5%</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2004</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1,743.8</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535.7</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1,208.1</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30.7%</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2005</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1,839.1</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544.3</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1,294.8</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29.6%</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2006</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2,022.1</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578.6</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1,443.5</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28.6%</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center"/>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2007</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2,189.7</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647.9</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1,541.8</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29.6%</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2008</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2,476.9</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745.5</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1,731.4</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30.1%</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2009</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2,646.5</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921.9</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1,724.7</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34.8%</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2010</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2,807.8</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1,069.1</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1,738.7</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38.1%</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2011</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2,890.0</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1,214.4</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1,675.6</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42.0%</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2012</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3,136.2</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1,273.6</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1,862.7</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40.6%</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2013</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3,429.0</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1,427.4</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2,001.7</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41.6%</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2014</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3,606.9</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1,617.2</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1,989.7</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44.8%</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2015</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3,738.9</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1,650.9</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2,087.9</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44.2%</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2016</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4,174.3</w:t>
            </w:r>
          </w:p>
        </w:tc>
        <w:tc>
          <w:tcPr>
            <w:tcW w:w="1547"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2,026.7</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2,147.6</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48.6%</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2017</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4,618.2</w:t>
            </w:r>
          </w:p>
        </w:tc>
        <w:tc>
          <w:tcPr>
            <w:tcW w:w="154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2,203.6</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2,414.6</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47.7%</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2018</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4,904.1</w:t>
            </w:r>
          </w:p>
        </w:tc>
        <w:tc>
          <w:tcPr>
            <w:tcW w:w="154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2,296.8</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2,607.3</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46.8%</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2019</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4,999.1</w:t>
            </w:r>
          </w:p>
        </w:tc>
        <w:tc>
          <w:tcPr>
            <w:tcW w:w="154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2,389.7</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2,609.4</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47.8%</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2020</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5,106.3</w:t>
            </w:r>
          </w:p>
        </w:tc>
        <w:tc>
          <w:tcPr>
            <w:tcW w:w="154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2,483.2</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2,623.1</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48.6%</w:t>
            </w:r>
          </w:p>
        </w:tc>
      </w:tr>
      <w:tr w:rsidR="000A113D" w:rsidRPr="00566194" w:rsidTr="00ED1197">
        <w:trPr>
          <w:trHeight w:val="21"/>
          <w:jc w:val="center"/>
        </w:trPr>
        <w:tc>
          <w:tcPr>
            <w:tcW w:w="805" w:type="dxa"/>
            <w:tcBorders>
              <w:top w:val="dotted" w:sz="4" w:space="0" w:color="auto"/>
              <w:left w:val="single" w:sz="12"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2021</w:t>
            </w:r>
          </w:p>
        </w:tc>
        <w:tc>
          <w:tcPr>
            <w:tcW w:w="1412"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5,222.0</w:t>
            </w:r>
          </w:p>
        </w:tc>
        <w:tc>
          <w:tcPr>
            <w:tcW w:w="154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2,572.0</w:t>
            </w:r>
          </w:p>
        </w:tc>
        <w:tc>
          <w:tcPr>
            <w:tcW w:w="1634" w:type="dxa"/>
            <w:tcBorders>
              <w:top w:val="dotted" w:sz="4" w:space="0" w:color="auto"/>
              <w:left w:val="dotted" w:sz="4" w:space="0" w:color="auto"/>
              <w:bottom w:val="dotted" w:sz="4"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2,650.0</w:t>
            </w:r>
          </w:p>
        </w:tc>
        <w:tc>
          <w:tcPr>
            <w:tcW w:w="1453" w:type="dxa"/>
            <w:tcBorders>
              <w:top w:val="dotted" w:sz="4" w:space="0" w:color="auto"/>
              <w:left w:val="dotted" w:sz="4" w:space="0" w:color="auto"/>
              <w:bottom w:val="dotted" w:sz="4"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49.3%</w:t>
            </w:r>
          </w:p>
        </w:tc>
      </w:tr>
      <w:tr w:rsidR="000A113D" w:rsidRPr="00566194" w:rsidTr="00ED1197">
        <w:trPr>
          <w:trHeight w:val="21"/>
          <w:jc w:val="center"/>
        </w:trPr>
        <w:tc>
          <w:tcPr>
            <w:tcW w:w="805" w:type="dxa"/>
            <w:tcBorders>
              <w:top w:val="dotted" w:sz="4" w:space="0" w:color="auto"/>
              <w:left w:val="single" w:sz="12" w:space="0" w:color="auto"/>
              <w:bottom w:val="single" w:sz="12"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center"/>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2022</w:t>
            </w:r>
          </w:p>
        </w:tc>
        <w:tc>
          <w:tcPr>
            <w:tcW w:w="1412" w:type="dxa"/>
            <w:tcBorders>
              <w:top w:val="dotted" w:sz="4" w:space="0" w:color="auto"/>
              <w:left w:val="dotted" w:sz="4" w:space="0" w:color="auto"/>
              <w:bottom w:val="single" w:sz="12"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5,344.6</w:t>
            </w:r>
          </w:p>
        </w:tc>
        <w:tc>
          <w:tcPr>
            <w:tcW w:w="1547" w:type="dxa"/>
            <w:tcBorders>
              <w:top w:val="dotted" w:sz="4" w:space="0" w:color="auto"/>
              <w:left w:val="dotted" w:sz="4" w:space="0" w:color="auto"/>
              <w:bottom w:val="single" w:sz="12"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2,654.1</w:t>
            </w:r>
          </w:p>
        </w:tc>
        <w:tc>
          <w:tcPr>
            <w:tcW w:w="1634" w:type="dxa"/>
            <w:tcBorders>
              <w:top w:val="dotted" w:sz="4" w:space="0" w:color="auto"/>
              <w:left w:val="dotted" w:sz="4" w:space="0" w:color="auto"/>
              <w:bottom w:val="single" w:sz="12" w:space="0" w:color="auto"/>
              <w:right w:val="dotted" w:sz="4"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2,690.4</w:t>
            </w:r>
          </w:p>
        </w:tc>
        <w:tc>
          <w:tcPr>
            <w:tcW w:w="1453" w:type="dxa"/>
            <w:tcBorders>
              <w:top w:val="dotted" w:sz="4" w:space="0" w:color="auto"/>
              <w:left w:val="dotted" w:sz="4" w:space="0" w:color="auto"/>
              <w:bottom w:val="single" w:sz="12" w:space="0" w:color="auto"/>
              <w:right w:val="single" w:sz="12" w:space="0" w:color="auto"/>
            </w:tcBorders>
            <w:shd w:val="clear" w:color="000000" w:fill="auto"/>
            <w:noWrap/>
            <w:vAlign w:val="bottom"/>
            <w:hideMark/>
          </w:tcPr>
          <w:p w:rsidR="000A113D" w:rsidRPr="0059661F" w:rsidRDefault="000A113D" w:rsidP="000A113D">
            <w:pPr>
              <w:keepNext/>
              <w:spacing w:after="0" w:line="240" w:lineRule="auto"/>
              <w:jc w:val="right"/>
              <w:rPr>
                <w:rFonts w:ascii="Times New Roman" w:eastAsia="Times New Roman" w:hAnsi="Times New Roman" w:cs="Times New Roman"/>
                <w:color w:val="000000"/>
                <w:sz w:val="18"/>
                <w:lang w:val="es-ES" w:eastAsia="es-ES"/>
              </w:rPr>
            </w:pPr>
            <w:r w:rsidRPr="0059661F">
              <w:rPr>
                <w:rFonts w:ascii="Times New Roman" w:eastAsia="Times New Roman" w:hAnsi="Times New Roman" w:cs="Times New Roman"/>
                <w:color w:val="000000"/>
                <w:sz w:val="18"/>
                <w:lang w:val="es-ES" w:eastAsia="es-ES"/>
              </w:rPr>
              <w:t>49.7%</w:t>
            </w:r>
          </w:p>
        </w:tc>
      </w:tr>
    </w:tbl>
    <w:p w:rsidR="000A113D" w:rsidRPr="0059661F" w:rsidRDefault="0059661F" w:rsidP="0059661F">
      <w:pPr>
        <w:ind w:left="708"/>
        <w:jc w:val="both"/>
        <w:rPr>
          <w:rFonts w:ascii="Times New Roman" w:hAnsi="Times New Roman" w:cs="Times New Roman"/>
          <w:sz w:val="16"/>
          <w:szCs w:val="24"/>
        </w:rPr>
      </w:pPr>
      <w:r>
        <w:rPr>
          <w:rFonts w:ascii="Times New Roman" w:hAnsi="Times New Roman" w:cs="Times New Roman"/>
          <w:sz w:val="16"/>
          <w:szCs w:val="24"/>
        </w:rPr>
        <w:t xml:space="preserve">       </w:t>
      </w:r>
      <w:r w:rsidR="000A113D" w:rsidRPr="0059661F">
        <w:rPr>
          <w:rFonts w:ascii="Times New Roman" w:hAnsi="Times New Roman" w:cs="Times New Roman"/>
          <w:sz w:val="16"/>
          <w:szCs w:val="24"/>
        </w:rPr>
        <w:t>Fuente: Elaboración DEF. Datos 1998 a 2016 obtenidos de Sicoin, datos de 2017 a 2022 proyecciones DEF.</w:t>
      </w:r>
    </w:p>
    <w:p w:rsidR="00EF5E98" w:rsidRPr="005F25DC" w:rsidRDefault="000A113D" w:rsidP="005F25DC">
      <w:pPr>
        <w:keepNext/>
        <w:spacing w:after="0" w:line="240" w:lineRule="auto"/>
        <w:jc w:val="center"/>
        <w:rPr>
          <w:rFonts w:ascii="Times New Roman" w:eastAsia="Times New Roman" w:hAnsi="Times New Roman" w:cs="Times New Roman"/>
          <w:b/>
          <w:bCs/>
          <w:color w:val="000000"/>
          <w:sz w:val="24"/>
          <w:szCs w:val="24"/>
          <w:lang w:val="es-ES" w:eastAsia="es-ES"/>
        </w:rPr>
      </w:pPr>
      <w:r w:rsidRPr="005F25DC">
        <w:rPr>
          <w:rFonts w:ascii="Times New Roman" w:eastAsia="Times New Roman" w:hAnsi="Times New Roman" w:cs="Times New Roman"/>
          <w:b/>
          <w:bCs/>
          <w:color w:val="000000"/>
          <w:sz w:val="24"/>
          <w:szCs w:val="24"/>
          <w:lang w:val="es-ES" w:eastAsia="es-ES"/>
        </w:rPr>
        <w:t>G</w:t>
      </w:r>
      <w:r w:rsidR="005F25DC" w:rsidRPr="005F25DC">
        <w:rPr>
          <w:rFonts w:ascii="Times New Roman" w:eastAsia="Times New Roman" w:hAnsi="Times New Roman" w:cs="Times New Roman"/>
          <w:b/>
          <w:bCs/>
          <w:color w:val="000000"/>
          <w:sz w:val="24"/>
          <w:szCs w:val="24"/>
          <w:lang w:val="es-ES" w:eastAsia="es-ES"/>
        </w:rPr>
        <w:t>ráfica</w:t>
      </w:r>
      <w:r w:rsidR="00EF5E98" w:rsidRPr="005F25DC">
        <w:rPr>
          <w:rFonts w:ascii="Times New Roman" w:eastAsia="Times New Roman" w:hAnsi="Times New Roman" w:cs="Times New Roman"/>
          <w:b/>
          <w:bCs/>
          <w:color w:val="000000"/>
          <w:sz w:val="24"/>
          <w:szCs w:val="24"/>
          <w:lang w:val="es-ES" w:eastAsia="es-ES"/>
        </w:rPr>
        <w:t xml:space="preserve"> 18</w:t>
      </w:r>
    </w:p>
    <w:p w:rsidR="000A113D" w:rsidRPr="005F25DC" w:rsidRDefault="00ED1197" w:rsidP="005F25DC">
      <w:pPr>
        <w:keepNext/>
        <w:spacing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val="es-ES" w:eastAsia="es-ES"/>
        </w:rPr>
        <w:t>Aporte</w:t>
      </w:r>
      <w:r w:rsidR="000A113D" w:rsidRPr="005F25DC">
        <w:rPr>
          <w:rFonts w:ascii="Times New Roman" w:eastAsia="Times New Roman" w:hAnsi="Times New Roman" w:cs="Times New Roman"/>
          <w:b/>
          <w:bCs/>
          <w:color w:val="000000"/>
          <w:sz w:val="24"/>
          <w:szCs w:val="24"/>
          <w:lang w:val="es-ES" w:eastAsia="es-ES"/>
        </w:rPr>
        <w:t xml:space="preserve"> laboral y del Estado al Plan de Clases Pasivas Civiles del Estado </w:t>
      </w:r>
    </w:p>
    <w:p w:rsidR="000A113D" w:rsidRPr="00612E4E" w:rsidRDefault="000A113D" w:rsidP="000A113D">
      <w:pPr>
        <w:pStyle w:val="Epgrafe"/>
        <w:keepNext/>
        <w:spacing w:after="0"/>
        <w:jc w:val="center"/>
        <w:rPr>
          <w:rFonts w:ascii="Times New Roman" w:hAnsi="Times New Roman" w:cs="Times New Roman"/>
          <w:b w:val="0"/>
          <w:bCs w:val="0"/>
          <w:color w:val="auto"/>
          <w:sz w:val="20"/>
          <w:szCs w:val="24"/>
        </w:rPr>
      </w:pPr>
      <w:r w:rsidRPr="00612E4E">
        <w:rPr>
          <w:rFonts w:ascii="Times New Roman" w:hAnsi="Times New Roman" w:cs="Times New Roman"/>
          <w:b w:val="0"/>
          <w:bCs w:val="0"/>
          <w:color w:val="auto"/>
          <w:sz w:val="20"/>
          <w:szCs w:val="24"/>
        </w:rPr>
        <w:t>1998-2022</w:t>
      </w:r>
    </w:p>
    <w:p w:rsidR="000A113D" w:rsidRPr="00566194" w:rsidRDefault="000A113D" w:rsidP="000A113D">
      <w:pPr>
        <w:keepNext/>
        <w:spacing w:after="0"/>
        <w:jc w:val="center"/>
        <w:rPr>
          <w:rFonts w:ascii="Times New Roman" w:hAnsi="Times New Roman" w:cs="Times New Roman"/>
        </w:rPr>
      </w:pPr>
      <w:r w:rsidRPr="00566194">
        <w:rPr>
          <w:rFonts w:ascii="Times New Roman" w:hAnsi="Times New Roman" w:cs="Times New Roman"/>
          <w:noProof/>
          <w:lang w:eastAsia="es-GT"/>
        </w:rPr>
        <w:drawing>
          <wp:inline distT="0" distB="0" distL="0" distR="0" wp14:anchorId="4EE8970F" wp14:editId="4BF80BAA">
            <wp:extent cx="5359179" cy="2449002"/>
            <wp:effectExtent l="0" t="0" r="0" b="889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566194">
        <w:rPr>
          <w:rFonts w:ascii="Times New Roman" w:eastAsia="MS Mincho" w:hAnsi="Times New Roman" w:cs="Times New Roman"/>
          <w:sz w:val="18"/>
          <w:szCs w:val="24"/>
          <w:lang w:eastAsia="ja-JP"/>
        </w:rPr>
        <w:t>*</w:t>
      </w:r>
    </w:p>
    <w:p w:rsidR="00612E4E" w:rsidRPr="0059661F" w:rsidRDefault="000A113D" w:rsidP="0059661F">
      <w:pPr>
        <w:spacing w:after="0"/>
        <w:jc w:val="both"/>
        <w:rPr>
          <w:rFonts w:ascii="Times New Roman" w:hAnsi="Times New Roman" w:cs="Times New Roman"/>
          <w:sz w:val="16"/>
          <w:szCs w:val="24"/>
        </w:rPr>
      </w:pPr>
      <w:r w:rsidRPr="0059661F">
        <w:rPr>
          <w:rFonts w:ascii="Times New Roman" w:hAnsi="Times New Roman" w:cs="Times New Roman"/>
          <w:sz w:val="16"/>
          <w:szCs w:val="24"/>
        </w:rPr>
        <w:t>Fuente: Elaboración DEF. Datos 1998 a 2016 obtenidos de Sicoin, datos de 2017 a 2022 proyecciones DEF.</w:t>
      </w:r>
    </w:p>
    <w:p w:rsidR="000A113D" w:rsidRPr="00612E4E" w:rsidRDefault="000A113D" w:rsidP="00047A77">
      <w:pPr>
        <w:pStyle w:val="Sinespaciado"/>
        <w:jc w:val="both"/>
        <w:rPr>
          <w:rFonts w:ascii="Times New Roman" w:eastAsia="MS Mincho" w:hAnsi="Times New Roman" w:cs="Times New Roman"/>
          <w:sz w:val="24"/>
          <w:lang w:eastAsia="ja-JP"/>
        </w:rPr>
      </w:pPr>
      <w:r w:rsidRPr="00612E4E">
        <w:rPr>
          <w:rFonts w:ascii="Times New Roman" w:eastAsia="MS Mincho" w:hAnsi="Times New Roman" w:cs="Times New Roman"/>
          <w:sz w:val="24"/>
          <w:lang w:eastAsia="ja-JP"/>
        </w:rPr>
        <w:t>La composición porcentual de las pensiones, en donde se relaciona el aporte laboral y el aporte patronal respecto del total pagado en la planilla de pension</w:t>
      </w:r>
      <w:r w:rsidR="00124DC7">
        <w:rPr>
          <w:rFonts w:ascii="Times New Roman" w:eastAsia="MS Mincho" w:hAnsi="Times New Roman" w:cs="Times New Roman"/>
          <w:sz w:val="24"/>
          <w:lang w:eastAsia="ja-JP"/>
        </w:rPr>
        <w:t>ados, mostrada en la  gráfica 18</w:t>
      </w:r>
      <w:r w:rsidRPr="00612E4E">
        <w:rPr>
          <w:rFonts w:ascii="Times New Roman" w:eastAsia="MS Mincho" w:hAnsi="Times New Roman" w:cs="Times New Roman"/>
          <w:sz w:val="24"/>
          <w:lang w:eastAsia="ja-JP"/>
        </w:rPr>
        <w:t xml:space="preserve"> indica que hay una tendencia a cubrir el monto de pago de pensiones a partes iguales entre las contribuciones de los empleados activos y el Estado; sin embargo, se necesita un estudio más profundo sobre la composición de la planilla de los trabajadores activos</w:t>
      </w:r>
      <w:r w:rsidR="00591A68">
        <w:rPr>
          <w:rFonts w:ascii="Times New Roman" w:eastAsia="MS Mincho" w:hAnsi="Times New Roman" w:cs="Times New Roman"/>
          <w:sz w:val="24"/>
          <w:lang w:eastAsia="ja-JP"/>
        </w:rPr>
        <w:t xml:space="preserve"> a largo plazo</w:t>
      </w:r>
      <w:r w:rsidRPr="00612E4E">
        <w:rPr>
          <w:rFonts w:ascii="Times New Roman" w:eastAsia="MS Mincho" w:hAnsi="Times New Roman" w:cs="Times New Roman"/>
          <w:sz w:val="24"/>
          <w:lang w:eastAsia="ja-JP"/>
        </w:rPr>
        <w:t>, ya que la edad media de ingreso a laborar al Estado es de 31 años y el efecto de envejecimiento se observará en un período más amplio de análisis.</w:t>
      </w:r>
    </w:p>
    <w:p w:rsidR="00047A77" w:rsidRPr="00612E4E" w:rsidRDefault="00047A77" w:rsidP="00047A77">
      <w:pPr>
        <w:pStyle w:val="Sinespaciado"/>
        <w:jc w:val="both"/>
        <w:rPr>
          <w:rFonts w:ascii="Times New Roman" w:eastAsia="MS Mincho" w:hAnsi="Times New Roman" w:cs="Times New Roman"/>
          <w:sz w:val="24"/>
          <w:lang w:eastAsia="ja-JP"/>
        </w:rPr>
      </w:pPr>
    </w:p>
    <w:p w:rsidR="00EF5E98" w:rsidRPr="005F25DC" w:rsidRDefault="00EF5E98" w:rsidP="005F25DC">
      <w:pPr>
        <w:keepNext/>
        <w:spacing w:after="0" w:line="240" w:lineRule="auto"/>
        <w:jc w:val="center"/>
        <w:rPr>
          <w:rFonts w:ascii="Times New Roman" w:eastAsia="Times New Roman" w:hAnsi="Times New Roman" w:cs="Times New Roman"/>
          <w:b/>
          <w:bCs/>
          <w:color w:val="000000"/>
          <w:sz w:val="24"/>
          <w:szCs w:val="24"/>
          <w:lang w:val="es-ES" w:eastAsia="es-ES"/>
        </w:rPr>
      </w:pPr>
      <w:r w:rsidRPr="005F25DC">
        <w:rPr>
          <w:rFonts w:ascii="Times New Roman" w:eastAsia="Times New Roman" w:hAnsi="Times New Roman" w:cs="Times New Roman"/>
          <w:b/>
          <w:bCs/>
          <w:color w:val="000000"/>
          <w:sz w:val="24"/>
          <w:szCs w:val="24"/>
          <w:lang w:val="es-ES" w:eastAsia="es-ES"/>
        </w:rPr>
        <w:t>Gráfica 19</w:t>
      </w:r>
    </w:p>
    <w:p w:rsidR="000A113D" w:rsidRPr="005F25DC" w:rsidRDefault="000A113D" w:rsidP="005F25DC">
      <w:pPr>
        <w:keepNext/>
        <w:spacing w:after="0" w:line="240" w:lineRule="auto"/>
        <w:jc w:val="center"/>
        <w:rPr>
          <w:rFonts w:ascii="Times New Roman" w:eastAsia="Times New Roman" w:hAnsi="Times New Roman" w:cs="Times New Roman"/>
          <w:b/>
          <w:bCs/>
          <w:color w:val="000000"/>
          <w:sz w:val="24"/>
          <w:szCs w:val="24"/>
          <w:lang w:val="es-ES" w:eastAsia="es-ES"/>
        </w:rPr>
      </w:pPr>
      <w:r w:rsidRPr="005F25DC">
        <w:rPr>
          <w:rFonts w:ascii="Times New Roman" w:eastAsia="Times New Roman" w:hAnsi="Times New Roman" w:cs="Times New Roman"/>
          <w:b/>
          <w:bCs/>
          <w:color w:val="000000"/>
          <w:sz w:val="24"/>
          <w:szCs w:val="24"/>
          <w:lang w:val="es-ES" w:eastAsia="es-ES"/>
        </w:rPr>
        <w:t xml:space="preserve">Composición porcentual de las pensiones: aporte laboral y aporte del Estado. </w:t>
      </w:r>
    </w:p>
    <w:p w:rsidR="000A113D" w:rsidRPr="00612E4E" w:rsidRDefault="000A113D" w:rsidP="000A113D">
      <w:pPr>
        <w:pStyle w:val="Epgrafe"/>
        <w:keepNext/>
        <w:spacing w:after="0" w:line="276" w:lineRule="auto"/>
        <w:jc w:val="center"/>
        <w:rPr>
          <w:rFonts w:ascii="Times New Roman" w:hAnsi="Times New Roman" w:cs="Times New Roman"/>
          <w:b w:val="0"/>
          <w:bCs w:val="0"/>
          <w:color w:val="auto"/>
          <w:sz w:val="20"/>
          <w:szCs w:val="24"/>
        </w:rPr>
      </w:pPr>
      <w:r w:rsidRPr="00612E4E">
        <w:rPr>
          <w:rFonts w:ascii="Times New Roman" w:hAnsi="Times New Roman" w:cs="Times New Roman"/>
          <w:b w:val="0"/>
          <w:bCs w:val="0"/>
          <w:color w:val="auto"/>
          <w:sz w:val="20"/>
          <w:szCs w:val="24"/>
        </w:rPr>
        <w:t>Serie 1998-2022</w:t>
      </w:r>
    </w:p>
    <w:p w:rsidR="000A113D" w:rsidRPr="00566194" w:rsidRDefault="000A113D" w:rsidP="000A113D">
      <w:pPr>
        <w:spacing w:after="0"/>
        <w:jc w:val="center"/>
        <w:rPr>
          <w:rFonts w:ascii="Times New Roman" w:hAnsi="Times New Roman" w:cs="Times New Roman"/>
          <w:noProof/>
          <w:sz w:val="24"/>
          <w:szCs w:val="24"/>
          <w:lang w:val="es-ES" w:eastAsia="es-ES"/>
        </w:rPr>
      </w:pPr>
      <w:r w:rsidRPr="00566194">
        <w:rPr>
          <w:rFonts w:ascii="Times New Roman" w:hAnsi="Times New Roman" w:cs="Times New Roman"/>
          <w:noProof/>
          <w:lang w:eastAsia="es-GT"/>
        </w:rPr>
        <w:drawing>
          <wp:inline distT="0" distB="0" distL="0" distR="0" wp14:anchorId="05E46435" wp14:editId="25E50ADD">
            <wp:extent cx="5494020" cy="2075290"/>
            <wp:effectExtent l="0" t="0" r="0" b="12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A113D" w:rsidRPr="00612E4E" w:rsidRDefault="000A113D" w:rsidP="00612E4E">
      <w:pPr>
        <w:spacing w:after="0"/>
        <w:jc w:val="both"/>
        <w:rPr>
          <w:rFonts w:ascii="Times New Roman" w:hAnsi="Times New Roman" w:cs="Times New Roman"/>
          <w:sz w:val="16"/>
          <w:szCs w:val="24"/>
        </w:rPr>
      </w:pPr>
      <w:r w:rsidRPr="00612E4E">
        <w:rPr>
          <w:rFonts w:ascii="Times New Roman" w:hAnsi="Times New Roman" w:cs="Times New Roman"/>
          <w:sz w:val="16"/>
          <w:szCs w:val="24"/>
        </w:rPr>
        <w:t>Fuente: Elaboración DEF. Datos 1998 a 2016 obtenidos de Sicoin, datos de 2017 a 2022 proyecciones DEF.</w:t>
      </w:r>
    </w:p>
    <w:p w:rsidR="0059661F" w:rsidRDefault="0059661F" w:rsidP="00047A77">
      <w:pPr>
        <w:pStyle w:val="Sinespaciado"/>
        <w:jc w:val="both"/>
        <w:rPr>
          <w:rFonts w:ascii="Times New Roman" w:eastAsia="MS Mincho" w:hAnsi="Times New Roman" w:cs="Times New Roman"/>
          <w:sz w:val="24"/>
          <w:lang w:eastAsia="ja-JP"/>
        </w:rPr>
      </w:pPr>
    </w:p>
    <w:p w:rsidR="000A113D" w:rsidRPr="00612E4E" w:rsidRDefault="000A113D" w:rsidP="00047A77">
      <w:pPr>
        <w:pStyle w:val="Sinespaciado"/>
        <w:jc w:val="both"/>
        <w:rPr>
          <w:rFonts w:ascii="Times New Roman" w:hAnsi="Times New Roman" w:cs="Times New Roman"/>
          <w:sz w:val="24"/>
        </w:rPr>
      </w:pPr>
      <w:r w:rsidRPr="00612E4E">
        <w:rPr>
          <w:rFonts w:ascii="Times New Roman" w:eastAsia="MS Mincho" w:hAnsi="Times New Roman" w:cs="Times New Roman"/>
          <w:sz w:val="24"/>
          <w:lang w:eastAsia="ja-JP"/>
        </w:rPr>
        <w:t>La relación entre los pagos a los pensionados y los ingresos tributarios tienen u</w:t>
      </w:r>
      <w:r w:rsidR="00612E4E">
        <w:rPr>
          <w:rFonts w:ascii="Times New Roman" w:eastAsia="MS Mincho" w:hAnsi="Times New Roman" w:cs="Times New Roman"/>
          <w:sz w:val="24"/>
          <w:lang w:eastAsia="ja-JP"/>
        </w:rPr>
        <w:t xml:space="preserve">na tendencia promedio de 4.7%, </w:t>
      </w:r>
      <w:r w:rsidR="00591A68">
        <w:rPr>
          <w:rFonts w:ascii="Times New Roman" w:eastAsia="MS Mincho" w:hAnsi="Times New Roman" w:cs="Times New Roman"/>
          <w:sz w:val="24"/>
          <w:lang w:eastAsia="ja-JP"/>
        </w:rPr>
        <w:t>mostrado en la gráfica 20</w:t>
      </w:r>
      <w:r w:rsidRPr="00612E4E">
        <w:rPr>
          <w:rFonts w:ascii="Times New Roman" w:eastAsia="MS Mincho" w:hAnsi="Times New Roman" w:cs="Times New Roman"/>
          <w:sz w:val="24"/>
          <w:lang w:eastAsia="ja-JP"/>
        </w:rPr>
        <w:t xml:space="preserve">. </w:t>
      </w:r>
      <w:r w:rsidRPr="00612E4E">
        <w:rPr>
          <w:rFonts w:ascii="Times New Roman" w:hAnsi="Times New Roman" w:cs="Times New Roman"/>
          <w:sz w:val="24"/>
        </w:rPr>
        <w:t>En el 2000 el porcentaje fue de 6.9% por el aumento que tuvieron las pensiones por la entrada en vigencia del Acuerdo Gubernativo 66-2000. En los años 2009 – 2010 el porcentaje se incrementó a 5.4% por la disminución de los ingresos derivado de la crisis financiera internacional.</w:t>
      </w:r>
    </w:p>
    <w:p w:rsidR="00047A77" w:rsidRPr="00047A77" w:rsidRDefault="00047A77" w:rsidP="00047A77">
      <w:pPr>
        <w:pStyle w:val="Sinespaciado"/>
        <w:jc w:val="both"/>
        <w:rPr>
          <w:rFonts w:ascii="Times New Roman" w:eastAsia="MS Mincho" w:hAnsi="Times New Roman" w:cs="Times New Roman"/>
          <w:lang w:eastAsia="ja-JP"/>
        </w:rPr>
      </w:pPr>
    </w:p>
    <w:p w:rsidR="00EF5E98" w:rsidRPr="005F25DC" w:rsidRDefault="00ED1197" w:rsidP="005F25DC">
      <w:pPr>
        <w:keepNext/>
        <w:spacing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val="es-ES" w:eastAsia="es-ES"/>
        </w:rPr>
        <w:t>Gráfica</w:t>
      </w:r>
      <w:r w:rsidR="00EF5E98" w:rsidRPr="005F25DC">
        <w:rPr>
          <w:rFonts w:ascii="Times New Roman" w:eastAsia="Times New Roman" w:hAnsi="Times New Roman" w:cs="Times New Roman"/>
          <w:b/>
          <w:bCs/>
          <w:color w:val="000000"/>
          <w:sz w:val="24"/>
          <w:szCs w:val="24"/>
          <w:lang w:val="es-ES" w:eastAsia="es-ES"/>
        </w:rPr>
        <w:t xml:space="preserve"> 20</w:t>
      </w:r>
    </w:p>
    <w:p w:rsidR="000A113D" w:rsidRDefault="000A113D" w:rsidP="005F25DC">
      <w:pPr>
        <w:keepNext/>
        <w:spacing w:after="0" w:line="240" w:lineRule="auto"/>
        <w:jc w:val="center"/>
        <w:rPr>
          <w:rFonts w:ascii="Times New Roman" w:hAnsi="Times New Roman" w:cs="Times New Roman"/>
          <w:bCs/>
          <w:sz w:val="24"/>
          <w:szCs w:val="24"/>
        </w:rPr>
      </w:pPr>
      <w:r w:rsidRPr="005F25DC">
        <w:rPr>
          <w:rFonts w:ascii="Times New Roman" w:eastAsia="Times New Roman" w:hAnsi="Times New Roman" w:cs="Times New Roman"/>
          <w:b/>
          <w:bCs/>
          <w:color w:val="000000"/>
          <w:sz w:val="24"/>
          <w:szCs w:val="24"/>
          <w:lang w:val="es-ES" w:eastAsia="es-ES"/>
        </w:rPr>
        <w:t>Proporción del aporte patronal respecto al Ingresos Tributarios, 1998 -2022</w:t>
      </w:r>
      <w:r w:rsidRPr="00566194">
        <w:rPr>
          <w:rFonts w:ascii="Times New Roman" w:hAnsi="Times New Roman" w:cs="Times New Roman"/>
          <w:bCs/>
          <w:sz w:val="24"/>
          <w:szCs w:val="24"/>
        </w:rPr>
        <w:t xml:space="preserve"> </w:t>
      </w:r>
    </w:p>
    <w:p w:rsidR="000A113D" w:rsidRPr="00ED1197" w:rsidRDefault="00ED1197" w:rsidP="000A113D">
      <w:pPr>
        <w:pStyle w:val="Epgrafe"/>
        <w:keepNext/>
        <w:spacing w:after="0"/>
        <w:jc w:val="center"/>
        <w:rPr>
          <w:rFonts w:ascii="Times New Roman" w:eastAsia="MS Mincho" w:hAnsi="Times New Roman" w:cs="Times New Roman"/>
          <w:b w:val="0"/>
          <w:bCs w:val="0"/>
          <w:smallCaps w:val="0"/>
          <w:color w:val="auto"/>
          <w:sz w:val="20"/>
          <w:lang w:eastAsia="ja-JP"/>
        </w:rPr>
      </w:pPr>
      <w:r w:rsidRPr="00ED1197">
        <w:rPr>
          <w:rFonts w:ascii="Times New Roman" w:eastAsia="MS Mincho" w:hAnsi="Times New Roman" w:cs="Times New Roman"/>
          <w:b w:val="0"/>
          <w:bCs w:val="0"/>
          <w:smallCaps w:val="0"/>
          <w:color w:val="auto"/>
          <w:sz w:val="20"/>
          <w:lang w:eastAsia="ja-JP"/>
        </w:rPr>
        <w:t>Porcentaje</w:t>
      </w:r>
    </w:p>
    <w:p w:rsidR="000A113D" w:rsidRPr="00566194" w:rsidRDefault="000A113D" w:rsidP="000A113D">
      <w:pPr>
        <w:spacing w:after="0" w:line="240" w:lineRule="auto"/>
        <w:jc w:val="center"/>
        <w:rPr>
          <w:rFonts w:ascii="Times New Roman" w:hAnsi="Times New Roman" w:cs="Times New Roman"/>
          <w:sz w:val="24"/>
          <w:szCs w:val="24"/>
        </w:rPr>
      </w:pPr>
      <w:r w:rsidRPr="00566194">
        <w:rPr>
          <w:rFonts w:ascii="Times New Roman" w:hAnsi="Times New Roman" w:cs="Times New Roman"/>
          <w:noProof/>
          <w:lang w:eastAsia="es-GT"/>
        </w:rPr>
        <w:drawing>
          <wp:inline distT="0" distB="0" distL="0" distR="0" wp14:anchorId="5EDE904F" wp14:editId="1B53003E">
            <wp:extent cx="5613400" cy="2218414"/>
            <wp:effectExtent l="0" t="0" r="635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0CC8" w:rsidRPr="003845CA" w:rsidRDefault="000A113D" w:rsidP="003845CA">
      <w:pPr>
        <w:spacing w:after="0"/>
        <w:jc w:val="both"/>
        <w:rPr>
          <w:rFonts w:ascii="Times New Roman" w:hAnsi="Times New Roman" w:cs="Times New Roman"/>
          <w:sz w:val="16"/>
          <w:szCs w:val="24"/>
        </w:rPr>
      </w:pPr>
      <w:r w:rsidRPr="00CB0CC8">
        <w:rPr>
          <w:rFonts w:ascii="Times New Roman" w:hAnsi="Times New Roman" w:cs="Times New Roman"/>
          <w:sz w:val="16"/>
          <w:szCs w:val="24"/>
        </w:rPr>
        <w:t>Fuente: Elaboración DEF. Datos 1998 a 2016 obtenidos de Sicoin, datos de 2017 a 2022 proyecciones DEF.</w:t>
      </w:r>
    </w:p>
    <w:p w:rsidR="000A113D" w:rsidRPr="00CB0CC8" w:rsidRDefault="000A113D" w:rsidP="00047A77">
      <w:pPr>
        <w:pStyle w:val="Sinespaciado"/>
        <w:jc w:val="both"/>
        <w:rPr>
          <w:rFonts w:ascii="Times New Roman" w:eastAsia="MS Mincho" w:hAnsi="Times New Roman" w:cs="Times New Roman"/>
          <w:sz w:val="24"/>
          <w:lang w:eastAsia="ja-JP"/>
        </w:rPr>
      </w:pPr>
      <w:r w:rsidRPr="00CB0CC8">
        <w:rPr>
          <w:rFonts w:ascii="Times New Roman" w:eastAsia="MS Mincho" w:hAnsi="Times New Roman" w:cs="Times New Roman"/>
          <w:sz w:val="24"/>
          <w:lang w:eastAsia="ja-JP"/>
        </w:rPr>
        <w:t>Las tasas de cotización (la tasa de aporte de los empleados activos respecto de los salarios) presentan en el período analizado en la serie 2008-2022 un promedio de 12.1%; la tendencia de esta ha sido creciente; mientras que el aporte al pago de clases pasivas por parte del Estado respecto de la masa salarial sujeta de aporte ha ido en tendencia decreciente</w:t>
      </w:r>
      <w:r w:rsidR="00591A68">
        <w:rPr>
          <w:rFonts w:ascii="Times New Roman" w:eastAsia="MS Mincho" w:hAnsi="Times New Roman" w:cs="Times New Roman"/>
          <w:sz w:val="24"/>
          <w:lang w:eastAsia="ja-JP"/>
        </w:rPr>
        <w:t>, cercano al 15%</w:t>
      </w:r>
      <w:r w:rsidRPr="00CB0CC8">
        <w:rPr>
          <w:rFonts w:ascii="Times New Roman" w:eastAsia="MS Mincho" w:hAnsi="Times New Roman" w:cs="Times New Roman"/>
          <w:sz w:val="24"/>
          <w:lang w:eastAsia="ja-JP"/>
        </w:rPr>
        <w:t xml:space="preserve">; sin </w:t>
      </w:r>
      <w:r w:rsidR="00CB0CC8" w:rsidRPr="00CB0CC8">
        <w:rPr>
          <w:rFonts w:ascii="Times New Roman" w:eastAsia="MS Mincho" w:hAnsi="Times New Roman" w:cs="Times New Roman"/>
          <w:sz w:val="24"/>
          <w:lang w:eastAsia="ja-JP"/>
        </w:rPr>
        <w:t>embargo, se recomienda</w:t>
      </w:r>
      <w:r w:rsidRPr="00CB0CC8">
        <w:rPr>
          <w:rFonts w:ascii="Times New Roman" w:eastAsia="MS Mincho" w:hAnsi="Times New Roman" w:cs="Times New Roman"/>
          <w:sz w:val="24"/>
          <w:lang w:eastAsia="ja-JP"/>
        </w:rPr>
        <w:t xml:space="preserve"> como se mencionó anteriormente, ampliar el período de proyección.</w:t>
      </w:r>
    </w:p>
    <w:p w:rsidR="00CB0CC8" w:rsidRPr="003845CA" w:rsidRDefault="00CB0CC8" w:rsidP="00047A77">
      <w:pPr>
        <w:pStyle w:val="Sinespaciado"/>
        <w:jc w:val="both"/>
        <w:rPr>
          <w:rFonts w:ascii="Times New Roman" w:hAnsi="Times New Roman" w:cs="Times New Roman"/>
          <w:sz w:val="16"/>
        </w:rPr>
      </w:pPr>
    </w:p>
    <w:p w:rsidR="00DA2C98" w:rsidRPr="005F25DC" w:rsidRDefault="00ED1197" w:rsidP="005F25DC">
      <w:pPr>
        <w:keepNext/>
        <w:spacing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val="es-ES" w:eastAsia="es-ES"/>
        </w:rPr>
        <w:t>Gráfica</w:t>
      </w:r>
      <w:r w:rsidR="00DA2C98" w:rsidRPr="005F25DC">
        <w:rPr>
          <w:rFonts w:ascii="Times New Roman" w:eastAsia="Times New Roman" w:hAnsi="Times New Roman" w:cs="Times New Roman"/>
          <w:b/>
          <w:bCs/>
          <w:color w:val="000000"/>
          <w:sz w:val="24"/>
          <w:szCs w:val="24"/>
          <w:lang w:val="es-ES" w:eastAsia="es-ES"/>
        </w:rPr>
        <w:t xml:space="preserve"> 21</w:t>
      </w:r>
    </w:p>
    <w:p w:rsidR="00CB0CC8" w:rsidRPr="005F25DC" w:rsidRDefault="000A113D" w:rsidP="005F25DC">
      <w:pPr>
        <w:keepNext/>
        <w:spacing w:after="0" w:line="240" w:lineRule="auto"/>
        <w:jc w:val="center"/>
        <w:rPr>
          <w:rFonts w:ascii="Times New Roman" w:eastAsia="Times New Roman" w:hAnsi="Times New Roman" w:cs="Times New Roman"/>
          <w:b/>
          <w:bCs/>
          <w:color w:val="000000"/>
          <w:sz w:val="24"/>
          <w:szCs w:val="24"/>
          <w:lang w:val="es-ES" w:eastAsia="es-ES"/>
        </w:rPr>
      </w:pPr>
      <w:r w:rsidRPr="005F25DC">
        <w:rPr>
          <w:rFonts w:ascii="Times New Roman" w:eastAsia="Times New Roman" w:hAnsi="Times New Roman" w:cs="Times New Roman"/>
          <w:b/>
          <w:bCs/>
          <w:color w:val="000000"/>
          <w:sz w:val="24"/>
          <w:szCs w:val="24"/>
          <w:lang w:val="es-ES" w:eastAsia="es-ES"/>
        </w:rPr>
        <w:t>Tasa del aporte patronal y del aporte laboral respecto de la masa salarial de activos, 1998 -2022</w:t>
      </w:r>
    </w:p>
    <w:p w:rsidR="00ED1197" w:rsidRPr="00ED1197" w:rsidRDefault="00ED1197" w:rsidP="00ED1197">
      <w:pPr>
        <w:pStyle w:val="Epgrafe"/>
        <w:keepNext/>
        <w:spacing w:after="0"/>
        <w:jc w:val="center"/>
        <w:rPr>
          <w:rFonts w:ascii="Times New Roman" w:eastAsia="MS Mincho" w:hAnsi="Times New Roman" w:cs="Times New Roman"/>
          <w:b w:val="0"/>
          <w:bCs w:val="0"/>
          <w:smallCaps w:val="0"/>
          <w:color w:val="auto"/>
          <w:sz w:val="20"/>
          <w:lang w:eastAsia="ja-JP"/>
        </w:rPr>
      </w:pPr>
      <w:r w:rsidRPr="00ED1197">
        <w:rPr>
          <w:rFonts w:ascii="Times New Roman" w:eastAsia="MS Mincho" w:hAnsi="Times New Roman" w:cs="Times New Roman"/>
          <w:b w:val="0"/>
          <w:bCs w:val="0"/>
          <w:smallCaps w:val="0"/>
          <w:color w:val="auto"/>
          <w:sz w:val="20"/>
          <w:lang w:eastAsia="ja-JP"/>
        </w:rPr>
        <w:t>Porcentaje</w:t>
      </w:r>
    </w:p>
    <w:p w:rsidR="000A113D" w:rsidRPr="00566194" w:rsidRDefault="000A113D" w:rsidP="000A113D">
      <w:pPr>
        <w:spacing w:after="0" w:line="240" w:lineRule="auto"/>
        <w:jc w:val="center"/>
        <w:rPr>
          <w:rFonts w:ascii="Times New Roman" w:hAnsi="Times New Roman" w:cs="Times New Roman"/>
          <w:noProof/>
          <w:sz w:val="24"/>
          <w:szCs w:val="24"/>
          <w:lang w:val="es-ES" w:eastAsia="es-ES"/>
        </w:rPr>
      </w:pPr>
      <w:r w:rsidRPr="00566194">
        <w:rPr>
          <w:rFonts w:ascii="Times New Roman" w:hAnsi="Times New Roman" w:cs="Times New Roman"/>
          <w:noProof/>
          <w:lang w:eastAsia="es-GT"/>
        </w:rPr>
        <w:drawing>
          <wp:inline distT="0" distB="0" distL="0" distR="0" wp14:anchorId="5A3D0052" wp14:editId="714233A9">
            <wp:extent cx="4810539" cy="1748790"/>
            <wp:effectExtent l="0" t="0" r="0" b="381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A113D" w:rsidRPr="00CB0CC8" w:rsidRDefault="000A113D" w:rsidP="00CB0CC8">
      <w:pPr>
        <w:spacing w:after="0"/>
        <w:jc w:val="both"/>
        <w:rPr>
          <w:rFonts w:ascii="Times New Roman" w:hAnsi="Times New Roman" w:cs="Times New Roman"/>
          <w:sz w:val="16"/>
          <w:szCs w:val="24"/>
        </w:rPr>
      </w:pPr>
      <w:r w:rsidRPr="00CB0CC8">
        <w:rPr>
          <w:rFonts w:ascii="Times New Roman" w:hAnsi="Times New Roman" w:cs="Times New Roman"/>
          <w:sz w:val="16"/>
          <w:szCs w:val="24"/>
        </w:rPr>
        <w:t>Fuente: Elaboración DEF. Datos 1998 a 2016 obtenidos de Sicoin, datos de 2017 a 2022 proyecciones DEF.</w:t>
      </w:r>
    </w:p>
    <w:p w:rsidR="00CB0CC8" w:rsidRPr="00115D94" w:rsidRDefault="00CB0CC8" w:rsidP="00047A77">
      <w:pPr>
        <w:pStyle w:val="Sinespaciado"/>
        <w:jc w:val="both"/>
        <w:rPr>
          <w:rFonts w:ascii="Times New Roman" w:eastAsia="MS Mincho" w:hAnsi="Times New Roman" w:cs="Times New Roman"/>
          <w:sz w:val="20"/>
          <w:lang w:eastAsia="ja-JP"/>
        </w:rPr>
      </w:pPr>
    </w:p>
    <w:p w:rsidR="000A113D" w:rsidRPr="00CB0CC8" w:rsidRDefault="000A113D" w:rsidP="00047A77">
      <w:pPr>
        <w:pStyle w:val="Sinespaciado"/>
        <w:jc w:val="both"/>
        <w:rPr>
          <w:rFonts w:ascii="Times New Roman" w:eastAsia="MS Mincho" w:hAnsi="Times New Roman" w:cs="Times New Roman"/>
          <w:sz w:val="24"/>
          <w:lang w:eastAsia="ja-JP"/>
        </w:rPr>
      </w:pPr>
      <w:r w:rsidRPr="00CB0CC8">
        <w:rPr>
          <w:rFonts w:ascii="Times New Roman" w:eastAsia="MS Mincho" w:hAnsi="Times New Roman" w:cs="Times New Roman"/>
          <w:sz w:val="24"/>
          <w:lang w:eastAsia="ja-JP"/>
        </w:rPr>
        <w:t>El pago de pensiones del Plan de Servicio Civil representó en el 2016 el 0.41% respecto del PIB, teniend</w:t>
      </w:r>
      <w:r w:rsidR="00591A68">
        <w:rPr>
          <w:rFonts w:ascii="Times New Roman" w:eastAsia="MS Mincho" w:hAnsi="Times New Roman" w:cs="Times New Roman"/>
          <w:sz w:val="24"/>
          <w:lang w:eastAsia="ja-JP"/>
        </w:rPr>
        <w:t>o este una tendencia a la baja, lo cual se debe al efecto en el que</w:t>
      </w:r>
      <w:r w:rsidRPr="00CB0CC8">
        <w:rPr>
          <w:rFonts w:ascii="Times New Roman" w:eastAsia="MS Mincho" w:hAnsi="Times New Roman" w:cs="Times New Roman"/>
          <w:sz w:val="24"/>
          <w:lang w:eastAsia="ja-JP"/>
        </w:rPr>
        <w:t xml:space="preserve"> el PIB crece más rápido que el monto de las pensiones. En términos absolutos, el desembolso para la cobertura del pago de pensiones fue de Q.4,174.3 millones, de los cuales el 48.6% fue cubierto por las contribuciones de los trabajadores activos que cotizan al régimen, el 51.4% fue aportado por el Estado. </w:t>
      </w:r>
    </w:p>
    <w:p w:rsidR="00047A77" w:rsidRPr="00CB0CC8" w:rsidRDefault="00047A77" w:rsidP="00047A77">
      <w:pPr>
        <w:pStyle w:val="Sinespaciado"/>
        <w:jc w:val="both"/>
        <w:rPr>
          <w:rFonts w:ascii="Times New Roman" w:eastAsia="MS Mincho" w:hAnsi="Times New Roman" w:cs="Times New Roman"/>
          <w:sz w:val="24"/>
          <w:lang w:eastAsia="ja-JP"/>
        </w:rPr>
      </w:pPr>
    </w:p>
    <w:p w:rsidR="000A113D" w:rsidRPr="003845CA" w:rsidRDefault="000A113D" w:rsidP="003845CA">
      <w:pPr>
        <w:pStyle w:val="Sinespaciado"/>
        <w:spacing w:after="240"/>
        <w:jc w:val="both"/>
        <w:rPr>
          <w:rFonts w:ascii="Times New Roman" w:hAnsi="Times New Roman" w:cs="Times New Roman"/>
          <w:noProof/>
          <w:sz w:val="24"/>
          <w:lang w:val="es-ES" w:eastAsia="es-ES"/>
        </w:rPr>
      </w:pPr>
      <w:r w:rsidRPr="00CB0CC8">
        <w:rPr>
          <w:rFonts w:ascii="Times New Roman" w:hAnsi="Times New Roman" w:cs="Times New Roman"/>
          <w:noProof/>
          <w:sz w:val="24"/>
          <w:lang w:val="es-ES" w:eastAsia="es-ES"/>
        </w:rPr>
        <w:t>Según el periodo analizado 1998 – 2022, el aporte total del Estado para cubrir las pensiones y jubilaciones representó en promedio el 0.5% del PIB. Se observa un incremento considerable del aporte del Estado en el año 2000 por la entrada en vigencia del Acuerdo Gubernativo 66-2000.</w:t>
      </w:r>
    </w:p>
    <w:p w:rsidR="00DA2C98" w:rsidRPr="005F25DC" w:rsidRDefault="00ED1197" w:rsidP="005F25DC">
      <w:pPr>
        <w:keepNext/>
        <w:spacing w:after="0" w:line="240" w:lineRule="auto"/>
        <w:jc w:val="center"/>
        <w:rPr>
          <w:rFonts w:ascii="Times New Roman" w:eastAsia="Times New Roman" w:hAnsi="Times New Roman" w:cs="Times New Roman"/>
          <w:b/>
          <w:bCs/>
          <w:color w:val="000000"/>
          <w:sz w:val="24"/>
          <w:szCs w:val="24"/>
          <w:lang w:val="es-ES" w:eastAsia="es-ES"/>
        </w:rPr>
      </w:pPr>
      <w:bookmarkStart w:id="281" w:name="_Ref489003196"/>
      <w:r>
        <w:rPr>
          <w:rFonts w:ascii="Times New Roman" w:eastAsia="Times New Roman" w:hAnsi="Times New Roman" w:cs="Times New Roman"/>
          <w:b/>
          <w:bCs/>
          <w:color w:val="000000"/>
          <w:sz w:val="24"/>
          <w:szCs w:val="24"/>
          <w:lang w:val="es-ES" w:eastAsia="es-ES"/>
        </w:rPr>
        <w:t>Gráfica</w:t>
      </w:r>
      <w:r w:rsidR="000A113D" w:rsidRPr="005F25DC">
        <w:rPr>
          <w:rFonts w:ascii="Times New Roman" w:eastAsia="Times New Roman" w:hAnsi="Times New Roman" w:cs="Times New Roman"/>
          <w:b/>
          <w:bCs/>
          <w:color w:val="000000"/>
          <w:sz w:val="24"/>
          <w:szCs w:val="24"/>
          <w:lang w:val="es-ES" w:eastAsia="es-ES"/>
        </w:rPr>
        <w:t xml:space="preserve"> </w:t>
      </w:r>
      <w:bookmarkEnd w:id="281"/>
      <w:r w:rsidR="00DA2C98" w:rsidRPr="005F25DC">
        <w:rPr>
          <w:rFonts w:ascii="Times New Roman" w:eastAsia="Times New Roman" w:hAnsi="Times New Roman" w:cs="Times New Roman"/>
          <w:b/>
          <w:bCs/>
          <w:color w:val="000000"/>
          <w:sz w:val="24"/>
          <w:szCs w:val="24"/>
          <w:lang w:val="es-ES" w:eastAsia="es-ES"/>
        </w:rPr>
        <w:t>22</w:t>
      </w:r>
    </w:p>
    <w:p w:rsidR="00CB0CC8" w:rsidRPr="005F25DC" w:rsidRDefault="000A113D" w:rsidP="005F25DC">
      <w:pPr>
        <w:keepNext/>
        <w:spacing w:after="0" w:line="240" w:lineRule="auto"/>
        <w:jc w:val="center"/>
        <w:rPr>
          <w:rFonts w:ascii="Times New Roman" w:eastAsia="Times New Roman" w:hAnsi="Times New Roman" w:cs="Times New Roman"/>
          <w:b/>
          <w:bCs/>
          <w:color w:val="000000"/>
          <w:sz w:val="24"/>
          <w:szCs w:val="24"/>
          <w:lang w:val="es-ES" w:eastAsia="es-ES"/>
        </w:rPr>
      </w:pPr>
      <w:r w:rsidRPr="005F25DC">
        <w:rPr>
          <w:rFonts w:ascii="Times New Roman" w:eastAsia="Times New Roman" w:hAnsi="Times New Roman" w:cs="Times New Roman"/>
          <w:b/>
          <w:bCs/>
          <w:color w:val="000000"/>
          <w:sz w:val="24"/>
          <w:szCs w:val="24"/>
          <w:lang w:val="es-ES" w:eastAsia="es-ES"/>
        </w:rPr>
        <w:t>Aporte del Estado al Régimen de Clases Pasivas re</w:t>
      </w:r>
      <w:r w:rsidR="0071284B">
        <w:rPr>
          <w:rFonts w:ascii="Times New Roman" w:eastAsia="Times New Roman" w:hAnsi="Times New Roman" w:cs="Times New Roman"/>
          <w:b/>
          <w:bCs/>
          <w:color w:val="000000"/>
          <w:sz w:val="24"/>
          <w:szCs w:val="24"/>
          <w:lang w:val="es-ES" w:eastAsia="es-ES"/>
        </w:rPr>
        <w:t>specto del PIB. 1998 – 2022</w:t>
      </w:r>
      <w:r w:rsidRPr="005F25DC">
        <w:rPr>
          <w:rFonts w:ascii="Times New Roman" w:eastAsia="Times New Roman" w:hAnsi="Times New Roman" w:cs="Times New Roman"/>
          <w:b/>
          <w:bCs/>
          <w:color w:val="000000"/>
          <w:sz w:val="24"/>
          <w:szCs w:val="24"/>
          <w:lang w:val="es-ES" w:eastAsia="es-ES"/>
        </w:rPr>
        <w:t xml:space="preserve">. </w:t>
      </w:r>
    </w:p>
    <w:p w:rsidR="00ED1197" w:rsidRPr="00ED1197" w:rsidRDefault="00ED1197" w:rsidP="00ED1197">
      <w:pPr>
        <w:pStyle w:val="Epgrafe"/>
        <w:keepNext/>
        <w:spacing w:after="0"/>
        <w:jc w:val="center"/>
        <w:rPr>
          <w:rFonts w:ascii="Times New Roman" w:eastAsia="MS Mincho" w:hAnsi="Times New Roman" w:cs="Times New Roman"/>
          <w:b w:val="0"/>
          <w:bCs w:val="0"/>
          <w:smallCaps w:val="0"/>
          <w:color w:val="auto"/>
          <w:sz w:val="20"/>
          <w:lang w:eastAsia="ja-JP"/>
        </w:rPr>
      </w:pPr>
      <w:r w:rsidRPr="00ED1197">
        <w:rPr>
          <w:rFonts w:ascii="Times New Roman" w:eastAsia="MS Mincho" w:hAnsi="Times New Roman" w:cs="Times New Roman"/>
          <w:b w:val="0"/>
          <w:bCs w:val="0"/>
          <w:smallCaps w:val="0"/>
          <w:color w:val="auto"/>
          <w:sz w:val="20"/>
          <w:lang w:eastAsia="ja-JP"/>
        </w:rPr>
        <w:t>Porcentaje</w:t>
      </w:r>
    </w:p>
    <w:p w:rsidR="000A113D" w:rsidRPr="00566194" w:rsidRDefault="000A113D" w:rsidP="00115D94">
      <w:pPr>
        <w:keepNext/>
        <w:spacing w:after="0"/>
        <w:jc w:val="center"/>
        <w:rPr>
          <w:rFonts w:ascii="Times New Roman" w:hAnsi="Times New Roman" w:cs="Times New Roman"/>
          <w:lang w:val="es-ES" w:eastAsia="es-ES"/>
        </w:rPr>
      </w:pPr>
      <w:r w:rsidRPr="00566194">
        <w:rPr>
          <w:rFonts w:ascii="Times New Roman" w:hAnsi="Times New Roman" w:cs="Times New Roman"/>
          <w:noProof/>
          <w:lang w:eastAsia="es-GT"/>
        </w:rPr>
        <w:drawing>
          <wp:inline distT="0" distB="0" distL="0" distR="0" wp14:anchorId="13C4CD7D" wp14:editId="000BE7E4">
            <wp:extent cx="4540195" cy="1629410"/>
            <wp:effectExtent l="0" t="0" r="0" b="889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A2C98" w:rsidRPr="003845CA" w:rsidRDefault="000A113D" w:rsidP="00115D94">
      <w:pPr>
        <w:spacing w:after="0"/>
        <w:jc w:val="both"/>
        <w:rPr>
          <w:rFonts w:ascii="Times New Roman" w:hAnsi="Times New Roman" w:cs="Times New Roman"/>
          <w:sz w:val="16"/>
          <w:szCs w:val="24"/>
        </w:rPr>
      </w:pPr>
      <w:r w:rsidRPr="00CB0CC8">
        <w:rPr>
          <w:rFonts w:ascii="Times New Roman" w:hAnsi="Times New Roman" w:cs="Times New Roman"/>
          <w:sz w:val="16"/>
          <w:szCs w:val="24"/>
        </w:rPr>
        <w:t>Fuente: Elaboración DEF. Datos 1998 a 2016 obtenidos de Sicoin, datos de 2017 a 2022 proyecciones DEF.</w:t>
      </w:r>
    </w:p>
    <w:p w:rsidR="009D340A" w:rsidRPr="009D340A" w:rsidRDefault="009D340A" w:rsidP="009D340A">
      <w:pPr>
        <w:pStyle w:val="Prrafodelista"/>
        <w:numPr>
          <w:ilvl w:val="0"/>
          <w:numId w:val="30"/>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82" w:name="_Toc508979719"/>
      <w:bookmarkStart w:id="283" w:name="_Toc508980077"/>
      <w:bookmarkStart w:id="284" w:name="_Toc508980230"/>
      <w:bookmarkStart w:id="285" w:name="_Toc508981271"/>
      <w:bookmarkStart w:id="286" w:name="_Toc508982516"/>
      <w:bookmarkStart w:id="287" w:name="_Toc509213525"/>
      <w:bookmarkStart w:id="288" w:name="_Toc509213588"/>
      <w:bookmarkStart w:id="289" w:name="_Toc509213654"/>
      <w:bookmarkStart w:id="290" w:name="_Toc509213819"/>
      <w:bookmarkStart w:id="291" w:name="_Toc509214783"/>
      <w:bookmarkEnd w:id="282"/>
      <w:bookmarkEnd w:id="283"/>
      <w:bookmarkEnd w:id="284"/>
      <w:bookmarkEnd w:id="285"/>
      <w:bookmarkEnd w:id="286"/>
      <w:bookmarkEnd w:id="287"/>
      <w:bookmarkEnd w:id="288"/>
      <w:bookmarkEnd w:id="289"/>
      <w:bookmarkEnd w:id="290"/>
      <w:bookmarkEnd w:id="291"/>
    </w:p>
    <w:p w:rsidR="009D340A" w:rsidRPr="009D340A" w:rsidRDefault="009D340A" w:rsidP="009D340A">
      <w:pPr>
        <w:pStyle w:val="Prrafodelista"/>
        <w:numPr>
          <w:ilvl w:val="0"/>
          <w:numId w:val="30"/>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92" w:name="_Toc509213526"/>
      <w:bookmarkStart w:id="293" w:name="_Toc509213589"/>
      <w:bookmarkStart w:id="294" w:name="_Toc509213655"/>
      <w:bookmarkStart w:id="295" w:name="_Toc509213820"/>
      <w:bookmarkStart w:id="296" w:name="_Toc509214784"/>
      <w:bookmarkEnd w:id="292"/>
      <w:bookmarkEnd w:id="293"/>
      <w:bookmarkEnd w:id="294"/>
      <w:bookmarkEnd w:id="295"/>
      <w:bookmarkEnd w:id="296"/>
    </w:p>
    <w:p w:rsidR="009D340A" w:rsidRPr="009D340A" w:rsidRDefault="009D340A" w:rsidP="009D340A">
      <w:pPr>
        <w:pStyle w:val="Prrafodelista"/>
        <w:numPr>
          <w:ilvl w:val="0"/>
          <w:numId w:val="30"/>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297" w:name="_Toc509213527"/>
      <w:bookmarkStart w:id="298" w:name="_Toc509213590"/>
      <w:bookmarkStart w:id="299" w:name="_Toc509213656"/>
      <w:bookmarkStart w:id="300" w:name="_Toc509213821"/>
      <w:bookmarkStart w:id="301" w:name="_Toc509214785"/>
      <w:bookmarkEnd w:id="297"/>
      <w:bookmarkEnd w:id="298"/>
      <w:bookmarkEnd w:id="299"/>
      <w:bookmarkEnd w:id="300"/>
      <w:bookmarkEnd w:id="301"/>
    </w:p>
    <w:p w:rsidR="009D340A" w:rsidRPr="009D340A" w:rsidRDefault="009D340A" w:rsidP="009D340A">
      <w:pPr>
        <w:pStyle w:val="Prrafodelista"/>
        <w:numPr>
          <w:ilvl w:val="0"/>
          <w:numId w:val="30"/>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302" w:name="_Toc509213528"/>
      <w:bookmarkStart w:id="303" w:name="_Toc509213591"/>
      <w:bookmarkStart w:id="304" w:name="_Toc509213657"/>
      <w:bookmarkStart w:id="305" w:name="_Toc509213822"/>
      <w:bookmarkStart w:id="306" w:name="_Toc509214786"/>
      <w:bookmarkEnd w:id="302"/>
      <w:bookmarkEnd w:id="303"/>
      <w:bookmarkEnd w:id="304"/>
      <w:bookmarkEnd w:id="305"/>
      <w:bookmarkEnd w:id="306"/>
    </w:p>
    <w:p w:rsidR="009D340A" w:rsidRPr="009D340A" w:rsidRDefault="009D340A" w:rsidP="009D340A">
      <w:pPr>
        <w:pStyle w:val="Prrafodelista"/>
        <w:numPr>
          <w:ilvl w:val="1"/>
          <w:numId w:val="30"/>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307" w:name="_Toc509213529"/>
      <w:bookmarkStart w:id="308" w:name="_Toc509213592"/>
      <w:bookmarkStart w:id="309" w:name="_Toc509213658"/>
      <w:bookmarkStart w:id="310" w:name="_Toc509213823"/>
      <w:bookmarkStart w:id="311" w:name="_Toc509214787"/>
      <w:bookmarkEnd w:id="307"/>
      <w:bookmarkEnd w:id="308"/>
      <w:bookmarkEnd w:id="309"/>
      <w:bookmarkEnd w:id="310"/>
      <w:bookmarkEnd w:id="311"/>
    </w:p>
    <w:p w:rsidR="009D340A" w:rsidRPr="009D340A" w:rsidRDefault="009D340A" w:rsidP="009D340A">
      <w:pPr>
        <w:pStyle w:val="Prrafodelista"/>
        <w:numPr>
          <w:ilvl w:val="1"/>
          <w:numId w:val="30"/>
        </w:numPr>
        <w:spacing w:after="0" w:line="240" w:lineRule="auto"/>
        <w:contextualSpacing w:val="0"/>
        <w:jc w:val="both"/>
        <w:outlineLvl w:val="1"/>
        <w:rPr>
          <w:rFonts w:ascii="Times New Roman" w:eastAsiaTheme="minorEastAsia" w:hAnsi="Times New Roman" w:cs="Times New Roman"/>
          <w:b/>
          <w:vanish/>
          <w:sz w:val="24"/>
          <w:szCs w:val="21"/>
          <w:lang w:val="es-MX"/>
        </w:rPr>
      </w:pPr>
      <w:bookmarkStart w:id="312" w:name="_Toc509213530"/>
      <w:bookmarkStart w:id="313" w:name="_Toc509213593"/>
      <w:bookmarkStart w:id="314" w:name="_Toc509213659"/>
      <w:bookmarkStart w:id="315" w:name="_Toc509213824"/>
      <w:bookmarkStart w:id="316" w:name="_Toc509214788"/>
      <w:bookmarkEnd w:id="312"/>
      <w:bookmarkEnd w:id="313"/>
      <w:bookmarkEnd w:id="314"/>
      <w:bookmarkEnd w:id="315"/>
      <w:bookmarkEnd w:id="316"/>
    </w:p>
    <w:p w:rsidR="000A113D" w:rsidRPr="00B93D65" w:rsidRDefault="000A113D" w:rsidP="009D340A">
      <w:pPr>
        <w:pStyle w:val="Sinespaciado"/>
        <w:numPr>
          <w:ilvl w:val="1"/>
          <w:numId w:val="30"/>
        </w:numPr>
        <w:jc w:val="both"/>
        <w:outlineLvl w:val="1"/>
        <w:rPr>
          <w:rFonts w:ascii="Times New Roman" w:hAnsi="Times New Roman" w:cs="Times New Roman"/>
          <w:b/>
          <w:sz w:val="22"/>
          <w:lang w:val="es-MX"/>
        </w:rPr>
      </w:pPr>
      <w:bookmarkStart w:id="317" w:name="_Toc509214789"/>
      <w:r w:rsidRPr="00F0276E">
        <w:rPr>
          <w:rFonts w:ascii="Times New Roman" w:hAnsi="Times New Roman" w:cs="Times New Roman"/>
          <w:b/>
          <w:sz w:val="24"/>
          <w:lang w:val="es-MX"/>
        </w:rPr>
        <w:t xml:space="preserve">Aspectos </w:t>
      </w:r>
      <w:bookmarkEnd w:id="317"/>
      <w:r w:rsidR="00591A68">
        <w:rPr>
          <w:rFonts w:ascii="Times New Roman" w:hAnsi="Times New Roman" w:cs="Times New Roman"/>
          <w:b/>
          <w:sz w:val="24"/>
          <w:lang w:val="es-MX"/>
        </w:rPr>
        <w:t>a seguir en el análisis de las clases pasivas</w:t>
      </w:r>
      <w:r w:rsidR="00557268" w:rsidRPr="00F0276E">
        <w:rPr>
          <w:rFonts w:ascii="Times New Roman" w:hAnsi="Times New Roman" w:cs="Times New Roman"/>
          <w:b/>
          <w:sz w:val="24"/>
          <w:lang w:val="es-MX"/>
        </w:rPr>
        <w:t xml:space="preserve">   </w:t>
      </w:r>
    </w:p>
    <w:p w:rsidR="000A113D" w:rsidRPr="00591A68" w:rsidRDefault="000A113D" w:rsidP="00B93D65">
      <w:pPr>
        <w:pStyle w:val="Sinespaciado"/>
        <w:jc w:val="both"/>
        <w:rPr>
          <w:rFonts w:ascii="Times New Roman" w:hAnsi="Times New Roman" w:cs="Times New Roman"/>
          <w:sz w:val="24"/>
          <w:szCs w:val="24"/>
          <w:lang w:val="es-MX"/>
        </w:rPr>
      </w:pPr>
    </w:p>
    <w:p w:rsidR="00591A68" w:rsidRDefault="00591A68" w:rsidP="00B93D65">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Realizar un análisis demográfico de los empleados activos de las Entidades del Gobierno Central y personal de entidades descentralizadas adheridas al plan. Actualmente, </w:t>
      </w:r>
      <w:r w:rsidR="000A113D" w:rsidRPr="00CB0CC8">
        <w:rPr>
          <w:rFonts w:ascii="Times New Roman" w:hAnsi="Times New Roman" w:cs="Times New Roman"/>
          <w:sz w:val="24"/>
          <w:szCs w:val="24"/>
        </w:rPr>
        <w:t>la edad promedio es de 39 años.</w:t>
      </w:r>
      <w:r>
        <w:rPr>
          <w:rFonts w:ascii="Times New Roman" w:hAnsi="Times New Roman" w:cs="Times New Roman"/>
          <w:sz w:val="24"/>
          <w:szCs w:val="24"/>
        </w:rPr>
        <w:t xml:space="preserve"> </w:t>
      </w:r>
    </w:p>
    <w:p w:rsidR="00591A68" w:rsidRDefault="00591A68" w:rsidP="00B93D65">
      <w:pPr>
        <w:pStyle w:val="Sinespaciado"/>
        <w:jc w:val="both"/>
        <w:rPr>
          <w:rFonts w:ascii="Times New Roman" w:hAnsi="Times New Roman" w:cs="Times New Roman"/>
          <w:sz w:val="24"/>
          <w:szCs w:val="24"/>
        </w:rPr>
      </w:pPr>
    </w:p>
    <w:p w:rsidR="000A113D" w:rsidRPr="00CB0CC8" w:rsidRDefault="00591A68" w:rsidP="00B93D65">
      <w:pPr>
        <w:pStyle w:val="Sinespaciado"/>
        <w:jc w:val="both"/>
        <w:rPr>
          <w:rFonts w:ascii="Times New Roman" w:hAnsi="Times New Roman" w:cs="Times New Roman"/>
          <w:sz w:val="24"/>
          <w:szCs w:val="24"/>
        </w:rPr>
      </w:pPr>
      <w:r>
        <w:rPr>
          <w:rFonts w:ascii="Times New Roman" w:hAnsi="Times New Roman" w:cs="Times New Roman"/>
          <w:sz w:val="24"/>
          <w:szCs w:val="24"/>
        </w:rPr>
        <w:t>Realizar escenarios y calcular el impacto de los mismos, donde se consideren supuestos como el retiro en bloque</w:t>
      </w:r>
      <w:r w:rsidR="00FE755E">
        <w:rPr>
          <w:rFonts w:ascii="Times New Roman" w:hAnsi="Times New Roman" w:cs="Times New Roman"/>
          <w:sz w:val="24"/>
          <w:szCs w:val="24"/>
        </w:rPr>
        <w:t xml:space="preserve"> de grupos etarios seleccionados</w:t>
      </w:r>
      <w:r>
        <w:rPr>
          <w:rFonts w:ascii="Times New Roman" w:hAnsi="Times New Roman" w:cs="Times New Roman"/>
          <w:sz w:val="24"/>
          <w:szCs w:val="24"/>
        </w:rPr>
        <w:t>, el incremento de la planilla de empleados activos y los supuesto</w:t>
      </w:r>
      <w:r w:rsidR="00FE755E">
        <w:rPr>
          <w:rFonts w:ascii="Times New Roman" w:hAnsi="Times New Roman" w:cs="Times New Roman"/>
          <w:sz w:val="24"/>
          <w:szCs w:val="24"/>
        </w:rPr>
        <w:t>s</w:t>
      </w:r>
      <w:r>
        <w:rPr>
          <w:rFonts w:ascii="Times New Roman" w:hAnsi="Times New Roman" w:cs="Times New Roman"/>
          <w:sz w:val="24"/>
          <w:szCs w:val="24"/>
        </w:rPr>
        <w:t xml:space="preserve"> macroeconómicos.</w:t>
      </w:r>
    </w:p>
    <w:p w:rsidR="000A113D" w:rsidRPr="00CB0CC8" w:rsidRDefault="000A113D" w:rsidP="00B93D65">
      <w:pPr>
        <w:pStyle w:val="Sinespaciado"/>
        <w:jc w:val="both"/>
        <w:rPr>
          <w:rFonts w:ascii="Times New Roman" w:hAnsi="Times New Roman" w:cs="Times New Roman"/>
          <w:sz w:val="24"/>
          <w:szCs w:val="24"/>
        </w:rPr>
      </w:pPr>
    </w:p>
    <w:p w:rsidR="000A113D" w:rsidRPr="00CB0CC8" w:rsidRDefault="00591A68" w:rsidP="00B93D65">
      <w:pPr>
        <w:pStyle w:val="Sinespaciado"/>
        <w:jc w:val="both"/>
        <w:rPr>
          <w:rFonts w:ascii="Times New Roman" w:hAnsi="Times New Roman" w:cs="Times New Roman"/>
          <w:sz w:val="24"/>
          <w:szCs w:val="24"/>
        </w:rPr>
      </w:pPr>
      <w:r>
        <w:rPr>
          <w:rFonts w:ascii="Times New Roman" w:hAnsi="Times New Roman" w:cs="Times New Roman"/>
          <w:sz w:val="24"/>
          <w:szCs w:val="24"/>
        </w:rPr>
        <w:t>C</w:t>
      </w:r>
      <w:r w:rsidR="000A113D" w:rsidRPr="00CB0CC8">
        <w:rPr>
          <w:rFonts w:ascii="Times New Roman" w:hAnsi="Times New Roman" w:cs="Times New Roman"/>
          <w:sz w:val="24"/>
          <w:szCs w:val="24"/>
        </w:rPr>
        <w:t xml:space="preserve">ontinuar con la hoja ruta del manejo de riesgos fiscales, que </w:t>
      </w:r>
      <w:r w:rsidR="00FE755E">
        <w:rPr>
          <w:rFonts w:ascii="Times New Roman" w:hAnsi="Times New Roman" w:cs="Times New Roman"/>
          <w:sz w:val="24"/>
          <w:szCs w:val="24"/>
        </w:rPr>
        <w:t xml:space="preserve">considera mejorar la información para propiciar la elaboración de </w:t>
      </w:r>
      <w:r w:rsidR="000A113D" w:rsidRPr="00CB0CC8">
        <w:rPr>
          <w:rFonts w:ascii="Times New Roman" w:hAnsi="Times New Roman" w:cs="Times New Roman"/>
          <w:sz w:val="24"/>
          <w:szCs w:val="24"/>
        </w:rPr>
        <w:t>un estudio actuarial del sistema</w:t>
      </w:r>
      <w:r w:rsidR="00FE755E">
        <w:rPr>
          <w:rFonts w:ascii="Times New Roman" w:hAnsi="Times New Roman" w:cs="Times New Roman"/>
          <w:sz w:val="24"/>
          <w:szCs w:val="24"/>
        </w:rPr>
        <w:t xml:space="preserve"> de pensiones de clases civiles; a </w:t>
      </w:r>
      <w:r w:rsidR="000A113D" w:rsidRPr="00CB0CC8">
        <w:rPr>
          <w:rFonts w:ascii="Times New Roman" w:hAnsi="Times New Roman" w:cs="Times New Roman"/>
          <w:sz w:val="24"/>
          <w:szCs w:val="24"/>
        </w:rPr>
        <w:t xml:space="preserve">junio de 2017 beneficiaba a 99,610 pensionados civiles así como 2,064 pensionados provenientes de sistemas de entidades descentralizadas </w:t>
      </w:r>
      <w:r w:rsidR="000A113D" w:rsidRPr="00CB0CC8">
        <w:rPr>
          <w:rFonts w:ascii="Times New Roman" w:eastAsia="MS Mincho" w:hAnsi="Times New Roman" w:cs="Times New Roman"/>
          <w:sz w:val="24"/>
          <w:szCs w:val="24"/>
          <w:lang w:eastAsia="ja-JP"/>
        </w:rPr>
        <w:t>a</w:t>
      </w:r>
      <w:r w:rsidR="00FE755E">
        <w:rPr>
          <w:rFonts w:ascii="Times New Roman" w:eastAsia="MS Mincho" w:hAnsi="Times New Roman" w:cs="Times New Roman"/>
          <w:sz w:val="24"/>
          <w:szCs w:val="24"/>
          <w:lang w:eastAsia="ja-JP"/>
        </w:rPr>
        <w:t xml:space="preserve">bsorbidos por mandato judicial </w:t>
      </w:r>
      <w:r w:rsidR="000A113D" w:rsidRPr="00CB0CC8">
        <w:rPr>
          <w:rFonts w:ascii="Times New Roman" w:hAnsi="Times New Roman" w:cs="Times New Roman"/>
          <w:sz w:val="24"/>
          <w:szCs w:val="24"/>
        </w:rPr>
        <w:t xml:space="preserve">y 1,347 pensionados militares, por </w:t>
      </w:r>
      <w:r w:rsidR="000A113D" w:rsidRPr="00CB0CC8">
        <w:rPr>
          <w:rFonts w:ascii="Times New Roman" w:eastAsia="MS Mincho" w:hAnsi="Times New Roman" w:cs="Times New Roman"/>
          <w:sz w:val="24"/>
          <w:szCs w:val="24"/>
          <w:lang w:eastAsia="ja-JP"/>
        </w:rPr>
        <w:t>Montepío Militar, un programa que beneficia al personal del Ejército de Guatemala que no tuvo derecho a adherirse al Instituto de Previsión Social</w:t>
      </w:r>
      <w:r w:rsidR="000A113D" w:rsidRPr="00CB0CC8">
        <w:rPr>
          <w:rFonts w:ascii="Times New Roman" w:hAnsi="Times New Roman" w:cs="Times New Roman"/>
          <w:sz w:val="24"/>
          <w:szCs w:val="24"/>
        </w:rPr>
        <w:t>.</w:t>
      </w:r>
    </w:p>
    <w:p w:rsidR="00B93D65" w:rsidRPr="00CB0CC8" w:rsidRDefault="00B93D65" w:rsidP="00B93D65">
      <w:pPr>
        <w:pStyle w:val="Sinespaciado"/>
        <w:jc w:val="both"/>
        <w:rPr>
          <w:rFonts w:ascii="Times New Roman" w:hAnsi="Times New Roman" w:cs="Times New Roman"/>
          <w:sz w:val="24"/>
          <w:szCs w:val="24"/>
        </w:rPr>
      </w:pPr>
    </w:p>
    <w:p w:rsidR="000A113D" w:rsidRPr="00CB0CC8" w:rsidRDefault="000A113D" w:rsidP="00B93D65">
      <w:pPr>
        <w:pStyle w:val="Sinespaciado"/>
        <w:jc w:val="both"/>
        <w:rPr>
          <w:rFonts w:ascii="Times New Roman" w:hAnsi="Times New Roman" w:cs="Times New Roman"/>
          <w:sz w:val="24"/>
          <w:szCs w:val="24"/>
        </w:rPr>
      </w:pPr>
      <w:r w:rsidRPr="00CB0CC8">
        <w:rPr>
          <w:rFonts w:ascii="Times New Roman" w:hAnsi="Times New Roman" w:cs="Times New Roman"/>
          <w:sz w:val="24"/>
          <w:szCs w:val="24"/>
        </w:rPr>
        <w:t xml:space="preserve">Es importante levantar y publicar datos del censo de empleados </w:t>
      </w:r>
      <w:r w:rsidR="00FE755E">
        <w:rPr>
          <w:rFonts w:ascii="Times New Roman" w:hAnsi="Times New Roman" w:cs="Times New Roman"/>
          <w:sz w:val="24"/>
          <w:szCs w:val="24"/>
        </w:rPr>
        <w:t xml:space="preserve">que estaría en ejecución en 2018, </w:t>
      </w:r>
      <w:r w:rsidRPr="00CB0CC8">
        <w:rPr>
          <w:rFonts w:ascii="Times New Roman" w:hAnsi="Times New Roman" w:cs="Times New Roman"/>
          <w:sz w:val="24"/>
          <w:szCs w:val="24"/>
        </w:rPr>
        <w:t>con lo</w:t>
      </w:r>
      <w:r w:rsidR="00FE755E">
        <w:rPr>
          <w:rFonts w:ascii="Times New Roman" w:hAnsi="Times New Roman" w:cs="Times New Roman"/>
          <w:sz w:val="24"/>
          <w:szCs w:val="24"/>
        </w:rPr>
        <w:t xml:space="preserve"> cual se mejorarán las</w:t>
      </w:r>
      <w:r w:rsidRPr="00CB0CC8">
        <w:rPr>
          <w:rFonts w:ascii="Times New Roman" w:hAnsi="Times New Roman" w:cs="Times New Roman"/>
          <w:sz w:val="24"/>
          <w:szCs w:val="24"/>
        </w:rPr>
        <w:t xml:space="preserve"> fichas de empleado de las bases de Guatenóminas, para poder realizar proyecciones más precisas de la cantidad de empleados que se incorporarán al plan de clases pasivas y el pasivo implícito que esto conlleva; esto de la mano con una actualización completa de las bases de datos de pensionados.</w:t>
      </w:r>
    </w:p>
    <w:p w:rsidR="000A113D" w:rsidRPr="00CB0CC8" w:rsidRDefault="000A113D" w:rsidP="00B93D65">
      <w:pPr>
        <w:pStyle w:val="Sinespaciado"/>
        <w:jc w:val="both"/>
        <w:rPr>
          <w:rFonts w:ascii="Times New Roman" w:hAnsi="Times New Roman" w:cs="Times New Roman"/>
          <w:sz w:val="24"/>
          <w:szCs w:val="24"/>
        </w:rPr>
      </w:pPr>
      <w:r w:rsidRPr="00CB0CC8">
        <w:rPr>
          <w:rFonts w:ascii="Times New Roman" w:hAnsi="Times New Roman" w:cs="Times New Roman"/>
          <w:sz w:val="24"/>
          <w:szCs w:val="24"/>
        </w:rPr>
        <w:br w:type="page"/>
      </w:r>
    </w:p>
    <w:p w:rsidR="000A113D" w:rsidRPr="00B93D65" w:rsidRDefault="000A113D" w:rsidP="00B93D65">
      <w:pPr>
        <w:pStyle w:val="Sinespaciado"/>
        <w:jc w:val="both"/>
        <w:rPr>
          <w:rFonts w:ascii="Times New Roman" w:hAnsi="Times New Roman" w:cs="Times New Roman"/>
          <w:b/>
          <w:sz w:val="22"/>
          <w:lang w:val="es-MX"/>
        </w:rPr>
      </w:pPr>
    </w:p>
    <w:p w:rsidR="00B93D65" w:rsidRDefault="000A113D" w:rsidP="00285C61">
      <w:pPr>
        <w:pStyle w:val="Sinespaciado"/>
        <w:jc w:val="center"/>
        <w:outlineLvl w:val="0"/>
        <w:rPr>
          <w:rFonts w:ascii="Times New Roman" w:hAnsi="Times New Roman" w:cs="Times New Roman"/>
          <w:b/>
          <w:sz w:val="22"/>
          <w:lang w:val="es-MX"/>
        </w:rPr>
      </w:pPr>
      <w:bookmarkStart w:id="318" w:name="_Toc509214790"/>
      <w:bookmarkStart w:id="319" w:name="_Toc508726944"/>
      <w:r w:rsidRPr="00B93D65">
        <w:rPr>
          <w:rFonts w:ascii="Times New Roman" w:hAnsi="Times New Roman" w:cs="Times New Roman"/>
          <w:b/>
          <w:sz w:val="22"/>
          <w:lang w:val="es-MX"/>
        </w:rPr>
        <w:t>ANEXO</w:t>
      </w:r>
      <w:bookmarkEnd w:id="318"/>
      <w:r w:rsidR="00BC6054">
        <w:rPr>
          <w:rFonts w:ascii="Times New Roman" w:hAnsi="Times New Roman" w:cs="Times New Roman"/>
          <w:b/>
          <w:sz w:val="22"/>
          <w:lang w:val="es-MX"/>
        </w:rPr>
        <w:t>S</w:t>
      </w:r>
    </w:p>
    <w:p w:rsidR="00B93D65" w:rsidRDefault="00B93D65" w:rsidP="00B93D65">
      <w:pPr>
        <w:pStyle w:val="Sinespaciado"/>
        <w:jc w:val="both"/>
        <w:rPr>
          <w:rFonts w:ascii="Times New Roman" w:hAnsi="Times New Roman" w:cs="Times New Roman"/>
          <w:b/>
          <w:sz w:val="22"/>
          <w:lang w:val="es-MX"/>
        </w:rPr>
      </w:pPr>
    </w:p>
    <w:p w:rsidR="00B93D65" w:rsidRDefault="00B93D65" w:rsidP="00B93D65">
      <w:pPr>
        <w:pStyle w:val="Sinespaciado"/>
        <w:jc w:val="both"/>
        <w:rPr>
          <w:rFonts w:ascii="Times New Roman" w:hAnsi="Times New Roman" w:cs="Times New Roman"/>
          <w:b/>
          <w:sz w:val="22"/>
          <w:lang w:val="es-MX"/>
        </w:rPr>
      </w:pPr>
    </w:p>
    <w:p w:rsidR="000A113D" w:rsidRPr="00B93D65" w:rsidRDefault="000A113D" w:rsidP="00B93D65">
      <w:pPr>
        <w:pStyle w:val="Sinespaciado"/>
        <w:jc w:val="both"/>
        <w:rPr>
          <w:rFonts w:ascii="Times New Roman" w:hAnsi="Times New Roman" w:cs="Times New Roman"/>
          <w:b/>
          <w:sz w:val="22"/>
          <w:lang w:val="es-MX"/>
        </w:rPr>
      </w:pPr>
      <w:r w:rsidRPr="00B93D65">
        <w:rPr>
          <w:rFonts w:ascii="Times New Roman" w:hAnsi="Times New Roman" w:cs="Times New Roman"/>
          <w:b/>
          <w:sz w:val="22"/>
          <w:lang w:val="es-MX"/>
        </w:rPr>
        <w:t>Clases Pasivas Civiles del Estado</w:t>
      </w:r>
      <w:bookmarkEnd w:id="319"/>
    </w:p>
    <w:p w:rsidR="000A113D" w:rsidRPr="00566194" w:rsidRDefault="000A113D" w:rsidP="000A113D">
      <w:pPr>
        <w:spacing w:after="0" w:line="240" w:lineRule="auto"/>
        <w:ind w:left="284"/>
        <w:jc w:val="both"/>
        <w:rPr>
          <w:rFonts w:ascii="Times New Roman" w:hAnsi="Times New Roman" w:cs="Times New Roman"/>
          <w:sz w:val="24"/>
          <w:szCs w:val="24"/>
        </w:rPr>
      </w:pPr>
    </w:p>
    <w:p w:rsidR="00DA2C98" w:rsidRDefault="00BC6054" w:rsidP="00DA2C98">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Cuadro 7</w:t>
      </w:r>
    </w:p>
    <w:p w:rsidR="000A113D" w:rsidRPr="00566194" w:rsidRDefault="000A113D" w:rsidP="00DA2C98">
      <w:pPr>
        <w:spacing w:after="0" w:line="240" w:lineRule="auto"/>
        <w:ind w:left="284"/>
        <w:jc w:val="center"/>
        <w:rPr>
          <w:rFonts w:ascii="Times New Roman" w:hAnsi="Times New Roman" w:cs="Times New Roman"/>
          <w:b/>
          <w:sz w:val="24"/>
          <w:szCs w:val="24"/>
        </w:rPr>
      </w:pPr>
      <w:r w:rsidRPr="00566194">
        <w:rPr>
          <w:rFonts w:ascii="Times New Roman" w:hAnsi="Times New Roman" w:cs="Times New Roman"/>
          <w:b/>
          <w:sz w:val="24"/>
          <w:szCs w:val="24"/>
        </w:rPr>
        <w:t xml:space="preserve">Pensionados Activos a diciembre de </w:t>
      </w:r>
      <w:r>
        <w:rPr>
          <w:rFonts w:ascii="Times New Roman" w:hAnsi="Times New Roman" w:cs="Times New Roman"/>
          <w:b/>
          <w:sz w:val="24"/>
          <w:szCs w:val="24"/>
        </w:rPr>
        <w:t>2016 por tipo de pensión y sexo</w:t>
      </w:r>
    </w:p>
    <w:p w:rsidR="000A113D" w:rsidRPr="00566194" w:rsidRDefault="000A113D" w:rsidP="000A113D">
      <w:pPr>
        <w:spacing w:after="0" w:line="240" w:lineRule="auto"/>
        <w:ind w:left="284"/>
        <w:jc w:val="both"/>
        <w:rPr>
          <w:rFonts w:ascii="Times New Roman" w:hAnsi="Times New Roman" w:cs="Times New Roman"/>
          <w:sz w:val="24"/>
          <w:szCs w:val="24"/>
        </w:rPr>
      </w:pPr>
    </w:p>
    <w:tbl>
      <w:tblPr>
        <w:tblW w:w="4381" w:type="pct"/>
        <w:jc w:val="center"/>
        <w:tblLayout w:type="fixed"/>
        <w:tblCellMar>
          <w:left w:w="70" w:type="dxa"/>
          <w:right w:w="70" w:type="dxa"/>
        </w:tblCellMar>
        <w:tblLook w:val="04A0" w:firstRow="1" w:lastRow="0" w:firstColumn="1" w:lastColumn="0" w:noHBand="0" w:noVBand="1"/>
      </w:tblPr>
      <w:tblGrid>
        <w:gridCol w:w="567"/>
        <w:gridCol w:w="3755"/>
        <w:gridCol w:w="1278"/>
        <w:gridCol w:w="1134"/>
        <w:gridCol w:w="1133"/>
      </w:tblGrid>
      <w:tr w:rsidR="00115D94" w:rsidRPr="00566194" w:rsidTr="00DB3C57">
        <w:trPr>
          <w:trHeight w:val="315"/>
          <w:jc w:val="center"/>
        </w:trPr>
        <w:tc>
          <w:tcPr>
            <w:tcW w:w="360" w:type="pct"/>
            <w:tcBorders>
              <w:top w:val="single" w:sz="8" w:space="0" w:color="auto"/>
              <w:left w:val="single" w:sz="8" w:space="0" w:color="auto"/>
              <w:bottom w:val="single" w:sz="4" w:space="0" w:color="000000"/>
              <w:right w:val="single" w:sz="4" w:space="0" w:color="auto"/>
            </w:tcBorders>
            <w:shd w:val="clear" w:color="auto" w:fill="auto"/>
            <w:noWrap/>
            <w:textDirection w:val="btLr"/>
            <w:vAlign w:val="center"/>
          </w:tcPr>
          <w:p w:rsidR="00115D94" w:rsidRPr="00566194" w:rsidRDefault="00115D94" w:rsidP="000A113D">
            <w:pPr>
              <w:spacing w:after="0" w:line="240" w:lineRule="auto"/>
              <w:jc w:val="center"/>
              <w:rPr>
                <w:rFonts w:ascii="Times New Roman" w:eastAsia="Times New Roman" w:hAnsi="Times New Roman" w:cs="Times New Roman"/>
                <w:b/>
                <w:color w:val="000000"/>
                <w:lang w:val="es-ES" w:eastAsia="es-ES"/>
              </w:rPr>
            </w:pPr>
          </w:p>
        </w:tc>
        <w:tc>
          <w:tcPr>
            <w:tcW w:w="2386" w:type="pct"/>
            <w:tcBorders>
              <w:top w:val="single" w:sz="8" w:space="0" w:color="auto"/>
              <w:left w:val="nil"/>
              <w:bottom w:val="single" w:sz="4" w:space="0" w:color="auto"/>
              <w:right w:val="single" w:sz="4" w:space="0" w:color="auto"/>
            </w:tcBorders>
            <w:shd w:val="clear" w:color="auto" w:fill="auto"/>
            <w:noWrap/>
            <w:vAlign w:val="center"/>
          </w:tcPr>
          <w:p w:rsidR="00115D94" w:rsidRPr="00566194" w:rsidRDefault="00115D94" w:rsidP="000A113D">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Tipo de pensión</w:t>
            </w:r>
          </w:p>
        </w:tc>
        <w:tc>
          <w:tcPr>
            <w:tcW w:w="812" w:type="pct"/>
            <w:tcBorders>
              <w:top w:val="single" w:sz="8" w:space="0" w:color="auto"/>
              <w:left w:val="nil"/>
              <w:bottom w:val="single" w:sz="4" w:space="0" w:color="auto"/>
              <w:right w:val="single" w:sz="4" w:space="0" w:color="auto"/>
            </w:tcBorders>
            <w:shd w:val="clear" w:color="auto" w:fill="auto"/>
            <w:noWrap/>
            <w:vAlign w:val="center"/>
          </w:tcPr>
          <w:p w:rsidR="00115D94" w:rsidRPr="00566194" w:rsidRDefault="00115D94" w:rsidP="000A113D">
            <w:pPr>
              <w:spacing w:after="0" w:line="240" w:lineRule="auto"/>
              <w:jc w:val="center"/>
              <w:rPr>
                <w:rFonts w:ascii="Times New Roman" w:hAnsi="Times New Roman" w:cs="Times New Roman"/>
                <w:b/>
                <w:color w:val="000000"/>
              </w:rPr>
            </w:pPr>
            <w:r>
              <w:rPr>
                <w:rFonts w:ascii="Times New Roman" w:hAnsi="Times New Roman" w:cs="Times New Roman"/>
                <w:b/>
                <w:color w:val="000000"/>
              </w:rPr>
              <w:t>Mujer</w:t>
            </w:r>
          </w:p>
        </w:tc>
        <w:tc>
          <w:tcPr>
            <w:tcW w:w="721" w:type="pct"/>
            <w:tcBorders>
              <w:top w:val="single" w:sz="8" w:space="0" w:color="auto"/>
              <w:left w:val="nil"/>
              <w:bottom w:val="single" w:sz="4" w:space="0" w:color="auto"/>
              <w:right w:val="single" w:sz="4" w:space="0" w:color="auto"/>
            </w:tcBorders>
            <w:shd w:val="clear" w:color="auto" w:fill="auto"/>
            <w:noWrap/>
            <w:vAlign w:val="center"/>
          </w:tcPr>
          <w:p w:rsidR="00115D94" w:rsidRPr="00566194" w:rsidRDefault="00115D94" w:rsidP="000A113D">
            <w:pPr>
              <w:spacing w:after="0" w:line="240" w:lineRule="auto"/>
              <w:jc w:val="center"/>
              <w:rPr>
                <w:rFonts w:ascii="Times New Roman" w:hAnsi="Times New Roman" w:cs="Times New Roman"/>
                <w:b/>
                <w:color w:val="000000"/>
              </w:rPr>
            </w:pPr>
            <w:r>
              <w:rPr>
                <w:rFonts w:ascii="Times New Roman" w:hAnsi="Times New Roman" w:cs="Times New Roman"/>
                <w:b/>
                <w:color w:val="000000"/>
              </w:rPr>
              <w:t>Hombre</w:t>
            </w:r>
          </w:p>
        </w:tc>
        <w:tc>
          <w:tcPr>
            <w:tcW w:w="720" w:type="pct"/>
            <w:tcBorders>
              <w:top w:val="single" w:sz="8" w:space="0" w:color="auto"/>
              <w:left w:val="nil"/>
              <w:bottom w:val="single" w:sz="4" w:space="0" w:color="auto"/>
              <w:right w:val="single" w:sz="8" w:space="0" w:color="auto"/>
            </w:tcBorders>
            <w:shd w:val="clear" w:color="auto" w:fill="auto"/>
            <w:noWrap/>
            <w:vAlign w:val="center"/>
          </w:tcPr>
          <w:p w:rsidR="00115D94" w:rsidRPr="00566194" w:rsidRDefault="00115D94" w:rsidP="000A113D">
            <w:pPr>
              <w:spacing w:after="0" w:line="240" w:lineRule="auto"/>
              <w:jc w:val="center"/>
              <w:rPr>
                <w:rFonts w:ascii="Times New Roman" w:hAnsi="Times New Roman" w:cs="Times New Roman"/>
                <w:b/>
                <w:color w:val="000000"/>
              </w:rPr>
            </w:pPr>
            <w:r>
              <w:rPr>
                <w:rFonts w:ascii="Times New Roman" w:hAnsi="Times New Roman" w:cs="Times New Roman"/>
                <w:b/>
                <w:color w:val="000000"/>
              </w:rPr>
              <w:t>Total</w:t>
            </w:r>
          </w:p>
        </w:tc>
      </w:tr>
      <w:tr w:rsidR="000A113D" w:rsidRPr="00566194" w:rsidTr="00DB3C57">
        <w:trPr>
          <w:trHeight w:val="315"/>
          <w:jc w:val="center"/>
        </w:trPr>
        <w:tc>
          <w:tcPr>
            <w:tcW w:w="360" w:type="pct"/>
            <w:tcBorders>
              <w:top w:val="single" w:sz="8" w:space="0" w:color="auto"/>
              <w:left w:val="single" w:sz="8" w:space="0" w:color="auto"/>
              <w:bottom w:val="single" w:sz="4" w:space="0" w:color="000000"/>
              <w:right w:val="single" w:sz="4" w:space="0" w:color="auto"/>
            </w:tcBorders>
            <w:shd w:val="clear" w:color="auto" w:fill="auto"/>
            <w:noWrap/>
            <w:textDirection w:val="btLr"/>
            <w:vAlign w:val="center"/>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p>
        </w:tc>
        <w:tc>
          <w:tcPr>
            <w:tcW w:w="2386" w:type="pct"/>
            <w:tcBorders>
              <w:top w:val="single" w:sz="8" w:space="0" w:color="auto"/>
              <w:left w:val="nil"/>
              <w:bottom w:val="single" w:sz="4" w:space="0" w:color="auto"/>
              <w:right w:val="single" w:sz="4" w:space="0" w:color="auto"/>
            </w:tcBorders>
            <w:shd w:val="clear" w:color="auto" w:fill="auto"/>
            <w:noWrap/>
            <w:vAlign w:val="center"/>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hAnsi="Times New Roman" w:cs="Times New Roman"/>
                <w:b/>
                <w:color w:val="000000"/>
                <w:sz w:val="18"/>
                <w:szCs w:val="18"/>
              </w:rPr>
              <w:t>Total de pensionados</w:t>
            </w:r>
          </w:p>
        </w:tc>
        <w:tc>
          <w:tcPr>
            <w:tcW w:w="812" w:type="pct"/>
            <w:tcBorders>
              <w:top w:val="single" w:sz="8" w:space="0" w:color="auto"/>
              <w:left w:val="nil"/>
              <w:bottom w:val="single" w:sz="4" w:space="0" w:color="auto"/>
              <w:right w:val="single" w:sz="4" w:space="0" w:color="auto"/>
            </w:tcBorders>
            <w:shd w:val="clear" w:color="auto" w:fill="auto"/>
            <w:noWrap/>
            <w:vAlign w:val="center"/>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hAnsi="Times New Roman" w:cs="Times New Roman"/>
                <w:b/>
                <w:color w:val="000000"/>
              </w:rPr>
              <w:t>50,042</w:t>
            </w:r>
          </w:p>
        </w:tc>
        <w:tc>
          <w:tcPr>
            <w:tcW w:w="721" w:type="pct"/>
            <w:tcBorders>
              <w:top w:val="single" w:sz="8" w:space="0" w:color="auto"/>
              <w:left w:val="nil"/>
              <w:bottom w:val="single" w:sz="4" w:space="0" w:color="auto"/>
              <w:right w:val="single" w:sz="4" w:space="0" w:color="auto"/>
            </w:tcBorders>
            <w:shd w:val="clear" w:color="auto" w:fill="auto"/>
            <w:noWrap/>
            <w:vAlign w:val="center"/>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hAnsi="Times New Roman" w:cs="Times New Roman"/>
                <w:b/>
                <w:color w:val="000000"/>
              </w:rPr>
              <w:t>49,263</w:t>
            </w:r>
          </w:p>
        </w:tc>
        <w:tc>
          <w:tcPr>
            <w:tcW w:w="720" w:type="pct"/>
            <w:tcBorders>
              <w:top w:val="single" w:sz="8" w:space="0" w:color="auto"/>
              <w:left w:val="nil"/>
              <w:bottom w:val="single" w:sz="4" w:space="0" w:color="auto"/>
              <w:right w:val="single" w:sz="8" w:space="0" w:color="auto"/>
            </w:tcBorders>
            <w:shd w:val="clear" w:color="auto" w:fill="auto"/>
            <w:noWrap/>
            <w:vAlign w:val="center"/>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hAnsi="Times New Roman" w:cs="Times New Roman"/>
                <w:b/>
                <w:color w:val="000000"/>
              </w:rPr>
              <w:t>99,305</w:t>
            </w:r>
          </w:p>
        </w:tc>
      </w:tr>
      <w:tr w:rsidR="000A113D" w:rsidRPr="00566194" w:rsidTr="00DB3C57">
        <w:trPr>
          <w:trHeight w:val="98"/>
          <w:jc w:val="center"/>
        </w:trPr>
        <w:tc>
          <w:tcPr>
            <w:tcW w:w="360" w:type="pct"/>
            <w:tcBorders>
              <w:top w:val="single" w:sz="8" w:space="0" w:color="auto"/>
              <w:left w:val="single" w:sz="8" w:space="0" w:color="auto"/>
              <w:bottom w:val="single" w:sz="4" w:space="0" w:color="000000"/>
              <w:right w:val="single" w:sz="4" w:space="0" w:color="auto"/>
            </w:tcBorders>
            <w:shd w:val="clear" w:color="auto" w:fill="auto"/>
            <w:noWrap/>
            <w:textDirection w:val="btLr"/>
            <w:vAlign w:val="center"/>
          </w:tcPr>
          <w:p w:rsidR="000A113D" w:rsidRPr="00566194" w:rsidRDefault="000A113D" w:rsidP="000A113D">
            <w:pPr>
              <w:spacing w:after="0" w:line="240" w:lineRule="auto"/>
              <w:jc w:val="center"/>
              <w:rPr>
                <w:rFonts w:ascii="Times New Roman" w:eastAsia="Times New Roman" w:hAnsi="Times New Roman" w:cs="Times New Roman"/>
                <w:color w:val="000000"/>
                <w:sz w:val="8"/>
                <w:lang w:val="es-ES" w:eastAsia="es-ES"/>
              </w:rPr>
            </w:pPr>
          </w:p>
        </w:tc>
        <w:tc>
          <w:tcPr>
            <w:tcW w:w="2386" w:type="pct"/>
            <w:tcBorders>
              <w:top w:val="single" w:sz="8" w:space="0" w:color="auto"/>
              <w:left w:val="nil"/>
              <w:bottom w:val="single" w:sz="4" w:space="0" w:color="auto"/>
              <w:right w:val="single" w:sz="4" w:space="0" w:color="auto"/>
            </w:tcBorders>
            <w:shd w:val="clear" w:color="auto" w:fill="auto"/>
            <w:noWrap/>
            <w:vAlign w:val="center"/>
          </w:tcPr>
          <w:p w:rsidR="000A113D" w:rsidRPr="00566194" w:rsidRDefault="000A113D" w:rsidP="000A113D">
            <w:pPr>
              <w:spacing w:after="0" w:line="240" w:lineRule="auto"/>
              <w:jc w:val="center"/>
              <w:rPr>
                <w:rFonts w:ascii="Times New Roman" w:eastAsia="Times New Roman" w:hAnsi="Times New Roman" w:cs="Times New Roman"/>
                <w:color w:val="000000"/>
                <w:sz w:val="8"/>
                <w:lang w:val="es-ES" w:eastAsia="es-ES"/>
              </w:rPr>
            </w:pPr>
          </w:p>
        </w:tc>
        <w:tc>
          <w:tcPr>
            <w:tcW w:w="812" w:type="pct"/>
            <w:tcBorders>
              <w:top w:val="single" w:sz="8" w:space="0" w:color="auto"/>
              <w:left w:val="nil"/>
              <w:bottom w:val="single" w:sz="4" w:space="0" w:color="auto"/>
              <w:right w:val="single" w:sz="4" w:space="0" w:color="auto"/>
            </w:tcBorders>
            <w:shd w:val="clear" w:color="auto" w:fill="auto"/>
            <w:noWrap/>
            <w:vAlign w:val="center"/>
          </w:tcPr>
          <w:p w:rsidR="000A113D" w:rsidRPr="00566194" w:rsidRDefault="000A113D" w:rsidP="000A113D">
            <w:pPr>
              <w:spacing w:after="0" w:line="240" w:lineRule="auto"/>
              <w:jc w:val="center"/>
              <w:rPr>
                <w:rFonts w:ascii="Times New Roman" w:eastAsia="Times New Roman" w:hAnsi="Times New Roman" w:cs="Times New Roman"/>
                <w:color w:val="000000"/>
                <w:sz w:val="8"/>
                <w:lang w:val="es-ES" w:eastAsia="es-ES"/>
              </w:rPr>
            </w:pPr>
          </w:p>
        </w:tc>
        <w:tc>
          <w:tcPr>
            <w:tcW w:w="721" w:type="pct"/>
            <w:tcBorders>
              <w:top w:val="single" w:sz="8" w:space="0" w:color="auto"/>
              <w:left w:val="nil"/>
              <w:bottom w:val="single" w:sz="4" w:space="0" w:color="auto"/>
              <w:right w:val="single" w:sz="4" w:space="0" w:color="auto"/>
            </w:tcBorders>
            <w:shd w:val="clear" w:color="auto" w:fill="auto"/>
            <w:noWrap/>
            <w:vAlign w:val="center"/>
          </w:tcPr>
          <w:p w:rsidR="000A113D" w:rsidRPr="00566194" w:rsidRDefault="000A113D" w:rsidP="000A113D">
            <w:pPr>
              <w:spacing w:after="0" w:line="240" w:lineRule="auto"/>
              <w:jc w:val="center"/>
              <w:rPr>
                <w:rFonts w:ascii="Times New Roman" w:eastAsia="Times New Roman" w:hAnsi="Times New Roman" w:cs="Times New Roman"/>
                <w:color w:val="000000"/>
                <w:sz w:val="8"/>
                <w:lang w:val="es-ES" w:eastAsia="es-ES"/>
              </w:rPr>
            </w:pPr>
          </w:p>
        </w:tc>
        <w:tc>
          <w:tcPr>
            <w:tcW w:w="720" w:type="pct"/>
            <w:tcBorders>
              <w:top w:val="single" w:sz="8" w:space="0" w:color="auto"/>
              <w:left w:val="nil"/>
              <w:bottom w:val="single" w:sz="4" w:space="0" w:color="auto"/>
              <w:right w:val="single" w:sz="8" w:space="0" w:color="auto"/>
            </w:tcBorders>
            <w:shd w:val="clear" w:color="auto" w:fill="auto"/>
            <w:noWrap/>
            <w:vAlign w:val="center"/>
          </w:tcPr>
          <w:p w:rsidR="000A113D" w:rsidRPr="00566194" w:rsidRDefault="000A113D" w:rsidP="000A113D">
            <w:pPr>
              <w:spacing w:after="0" w:line="240" w:lineRule="auto"/>
              <w:jc w:val="center"/>
              <w:rPr>
                <w:rFonts w:ascii="Times New Roman" w:eastAsia="Times New Roman" w:hAnsi="Times New Roman" w:cs="Times New Roman"/>
                <w:color w:val="000000"/>
                <w:sz w:val="8"/>
                <w:lang w:val="es-ES" w:eastAsia="es-ES"/>
              </w:rPr>
            </w:pPr>
          </w:p>
        </w:tc>
      </w:tr>
      <w:tr w:rsidR="000A113D" w:rsidRPr="00566194" w:rsidTr="00DB3C57">
        <w:trPr>
          <w:trHeight w:val="315"/>
          <w:jc w:val="center"/>
        </w:trPr>
        <w:tc>
          <w:tcPr>
            <w:tcW w:w="360" w:type="pct"/>
            <w:vMerge w:val="restart"/>
            <w:tcBorders>
              <w:top w:val="single" w:sz="8" w:space="0" w:color="auto"/>
              <w:left w:val="single" w:sz="8" w:space="0" w:color="auto"/>
              <w:bottom w:val="single" w:sz="4" w:space="0" w:color="000000"/>
              <w:right w:val="single" w:sz="4" w:space="0" w:color="auto"/>
            </w:tcBorders>
            <w:shd w:val="clear" w:color="auto" w:fill="auto"/>
            <w:noWrap/>
            <w:textDirection w:val="btLr"/>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PENSION CIVIL DEL ESTADO</w:t>
            </w:r>
          </w:p>
        </w:tc>
        <w:tc>
          <w:tcPr>
            <w:tcW w:w="2386" w:type="pct"/>
            <w:tcBorders>
              <w:top w:val="single" w:sz="8" w:space="0" w:color="auto"/>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Total pensionados montepío Estado</w:t>
            </w:r>
          </w:p>
        </w:tc>
        <w:tc>
          <w:tcPr>
            <w:tcW w:w="812" w:type="pct"/>
            <w:tcBorders>
              <w:top w:val="single" w:sz="8" w:space="0" w:color="auto"/>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48,856</w:t>
            </w:r>
          </w:p>
        </w:tc>
        <w:tc>
          <w:tcPr>
            <w:tcW w:w="721" w:type="pct"/>
            <w:tcBorders>
              <w:top w:val="single" w:sz="8" w:space="0" w:color="auto"/>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47,059</w:t>
            </w:r>
          </w:p>
        </w:tc>
        <w:tc>
          <w:tcPr>
            <w:tcW w:w="720" w:type="pct"/>
            <w:tcBorders>
              <w:top w:val="single" w:sz="8" w:space="0" w:color="auto"/>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95,915</w:t>
            </w:r>
          </w:p>
        </w:tc>
      </w:tr>
      <w:tr w:rsidR="000A113D" w:rsidRPr="00566194" w:rsidTr="00DB3C57">
        <w:trPr>
          <w:trHeight w:val="300"/>
          <w:jc w:val="center"/>
        </w:trPr>
        <w:tc>
          <w:tcPr>
            <w:tcW w:w="360"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por invalidez</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1,290</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1,724</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3,014</w:t>
            </w:r>
          </w:p>
        </w:tc>
      </w:tr>
      <w:tr w:rsidR="000A113D" w:rsidRPr="00566194" w:rsidTr="00DB3C57">
        <w:trPr>
          <w:trHeight w:val="307"/>
          <w:jc w:val="center"/>
        </w:trPr>
        <w:tc>
          <w:tcPr>
            <w:tcW w:w="360"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por jubilación</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32,280</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42,737</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75,017</w:t>
            </w:r>
          </w:p>
        </w:tc>
      </w:tr>
      <w:tr w:rsidR="000A113D" w:rsidRPr="00566194" w:rsidTr="00DB3C57">
        <w:trPr>
          <w:trHeight w:val="284"/>
          <w:jc w:val="center"/>
        </w:trPr>
        <w:tc>
          <w:tcPr>
            <w:tcW w:w="360"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por orfandad</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799</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651</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1,450</w:t>
            </w:r>
          </w:p>
        </w:tc>
      </w:tr>
      <w:tr w:rsidR="000A113D" w:rsidRPr="00566194" w:rsidTr="00DB3C57">
        <w:trPr>
          <w:trHeight w:val="300"/>
          <w:jc w:val="center"/>
        </w:trPr>
        <w:tc>
          <w:tcPr>
            <w:tcW w:w="360"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por viudez</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9,623</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1,043</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10,666</w:t>
            </w:r>
          </w:p>
        </w:tc>
      </w:tr>
      <w:tr w:rsidR="000A113D" w:rsidRPr="00566194" w:rsidTr="00DB3C57">
        <w:trPr>
          <w:trHeight w:val="350"/>
          <w:jc w:val="center"/>
        </w:trPr>
        <w:tc>
          <w:tcPr>
            <w:tcW w:w="360"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viudez y orfandad</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3,973</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409</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4,382</w:t>
            </w:r>
          </w:p>
        </w:tc>
      </w:tr>
      <w:tr w:rsidR="000A113D" w:rsidRPr="00566194" w:rsidTr="00DB3C57">
        <w:trPr>
          <w:trHeight w:val="269"/>
          <w:jc w:val="center"/>
        </w:trPr>
        <w:tc>
          <w:tcPr>
            <w:tcW w:w="360"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esp. A favor de padres</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888</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494</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1,382</w:t>
            </w:r>
          </w:p>
        </w:tc>
      </w:tr>
      <w:tr w:rsidR="000A113D" w:rsidRPr="00566194" w:rsidTr="00DB3C57">
        <w:trPr>
          <w:trHeight w:val="300"/>
          <w:jc w:val="center"/>
        </w:trPr>
        <w:tc>
          <w:tcPr>
            <w:tcW w:w="360"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especial</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4</w:t>
            </w:r>
          </w:p>
        </w:tc>
      </w:tr>
      <w:tr w:rsidR="000A113D" w:rsidRPr="00566194" w:rsidTr="00DB3C57">
        <w:trPr>
          <w:trHeight w:val="100"/>
          <w:jc w:val="center"/>
        </w:trPr>
        <w:tc>
          <w:tcPr>
            <w:tcW w:w="360" w:type="pct"/>
            <w:tcBorders>
              <w:top w:val="nil"/>
              <w:left w:val="single" w:sz="8" w:space="0" w:color="auto"/>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0"/>
                <w:szCs w:val="18"/>
                <w:lang w:val="es-ES" w:eastAsia="es-ES"/>
              </w:rPr>
            </w:pP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0"/>
                <w:lang w:val="es-ES" w:eastAsia="es-ES"/>
              </w:rPr>
            </w:pP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0"/>
                <w:lang w:val="es-ES" w:eastAsia="es-ES"/>
              </w:rPr>
            </w:pP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0"/>
                <w:lang w:val="es-ES" w:eastAsia="es-ES"/>
              </w:rPr>
            </w:pPr>
          </w:p>
        </w:tc>
      </w:tr>
      <w:tr w:rsidR="000A113D" w:rsidRPr="00566194" w:rsidTr="00DB3C57">
        <w:trPr>
          <w:trHeight w:val="300"/>
          <w:jc w:val="center"/>
        </w:trPr>
        <w:tc>
          <w:tcPr>
            <w:tcW w:w="360" w:type="pct"/>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MONTEPÍO MILITAR</w:t>
            </w:r>
          </w:p>
        </w:tc>
        <w:tc>
          <w:tcPr>
            <w:tcW w:w="2386"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Total montepío militar</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389</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942</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1,331</w:t>
            </w:r>
          </w:p>
        </w:tc>
      </w:tr>
      <w:tr w:rsidR="000A113D" w:rsidRPr="00566194" w:rsidTr="00DB3C57">
        <w:trPr>
          <w:trHeight w:val="300"/>
          <w:jc w:val="center"/>
        </w:trPr>
        <w:tc>
          <w:tcPr>
            <w:tcW w:w="360"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Montepío militar</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231</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17</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248</w:t>
            </w:r>
          </w:p>
        </w:tc>
      </w:tr>
      <w:tr w:rsidR="000A113D" w:rsidRPr="00566194" w:rsidTr="00DB3C57">
        <w:trPr>
          <w:trHeight w:val="300"/>
          <w:jc w:val="center"/>
        </w:trPr>
        <w:tc>
          <w:tcPr>
            <w:tcW w:w="360"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Jubilación militar</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52</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271</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323</w:t>
            </w:r>
          </w:p>
        </w:tc>
      </w:tr>
      <w:tr w:rsidR="000A113D" w:rsidRPr="00566194" w:rsidTr="00DB3C57">
        <w:trPr>
          <w:trHeight w:val="376"/>
          <w:jc w:val="center"/>
        </w:trPr>
        <w:tc>
          <w:tcPr>
            <w:tcW w:w="360"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Discapacidad en el orden militar</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24</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613</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637</w:t>
            </w:r>
          </w:p>
        </w:tc>
      </w:tr>
      <w:tr w:rsidR="000A113D" w:rsidRPr="00566194" w:rsidTr="00DB3C57">
        <w:trPr>
          <w:trHeight w:val="300"/>
          <w:jc w:val="center"/>
        </w:trPr>
        <w:tc>
          <w:tcPr>
            <w:tcW w:w="360"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militar</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11</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35</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46</w:t>
            </w:r>
          </w:p>
        </w:tc>
      </w:tr>
      <w:tr w:rsidR="000A113D" w:rsidRPr="00566194" w:rsidTr="00DB3C57">
        <w:trPr>
          <w:trHeight w:val="300"/>
          <w:jc w:val="center"/>
        </w:trPr>
        <w:tc>
          <w:tcPr>
            <w:tcW w:w="360"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115D94" w:rsidP="000A113D">
            <w:pPr>
              <w:spacing w:after="0" w:line="240" w:lineRule="auto"/>
              <w:rPr>
                <w:rFonts w:ascii="Times New Roman" w:eastAsia="Times New Roman" w:hAnsi="Times New Roman" w:cs="Times New Roman"/>
                <w:color w:val="000000"/>
                <w:sz w:val="18"/>
                <w:szCs w:val="18"/>
                <w:lang w:val="es-ES" w:eastAsia="es-ES"/>
              </w:rPr>
            </w:pPr>
            <w:r>
              <w:rPr>
                <w:rFonts w:ascii="Times New Roman" w:eastAsia="Times New Roman" w:hAnsi="Times New Roman" w:cs="Times New Roman"/>
                <w:color w:val="000000"/>
                <w:sz w:val="18"/>
                <w:szCs w:val="18"/>
                <w:lang w:val="es-ES" w:eastAsia="es-ES"/>
              </w:rPr>
              <w:t xml:space="preserve">Montepío por </w:t>
            </w:r>
            <w:r w:rsidR="000A113D" w:rsidRPr="00566194">
              <w:rPr>
                <w:rFonts w:ascii="Times New Roman" w:eastAsia="Times New Roman" w:hAnsi="Times New Roman" w:cs="Times New Roman"/>
                <w:color w:val="000000"/>
                <w:sz w:val="18"/>
                <w:szCs w:val="18"/>
                <w:lang w:val="es-ES" w:eastAsia="es-ES"/>
              </w:rPr>
              <w:t>disc. Militar</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71</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6</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77</w:t>
            </w:r>
          </w:p>
        </w:tc>
      </w:tr>
      <w:tr w:rsidR="000A113D" w:rsidRPr="00566194" w:rsidTr="00DB3C57">
        <w:trPr>
          <w:trHeight w:val="77"/>
          <w:jc w:val="center"/>
        </w:trPr>
        <w:tc>
          <w:tcPr>
            <w:tcW w:w="360" w:type="pct"/>
            <w:tcBorders>
              <w:top w:val="nil"/>
              <w:left w:val="single" w:sz="8" w:space="0" w:color="auto"/>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2"/>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2"/>
                <w:szCs w:val="18"/>
                <w:lang w:val="es-ES" w:eastAsia="es-ES"/>
              </w:rPr>
            </w:pP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2"/>
                <w:szCs w:val="18"/>
                <w:lang w:val="es-ES" w:eastAsia="es-ES"/>
              </w:rPr>
            </w:pP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2"/>
                <w:szCs w:val="18"/>
                <w:lang w:val="es-ES" w:eastAsia="es-ES"/>
              </w:rPr>
            </w:pP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2"/>
                <w:szCs w:val="18"/>
                <w:lang w:val="es-ES" w:eastAsia="es-ES"/>
              </w:rPr>
            </w:pPr>
          </w:p>
        </w:tc>
      </w:tr>
      <w:tr w:rsidR="000A113D" w:rsidRPr="00566194" w:rsidTr="00DB3C57">
        <w:trPr>
          <w:trHeight w:val="300"/>
          <w:jc w:val="center"/>
        </w:trPr>
        <w:tc>
          <w:tcPr>
            <w:tcW w:w="360" w:type="pct"/>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OTRAS PENSIONES</w:t>
            </w: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Total Otras pensiones</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797</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1,262</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r w:rsidRPr="00566194">
              <w:rPr>
                <w:rFonts w:ascii="Times New Roman" w:eastAsia="Times New Roman" w:hAnsi="Times New Roman" w:cs="Times New Roman"/>
                <w:b/>
                <w:color w:val="000000"/>
                <w:lang w:val="es-ES" w:eastAsia="es-ES"/>
              </w:rPr>
              <w:t>2,059</w:t>
            </w:r>
          </w:p>
        </w:tc>
      </w:tr>
      <w:tr w:rsidR="000A113D" w:rsidRPr="00566194" w:rsidTr="00DB3C57">
        <w:trPr>
          <w:trHeight w:val="300"/>
          <w:jc w:val="center"/>
        </w:trPr>
        <w:tc>
          <w:tcPr>
            <w:tcW w:w="360"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Jubilaciones de Guatel</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341</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1,175</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1,516</w:t>
            </w:r>
          </w:p>
        </w:tc>
      </w:tr>
      <w:tr w:rsidR="000A113D" w:rsidRPr="00566194" w:rsidTr="00DB3C57">
        <w:trPr>
          <w:trHeight w:val="300"/>
          <w:jc w:val="center"/>
        </w:trPr>
        <w:tc>
          <w:tcPr>
            <w:tcW w:w="360"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Invalidez de Guatel</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27</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28</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55</w:t>
            </w:r>
          </w:p>
        </w:tc>
      </w:tr>
      <w:tr w:rsidR="000A113D" w:rsidRPr="00566194" w:rsidTr="00DB3C57">
        <w:trPr>
          <w:trHeight w:val="300"/>
          <w:jc w:val="center"/>
        </w:trPr>
        <w:tc>
          <w:tcPr>
            <w:tcW w:w="360"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Montepío de Guatel</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379</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11</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390</w:t>
            </w:r>
          </w:p>
        </w:tc>
      </w:tr>
      <w:tr w:rsidR="000A113D" w:rsidRPr="00566194" w:rsidTr="00DB3C57">
        <w:trPr>
          <w:trHeight w:val="300"/>
          <w:jc w:val="center"/>
        </w:trPr>
        <w:tc>
          <w:tcPr>
            <w:tcW w:w="360"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A favor de padres Guatel</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7</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2</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9</w:t>
            </w:r>
          </w:p>
        </w:tc>
      </w:tr>
      <w:tr w:rsidR="000A113D" w:rsidRPr="00566194" w:rsidTr="00DB3C57">
        <w:trPr>
          <w:trHeight w:val="300"/>
          <w:jc w:val="center"/>
        </w:trPr>
        <w:tc>
          <w:tcPr>
            <w:tcW w:w="360"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Orfandad Guatel</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6</w:t>
            </w:r>
          </w:p>
        </w:tc>
      </w:tr>
      <w:tr w:rsidR="000A113D" w:rsidRPr="00566194" w:rsidTr="00DB3C57">
        <w:trPr>
          <w:trHeight w:val="300"/>
          <w:jc w:val="center"/>
        </w:trPr>
        <w:tc>
          <w:tcPr>
            <w:tcW w:w="360"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Jubilación Banvi</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8</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40</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48</w:t>
            </w:r>
          </w:p>
        </w:tc>
      </w:tr>
      <w:tr w:rsidR="000A113D" w:rsidRPr="00566194" w:rsidTr="00DB3C57">
        <w:trPr>
          <w:trHeight w:val="300"/>
          <w:jc w:val="center"/>
        </w:trPr>
        <w:tc>
          <w:tcPr>
            <w:tcW w:w="360"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Montepío Banvi</w:t>
            </w:r>
          </w:p>
        </w:tc>
        <w:tc>
          <w:tcPr>
            <w:tcW w:w="81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32</w:t>
            </w:r>
          </w:p>
        </w:tc>
        <w:tc>
          <w:tcPr>
            <w:tcW w:w="721"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w:t>
            </w:r>
          </w:p>
        </w:tc>
        <w:tc>
          <w:tcPr>
            <w:tcW w:w="720" w:type="pct"/>
            <w:tcBorders>
              <w:top w:val="nil"/>
              <w:left w:val="nil"/>
              <w:bottom w:val="single" w:sz="4"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32</w:t>
            </w:r>
          </w:p>
        </w:tc>
      </w:tr>
      <w:tr w:rsidR="000A113D" w:rsidRPr="00566194" w:rsidTr="00DB3C57">
        <w:trPr>
          <w:trHeight w:val="315"/>
          <w:jc w:val="center"/>
        </w:trPr>
        <w:tc>
          <w:tcPr>
            <w:tcW w:w="360"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2386" w:type="pct"/>
            <w:tcBorders>
              <w:top w:val="nil"/>
              <w:left w:val="nil"/>
              <w:bottom w:val="single" w:sz="8"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Invalidez Banvi</w:t>
            </w:r>
          </w:p>
        </w:tc>
        <w:tc>
          <w:tcPr>
            <w:tcW w:w="812" w:type="pct"/>
            <w:tcBorders>
              <w:top w:val="nil"/>
              <w:left w:val="nil"/>
              <w:bottom w:val="single" w:sz="8"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w:t>
            </w:r>
          </w:p>
        </w:tc>
        <w:tc>
          <w:tcPr>
            <w:tcW w:w="721" w:type="pct"/>
            <w:tcBorders>
              <w:top w:val="nil"/>
              <w:left w:val="nil"/>
              <w:bottom w:val="single" w:sz="8"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w:t>
            </w:r>
          </w:p>
        </w:tc>
        <w:tc>
          <w:tcPr>
            <w:tcW w:w="720" w:type="pct"/>
            <w:tcBorders>
              <w:top w:val="nil"/>
              <w:left w:val="nil"/>
              <w:bottom w:val="single" w:sz="8" w:space="0" w:color="auto"/>
              <w:right w:val="single" w:sz="8" w:space="0" w:color="auto"/>
            </w:tcBorders>
            <w:shd w:val="clear" w:color="auto" w:fill="auto"/>
            <w:noWrap/>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3</w:t>
            </w:r>
          </w:p>
        </w:tc>
      </w:tr>
    </w:tbl>
    <w:p w:rsidR="000A113D" w:rsidRPr="00115D94" w:rsidRDefault="000A113D" w:rsidP="00115D94">
      <w:pPr>
        <w:spacing w:after="0" w:line="240" w:lineRule="auto"/>
        <w:ind w:left="284" w:firstLine="424"/>
        <w:jc w:val="both"/>
        <w:rPr>
          <w:rFonts w:ascii="Times New Roman" w:hAnsi="Times New Roman" w:cs="Times New Roman"/>
          <w:sz w:val="16"/>
          <w:szCs w:val="24"/>
        </w:rPr>
      </w:pPr>
      <w:r w:rsidRPr="00115D94">
        <w:rPr>
          <w:rFonts w:ascii="Times New Roman" w:hAnsi="Times New Roman" w:cs="Times New Roman"/>
          <w:sz w:val="16"/>
          <w:szCs w:val="24"/>
        </w:rPr>
        <w:t>Fuente: Elaboración DEF con datos de la nómina de pensionados.</w:t>
      </w:r>
    </w:p>
    <w:p w:rsidR="000A113D" w:rsidRPr="00566194" w:rsidRDefault="000A113D" w:rsidP="000A113D">
      <w:pPr>
        <w:spacing w:line="240" w:lineRule="auto"/>
        <w:ind w:left="284"/>
        <w:jc w:val="both"/>
        <w:rPr>
          <w:rFonts w:ascii="Times New Roman" w:eastAsia="MS Mincho" w:hAnsi="Times New Roman" w:cs="Times New Roman"/>
          <w:sz w:val="24"/>
          <w:szCs w:val="24"/>
          <w:lang w:eastAsia="ja-JP"/>
        </w:rPr>
      </w:pPr>
    </w:p>
    <w:p w:rsidR="000A113D" w:rsidRPr="00566194" w:rsidRDefault="000A113D" w:rsidP="000A113D">
      <w:pPr>
        <w:spacing w:line="240" w:lineRule="auto"/>
        <w:ind w:left="284"/>
        <w:jc w:val="both"/>
        <w:rPr>
          <w:rFonts w:ascii="Times New Roman" w:eastAsia="MS Mincho" w:hAnsi="Times New Roman" w:cs="Times New Roman"/>
          <w:b/>
          <w:bCs/>
          <w:sz w:val="24"/>
          <w:szCs w:val="24"/>
          <w:lang w:val="es-ES" w:eastAsia="ja-JP"/>
        </w:rPr>
      </w:pPr>
    </w:p>
    <w:p w:rsidR="000A113D" w:rsidRPr="00566194" w:rsidRDefault="000A113D" w:rsidP="000A113D">
      <w:pPr>
        <w:rPr>
          <w:rFonts w:ascii="Times New Roman" w:eastAsia="MS Mincho" w:hAnsi="Times New Roman" w:cs="Times New Roman"/>
          <w:b/>
          <w:bCs/>
          <w:sz w:val="24"/>
          <w:szCs w:val="24"/>
          <w:lang w:val="es-ES" w:eastAsia="ja-JP"/>
        </w:rPr>
      </w:pPr>
      <w:r w:rsidRPr="00566194">
        <w:rPr>
          <w:rFonts w:ascii="Times New Roman" w:eastAsia="MS Mincho" w:hAnsi="Times New Roman" w:cs="Times New Roman"/>
          <w:b/>
          <w:bCs/>
          <w:sz w:val="24"/>
          <w:szCs w:val="24"/>
          <w:lang w:val="es-ES" w:eastAsia="ja-JP"/>
        </w:rPr>
        <w:br w:type="page"/>
      </w:r>
    </w:p>
    <w:p w:rsidR="00DA2C98" w:rsidRDefault="00DA2C98" w:rsidP="00DA2C98">
      <w:pPr>
        <w:spacing w:after="0" w:line="240" w:lineRule="auto"/>
        <w:ind w:left="284"/>
        <w:jc w:val="center"/>
        <w:rPr>
          <w:rFonts w:ascii="Times New Roman" w:eastAsia="MS Mincho" w:hAnsi="Times New Roman" w:cs="Times New Roman"/>
          <w:b/>
          <w:bCs/>
          <w:sz w:val="24"/>
          <w:szCs w:val="24"/>
          <w:lang w:val="es-ES" w:eastAsia="ja-JP"/>
        </w:rPr>
      </w:pPr>
      <w:r>
        <w:rPr>
          <w:rFonts w:ascii="Times New Roman" w:eastAsia="MS Mincho" w:hAnsi="Times New Roman" w:cs="Times New Roman"/>
          <w:b/>
          <w:bCs/>
          <w:sz w:val="24"/>
          <w:szCs w:val="24"/>
          <w:lang w:val="es-ES" w:eastAsia="ja-JP"/>
        </w:rPr>
        <w:t>Gráfica 23</w:t>
      </w:r>
    </w:p>
    <w:p w:rsidR="000A113D" w:rsidRPr="00566194" w:rsidRDefault="000A113D" w:rsidP="000A113D">
      <w:pPr>
        <w:spacing w:line="240" w:lineRule="auto"/>
        <w:ind w:left="284"/>
        <w:jc w:val="both"/>
        <w:rPr>
          <w:rFonts w:ascii="Times New Roman" w:eastAsia="MS Mincho" w:hAnsi="Times New Roman" w:cs="Times New Roman"/>
          <w:sz w:val="24"/>
          <w:szCs w:val="24"/>
          <w:lang w:val="es-ES" w:eastAsia="ja-JP"/>
        </w:rPr>
      </w:pPr>
      <w:r w:rsidRPr="00566194">
        <w:rPr>
          <w:rFonts w:ascii="Times New Roman" w:eastAsia="MS Mincho" w:hAnsi="Times New Roman" w:cs="Times New Roman"/>
          <w:b/>
          <w:bCs/>
          <w:sz w:val="24"/>
          <w:szCs w:val="24"/>
          <w:lang w:val="es-ES" w:eastAsia="ja-JP"/>
        </w:rPr>
        <w:t>Distribución porcentual de los pensionados atendidos por el Estado, según régimen causante, año 2016</w:t>
      </w:r>
    </w:p>
    <w:p w:rsidR="000A113D" w:rsidRPr="00566194" w:rsidRDefault="000A113D" w:rsidP="000A113D">
      <w:pPr>
        <w:spacing w:after="0" w:line="240" w:lineRule="auto"/>
        <w:ind w:left="284"/>
        <w:jc w:val="both"/>
        <w:rPr>
          <w:rFonts w:ascii="Times New Roman" w:eastAsia="MS Mincho" w:hAnsi="Times New Roman" w:cs="Times New Roman"/>
          <w:sz w:val="24"/>
          <w:szCs w:val="24"/>
          <w:lang w:eastAsia="ja-JP"/>
        </w:rPr>
      </w:pPr>
      <w:r w:rsidRPr="00566194">
        <w:rPr>
          <w:rFonts w:ascii="Times New Roman" w:hAnsi="Times New Roman" w:cs="Times New Roman"/>
          <w:noProof/>
          <w:lang w:eastAsia="es-GT"/>
        </w:rPr>
        <w:drawing>
          <wp:inline distT="0" distB="0" distL="0" distR="0" wp14:anchorId="54789FF0" wp14:editId="329C8A83">
            <wp:extent cx="5104738" cy="1868557"/>
            <wp:effectExtent l="0" t="0" r="127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A113D" w:rsidRDefault="000A113D" w:rsidP="00115D94">
      <w:pPr>
        <w:spacing w:after="0" w:line="240" w:lineRule="auto"/>
        <w:ind w:left="284"/>
        <w:jc w:val="both"/>
        <w:rPr>
          <w:rFonts w:ascii="Times New Roman" w:hAnsi="Times New Roman" w:cs="Times New Roman"/>
          <w:sz w:val="16"/>
          <w:szCs w:val="24"/>
        </w:rPr>
      </w:pPr>
      <w:r w:rsidRPr="00115D94">
        <w:rPr>
          <w:rFonts w:ascii="Times New Roman" w:hAnsi="Times New Roman" w:cs="Times New Roman"/>
          <w:sz w:val="16"/>
          <w:szCs w:val="24"/>
        </w:rPr>
        <w:t>Fuente: Elaboración DEF con dat</w:t>
      </w:r>
      <w:r w:rsidR="00115D94">
        <w:rPr>
          <w:rFonts w:ascii="Times New Roman" w:hAnsi="Times New Roman" w:cs="Times New Roman"/>
          <w:sz w:val="16"/>
          <w:szCs w:val="24"/>
        </w:rPr>
        <w:t>os de la nómina de pensionados.</w:t>
      </w:r>
    </w:p>
    <w:p w:rsidR="00115D94" w:rsidRPr="00115D94" w:rsidRDefault="00115D94" w:rsidP="00115D94">
      <w:pPr>
        <w:spacing w:after="0" w:line="240" w:lineRule="auto"/>
        <w:ind w:left="284"/>
        <w:jc w:val="both"/>
        <w:rPr>
          <w:rFonts w:ascii="Times New Roman" w:hAnsi="Times New Roman" w:cs="Times New Roman"/>
          <w:sz w:val="20"/>
          <w:szCs w:val="24"/>
        </w:rPr>
      </w:pPr>
    </w:p>
    <w:p w:rsidR="00DA2C98" w:rsidRDefault="00DA2C98" w:rsidP="00DA2C98">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Cuadro 8</w:t>
      </w:r>
    </w:p>
    <w:p w:rsidR="000A113D" w:rsidRPr="00566194" w:rsidRDefault="000A113D" w:rsidP="00DA2C98">
      <w:pPr>
        <w:spacing w:after="0" w:line="240" w:lineRule="auto"/>
        <w:ind w:left="284"/>
        <w:jc w:val="center"/>
        <w:rPr>
          <w:rFonts w:ascii="Times New Roman" w:hAnsi="Times New Roman" w:cs="Times New Roman"/>
          <w:b/>
          <w:sz w:val="24"/>
          <w:szCs w:val="24"/>
        </w:rPr>
      </w:pPr>
      <w:r w:rsidRPr="00566194">
        <w:rPr>
          <w:rFonts w:ascii="Times New Roman" w:hAnsi="Times New Roman" w:cs="Times New Roman"/>
          <w:b/>
          <w:sz w:val="24"/>
          <w:szCs w:val="24"/>
        </w:rPr>
        <w:t>Monto total por modalidad de pensión</w:t>
      </w:r>
    </w:p>
    <w:p w:rsidR="000A113D" w:rsidRPr="00566194" w:rsidRDefault="000A113D" w:rsidP="000A113D">
      <w:pPr>
        <w:tabs>
          <w:tab w:val="left" w:pos="0"/>
        </w:tabs>
        <w:spacing w:after="0" w:line="240" w:lineRule="auto"/>
        <w:jc w:val="both"/>
        <w:rPr>
          <w:rFonts w:ascii="Times New Roman" w:hAnsi="Times New Roman" w:cs="Times New Roman"/>
          <w:sz w:val="24"/>
          <w:szCs w:val="24"/>
        </w:rPr>
      </w:pPr>
    </w:p>
    <w:tbl>
      <w:tblPr>
        <w:tblW w:w="4983" w:type="pct"/>
        <w:tblLayout w:type="fixed"/>
        <w:tblCellMar>
          <w:left w:w="70" w:type="dxa"/>
          <w:right w:w="70" w:type="dxa"/>
        </w:tblCellMar>
        <w:tblLook w:val="04A0" w:firstRow="1" w:lastRow="0" w:firstColumn="1" w:lastColumn="0" w:noHBand="0" w:noVBand="1"/>
      </w:tblPr>
      <w:tblGrid>
        <w:gridCol w:w="350"/>
        <w:gridCol w:w="2723"/>
        <w:gridCol w:w="1322"/>
        <w:gridCol w:w="1650"/>
        <w:gridCol w:w="1653"/>
        <w:gridCol w:w="1249"/>
      </w:tblGrid>
      <w:tr w:rsidR="00115D94" w:rsidRPr="00566194" w:rsidTr="00DA2C98">
        <w:trPr>
          <w:cantSplit/>
          <w:trHeight w:val="20"/>
        </w:trPr>
        <w:tc>
          <w:tcPr>
            <w:tcW w:w="195" w:type="pct"/>
            <w:tcBorders>
              <w:top w:val="single" w:sz="8" w:space="0" w:color="auto"/>
              <w:left w:val="single" w:sz="8" w:space="0" w:color="auto"/>
              <w:bottom w:val="single" w:sz="4" w:space="0" w:color="000000"/>
              <w:right w:val="single" w:sz="4" w:space="0" w:color="auto"/>
            </w:tcBorders>
            <w:shd w:val="clear" w:color="auto" w:fill="auto"/>
            <w:noWrap/>
            <w:textDirection w:val="btLr"/>
            <w:vAlign w:val="center"/>
          </w:tcPr>
          <w:p w:rsidR="00115D94" w:rsidRPr="00566194" w:rsidRDefault="00115D94" w:rsidP="000A113D">
            <w:pPr>
              <w:spacing w:after="0" w:line="240" w:lineRule="auto"/>
              <w:jc w:val="center"/>
              <w:rPr>
                <w:rFonts w:ascii="Times New Roman" w:eastAsia="Times New Roman" w:hAnsi="Times New Roman" w:cs="Times New Roman"/>
                <w:b/>
                <w:color w:val="000000"/>
                <w:lang w:val="es-ES" w:eastAsia="es-ES"/>
              </w:rPr>
            </w:pPr>
          </w:p>
        </w:tc>
        <w:tc>
          <w:tcPr>
            <w:tcW w:w="1522" w:type="pct"/>
            <w:tcBorders>
              <w:top w:val="single" w:sz="8" w:space="0" w:color="auto"/>
              <w:left w:val="nil"/>
              <w:bottom w:val="single" w:sz="4" w:space="0" w:color="auto"/>
              <w:right w:val="single" w:sz="4" w:space="0" w:color="auto"/>
            </w:tcBorders>
            <w:shd w:val="clear" w:color="auto" w:fill="auto"/>
            <w:noWrap/>
            <w:vAlign w:val="center"/>
          </w:tcPr>
          <w:p w:rsidR="00115D94" w:rsidRPr="00566194" w:rsidRDefault="00115D94" w:rsidP="000A113D">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Tipo de pensión</w:t>
            </w:r>
          </w:p>
        </w:tc>
        <w:tc>
          <w:tcPr>
            <w:tcW w:w="739" w:type="pct"/>
            <w:tcBorders>
              <w:top w:val="single" w:sz="8" w:space="0" w:color="auto"/>
              <w:left w:val="nil"/>
              <w:bottom w:val="single" w:sz="4" w:space="0" w:color="auto"/>
              <w:right w:val="nil"/>
            </w:tcBorders>
            <w:vAlign w:val="bottom"/>
          </w:tcPr>
          <w:p w:rsidR="00115D94" w:rsidRPr="00566194" w:rsidRDefault="00115D94" w:rsidP="00115D94">
            <w:pPr>
              <w:spacing w:after="0" w:line="240" w:lineRule="auto"/>
              <w:jc w:val="center"/>
              <w:rPr>
                <w:rFonts w:ascii="Times New Roman" w:eastAsia="Times New Roman" w:hAnsi="Times New Roman" w:cs="Times New Roman"/>
                <w:b/>
                <w:color w:val="000000"/>
                <w:sz w:val="18"/>
                <w:szCs w:val="18"/>
                <w:lang w:val="es-ES" w:eastAsia="es-ES"/>
              </w:rPr>
            </w:pPr>
            <w:r>
              <w:rPr>
                <w:rFonts w:ascii="Times New Roman" w:eastAsia="Times New Roman" w:hAnsi="Times New Roman" w:cs="Times New Roman"/>
                <w:b/>
                <w:color w:val="000000"/>
                <w:sz w:val="18"/>
                <w:szCs w:val="18"/>
                <w:lang w:val="es-ES" w:eastAsia="es-ES"/>
              </w:rPr>
              <w:t>2013</w:t>
            </w:r>
          </w:p>
        </w:tc>
        <w:tc>
          <w:tcPr>
            <w:tcW w:w="922" w:type="pct"/>
            <w:tcBorders>
              <w:top w:val="single" w:sz="8" w:space="0" w:color="auto"/>
              <w:left w:val="nil"/>
              <w:bottom w:val="single" w:sz="4" w:space="0" w:color="auto"/>
              <w:right w:val="nil"/>
            </w:tcBorders>
            <w:vAlign w:val="bottom"/>
          </w:tcPr>
          <w:p w:rsidR="00115D94" w:rsidRPr="00566194" w:rsidRDefault="00115D94" w:rsidP="00115D94">
            <w:pPr>
              <w:spacing w:after="0" w:line="240" w:lineRule="auto"/>
              <w:jc w:val="center"/>
              <w:rPr>
                <w:rFonts w:ascii="Times New Roman" w:eastAsia="Times New Roman" w:hAnsi="Times New Roman" w:cs="Times New Roman"/>
                <w:b/>
                <w:color w:val="000000"/>
                <w:sz w:val="18"/>
                <w:szCs w:val="18"/>
                <w:lang w:val="es-ES" w:eastAsia="es-ES"/>
              </w:rPr>
            </w:pPr>
            <w:r>
              <w:rPr>
                <w:rFonts w:ascii="Times New Roman" w:eastAsia="Times New Roman" w:hAnsi="Times New Roman" w:cs="Times New Roman"/>
                <w:b/>
                <w:color w:val="000000"/>
                <w:sz w:val="18"/>
                <w:szCs w:val="18"/>
                <w:lang w:val="es-ES" w:eastAsia="es-ES"/>
              </w:rPr>
              <w:t>2014</w:t>
            </w:r>
          </w:p>
        </w:tc>
        <w:tc>
          <w:tcPr>
            <w:tcW w:w="924" w:type="pct"/>
            <w:tcBorders>
              <w:top w:val="single" w:sz="8" w:space="0" w:color="auto"/>
              <w:left w:val="nil"/>
              <w:bottom w:val="single" w:sz="4" w:space="0" w:color="auto"/>
              <w:right w:val="nil"/>
            </w:tcBorders>
            <w:vAlign w:val="bottom"/>
          </w:tcPr>
          <w:p w:rsidR="00115D94" w:rsidRPr="00566194" w:rsidRDefault="00115D94" w:rsidP="00115D94">
            <w:pPr>
              <w:spacing w:after="0" w:line="240" w:lineRule="auto"/>
              <w:jc w:val="center"/>
              <w:rPr>
                <w:rFonts w:ascii="Times New Roman" w:eastAsia="Times New Roman" w:hAnsi="Times New Roman" w:cs="Times New Roman"/>
                <w:b/>
                <w:color w:val="000000"/>
                <w:sz w:val="18"/>
                <w:szCs w:val="18"/>
                <w:lang w:val="es-ES" w:eastAsia="es-ES"/>
              </w:rPr>
            </w:pPr>
            <w:r>
              <w:rPr>
                <w:rFonts w:ascii="Times New Roman" w:eastAsia="Times New Roman" w:hAnsi="Times New Roman" w:cs="Times New Roman"/>
                <w:b/>
                <w:color w:val="000000"/>
                <w:sz w:val="18"/>
                <w:szCs w:val="18"/>
                <w:lang w:val="es-ES" w:eastAsia="es-ES"/>
              </w:rPr>
              <w:t>2015</w:t>
            </w:r>
          </w:p>
        </w:tc>
        <w:tc>
          <w:tcPr>
            <w:tcW w:w="698" w:type="pct"/>
            <w:tcBorders>
              <w:top w:val="single" w:sz="8" w:space="0" w:color="auto"/>
              <w:left w:val="nil"/>
              <w:bottom w:val="single" w:sz="4" w:space="0" w:color="auto"/>
              <w:right w:val="single" w:sz="8" w:space="0" w:color="auto"/>
            </w:tcBorders>
            <w:shd w:val="clear" w:color="auto" w:fill="auto"/>
            <w:noWrap/>
            <w:vAlign w:val="bottom"/>
          </w:tcPr>
          <w:p w:rsidR="00115D94" w:rsidRPr="00566194" w:rsidRDefault="00115D94" w:rsidP="00115D94">
            <w:pPr>
              <w:spacing w:after="0" w:line="240" w:lineRule="auto"/>
              <w:jc w:val="center"/>
              <w:rPr>
                <w:rFonts w:ascii="Times New Roman" w:eastAsia="Times New Roman" w:hAnsi="Times New Roman" w:cs="Times New Roman"/>
                <w:b/>
                <w:color w:val="000000"/>
                <w:sz w:val="18"/>
                <w:szCs w:val="18"/>
                <w:lang w:val="es-ES" w:eastAsia="es-ES"/>
              </w:rPr>
            </w:pPr>
            <w:r>
              <w:rPr>
                <w:rFonts w:ascii="Times New Roman" w:eastAsia="Times New Roman" w:hAnsi="Times New Roman" w:cs="Times New Roman"/>
                <w:b/>
                <w:color w:val="000000"/>
                <w:sz w:val="18"/>
                <w:szCs w:val="18"/>
                <w:lang w:val="es-ES" w:eastAsia="es-ES"/>
              </w:rPr>
              <w:t>2016</w:t>
            </w:r>
          </w:p>
        </w:tc>
      </w:tr>
      <w:tr w:rsidR="000A113D" w:rsidRPr="00566194" w:rsidTr="00DA2C98">
        <w:trPr>
          <w:cantSplit/>
          <w:trHeight w:val="20"/>
        </w:trPr>
        <w:tc>
          <w:tcPr>
            <w:tcW w:w="195" w:type="pct"/>
            <w:tcBorders>
              <w:top w:val="single" w:sz="8" w:space="0" w:color="auto"/>
              <w:left w:val="single" w:sz="8" w:space="0" w:color="auto"/>
              <w:bottom w:val="single" w:sz="4" w:space="0" w:color="000000"/>
              <w:right w:val="single" w:sz="4" w:space="0" w:color="auto"/>
            </w:tcBorders>
            <w:shd w:val="clear" w:color="auto" w:fill="auto"/>
            <w:noWrap/>
            <w:textDirection w:val="btLr"/>
            <w:vAlign w:val="center"/>
          </w:tcPr>
          <w:p w:rsidR="000A113D" w:rsidRPr="00566194" w:rsidRDefault="000A113D" w:rsidP="000A113D">
            <w:pPr>
              <w:spacing w:after="0" w:line="240" w:lineRule="auto"/>
              <w:jc w:val="center"/>
              <w:rPr>
                <w:rFonts w:ascii="Times New Roman" w:eastAsia="Times New Roman" w:hAnsi="Times New Roman" w:cs="Times New Roman"/>
                <w:b/>
                <w:color w:val="000000"/>
                <w:lang w:val="es-ES" w:eastAsia="es-ES"/>
              </w:rPr>
            </w:pPr>
          </w:p>
        </w:tc>
        <w:tc>
          <w:tcPr>
            <w:tcW w:w="1522" w:type="pct"/>
            <w:tcBorders>
              <w:top w:val="single" w:sz="8" w:space="0" w:color="auto"/>
              <w:left w:val="nil"/>
              <w:bottom w:val="single" w:sz="4" w:space="0" w:color="auto"/>
              <w:right w:val="single" w:sz="4" w:space="0" w:color="auto"/>
            </w:tcBorders>
            <w:shd w:val="clear" w:color="auto" w:fill="auto"/>
            <w:noWrap/>
            <w:vAlign w:val="center"/>
          </w:tcPr>
          <w:p w:rsidR="000A113D" w:rsidRPr="00566194" w:rsidRDefault="000A113D" w:rsidP="000A113D">
            <w:pPr>
              <w:spacing w:after="0" w:line="240" w:lineRule="auto"/>
              <w:jc w:val="center"/>
              <w:rPr>
                <w:rFonts w:ascii="Times New Roman" w:hAnsi="Times New Roman" w:cs="Times New Roman"/>
                <w:b/>
                <w:color w:val="000000"/>
                <w:sz w:val="18"/>
                <w:szCs w:val="18"/>
              </w:rPr>
            </w:pPr>
            <w:r w:rsidRPr="00566194">
              <w:rPr>
                <w:rFonts w:ascii="Times New Roman" w:hAnsi="Times New Roman" w:cs="Times New Roman"/>
                <w:b/>
                <w:color w:val="000000"/>
                <w:sz w:val="18"/>
                <w:szCs w:val="18"/>
              </w:rPr>
              <w:t>Total de pensionados</w:t>
            </w:r>
          </w:p>
        </w:tc>
        <w:tc>
          <w:tcPr>
            <w:tcW w:w="739"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 xml:space="preserve">                               3,426,222,336   </w:t>
            </w:r>
          </w:p>
        </w:tc>
        <w:tc>
          <w:tcPr>
            <w:tcW w:w="922"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 xml:space="preserve">                  3,607,164,795   </w:t>
            </w:r>
          </w:p>
        </w:tc>
        <w:tc>
          <w:tcPr>
            <w:tcW w:w="924"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 xml:space="preserve">             3,734,637,231   </w:t>
            </w:r>
          </w:p>
        </w:tc>
        <w:tc>
          <w:tcPr>
            <w:tcW w:w="698" w:type="pct"/>
            <w:tcBorders>
              <w:top w:val="single" w:sz="8" w:space="0" w:color="auto"/>
              <w:left w:val="nil"/>
              <w:bottom w:val="single" w:sz="4" w:space="0" w:color="auto"/>
              <w:right w:val="single" w:sz="8" w:space="0" w:color="auto"/>
            </w:tcBorders>
            <w:shd w:val="clear" w:color="auto" w:fill="auto"/>
            <w:noWrap/>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 xml:space="preserve">       4,172,627,722   </w:t>
            </w:r>
          </w:p>
        </w:tc>
      </w:tr>
      <w:tr w:rsidR="000A113D" w:rsidRPr="00566194" w:rsidTr="00DA2C98">
        <w:trPr>
          <w:cantSplit/>
          <w:trHeight w:val="20"/>
        </w:trPr>
        <w:tc>
          <w:tcPr>
            <w:tcW w:w="195" w:type="pct"/>
            <w:tcBorders>
              <w:top w:val="single" w:sz="8" w:space="0" w:color="auto"/>
              <w:left w:val="single" w:sz="8" w:space="0" w:color="auto"/>
              <w:bottom w:val="single" w:sz="4" w:space="0" w:color="000000"/>
              <w:right w:val="single" w:sz="4" w:space="0" w:color="auto"/>
            </w:tcBorders>
            <w:shd w:val="clear" w:color="auto" w:fill="auto"/>
            <w:noWrap/>
            <w:textDirection w:val="btLr"/>
            <w:vAlign w:val="center"/>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1522" w:type="pct"/>
            <w:tcBorders>
              <w:top w:val="single" w:sz="8" w:space="0" w:color="auto"/>
              <w:left w:val="nil"/>
              <w:bottom w:val="single" w:sz="4" w:space="0" w:color="auto"/>
              <w:right w:val="single" w:sz="4" w:space="0" w:color="auto"/>
            </w:tcBorders>
            <w:shd w:val="clear" w:color="auto" w:fill="auto"/>
            <w:noWrap/>
            <w:vAlign w:val="center"/>
          </w:tcPr>
          <w:p w:rsidR="000A113D" w:rsidRPr="00566194" w:rsidRDefault="000A113D" w:rsidP="000A113D">
            <w:pPr>
              <w:spacing w:after="0" w:line="240" w:lineRule="auto"/>
              <w:jc w:val="center"/>
              <w:rPr>
                <w:rFonts w:ascii="Times New Roman" w:hAnsi="Times New Roman" w:cs="Times New Roman"/>
                <w:b/>
                <w:color w:val="000000"/>
                <w:sz w:val="18"/>
                <w:szCs w:val="18"/>
              </w:rPr>
            </w:pPr>
          </w:p>
        </w:tc>
        <w:tc>
          <w:tcPr>
            <w:tcW w:w="739"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922"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924"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698" w:type="pct"/>
            <w:tcBorders>
              <w:top w:val="single" w:sz="8" w:space="0" w:color="auto"/>
              <w:left w:val="nil"/>
              <w:bottom w:val="single" w:sz="4" w:space="0" w:color="auto"/>
              <w:right w:val="single" w:sz="8" w:space="0" w:color="auto"/>
            </w:tcBorders>
            <w:shd w:val="clear" w:color="auto" w:fill="auto"/>
            <w:noWrap/>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r>
      <w:tr w:rsidR="000A113D" w:rsidRPr="00566194" w:rsidTr="00DA2C98">
        <w:trPr>
          <w:cantSplit/>
          <w:trHeight w:val="20"/>
        </w:trPr>
        <w:tc>
          <w:tcPr>
            <w:tcW w:w="195" w:type="pct"/>
            <w:vMerge w:val="restart"/>
            <w:tcBorders>
              <w:top w:val="single" w:sz="8" w:space="0" w:color="auto"/>
              <w:left w:val="single" w:sz="8" w:space="0" w:color="auto"/>
              <w:bottom w:val="single" w:sz="4" w:space="0" w:color="000000"/>
              <w:right w:val="single" w:sz="4" w:space="0" w:color="auto"/>
            </w:tcBorders>
            <w:shd w:val="clear" w:color="auto" w:fill="auto"/>
            <w:noWrap/>
            <w:textDirection w:val="btLr"/>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sz w:val="20"/>
                <w:lang w:val="es-ES" w:eastAsia="es-ES"/>
              </w:rPr>
            </w:pPr>
            <w:r w:rsidRPr="00566194">
              <w:rPr>
                <w:rFonts w:ascii="Times New Roman" w:eastAsia="Times New Roman" w:hAnsi="Times New Roman" w:cs="Times New Roman"/>
                <w:b/>
                <w:color w:val="000000"/>
                <w:sz w:val="20"/>
                <w:lang w:val="es-ES" w:eastAsia="es-ES"/>
              </w:rPr>
              <w:t>PENSION CIVIL DEL ESTADO</w:t>
            </w:r>
          </w:p>
        </w:tc>
        <w:tc>
          <w:tcPr>
            <w:tcW w:w="1522" w:type="pct"/>
            <w:tcBorders>
              <w:top w:val="single" w:sz="8" w:space="0" w:color="auto"/>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jc w:val="center"/>
              <w:rPr>
                <w:rFonts w:ascii="Times New Roman" w:hAnsi="Times New Roman" w:cs="Times New Roman"/>
                <w:b/>
                <w:color w:val="000000"/>
                <w:sz w:val="18"/>
                <w:szCs w:val="18"/>
              </w:rPr>
            </w:pPr>
            <w:r w:rsidRPr="00566194">
              <w:rPr>
                <w:rFonts w:ascii="Times New Roman" w:hAnsi="Times New Roman" w:cs="Times New Roman"/>
                <w:b/>
                <w:color w:val="000000"/>
                <w:sz w:val="18"/>
                <w:szCs w:val="18"/>
              </w:rPr>
              <w:t>Total pensionados montepío Estado</w:t>
            </w:r>
          </w:p>
        </w:tc>
        <w:tc>
          <w:tcPr>
            <w:tcW w:w="739"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3,305,165,325</w:t>
            </w:r>
          </w:p>
        </w:tc>
        <w:tc>
          <w:tcPr>
            <w:tcW w:w="922"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3,503,812,900</w:t>
            </w:r>
          </w:p>
        </w:tc>
        <w:tc>
          <w:tcPr>
            <w:tcW w:w="924" w:type="pct"/>
            <w:tcBorders>
              <w:top w:val="single" w:sz="8" w:space="0" w:color="auto"/>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3,631,086,854</w:t>
            </w:r>
          </w:p>
        </w:tc>
        <w:tc>
          <w:tcPr>
            <w:tcW w:w="698" w:type="pct"/>
            <w:tcBorders>
              <w:top w:val="single" w:sz="8" w:space="0" w:color="auto"/>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4,072,498,950</w:t>
            </w:r>
          </w:p>
        </w:tc>
      </w:tr>
      <w:tr w:rsidR="000A113D" w:rsidRPr="00566194" w:rsidTr="00DA2C98">
        <w:trPr>
          <w:cantSplit/>
          <w:trHeight w:val="20"/>
        </w:trPr>
        <w:tc>
          <w:tcPr>
            <w:tcW w:w="195"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por invalidez</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110,020,818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112,119,195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113,937,896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126,264,623   </w:t>
            </w:r>
          </w:p>
        </w:tc>
      </w:tr>
      <w:tr w:rsidR="000A113D" w:rsidRPr="00566194" w:rsidTr="00DA2C98">
        <w:trPr>
          <w:cantSplit/>
          <w:trHeight w:val="20"/>
        </w:trPr>
        <w:tc>
          <w:tcPr>
            <w:tcW w:w="195"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por jubilación</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2,780,969,565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2,950,056,801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3,050,855,774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3,389,006,768   </w:t>
            </w:r>
          </w:p>
        </w:tc>
      </w:tr>
      <w:tr w:rsidR="000A113D" w:rsidRPr="00566194" w:rsidTr="00DA2C98">
        <w:trPr>
          <w:cantSplit/>
          <w:trHeight w:val="20"/>
        </w:trPr>
        <w:tc>
          <w:tcPr>
            <w:tcW w:w="195"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por orfandad</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center"/>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40,198,385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42,485,534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44,618,478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49,424,955   </w:t>
            </w:r>
          </w:p>
        </w:tc>
      </w:tr>
      <w:tr w:rsidR="000A113D" w:rsidRPr="00566194" w:rsidTr="00DA2C98">
        <w:trPr>
          <w:cantSplit/>
          <w:trHeight w:val="20"/>
        </w:trPr>
        <w:tc>
          <w:tcPr>
            <w:tcW w:w="195"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por viudez</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238,012,241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253,288,339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266,578,030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326,334,215   </w:t>
            </w:r>
          </w:p>
        </w:tc>
      </w:tr>
      <w:tr w:rsidR="000A113D" w:rsidRPr="00566194" w:rsidTr="00DA2C98">
        <w:trPr>
          <w:cantSplit/>
          <w:trHeight w:val="20"/>
        </w:trPr>
        <w:tc>
          <w:tcPr>
            <w:tcW w:w="195"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jc w:val="center"/>
              <w:rPr>
                <w:rFonts w:ascii="Times New Roman" w:eastAsia="Times New Roman" w:hAnsi="Times New Roman" w:cs="Times New Roman"/>
                <w:color w:val="000000"/>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civil viudez y orfandad</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109,861,606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118,739,119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125,244,165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146,642,432   </w:t>
            </w:r>
          </w:p>
        </w:tc>
      </w:tr>
      <w:tr w:rsidR="000A113D" w:rsidRPr="00566194" w:rsidTr="00DA2C98">
        <w:trPr>
          <w:cantSplit/>
          <w:trHeight w:val="20"/>
        </w:trPr>
        <w:tc>
          <w:tcPr>
            <w:tcW w:w="195"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esp. A favor de padres</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25,825,522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26,757,144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29,530,266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34,390,274   </w:t>
            </w:r>
          </w:p>
        </w:tc>
      </w:tr>
      <w:tr w:rsidR="000A113D" w:rsidRPr="00566194" w:rsidTr="00DA2C98">
        <w:trPr>
          <w:cantSplit/>
          <w:trHeight w:val="20"/>
        </w:trPr>
        <w:tc>
          <w:tcPr>
            <w:tcW w:w="195" w:type="pct"/>
            <w:vMerge/>
            <w:tcBorders>
              <w:top w:val="single" w:sz="8" w:space="0" w:color="auto"/>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especial</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277,188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366,768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322,244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435,684   </w:t>
            </w:r>
          </w:p>
        </w:tc>
      </w:tr>
      <w:tr w:rsidR="000A113D" w:rsidRPr="00566194" w:rsidTr="00DA2C98">
        <w:trPr>
          <w:cantSplit/>
          <w:trHeight w:val="20"/>
        </w:trPr>
        <w:tc>
          <w:tcPr>
            <w:tcW w:w="195" w:type="pct"/>
            <w:tcBorders>
              <w:top w:val="nil"/>
              <w:left w:val="single" w:sz="8" w:space="0" w:color="auto"/>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r>
      <w:tr w:rsidR="000A113D" w:rsidRPr="00566194" w:rsidTr="00DA2C98">
        <w:trPr>
          <w:cantSplit/>
          <w:trHeight w:val="20"/>
        </w:trPr>
        <w:tc>
          <w:tcPr>
            <w:tcW w:w="195" w:type="pct"/>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rsidR="000A113D" w:rsidRPr="00566194" w:rsidRDefault="000A113D" w:rsidP="000A113D">
            <w:pPr>
              <w:spacing w:after="0" w:line="240" w:lineRule="auto"/>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MONTEPÍO MILITAR</w:t>
            </w:r>
          </w:p>
        </w:tc>
        <w:tc>
          <w:tcPr>
            <w:tcW w:w="1522" w:type="pct"/>
            <w:tcBorders>
              <w:top w:val="nil"/>
              <w:left w:val="nil"/>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Total montepío militar</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 xml:space="preserve">43,196,407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 xml:space="preserve">41,651,102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 xml:space="preserve">41,852,271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 xml:space="preserve">   42,246,860   </w:t>
            </w:r>
          </w:p>
        </w:tc>
      </w:tr>
      <w:tr w:rsidR="000A113D" w:rsidRPr="00566194" w:rsidTr="00DA2C98">
        <w:trPr>
          <w:cantSplit/>
          <w:trHeight w:val="20"/>
        </w:trPr>
        <w:tc>
          <w:tcPr>
            <w:tcW w:w="195"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Montepío militar</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6,364,702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5,734,810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6,053,680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5,690,977   </w:t>
            </w:r>
          </w:p>
        </w:tc>
      </w:tr>
      <w:tr w:rsidR="000A113D" w:rsidRPr="00566194" w:rsidTr="00DA2C98">
        <w:trPr>
          <w:cantSplit/>
          <w:trHeight w:val="20"/>
        </w:trPr>
        <w:tc>
          <w:tcPr>
            <w:tcW w:w="195"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Jubilación militar</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10,058,591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10,138,359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10,377,022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10,800,848   </w:t>
            </w:r>
          </w:p>
        </w:tc>
      </w:tr>
      <w:tr w:rsidR="000A113D" w:rsidRPr="00566194" w:rsidTr="00DA2C98">
        <w:trPr>
          <w:cantSplit/>
          <w:trHeight w:val="20"/>
        </w:trPr>
        <w:tc>
          <w:tcPr>
            <w:tcW w:w="195"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Discapacidad en el orden militar</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23,410,602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22,670,551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21,916,371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22,269,514   </w:t>
            </w:r>
          </w:p>
        </w:tc>
      </w:tr>
      <w:tr w:rsidR="000A113D" w:rsidRPr="00566194" w:rsidTr="00DA2C98">
        <w:trPr>
          <w:cantSplit/>
          <w:trHeight w:val="20"/>
        </w:trPr>
        <w:tc>
          <w:tcPr>
            <w:tcW w:w="195"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Pensión militar</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933,269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994,033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951,657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971,882   </w:t>
            </w:r>
          </w:p>
        </w:tc>
      </w:tr>
      <w:tr w:rsidR="000A113D" w:rsidRPr="00566194" w:rsidTr="00DA2C98">
        <w:trPr>
          <w:cantSplit/>
          <w:trHeight w:val="20"/>
        </w:trPr>
        <w:tc>
          <w:tcPr>
            <w:tcW w:w="195" w:type="pct"/>
            <w:vMerge/>
            <w:tcBorders>
              <w:top w:val="nil"/>
              <w:left w:val="single" w:sz="8" w:space="0" w:color="auto"/>
              <w:bottom w:val="single" w:sz="4"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115D94" w:rsidP="000A113D">
            <w:pPr>
              <w:spacing w:after="0" w:line="240" w:lineRule="auto"/>
              <w:rPr>
                <w:rFonts w:ascii="Times New Roman" w:eastAsia="Times New Roman" w:hAnsi="Times New Roman" w:cs="Times New Roman"/>
                <w:color w:val="000000"/>
                <w:sz w:val="18"/>
                <w:szCs w:val="18"/>
                <w:lang w:val="es-ES" w:eastAsia="es-ES"/>
              </w:rPr>
            </w:pPr>
            <w:r>
              <w:rPr>
                <w:rFonts w:ascii="Times New Roman" w:eastAsia="Times New Roman" w:hAnsi="Times New Roman" w:cs="Times New Roman"/>
                <w:color w:val="000000"/>
                <w:sz w:val="18"/>
                <w:szCs w:val="18"/>
                <w:lang w:val="es-ES" w:eastAsia="es-ES"/>
              </w:rPr>
              <w:t xml:space="preserve">Montepío por </w:t>
            </w:r>
            <w:r w:rsidR="000A113D" w:rsidRPr="00566194">
              <w:rPr>
                <w:rFonts w:ascii="Times New Roman" w:eastAsia="Times New Roman" w:hAnsi="Times New Roman" w:cs="Times New Roman"/>
                <w:color w:val="000000"/>
                <w:sz w:val="18"/>
                <w:szCs w:val="18"/>
                <w:lang w:val="es-ES" w:eastAsia="es-ES"/>
              </w:rPr>
              <w:t>disc. Militar</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2,429,242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2,113,350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2,553,541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2,513,638   </w:t>
            </w:r>
          </w:p>
        </w:tc>
      </w:tr>
      <w:tr w:rsidR="000A113D" w:rsidRPr="00566194" w:rsidTr="00DA2C98">
        <w:trPr>
          <w:cantSplit/>
          <w:trHeight w:val="20"/>
        </w:trPr>
        <w:tc>
          <w:tcPr>
            <w:tcW w:w="195" w:type="pct"/>
            <w:tcBorders>
              <w:top w:val="nil"/>
              <w:left w:val="single" w:sz="8" w:space="0" w:color="auto"/>
              <w:bottom w:val="single" w:sz="4" w:space="0" w:color="auto"/>
              <w:right w:val="single" w:sz="4" w:space="0" w:color="auto"/>
            </w:tcBorders>
            <w:shd w:val="clear" w:color="auto" w:fill="auto"/>
            <w:noWrap/>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w:t>
            </w:r>
          </w:p>
        </w:tc>
      </w:tr>
      <w:tr w:rsidR="000A113D" w:rsidRPr="00566194" w:rsidTr="00DA2C98">
        <w:trPr>
          <w:cantSplit/>
          <w:trHeight w:val="20"/>
        </w:trPr>
        <w:tc>
          <w:tcPr>
            <w:tcW w:w="195" w:type="pct"/>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OTRAS PENSIONES</w:t>
            </w: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jc w:val="center"/>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Total Otras pensiones</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77,860,605</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61,700,793</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61,698,107</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b/>
                <w:color w:val="000000"/>
                <w:sz w:val="18"/>
                <w:szCs w:val="18"/>
                <w:lang w:val="es-ES" w:eastAsia="es-ES"/>
              </w:rPr>
            </w:pPr>
            <w:r w:rsidRPr="00566194">
              <w:rPr>
                <w:rFonts w:ascii="Times New Roman" w:eastAsia="Times New Roman" w:hAnsi="Times New Roman" w:cs="Times New Roman"/>
                <w:b/>
                <w:color w:val="000000"/>
                <w:sz w:val="18"/>
                <w:szCs w:val="18"/>
                <w:lang w:val="es-ES" w:eastAsia="es-ES"/>
              </w:rPr>
              <w:t>57,881,911</w:t>
            </w:r>
          </w:p>
        </w:tc>
      </w:tr>
      <w:tr w:rsidR="000A113D" w:rsidRPr="00566194" w:rsidTr="00DA2C98">
        <w:trPr>
          <w:cantSplit/>
          <w:trHeight w:val="20"/>
        </w:trPr>
        <w:tc>
          <w:tcPr>
            <w:tcW w:w="195"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Jubilaciones de Guatel</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63,579,609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49,541,125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48,309,291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46,140,596   </w:t>
            </w:r>
          </w:p>
        </w:tc>
      </w:tr>
      <w:tr w:rsidR="000A113D" w:rsidRPr="00566194" w:rsidTr="00DA2C98">
        <w:trPr>
          <w:cantSplit/>
          <w:trHeight w:val="20"/>
        </w:trPr>
        <w:tc>
          <w:tcPr>
            <w:tcW w:w="195"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Invalidez de Guatel</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2,573,657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1,825,106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1,845,518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1,681,669   </w:t>
            </w:r>
          </w:p>
        </w:tc>
      </w:tr>
      <w:tr w:rsidR="000A113D" w:rsidRPr="00566194" w:rsidTr="00DA2C98">
        <w:trPr>
          <w:cantSplit/>
          <w:trHeight w:val="20"/>
        </w:trPr>
        <w:tc>
          <w:tcPr>
            <w:tcW w:w="195"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Montepío de Guatel</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10,452,435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9,073,770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10,387,002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8,994,396   </w:t>
            </w:r>
          </w:p>
        </w:tc>
      </w:tr>
      <w:tr w:rsidR="000A113D" w:rsidRPr="00566194" w:rsidTr="00DA2C98">
        <w:trPr>
          <w:cantSplit/>
          <w:trHeight w:val="20"/>
        </w:trPr>
        <w:tc>
          <w:tcPr>
            <w:tcW w:w="195"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A favor de padres Guatel</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375,839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427,364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307,308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244,181   </w:t>
            </w:r>
          </w:p>
        </w:tc>
      </w:tr>
      <w:tr w:rsidR="000A113D" w:rsidRPr="00566194" w:rsidTr="00DA2C98">
        <w:trPr>
          <w:cantSplit/>
          <w:trHeight w:val="20"/>
        </w:trPr>
        <w:tc>
          <w:tcPr>
            <w:tcW w:w="195"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Orfandad Guatel</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151,994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127,031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126,588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150,962   </w:t>
            </w:r>
          </w:p>
        </w:tc>
      </w:tr>
      <w:tr w:rsidR="000A113D" w:rsidRPr="00566194" w:rsidTr="00DA2C98">
        <w:trPr>
          <w:cantSplit/>
          <w:trHeight w:val="20"/>
        </w:trPr>
        <w:tc>
          <w:tcPr>
            <w:tcW w:w="195"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Jubilación Banvi</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506,409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487,037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479,383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440,097   </w:t>
            </w:r>
          </w:p>
        </w:tc>
      </w:tr>
      <w:tr w:rsidR="000A113D" w:rsidRPr="00566194" w:rsidTr="00DA2C98">
        <w:trPr>
          <w:cantSplit/>
          <w:trHeight w:val="20"/>
        </w:trPr>
        <w:tc>
          <w:tcPr>
            <w:tcW w:w="195"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4"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Montepío Banvi</w:t>
            </w:r>
          </w:p>
        </w:tc>
        <w:tc>
          <w:tcPr>
            <w:tcW w:w="739"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200,213   </w:t>
            </w:r>
          </w:p>
        </w:tc>
        <w:tc>
          <w:tcPr>
            <w:tcW w:w="922"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198,910   </w:t>
            </w:r>
          </w:p>
        </w:tc>
        <w:tc>
          <w:tcPr>
            <w:tcW w:w="924" w:type="pct"/>
            <w:tcBorders>
              <w:top w:val="nil"/>
              <w:left w:val="nil"/>
              <w:bottom w:val="single" w:sz="4"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222,569   </w:t>
            </w:r>
          </w:p>
        </w:tc>
        <w:tc>
          <w:tcPr>
            <w:tcW w:w="698" w:type="pct"/>
            <w:tcBorders>
              <w:top w:val="nil"/>
              <w:left w:val="nil"/>
              <w:bottom w:val="single" w:sz="4"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209,562   </w:t>
            </w:r>
          </w:p>
        </w:tc>
      </w:tr>
      <w:tr w:rsidR="000A113D" w:rsidRPr="00566194" w:rsidTr="00DA2C98">
        <w:trPr>
          <w:cantSplit/>
          <w:trHeight w:val="20"/>
        </w:trPr>
        <w:tc>
          <w:tcPr>
            <w:tcW w:w="195" w:type="pct"/>
            <w:vMerge/>
            <w:tcBorders>
              <w:top w:val="nil"/>
              <w:left w:val="single" w:sz="8" w:space="0" w:color="auto"/>
              <w:bottom w:val="single" w:sz="8" w:space="0" w:color="000000"/>
              <w:right w:val="single" w:sz="4" w:space="0" w:color="auto"/>
            </w:tcBorders>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p>
        </w:tc>
        <w:tc>
          <w:tcPr>
            <w:tcW w:w="1522" w:type="pct"/>
            <w:tcBorders>
              <w:top w:val="nil"/>
              <w:left w:val="nil"/>
              <w:bottom w:val="single" w:sz="8" w:space="0" w:color="auto"/>
              <w:right w:val="single" w:sz="4" w:space="0" w:color="auto"/>
            </w:tcBorders>
            <w:shd w:val="clear" w:color="auto" w:fill="auto"/>
            <w:vAlign w:val="center"/>
            <w:hideMark/>
          </w:tcPr>
          <w:p w:rsidR="000A113D" w:rsidRPr="00566194" w:rsidRDefault="000A113D" w:rsidP="000A113D">
            <w:pPr>
              <w:spacing w:after="0" w:line="240" w:lineRule="auto"/>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Invalidez Banvi</w:t>
            </w:r>
          </w:p>
        </w:tc>
        <w:tc>
          <w:tcPr>
            <w:tcW w:w="739" w:type="pct"/>
            <w:tcBorders>
              <w:top w:val="nil"/>
              <w:left w:val="nil"/>
              <w:bottom w:val="single" w:sz="8"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20,448   </w:t>
            </w:r>
          </w:p>
        </w:tc>
        <w:tc>
          <w:tcPr>
            <w:tcW w:w="922" w:type="pct"/>
            <w:tcBorders>
              <w:top w:val="nil"/>
              <w:left w:val="nil"/>
              <w:bottom w:val="single" w:sz="8"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20,448   </w:t>
            </w:r>
          </w:p>
        </w:tc>
        <w:tc>
          <w:tcPr>
            <w:tcW w:w="924" w:type="pct"/>
            <w:tcBorders>
              <w:top w:val="nil"/>
              <w:left w:val="nil"/>
              <w:bottom w:val="single" w:sz="8" w:space="0" w:color="auto"/>
              <w:right w:val="nil"/>
            </w:tcBorders>
            <w:vAlign w:val="bottom"/>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20,448   </w:t>
            </w:r>
          </w:p>
        </w:tc>
        <w:tc>
          <w:tcPr>
            <w:tcW w:w="698" w:type="pct"/>
            <w:tcBorders>
              <w:top w:val="nil"/>
              <w:left w:val="nil"/>
              <w:bottom w:val="single" w:sz="8" w:space="0" w:color="auto"/>
              <w:right w:val="single" w:sz="8" w:space="0" w:color="auto"/>
            </w:tcBorders>
            <w:shd w:val="clear" w:color="auto" w:fill="auto"/>
            <w:noWrap/>
            <w:vAlign w:val="bottom"/>
            <w:hideMark/>
          </w:tcPr>
          <w:p w:rsidR="000A113D" w:rsidRPr="00566194" w:rsidRDefault="000A113D" w:rsidP="000A113D">
            <w:pPr>
              <w:spacing w:after="0" w:line="240" w:lineRule="auto"/>
              <w:jc w:val="right"/>
              <w:rPr>
                <w:rFonts w:ascii="Times New Roman" w:eastAsia="Times New Roman" w:hAnsi="Times New Roman" w:cs="Times New Roman"/>
                <w:color w:val="000000"/>
                <w:sz w:val="18"/>
                <w:szCs w:val="18"/>
                <w:lang w:val="es-ES" w:eastAsia="es-ES"/>
              </w:rPr>
            </w:pPr>
            <w:r w:rsidRPr="00566194">
              <w:rPr>
                <w:rFonts w:ascii="Times New Roman" w:eastAsia="Times New Roman" w:hAnsi="Times New Roman" w:cs="Times New Roman"/>
                <w:color w:val="000000"/>
                <w:sz w:val="18"/>
                <w:szCs w:val="18"/>
                <w:lang w:val="es-ES" w:eastAsia="es-ES"/>
              </w:rPr>
              <w:t xml:space="preserve">           20,448   </w:t>
            </w:r>
          </w:p>
        </w:tc>
      </w:tr>
    </w:tbl>
    <w:p w:rsidR="000A113D" w:rsidRPr="00A86634" w:rsidRDefault="000A113D" w:rsidP="00B93D65">
      <w:pPr>
        <w:spacing w:after="0" w:line="240" w:lineRule="auto"/>
        <w:jc w:val="both"/>
        <w:rPr>
          <w:rFonts w:ascii="Times New Roman" w:hAnsi="Times New Roman" w:cs="Times New Roman"/>
          <w:sz w:val="24"/>
          <w:lang w:val="es-MX"/>
        </w:rPr>
      </w:pPr>
      <w:r w:rsidRPr="00566194">
        <w:rPr>
          <w:rFonts w:ascii="Times New Roman" w:eastAsia="Times New Roman" w:hAnsi="Times New Roman" w:cs="Times New Roman"/>
          <w:color w:val="000000"/>
          <w:sz w:val="18"/>
          <w:szCs w:val="18"/>
          <w:lang w:val="es-ES" w:eastAsia="es-ES"/>
        </w:rPr>
        <w:t>* Datos provenientes de la nómina de pensionados. Toma a todos los pensionados que estuvieron activos todo o alguna parte del año correspondiente. Las diferencias con los datos Sicoin se deben a pagos rezagados, devoluciones y otros registros que en Sicoin se consolidan según el año devengado y en planilla según el año pagado.</w:t>
      </w:r>
    </w:p>
    <w:sectPr w:rsidR="000A113D" w:rsidRPr="00A86634" w:rsidSect="007F3041">
      <w:headerReference w:type="default" r:id="rId38"/>
      <w:footerReference w:type="default" r:id="rId39"/>
      <w:headerReference w:type="first" r:id="rId40"/>
      <w:footerReference w:type="first" r:id="rId41"/>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236" w:rsidRDefault="00E85236" w:rsidP="004C0B51">
      <w:pPr>
        <w:spacing w:after="0" w:line="240" w:lineRule="auto"/>
      </w:pPr>
      <w:r>
        <w:separator/>
      </w:r>
    </w:p>
  </w:endnote>
  <w:endnote w:type="continuationSeparator" w:id="0">
    <w:p w:rsidR="00E85236" w:rsidRDefault="00E85236" w:rsidP="004C0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0"/>
        <w:szCs w:val="20"/>
        <w:lang w:val="es-ES"/>
      </w:rPr>
      <w:id w:val="-1124931090"/>
      <w:docPartObj>
        <w:docPartGallery w:val="Page Numbers (Bottom of Page)"/>
        <w:docPartUnique/>
      </w:docPartObj>
    </w:sdtPr>
    <w:sdtEndPr>
      <w:rPr>
        <w:lang w:val="es-GT"/>
      </w:rPr>
    </w:sdtEndPr>
    <w:sdtContent>
      <w:p w:rsidR="00124DC7" w:rsidRPr="00CB0CC8" w:rsidRDefault="00124DC7">
        <w:pPr>
          <w:pStyle w:val="Piedepgina"/>
          <w:jc w:val="right"/>
          <w:rPr>
            <w:rFonts w:ascii="Times New Roman" w:eastAsiaTheme="majorEastAsia" w:hAnsi="Times New Roman" w:cs="Times New Roman"/>
            <w:sz w:val="20"/>
            <w:szCs w:val="20"/>
          </w:rPr>
        </w:pPr>
        <w:r>
          <w:rPr>
            <w:rFonts w:ascii="Times New Roman" w:hAnsi="Times New Roman" w:cs="Times New Roman"/>
            <w:i/>
            <w:noProof/>
            <w:color w:val="1F497D" w:themeColor="text2"/>
            <w:lang w:eastAsia="es-GT"/>
          </w:rPr>
          <mc:AlternateContent>
            <mc:Choice Requires="wps">
              <w:drawing>
                <wp:anchor distT="0" distB="0" distL="114300" distR="114300" simplePos="0" relativeHeight="251663360" behindDoc="0" locked="0" layoutInCell="1" allowOverlap="1" wp14:anchorId="654E4871" wp14:editId="073E0A4B">
                  <wp:simplePos x="0" y="0"/>
                  <wp:positionH relativeFrom="column">
                    <wp:posOffset>-87464</wp:posOffset>
                  </wp:positionH>
                  <wp:positionV relativeFrom="paragraph">
                    <wp:posOffset>-56211</wp:posOffset>
                  </wp:positionV>
                  <wp:extent cx="6798310" cy="47625"/>
                  <wp:effectExtent l="0" t="0" r="21590" b="28575"/>
                  <wp:wrapNone/>
                  <wp:docPr id="45" name="45 Rectángulo"/>
                  <wp:cNvGraphicFramePr/>
                  <a:graphic xmlns:a="http://schemas.openxmlformats.org/drawingml/2006/main">
                    <a:graphicData uri="http://schemas.microsoft.com/office/word/2010/wordprocessingShape">
                      <wps:wsp>
                        <wps:cNvSpPr/>
                        <wps:spPr>
                          <a:xfrm>
                            <a:off x="0" y="0"/>
                            <a:ext cx="6798310"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7EF1CB3" id="45 Rectángulo" o:spid="_x0000_s1026" style="position:absolute;margin-left:-6.9pt;margin-top:-4.45pt;width:535.3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" fillcolor="#8aabd3 [2132]" strokeweight="2pt">
                  <v:fill color2="#f2f2f2 [3052]" rotate="t" angle="90" colors="0 #9ab5e4;50463f #c2d1ed;58327f #e1e8f5;64881f #f2f2f2" focus="100%" type="gradient">
                    <o:fill v:ext="view" type="gradientUnscaled"/>
                  </v:fill>
                </v:rect>
              </w:pict>
            </mc:Fallback>
          </mc:AlternateContent>
        </w:r>
        <w:r w:rsidRPr="00CB0CC8">
          <w:rPr>
            <w:rFonts w:ascii="Times New Roman" w:eastAsiaTheme="majorEastAsia" w:hAnsi="Times New Roman" w:cs="Times New Roman"/>
            <w:sz w:val="20"/>
            <w:szCs w:val="20"/>
            <w:lang w:val="es-ES"/>
          </w:rPr>
          <w:t xml:space="preserve">pág. </w:t>
        </w:r>
        <w:r w:rsidRPr="00CB0CC8">
          <w:rPr>
            <w:rFonts w:ascii="Times New Roman" w:hAnsi="Times New Roman" w:cs="Times New Roman"/>
            <w:sz w:val="20"/>
            <w:szCs w:val="20"/>
          </w:rPr>
          <w:fldChar w:fldCharType="begin"/>
        </w:r>
        <w:r w:rsidRPr="00CB0CC8">
          <w:rPr>
            <w:rFonts w:ascii="Times New Roman" w:hAnsi="Times New Roman" w:cs="Times New Roman"/>
            <w:sz w:val="20"/>
            <w:szCs w:val="20"/>
          </w:rPr>
          <w:instrText>PAGE    \* MERGEFORMAT</w:instrText>
        </w:r>
        <w:r w:rsidRPr="00CB0CC8">
          <w:rPr>
            <w:rFonts w:ascii="Times New Roman" w:hAnsi="Times New Roman" w:cs="Times New Roman"/>
            <w:sz w:val="20"/>
            <w:szCs w:val="20"/>
          </w:rPr>
          <w:fldChar w:fldCharType="separate"/>
        </w:r>
        <w:r w:rsidR="00B326C5" w:rsidRPr="00B326C5">
          <w:rPr>
            <w:rFonts w:ascii="Times New Roman" w:eastAsiaTheme="majorEastAsia" w:hAnsi="Times New Roman" w:cs="Times New Roman"/>
            <w:noProof/>
            <w:sz w:val="20"/>
            <w:szCs w:val="20"/>
            <w:lang w:val="es-ES"/>
          </w:rPr>
          <w:t>11</w:t>
        </w:r>
        <w:r w:rsidRPr="00CB0CC8">
          <w:rPr>
            <w:rFonts w:ascii="Times New Roman" w:eastAsiaTheme="majorEastAsia" w:hAnsi="Times New Roman" w:cs="Times New Roman"/>
            <w:sz w:val="20"/>
            <w:szCs w:val="20"/>
          </w:rPr>
          <w:fldChar w:fldCharType="end"/>
        </w:r>
      </w:p>
    </w:sdtContent>
  </w:sdt>
  <w:p w:rsidR="00124DC7" w:rsidRDefault="00124D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DC7" w:rsidRDefault="00124DC7" w:rsidP="007F3041">
    <w:pPr>
      <w:pStyle w:val="Piedepgina"/>
    </w:pPr>
    <w:r>
      <w:rPr>
        <w:rFonts w:ascii="Times New Roman" w:hAnsi="Times New Roman" w:cs="Times New Roman"/>
        <w:i/>
        <w:noProof/>
        <w:color w:val="1F497D" w:themeColor="text2"/>
        <w:lang w:eastAsia="es-GT"/>
      </w:rPr>
      <mc:AlternateContent>
        <mc:Choice Requires="wps">
          <w:drawing>
            <wp:anchor distT="0" distB="0" distL="114300" distR="114300" simplePos="0" relativeHeight="251669504" behindDoc="0" locked="0" layoutInCell="1" allowOverlap="1" wp14:anchorId="2E3AB1B2" wp14:editId="1CBFC605">
              <wp:simplePos x="0" y="0"/>
              <wp:positionH relativeFrom="column">
                <wp:posOffset>0</wp:posOffset>
              </wp:positionH>
              <wp:positionV relativeFrom="paragraph">
                <wp:posOffset>-199086</wp:posOffset>
              </wp:positionV>
              <wp:extent cx="6798310" cy="47625"/>
              <wp:effectExtent l="0" t="0" r="21590" b="28575"/>
              <wp:wrapNone/>
              <wp:docPr id="26" name="45 Rectángulo"/>
              <wp:cNvGraphicFramePr/>
              <a:graphic xmlns:a="http://schemas.openxmlformats.org/drawingml/2006/main">
                <a:graphicData uri="http://schemas.microsoft.com/office/word/2010/wordprocessingShape">
                  <wps:wsp>
                    <wps:cNvSpPr/>
                    <wps:spPr>
                      <a:xfrm>
                        <a:off x="0" y="0"/>
                        <a:ext cx="6798310"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6890976" id="45 Rectángulo" o:spid="_x0000_s1026" style="position:absolute;margin-left:0;margin-top:-15.7pt;width:535.3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" fillcolor="#8aabd3 [2132]" strokeweight="2pt">
              <v:fill color2="#f2f2f2 [3052]" rotate="t" angle="90" colors="0 #9ab5e4;50463f #c2d1ed;58327f #e1e8f5;64881f #f2f2f2" focus="100%" type="gradient">
                <o:fill v:ext="view" type="gradientUnscaled"/>
              </v:fill>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236" w:rsidRDefault="00E85236" w:rsidP="004C0B51">
      <w:pPr>
        <w:spacing w:after="0" w:line="240" w:lineRule="auto"/>
      </w:pPr>
      <w:r>
        <w:separator/>
      </w:r>
    </w:p>
  </w:footnote>
  <w:footnote w:type="continuationSeparator" w:id="0">
    <w:p w:rsidR="00E85236" w:rsidRDefault="00E85236" w:rsidP="004C0B51">
      <w:pPr>
        <w:spacing w:after="0" w:line="240" w:lineRule="auto"/>
      </w:pPr>
      <w:r>
        <w:continuationSeparator/>
      </w:r>
    </w:p>
  </w:footnote>
  <w:footnote w:id="1">
    <w:p w:rsidR="00124DC7" w:rsidRPr="00022004" w:rsidRDefault="00124DC7" w:rsidP="00022004">
      <w:pPr>
        <w:pStyle w:val="Textonotapie"/>
        <w:jc w:val="both"/>
        <w:rPr>
          <w:rFonts w:ascii="Times New Roman" w:hAnsi="Times New Roman" w:cs="Times New Roman"/>
          <w:sz w:val="18"/>
        </w:rPr>
      </w:pPr>
      <w:r w:rsidRPr="00022004">
        <w:rPr>
          <w:rStyle w:val="Refdenotaalpie"/>
          <w:rFonts w:ascii="Times New Roman" w:hAnsi="Times New Roman" w:cs="Times New Roman"/>
          <w:sz w:val="18"/>
        </w:rPr>
        <w:footnoteRef/>
      </w:r>
      <w:r w:rsidRPr="00022004">
        <w:rPr>
          <w:rFonts w:ascii="Times New Roman" w:hAnsi="Times New Roman" w:cs="Times New Roman"/>
          <w:sz w:val="18"/>
        </w:rPr>
        <w:t xml:space="preserve"> FMI (2012). Transparencia fiscal, rendición de cuentas y riesgo fiscal, p. 5 Disponible en Internet http://www.imf.org/external/spanish/np/pp/2012/080712s.pdf</w:t>
      </w:r>
    </w:p>
  </w:footnote>
  <w:footnote w:id="2">
    <w:p w:rsidR="00124DC7" w:rsidRPr="00AD0A05" w:rsidRDefault="00124DC7" w:rsidP="00022004">
      <w:pPr>
        <w:pStyle w:val="Textonotapie"/>
        <w:jc w:val="both"/>
        <w:rPr>
          <w:lang w:val="en-US"/>
        </w:rPr>
      </w:pPr>
      <w:r w:rsidRPr="00022004">
        <w:rPr>
          <w:rStyle w:val="Refdenotaalpie"/>
          <w:rFonts w:ascii="Times New Roman" w:hAnsi="Times New Roman" w:cs="Times New Roman"/>
          <w:sz w:val="18"/>
        </w:rPr>
        <w:footnoteRef/>
      </w:r>
      <w:r w:rsidRPr="00022004">
        <w:rPr>
          <w:rFonts w:ascii="Times New Roman" w:hAnsi="Times New Roman" w:cs="Times New Roman"/>
          <w:sz w:val="18"/>
        </w:rPr>
        <w:t xml:space="preserve"> FMI (2012), p. 10. Los autores citan, a su vez, a Cebotari, Aliona (2008). </w:t>
      </w:r>
      <w:r w:rsidRPr="00AD0A05">
        <w:rPr>
          <w:rFonts w:ascii="Times New Roman" w:hAnsi="Times New Roman" w:cs="Times New Roman"/>
          <w:sz w:val="18"/>
          <w:lang w:val="en-US"/>
        </w:rPr>
        <w:t>“Contingent Liabilities: Issues and Practice,” IMF Working Paper, No. 08/245 (Washington: International Monetary Fund).</w:t>
      </w:r>
    </w:p>
  </w:footnote>
  <w:footnote w:id="3">
    <w:p w:rsidR="00124DC7" w:rsidRPr="00047A77" w:rsidRDefault="00124DC7" w:rsidP="00022004">
      <w:pPr>
        <w:pStyle w:val="Textonotapie"/>
        <w:jc w:val="both"/>
        <w:rPr>
          <w:rFonts w:ascii="Times New Roman" w:hAnsi="Times New Roman" w:cs="Times New Roman"/>
        </w:rPr>
      </w:pPr>
      <w:r w:rsidRPr="00047A77">
        <w:rPr>
          <w:rStyle w:val="Refdenotaalpie"/>
          <w:rFonts w:ascii="Times New Roman" w:hAnsi="Times New Roman" w:cs="Times New Roman"/>
        </w:rPr>
        <w:footnoteRef/>
      </w:r>
      <w:r w:rsidRPr="00047A77">
        <w:rPr>
          <w:rFonts w:ascii="Times New Roman" w:hAnsi="Times New Roman" w:cs="Times New Roman"/>
        </w:rPr>
        <w:t xml:space="preserve"> </w:t>
      </w:r>
      <w:r w:rsidRPr="00047A77">
        <w:rPr>
          <w:rFonts w:ascii="Times New Roman" w:eastAsiaTheme="minorHAnsi" w:hAnsi="Times New Roman" w:cs="Times New Roman"/>
          <w:sz w:val="18"/>
          <w:szCs w:val="24"/>
        </w:rPr>
        <w:t xml:space="preserve">El índice mide las pérdidas en vidas humanas y en porcentaje del PIB a nivel mundial, es elaborado con información de </w:t>
      </w:r>
      <w:hyperlink r:id="rId1" w:history="1">
        <w:r w:rsidR="00ED1197" w:rsidRPr="00047A77">
          <w:rPr>
            <w:rStyle w:val="Hipervnculo"/>
            <w:rFonts w:ascii="Times New Roman" w:eastAsiaTheme="minorHAnsi" w:hAnsi="Times New Roman" w:cs="Times New Roman"/>
            <w:sz w:val="18"/>
            <w:szCs w:val="24"/>
          </w:rPr>
          <w:t>Múnich</w:t>
        </w:r>
        <w:r w:rsidRPr="00047A77">
          <w:rPr>
            <w:rStyle w:val="Hipervnculo"/>
            <w:rFonts w:ascii="Times New Roman" w:eastAsiaTheme="minorHAnsi" w:hAnsi="Times New Roman" w:cs="Times New Roman"/>
            <w:sz w:val="18"/>
            <w:szCs w:val="24"/>
          </w:rPr>
          <w:t xml:space="preserve"> RE NatCatSERVICE</w:t>
        </w:r>
      </w:hyperlink>
      <w:r w:rsidRPr="00047A77">
        <w:rPr>
          <w:rFonts w:ascii="Times New Roman" w:eastAsiaTheme="minorHAnsi" w:hAnsi="Times New Roman" w:cs="Times New Roman"/>
          <w:sz w:val="18"/>
          <w:szCs w:val="24"/>
        </w:rPr>
        <w:t xml:space="preserve">, y considera las afectaciones directas (de forma absoluta y relativa) a los países por eventos climáticos (como tormentas, inundaciones, sequías y olas de calor) durante un período de veinte años (1996 a 2015). Aunque el IGRC no toma en cuenta desastres por eventos no climáticos tales como sismos o erupciones volcánicas, ofrece un panorama global de la exposición y vulnerabilidad de los países. </w:t>
      </w:r>
    </w:p>
  </w:footnote>
  <w:footnote w:id="4">
    <w:p w:rsidR="00124DC7" w:rsidRPr="00047A77" w:rsidRDefault="00124DC7" w:rsidP="00A86634">
      <w:pPr>
        <w:pStyle w:val="Textonotapie"/>
        <w:jc w:val="both"/>
        <w:rPr>
          <w:rFonts w:ascii="Times New Roman" w:hAnsi="Times New Roman" w:cs="Times New Roman"/>
        </w:rPr>
      </w:pPr>
      <w:r>
        <w:rPr>
          <w:rStyle w:val="None"/>
          <w:vertAlign w:val="superscript"/>
        </w:rPr>
        <w:footnoteRef/>
      </w:r>
      <w:r>
        <w:rPr>
          <w:sz w:val="18"/>
        </w:rPr>
        <w:t xml:space="preserve"> </w:t>
      </w:r>
      <w:r w:rsidRPr="00047A77">
        <w:rPr>
          <w:rFonts w:ascii="Times New Roman" w:hAnsi="Times New Roman" w:cs="Times New Roman"/>
          <w:sz w:val="18"/>
        </w:rPr>
        <w:t>En US$ de 2015. Considera eventos severos a aquellos en los que el Gobierno solicitó ayuda internacional para evaluar su impacto. Estas evaluaciones se realizaron de acuerdo a la metodología de Evaluaciones de Necesidades Post Desastres (PDNA por sus siglas en inglés), la cual recoge metodologías anteriores desarrolladas por CEPAL (DaLA - Damages and Losses Assessment) y otros organismos y es la metodología promovida por el Banco Mundial, la Unión Europea y el Sistema de Naciones Unidas.</w:t>
      </w:r>
    </w:p>
  </w:footnote>
  <w:footnote w:id="5">
    <w:p w:rsidR="00124DC7" w:rsidRPr="00047A77" w:rsidRDefault="00124DC7" w:rsidP="00A86634">
      <w:pPr>
        <w:pStyle w:val="Textonotapie"/>
        <w:rPr>
          <w:rFonts w:ascii="Times New Roman" w:hAnsi="Times New Roman" w:cs="Times New Roman"/>
        </w:rPr>
      </w:pPr>
      <w:r w:rsidRPr="00047A77">
        <w:rPr>
          <w:rStyle w:val="Refdenotaalpie"/>
          <w:rFonts w:ascii="Times New Roman" w:hAnsi="Times New Roman" w:cs="Times New Roman"/>
        </w:rPr>
        <w:footnoteRef/>
      </w:r>
      <w:r w:rsidRPr="00047A77">
        <w:rPr>
          <w:rFonts w:ascii="Times New Roman" w:hAnsi="Times New Roman" w:cs="Times New Roman"/>
        </w:rPr>
        <w:t xml:space="preserve"> </w:t>
      </w:r>
      <w:r w:rsidRPr="00047A77">
        <w:rPr>
          <w:rStyle w:val="None"/>
          <w:rFonts w:ascii="Times New Roman" w:hAnsi="Times New Roman" w:cs="Times New Roman"/>
          <w:sz w:val="18"/>
          <w:szCs w:val="18"/>
        </w:rPr>
        <w:t>Por lo general, el porcentaje atribuible al evento extremo, encuentra su explicación en el gasto extraordinario originado por las actividades de reconstrucción</w:t>
      </w:r>
      <w:r w:rsidRPr="00047A77">
        <w:rPr>
          <w:rFonts w:ascii="Times New Roman" w:hAnsi="Times New Roman" w:cs="Times New Roman"/>
        </w:rPr>
        <w:t xml:space="preserve">.  </w:t>
      </w:r>
    </w:p>
  </w:footnote>
  <w:footnote w:id="6">
    <w:p w:rsidR="00124DC7" w:rsidRDefault="00124DC7" w:rsidP="00A86634">
      <w:pPr>
        <w:pStyle w:val="Default"/>
        <w:jc w:val="both"/>
        <w:rPr>
          <w:rStyle w:val="None"/>
          <w:rFonts w:ascii="Times New Roman" w:eastAsia="SimSun" w:hAnsi="Times New Roman" w:cs="Times New Roman"/>
          <w:color w:val="auto"/>
          <w:sz w:val="18"/>
          <w:szCs w:val="18"/>
          <w:lang w:val="es-ES"/>
        </w:rPr>
      </w:pPr>
      <w:r>
        <w:rPr>
          <w:rStyle w:val="Refdenotaalpie"/>
        </w:rPr>
        <w:footnoteRef/>
      </w:r>
      <w:r>
        <w:rPr>
          <w:rFonts w:ascii="Times New Roman" w:hAnsi="Times New Roman" w:cs="Times New Roman"/>
        </w:rPr>
        <w:t xml:space="preserve"> </w:t>
      </w:r>
      <w:r>
        <w:rPr>
          <w:rStyle w:val="None"/>
          <w:rFonts w:ascii="Times New Roman" w:eastAsia="SimSun" w:hAnsi="Times New Roman" w:cs="Times New Roman"/>
          <w:color w:val="auto"/>
          <w:sz w:val="18"/>
          <w:szCs w:val="18"/>
          <w:lang w:val="es-ES"/>
        </w:rPr>
        <w:t>Ante la ocurrencia de Agatha el país contaba, con instrumento financiero negociado ex ante, “Convenio de Préstamo Bajo la Opción de Desembolso Diferido Durante Catástrofes” CAT DDO con el BIRF por un monto de U.S. $85.0 millones. El cual es un tipo de préstamo contingente cuyo desembolso se hace disponible en el momento en que se decrete “estado de emergencia” ante la ocurrencia de un desastre; financia la rehabilitación y reconstrucción de la infraestructura y servicios públicos y que fue contratado por el Gobierno en el año 2009 para apoyar la implementación de su plan de gobierno en el tema de manejo de riesgos de desastres en caso de eventos naturales adversos.</w:t>
      </w:r>
    </w:p>
  </w:footnote>
  <w:footnote w:id="7">
    <w:p w:rsidR="00124DC7" w:rsidRPr="00047A77" w:rsidRDefault="00124DC7" w:rsidP="00047A77">
      <w:pPr>
        <w:pStyle w:val="Textonotapie"/>
        <w:jc w:val="both"/>
        <w:rPr>
          <w:rStyle w:val="None"/>
          <w:rFonts w:ascii="Times New Roman" w:hAnsi="Times New Roman" w:cs="Times New Roman"/>
          <w:sz w:val="18"/>
          <w:szCs w:val="18"/>
        </w:rPr>
      </w:pPr>
      <w:r w:rsidRPr="00047A77">
        <w:rPr>
          <w:rStyle w:val="Refdenotaalpie"/>
          <w:rFonts w:ascii="Times New Roman" w:hAnsi="Times New Roman" w:cs="Times New Roman"/>
        </w:rPr>
        <w:footnoteRef/>
      </w:r>
      <w:r w:rsidRPr="00047A77">
        <w:rPr>
          <w:rFonts w:ascii="Times New Roman" w:hAnsi="Times New Roman" w:cs="Times New Roman"/>
        </w:rPr>
        <w:t xml:space="preserve"> </w:t>
      </w:r>
      <w:r w:rsidRPr="00047A77">
        <w:rPr>
          <w:rStyle w:val="None"/>
          <w:rFonts w:ascii="Times New Roman" w:hAnsi="Times New Roman" w:cs="Times New Roman"/>
          <w:sz w:val="18"/>
          <w:szCs w:val="18"/>
        </w:rPr>
        <w:t xml:space="preserve">Fondo </w:t>
      </w:r>
      <w:r>
        <w:rPr>
          <w:rStyle w:val="None"/>
          <w:rFonts w:ascii="Times New Roman" w:hAnsi="Times New Roman" w:cs="Times New Roman"/>
          <w:sz w:val="18"/>
          <w:szCs w:val="18"/>
        </w:rPr>
        <w:t xml:space="preserve">de Reserva que se nutre con el </w:t>
      </w:r>
      <w:r w:rsidRPr="00047A77">
        <w:rPr>
          <w:rStyle w:val="None"/>
          <w:rFonts w:ascii="Times New Roman" w:hAnsi="Times New Roman" w:cs="Times New Roman"/>
          <w:sz w:val="18"/>
          <w:szCs w:val="18"/>
        </w:rPr>
        <w:t>aporte voluntario de regalías realizado por la industria extractiva minera al Estado de Guatemala.</w:t>
      </w:r>
    </w:p>
  </w:footnote>
  <w:footnote w:id="8">
    <w:p w:rsidR="00124DC7" w:rsidRPr="00047A77" w:rsidRDefault="00124DC7" w:rsidP="00047A77">
      <w:pPr>
        <w:pStyle w:val="Textonotapie"/>
        <w:jc w:val="both"/>
        <w:rPr>
          <w:rFonts w:ascii="Times New Roman" w:hAnsi="Times New Roman" w:cs="Times New Roman"/>
        </w:rPr>
      </w:pPr>
      <w:r w:rsidRPr="00047A77">
        <w:rPr>
          <w:rStyle w:val="Refdenotaalpie"/>
          <w:rFonts w:ascii="Times New Roman" w:hAnsi="Times New Roman" w:cs="Times New Roman"/>
        </w:rPr>
        <w:footnoteRef/>
      </w:r>
      <w:r w:rsidRPr="00047A77">
        <w:rPr>
          <w:rFonts w:ascii="Times New Roman" w:hAnsi="Times New Roman" w:cs="Times New Roman"/>
        </w:rPr>
        <w:t xml:space="preserve"> Como el </w:t>
      </w:r>
      <w:r w:rsidRPr="00047A77">
        <w:rPr>
          <w:rStyle w:val="None"/>
          <w:rFonts w:ascii="Times New Roman" w:hAnsi="Times New Roman" w:cs="Times New Roman"/>
          <w:sz w:val="18"/>
          <w:szCs w:val="18"/>
        </w:rPr>
        <w:t>“Convenio de Préstamo Bajo la Opción de Desembolso Diferido Durante Catástrofes” CAT DDO suscrito con el BIRF durante el 2009.</w:t>
      </w:r>
    </w:p>
  </w:footnote>
  <w:footnote w:id="9">
    <w:p w:rsidR="00124DC7" w:rsidRPr="00047A77" w:rsidRDefault="00124DC7" w:rsidP="000A113D">
      <w:pPr>
        <w:pStyle w:val="Textonotapie"/>
        <w:rPr>
          <w:rFonts w:ascii="Times New Roman" w:hAnsi="Times New Roman" w:cs="Times New Roman"/>
        </w:rPr>
      </w:pPr>
      <w:r w:rsidRPr="00047A77">
        <w:rPr>
          <w:rStyle w:val="Refdenotaalpie"/>
          <w:rFonts w:ascii="Times New Roman" w:hAnsi="Times New Roman" w:cs="Times New Roman"/>
        </w:rPr>
        <w:footnoteRef/>
      </w:r>
      <w:r>
        <w:rPr>
          <w:rFonts w:ascii="Times New Roman" w:hAnsi="Times New Roman" w:cs="Times New Roman"/>
        </w:rPr>
        <w:t xml:space="preserve"> Tasa de </w:t>
      </w:r>
      <w:r w:rsidRPr="00047A77">
        <w:rPr>
          <w:rFonts w:ascii="Times New Roman" w:hAnsi="Times New Roman" w:cs="Times New Roman"/>
        </w:rPr>
        <w:t>cotización: porcentaje del sueldo que aporta al sistema de pensiones.</w:t>
      </w:r>
    </w:p>
  </w:footnote>
  <w:footnote w:id="10">
    <w:p w:rsidR="00124DC7" w:rsidRPr="00047A77" w:rsidRDefault="00124DC7" w:rsidP="000A113D">
      <w:pPr>
        <w:pStyle w:val="Textonotapie"/>
        <w:rPr>
          <w:rFonts w:ascii="Times New Roman" w:hAnsi="Times New Roman" w:cs="Times New Roman"/>
        </w:rPr>
      </w:pPr>
      <w:r w:rsidRPr="00047A77">
        <w:rPr>
          <w:rStyle w:val="Refdenotaalpie"/>
          <w:rFonts w:ascii="Times New Roman" w:hAnsi="Times New Roman" w:cs="Times New Roman"/>
        </w:rPr>
        <w:footnoteRef/>
      </w:r>
      <w:r w:rsidRPr="00047A77">
        <w:rPr>
          <w:rFonts w:ascii="Times New Roman" w:hAnsi="Times New Roman" w:cs="Times New Roman"/>
        </w:rPr>
        <w:t xml:space="preserve"> Con pensiones, en promedio, de Q.568.0</w:t>
      </w:r>
    </w:p>
  </w:footnote>
  <w:footnote w:id="11">
    <w:p w:rsidR="00124DC7" w:rsidRDefault="00124DC7" w:rsidP="000A113D">
      <w:pPr>
        <w:pStyle w:val="Textonotapie"/>
        <w:tabs>
          <w:tab w:val="left" w:pos="7413"/>
        </w:tabs>
      </w:pPr>
      <w:r w:rsidRPr="00047A77">
        <w:rPr>
          <w:rStyle w:val="Refdenotaalpie"/>
          <w:rFonts w:ascii="Times New Roman" w:hAnsi="Times New Roman" w:cs="Times New Roman"/>
        </w:rPr>
        <w:footnoteRef/>
      </w:r>
      <w:r w:rsidRPr="00047A77">
        <w:rPr>
          <w:rFonts w:ascii="Times New Roman" w:hAnsi="Times New Roman" w:cs="Times New Roman"/>
        </w:rPr>
        <w:t xml:space="preserve"> Con pensiones en promedio de Q.1,672.0</w:t>
      </w:r>
      <w: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DC7" w:rsidRDefault="00124DC7">
    <w:pPr>
      <w:pStyle w:val="Encabezado"/>
    </w:pPr>
    <w:r w:rsidRPr="00D5619D">
      <w:rPr>
        <w:rFonts w:ascii="Times New Roman" w:hAnsi="Times New Roman" w:cs="Times New Roman"/>
        <w:i/>
        <w:noProof/>
        <w:color w:val="1F497D" w:themeColor="text2"/>
        <w:sz w:val="28"/>
        <w:lang w:eastAsia="es-GT"/>
      </w:rPr>
      <w:drawing>
        <wp:anchor distT="0" distB="0" distL="114300" distR="114300" simplePos="0" relativeHeight="251659264" behindDoc="1" locked="0" layoutInCell="1" allowOverlap="1" wp14:anchorId="06D7F4D3" wp14:editId="25D7E460">
          <wp:simplePos x="0" y="0"/>
          <wp:positionH relativeFrom="column">
            <wp:posOffset>1241</wp:posOffset>
          </wp:positionH>
          <wp:positionV relativeFrom="paragraph">
            <wp:posOffset>-280493</wp:posOffset>
          </wp:positionV>
          <wp:extent cx="1200647" cy="646667"/>
          <wp:effectExtent l="0" t="0" r="0" b="1270"/>
          <wp:wrapNone/>
          <wp:docPr id="47" name="Imagen 4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493" cy="647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color w:val="1F497D" w:themeColor="text2"/>
        <w:lang w:eastAsia="es-GT"/>
      </w:rPr>
      <mc:AlternateContent>
        <mc:Choice Requires="wps">
          <w:drawing>
            <wp:anchor distT="0" distB="0" distL="114300" distR="114300" simplePos="0" relativeHeight="251661312" behindDoc="0" locked="0" layoutInCell="1" allowOverlap="1" wp14:anchorId="2B1FE983" wp14:editId="024E09BB">
              <wp:simplePos x="0" y="0"/>
              <wp:positionH relativeFrom="column">
                <wp:posOffset>1200647</wp:posOffset>
              </wp:positionH>
              <wp:positionV relativeFrom="paragraph">
                <wp:posOffset>245856</wp:posOffset>
              </wp:positionV>
              <wp:extent cx="5454236" cy="47625"/>
              <wp:effectExtent l="0" t="0" r="13335" b="28575"/>
              <wp:wrapNone/>
              <wp:docPr id="46" name="46 Rectángulo"/>
              <wp:cNvGraphicFramePr/>
              <a:graphic xmlns:a="http://schemas.openxmlformats.org/drawingml/2006/main">
                <a:graphicData uri="http://schemas.microsoft.com/office/word/2010/wordprocessingShape">
                  <wps:wsp>
                    <wps:cNvSpPr/>
                    <wps:spPr>
                      <a:xfrm>
                        <a:off x="0" y="0"/>
                        <a:ext cx="5454236"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58961FB9" id="46 Rectángulo" o:spid="_x0000_s1026" style="position:absolute;margin-left:94.55pt;margin-top:19.35pt;width:429.45pt;height: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" fillcolor="#8aabd3 [2132]" strokeweight="2pt">
              <v:fill color2="#f2f2f2 [3052]" rotate="t" angle="90" colors="0 #9ab5e4;50463f #c2d1ed;58327f #e1e8f5;64881f #f2f2f2" focus="100%" type="gradient">
                <o:fill v:ext="view" type="gradientUnscaled"/>
              </v:fill>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DC7" w:rsidRDefault="00124DC7" w:rsidP="007F3041">
    <w:pPr>
      <w:pStyle w:val="Encabezado"/>
    </w:pPr>
    <w:r>
      <w:rPr>
        <w:rFonts w:ascii="Times New Roman" w:hAnsi="Times New Roman" w:cs="Times New Roman"/>
        <w:i/>
        <w:noProof/>
        <w:color w:val="1F497D" w:themeColor="text2"/>
        <w:lang w:eastAsia="es-GT"/>
      </w:rPr>
      <mc:AlternateContent>
        <mc:Choice Requires="wps">
          <w:drawing>
            <wp:anchor distT="0" distB="0" distL="114300" distR="114300" simplePos="0" relativeHeight="251667456" behindDoc="0" locked="0" layoutInCell="1" allowOverlap="1" wp14:anchorId="54EB2A1A" wp14:editId="5CBAF84B">
              <wp:simplePos x="0" y="0"/>
              <wp:positionH relativeFrom="column">
                <wp:posOffset>1216550</wp:posOffset>
              </wp:positionH>
              <wp:positionV relativeFrom="paragraph">
                <wp:posOffset>237904</wp:posOffset>
              </wp:positionV>
              <wp:extent cx="5454236" cy="47625"/>
              <wp:effectExtent l="0" t="0" r="13335" b="28575"/>
              <wp:wrapNone/>
              <wp:docPr id="10" name="46 Rectángulo"/>
              <wp:cNvGraphicFramePr/>
              <a:graphic xmlns:a="http://schemas.openxmlformats.org/drawingml/2006/main">
                <a:graphicData uri="http://schemas.microsoft.com/office/word/2010/wordprocessingShape">
                  <wps:wsp>
                    <wps:cNvSpPr/>
                    <wps:spPr>
                      <a:xfrm>
                        <a:off x="0" y="0"/>
                        <a:ext cx="5454236"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32D1F8F4" id="46 Rectángulo" o:spid="_x0000_s1026" style="position:absolute;margin-left:95.8pt;margin-top:18.75pt;width:429.45pt;height: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" fillcolor="#8aabd3 [2132]" strokeweight="2pt">
              <v:fill color2="#f2f2f2 [3052]" rotate="t" angle="90" colors="0 #9ab5e4;50463f #c2d1ed;58327f #e1e8f5;64881f #f2f2f2" focus="100%" type="gradient">
                <o:fill v:ext="view" type="gradientUnscaled"/>
              </v:fill>
            </v:rect>
          </w:pict>
        </mc:Fallback>
      </mc:AlternateContent>
    </w:r>
    <w:r w:rsidRPr="00D5619D">
      <w:rPr>
        <w:rFonts w:ascii="Times New Roman" w:hAnsi="Times New Roman" w:cs="Times New Roman"/>
        <w:i/>
        <w:noProof/>
        <w:color w:val="1F497D" w:themeColor="text2"/>
        <w:sz w:val="28"/>
        <w:lang w:eastAsia="es-GT"/>
      </w:rPr>
      <w:drawing>
        <wp:anchor distT="0" distB="0" distL="114300" distR="114300" simplePos="0" relativeHeight="251665408" behindDoc="1" locked="0" layoutInCell="1" allowOverlap="1" wp14:anchorId="69C4BE18" wp14:editId="3BBD7CD4">
          <wp:simplePos x="0" y="0"/>
          <wp:positionH relativeFrom="column">
            <wp:posOffset>-31363</wp:posOffset>
          </wp:positionH>
          <wp:positionV relativeFrom="paragraph">
            <wp:posOffset>-278734</wp:posOffset>
          </wp:positionV>
          <wp:extent cx="1200647" cy="646667"/>
          <wp:effectExtent l="0" t="0" r="0" b="1270"/>
          <wp:wrapNone/>
          <wp:docPr id="9" name="Imagen 9"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647" cy="6466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E89"/>
    <w:multiLevelType w:val="hybridMultilevel"/>
    <w:tmpl w:val="7AF0BDCE"/>
    <w:lvl w:ilvl="0" w:tplc="0C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27D1C97"/>
    <w:multiLevelType w:val="hybridMultilevel"/>
    <w:tmpl w:val="1C38FA7E"/>
    <w:lvl w:ilvl="0" w:tplc="0C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3BB59F8"/>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4473CCE"/>
    <w:multiLevelType w:val="hybridMultilevel"/>
    <w:tmpl w:val="4B103640"/>
    <w:lvl w:ilvl="0" w:tplc="A4D61232">
      <w:start w:val="1"/>
      <w:numFmt w:val="upperRoman"/>
      <w:lvlText w:val="%1."/>
      <w:lvlJc w:val="right"/>
      <w:pPr>
        <w:ind w:left="72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07853015"/>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0B697679"/>
    <w:multiLevelType w:val="multilevel"/>
    <w:tmpl w:val="5196375A"/>
    <w:lvl w:ilvl="0">
      <w:start w:val="1"/>
      <w:numFmt w:val="decimal"/>
      <w:lvlText w:val="%1"/>
      <w:lvlJc w:val="left"/>
      <w:pPr>
        <w:ind w:left="432" w:hanging="432"/>
      </w:pPr>
    </w:lvl>
    <w:lvl w:ilvl="1">
      <w:start w:val="1"/>
      <w:numFmt w:val="decimal"/>
      <w:lvlText w:val="%1.%2"/>
      <w:lvlJc w:val="left"/>
      <w:pPr>
        <w:ind w:left="576" w:hanging="576"/>
      </w:pPr>
      <w:rPr>
        <w:sz w:val="24"/>
      </w:rPr>
    </w:lvl>
    <w:lvl w:ilvl="2">
      <w:start w:val="1"/>
      <w:numFmt w:val="decimal"/>
      <w:lvlText w:val="%1.%2.%3"/>
      <w:lvlJc w:val="left"/>
      <w:pPr>
        <w:ind w:left="720" w:hanging="720"/>
      </w:pPr>
      <w:rPr>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3972FEB"/>
    <w:multiLevelType w:val="hybridMultilevel"/>
    <w:tmpl w:val="35880250"/>
    <w:lvl w:ilvl="0" w:tplc="F1C806A4">
      <w:start w:val="1"/>
      <w:numFmt w:val="decimal"/>
      <w:lvlText w:val="%1."/>
      <w:lvlJc w:val="left"/>
      <w:pPr>
        <w:ind w:left="360" w:hanging="360"/>
      </w:pPr>
    </w:lvl>
    <w:lvl w:ilvl="1" w:tplc="FB20A3A0">
      <w:start w:val="1"/>
      <w:numFmt w:val="lowerLetter"/>
      <w:lvlText w:val="%2."/>
      <w:lvlJc w:val="left"/>
      <w:pPr>
        <w:ind w:left="1080" w:hanging="360"/>
      </w:p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nsid w:val="14AB16AC"/>
    <w:multiLevelType w:val="multilevel"/>
    <w:tmpl w:val="8B7EFC10"/>
    <w:lvl w:ilvl="0">
      <w:start w:val="1"/>
      <w:numFmt w:val="decimal"/>
      <w:lvlText w:val="%1"/>
      <w:lvlJc w:val="left"/>
      <w:pPr>
        <w:ind w:left="432" w:hanging="432"/>
      </w:pPr>
    </w:lvl>
    <w:lvl w:ilvl="1">
      <w:start w:val="1"/>
      <w:numFmt w:val="decimal"/>
      <w:lvlText w:val="%1.%2"/>
      <w:lvlJc w:val="left"/>
      <w:pPr>
        <w:ind w:left="576" w:hanging="576"/>
      </w:pPr>
      <w:rPr>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BD9147F"/>
    <w:multiLevelType w:val="hybridMultilevel"/>
    <w:tmpl w:val="130AE652"/>
    <w:lvl w:ilvl="0" w:tplc="09D23100">
      <w:start w:val="5"/>
      <w:numFmt w:val="upperRoman"/>
      <w:lvlText w:val="%1."/>
      <w:lvlJc w:val="righ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4F73211"/>
    <w:multiLevelType w:val="multilevel"/>
    <w:tmpl w:val="E8A241E2"/>
    <w:lvl w:ilvl="0">
      <w:start w:val="1"/>
      <w:numFmt w:val="decimal"/>
      <w:lvlText w:val="%1"/>
      <w:lvlJc w:val="left"/>
      <w:pPr>
        <w:ind w:left="432" w:hanging="432"/>
      </w:pPr>
      <w:rPr>
        <w:rFonts w:hint="default"/>
      </w:rPr>
    </w:lvl>
    <w:lvl w:ilvl="1">
      <w:start w:val="3"/>
      <w:numFmt w:val="upperRoman"/>
      <w:lvlText w:val="%2."/>
      <w:lvlJc w:val="righ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5E30E8A"/>
    <w:multiLevelType w:val="hybridMultilevel"/>
    <w:tmpl w:val="F2E4BE5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1">
    <w:nsid w:val="36C2746E"/>
    <w:multiLevelType w:val="hybridMultilevel"/>
    <w:tmpl w:val="0AA6C2AE"/>
    <w:lvl w:ilvl="0" w:tplc="FFEA7566">
      <w:start w:val="3"/>
      <w:numFmt w:val="upperRoman"/>
      <w:lvlText w:val="%1."/>
      <w:lvlJc w:val="right"/>
      <w:pPr>
        <w:ind w:left="720" w:hanging="360"/>
      </w:pPr>
      <w:rPr>
        <w:rFonts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383D346C"/>
    <w:multiLevelType w:val="hybridMultilevel"/>
    <w:tmpl w:val="B956B0C4"/>
    <w:lvl w:ilvl="0" w:tplc="C94C1552">
      <w:start w:val="4"/>
      <w:numFmt w:val="upperRoman"/>
      <w:lvlText w:val="%1."/>
      <w:lvlJc w:val="righ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392E4621"/>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D9D7514"/>
    <w:multiLevelType w:val="multilevel"/>
    <w:tmpl w:val="96F0F9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0291A75"/>
    <w:multiLevelType w:val="multilevel"/>
    <w:tmpl w:val="482AC1A8"/>
    <w:lvl w:ilvl="0">
      <w:start w:val="2"/>
      <w:numFmt w:val="upperRoman"/>
      <w:lvlText w:val="%1."/>
      <w:lvlJc w:val="right"/>
      <w:pPr>
        <w:ind w:left="432" w:hanging="432"/>
      </w:pPr>
      <w:rPr>
        <w:rFonts w:ascii="Times New Roman" w:hAnsi="Times New Roman" w:cs="Times New Roman" w:hint="default"/>
        <w:b/>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4547A91"/>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C58212D"/>
    <w:multiLevelType w:val="multilevel"/>
    <w:tmpl w:val="645EBE7E"/>
    <w:lvl w:ilvl="0">
      <w:start w:val="4"/>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E5976C3"/>
    <w:multiLevelType w:val="hybridMultilevel"/>
    <w:tmpl w:val="D082B0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51F2737A"/>
    <w:multiLevelType w:val="hybridMultilevel"/>
    <w:tmpl w:val="BF9674C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5E2D2C9E"/>
    <w:multiLevelType w:val="hybridMultilevel"/>
    <w:tmpl w:val="4328D578"/>
    <w:lvl w:ilvl="0" w:tplc="100A0019">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576"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22">
    <w:nsid w:val="684E363B"/>
    <w:multiLevelType w:val="hybridMultilevel"/>
    <w:tmpl w:val="4754F740"/>
    <w:lvl w:ilvl="0" w:tplc="0C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6D773843"/>
    <w:multiLevelType w:val="multilevel"/>
    <w:tmpl w:val="F0BE6FEA"/>
    <w:lvl w:ilvl="0">
      <w:start w:val="1"/>
      <w:numFmt w:val="upperRoman"/>
      <w:lvlText w:val="%1."/>
      <w:lvlJc w:val="right"/>
      <w:pPr>
        <w:ind w:left="432" w:hanging="432"/>
      </w:pPr>
      <w:rPr>
        <w:rFonts w:hint="default"/>
        <w:sz w:val="24"/>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E230F53"/>
    <w:multiLevelType w:val="multilevel"/>
    <w:tmpl w:val="EA403424"/>
    <w:lvl w:ilvl="0">
      <w:start w:val="1"/>
      <w:numFmt w:val="decimal"/>
      <w:lvlText w:val="%1"/>
      <w:lvlJc w:val="left"/>
      <w:pPr>
        <w:ind w:left="432" w:hanging="432"/>
      </w:pPr>
    </w:lvl>
    <w:lvl w:ilvl="1">
      <w:start w:val="1"/>
      <w:numFmt w:val="decimal"/>
      <w:lvlText w:val="%1.%2"/>
      <w:lvlJc w:val="left"/>
      <w:pPr>
        <w:ind w:left="576" w:hanging="576"/>
      </w:pPr>
      <w:rPr>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741A5378"/>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75157765"/>
    <w:multiLevelType w:val="multilevel"/>
    <w:tmpl w:val="47505616"/>
    <w:lvl w:ilvl="0">
      <w:start w:val="1"/>
      <w:numFmt w:val="upperRoman"/>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7F0C38DF"/>
    <w:multiLevelType w:val="multilevel"/>
    <w:tmpl w:val="77B60F10"/>
    <w:lvl w:ilvl="0">
      <w:start w:val="1"/>
      <w:numFmt w:val="decimal"/>
      <w:lvlText w:val="%1"/>
      <w:lvlJc w:val="left"/>
      <w:pPr>
        <w:ind w:left="432" w:hanging="432"/>
      </w:pPr>
    </w:lvl>
    <w:lvl w:ilvl="1">
      <w:start w:val="1"/>
      <w:numFmt w:val="decimal"/>
      <w:lvlText w:val="%1.%2"/>
      <w:lvlJc w:val="left"/>
      <w:pPr>
        <w:ind w:left="576" w:hanging="576"/>
      </w:pPr>
      <w:rPr>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10"/>
  </w:num>
  <w:num w:numId="3">
    <w:abstractNumId w:val="18"/>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
  </w:num>
  <w:num w:numId="8">
    <w:abstractNumId w:val="14"/>
  </w:num>
  <w:num w:numId="9">
    <w:abstractNumId w:val="14"/>
  </w:num>
  <w:num w:numId="10">
    <w:abstractNumId w:val="14"/>
  </w:num>
  <w:num w:numId="11">
    <w:abstractNumId w:val="15"/>
  </w:num>
  <w:num w:numId="12">
    <w:abstractNumId w:val="21"/>
  </w:num>
  <w:num w:numId="13">
    <w:abstractNumId w:val="5"/>
  </w:num>
  <w:num w:numId="14">
    <w:abstractNumId w:val="23"/>
  </w:num>
  <w:num w:numId="15">
    <w:abstractNumId w:val="22"/>
  </w:num>
  <w:num w:numId="16">
    <w:abstractNumId w:val="11"/>
  </w:num>
  <w:num w:numId="17">
    <w:abstractNumId w:val="7"/>
  </w:num>
  <w:num w:numId="18">
    <w:abstractNumId w:val="24"/>
  </w:num>
  <w:num w:numId="19">
    <w:abstractNumId w:val="0"/>
  </w:num>
  <w:num w:numId="20">
    <w:abstractNumId w:val="12"/>
  </w:num>
  <w:num w:numId="21">
    <w:abstractNumId w:val="9"/>
  </w:num>
  <w:num w:numId="22">
    <w:abstractNumId w:val="16"/>
  </w:num>
  <w:num w:numId="23">
    <w:abstractNumId w:val="1"/>
  </w:num>
  <w:num w:numId="24">
    <w:abstractNumId w:val="8"/>
  </w:num>
  <w:num w:numId="25">
    <w:abstractNumId w:val="13"/>
  </w:num>
  <w:num w:numId="26">
    <w:abstractNumId w:val="26"/>
  </w:num>
  <w:num w:numId="27">
    <w:abstractNumId w:val="17"/>
  </w:num>
  <w:num w:numId="28">
    <w:abstractNumId w:val="2"/>
  </w:num>
  <w:num w:numId="29">
    <w:abstractNumId w:val="4"/>
  </w:num>
  <w:num w:numId="30">
    <w:abstractNumId w:val="27"/>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8C9"/>
    <w:rsid w:val="00000D6B"/>
    <w:rsid w:val="000208A0"/>
    <w:rsid w:val="00022004"/>
    <w:rsid w:val="00024177"/>
    <w:rsid w:val="00031215"/>
    <w:rsid w:val="00036714"/>
    <w:rsid w:val="00041C5A"/>
    <w:rsid w:val="00042C18"/>
    <w:rsid w:val="00047A77"/>
    <w:rsid w:val="0005199E"/>
    <w:rsid w:val="000574C8"/>
    <w:rsid w:val="00057983"/>
    <w:rsid w:val="00063657"/>
    <w:rsid w:val="00064311"/>
    <w:rsid w:val="00065C38"/>
    <w:rsid w:val="000741AA"/>
    <w:rsid w:val="00077D2C"/>
    <w:rsid w:val="00081355"/>
    <w:rsid w:val="00084C7C"/>
    <w:rsid w:val="00085259"/>
    <w:rsid w:val="00086319"/>
    <w:rsid w:val="0009124C"/>
    <w:rsid w:val="00097303"/>
    <w:rsid w:val="000973C4"/>
    <w:rsid w:val="000A074D"/>
    <w:rsid w:val="000A113D"/>
    <w:rsid w:val="000C664F"/>
    <w:rsid w:val="000C6ED2"/>
    <w:rsid w:val="000E2912"/>
    <w:rsid w:val="00101F85"/>
    <w:rsid w:val="00115D94"/>
    <w:rsid w:val="00116509"/>
    <w:rsid w:val="0011733C"/>
    <w:rsid w:val="00124DC7"/>
    <w:rsid w:val="00126BFA"/>
    <w:rsid w:val="0013454C"/>
    <w:rsid w:val="001453DA"/>
    <w:rsid w:val="00150485"/>
    <w:rsid w:val="0015291C"/>
    <w:rsid w:val="001603C4"/>
    <w:rsid w:val="001611AA"/>
    <w:rsid w:val="00166006"/>
    <w:rsid w:val="001713B5"/>
    <w:rsid w:val="00174386"/>
    <w:rsid w:val="001944C2"/>
    <w:rsid w:val="0019669A"/>
    <w:rsid w:val="001972E7"/>
    <w:rsid w:val="001A6B14"/>
    <w:rsid w:val="001B327C"/>
    <w:rsid w:val="001B5526"/>
    <w:rsid w:val="001B7346"/>
    <w:rsid w:val="001C4723"/>
    <w:rsid w:val="001C7EB0"/>
    <w:rsid w:val="001D10A0"/>
    <w:rsid w:val="001D6CEA"/>
    <w:rsid w:val="001E1CC5"/>
    <w:rsid w:val="001E365B"/>
    <w:rsid w:val="001F1E38"/>
    <w:rsid w:val="001F2AE5"/>
    <w:rsid w:val="001F3CB3"/>
    <w:rsid w:val="002026DD"/>
    <w:rsid w:val="00210599"/>
    <w:rsid w:val="00214E11"/>
    <w:rsid w:val="00226C25"/>
    <w:rsid w:val="00227DF2"/>
    <w:rsid w:val="00230F3A"/>
    <w:rsid w:val="00232EBE"/>
    <w:rsid w:val="00233FED"/>
    <w:rsid w:val="002412C9"/>
    <w:rsid w:val="00244184"/>
    <w:rsid w:val="00256D34"/>
    <w:rsid w:val="00270E0B"/>
    <w:rsid w:val="0027239E"/>
    <w:rsid w:val="00274C2A"/>
    <w:rsid w:val="00277EFB"/>
    <w:rsid w:val="00280008"/>
    <w:rsid w:val="00280AA3"/>
    <w:rsid w:val="0028185D"/>
    <w:rsid w:val="00282F7C"/>
    <w:rsid w:val="00284356"/>
    <w:rsid w:val="00285C61"/>
    <w:rsid w:val="002910C0"/>
    <w:rsid w:val="00293394"/>
    <w:rsid w:val="002A14DD"/>
    <w:rsid w:val="002A2846"/>
    <w:rsid w:val="002A2F1F"/>
    <w:rsid w:val="002A6DBD"/>
    <w:rsid w:val="002A735D"/>
    <w:rsid w:val="002C2737"/>
    <w:rsid w:val="002C3074"/>
    <w:rsid w:val="002C4656"/>
    <w:rsid w:val="002C5FA6"/>
    <w:rsid w:val="002C6FC6"/>
    <w:rsid w:val="002E6A45"/>
    <w:rsid w:val="0030187D"/>
    <w:rsid w:val="00305579"/>
    <w:rsid w:val="00312661"/>
    <w:rsid w:val="00317E12"/>
    <w:rsid w:val="003246B9"/>
    <w:rsid w:val="00326B27"/>
    <w:rsid w:val="00333BD0"/>
    <w:rsid w:val="00334533"/>
    <w:rsid w:val="00346895"/>
    <w:rsid w:val="00350199"/>
    <w:rsid w:val="003632B0"/>
    <w:rsid w:val="003649B7"/>
    <w:rsid w:val="00364EE0"/>
    <w:rsid w:val="003729F9"/>
    <w:rsid w:val="00373F7C"/>
    <w:rsid w:val="003845CA"/>
    <w:rsid w:val="003866E6"/>
    <w:rsid w:val="0039502C"/>
    <w:rsid w:val="003B50C4"/>
    <w:rsid w:val="003B5A22"/>
    <w:rsid w:val="003C48E0"/>
    <w:rsid w:val="003E03F0"/>
    <w:rsid w:val="003E3C09"/>
    <w:rsid w:val="003F5E9C"/>
    <w:rsid w:val="003F7646"/>
    <w:rsid w:val="00405BC8"/>
    <w:rsid w:val="00422B89"/>
    <w:rsid w:val="004327FF"/>
    <w:rsid w:val="0043467C"/>
    <w:rsid w:val="00450120"/>
    <w:rsid w:val="00454F20"/>
    <w:rsid w:val="00460336"/>
    <w:rsid w:val="00462B38"/>
    <w:rsid w:val="004705FF"/>
    <w:rsid w:val="00472590"/>
    <w:rsid w:val="00475C3F"/>
    <w:rsid w:val="00480503"/>
    <w:rsid w:val="00490393"/>
    <w:rsid w:val="004B6F44"/>
    <w:rsid w:val="004B78B5"/>
    <w:rsid w:val="004C0B51"/>
    <w:rsid w:val="004C5A3D"/>
    <w:rsid w:val="004C6586"/>
    <w:rsid w:val="004D0879"/>
    <w:rsid w:val="004D25D6"/>
    <w:rsid w:val="004D6928"/>
    <w:rsid w:val="004E1C7B"/>
    <w:rsid w:val="004E5F2E"/>
    <w:rsid w:val="004E768B"/>
    <w:rsid w:val="004F3F0D"/>
    <w:rsid w:val="005058C9"/>
    <w:rsid w:val="00511BF7"/>
    <w:rsid w:val="00515061"/>
    <w:rsid w:val="00533DA7"/>
    <w:rsid w:val="00536A96"/>
    <w:rsid w:val="00550B91"/>
    <w:rsid w:val="0055170F"/>
    <w:rsid w:val="005544FB"/>
    <w:rsid w:val="00555E66"/>
    <w:rsid w:val="00557268"/>
    <w:rsid w:val="00564625"/>
    <w:rsid w:val="005677E2"/>
    <w:rsid w:val="0057541C"/>
    <w:rsid w:val="005820D9"/>
    <w:rsid w:val="0058784E"/>
    <w:rsid w:val="00591A68"/>
    <w:rsid w:val="0059661F"/>
    <w:rsid w:val="005A14A4"/>
    <w:rsid w:val="005A4DA4"/>
    <w:rsid w:val="005B1388"/>
    <w:rsid w:val="005B78B2"/>
    <w:rsid w:val="005C2022"/>
    <w:rsid w:val="005C4147"/>
    <w:rsid w:val="005E75AF"/>
    <w:rsid w:val="005F147E"/>
    <w:rsid w:val="005F25DC"/>
    <w:rsid w:val="005F7830"/>
    <w:rsid w:val="00600380"/>
    <w:rsid w:val="0061288F"/>
    <w:rsid w:val="00612BA3"/>
    <w:rsid w:val="00612E4E"/>
    <w:rsid w:val="006201F7"/>
    <w:rsid w:val="00620CD2"/>
    <w:rsid w:val="00630FD7"/>
    <w:rsid w:val="0064034C"/>
    <w:rsid w:val="006436C7"/>
    <w:rsid w:val="00655131"/>
    <w:rsid w:val="006562A0"/>
    <w:rsid w:val="0065664C"/>
    <w:rsid w:val="00656A23"/>
    <w:rsid w:val="006602B1"/>
    <w:rsid w:val="00661BC9"/>
    <w:rsid w:val="00662CFF"/>
    <w:rsid w:val="00666969"/>
    <w:rsid w:val="006A235F"/>
    <w:rsid w:val="006B4AB0"/>
    <w:rsid w:val="006C2BEB"/>
    <w:rsid w:val="006C3C17"/>
    <w:rsid w:val="006D73AE"/>
    <w:rsid w:val="006E18F5"/>
    <w:rsid w:val="006F165A"/>
    <w:rsid w:val="00702E72"/>
    <w:rsid w:val="0071284B"/>
    <w:rsid w:val="00714C9F"/>
    <w:rsid w:val="00724D75"/>
    <w:rsid w:val="00731729"/>
    <w:rsid w:val="00731B5D"/>
    <w:rsid w:val="007340AB"/>
    <w:rsid w:val="00751351"/>
    <w:rsid w:val="007532DE"/>
    <w:rsid w:val="00754F3F"/>
    <w:rsid w:val="00761F23"/>
    <w:rsid w:val="00762478"/>
    <w:rsid w:val="00770E8F"/>
    <w:rsid w:val="0077110C"/>
    <w:rsid w:val="007904F9"/>
    <w:rsid w:val="0079695D"/>
    <w:rsid w:val="007A2CB9"/>
    <w:rsid w:val="007C13FD"/>
    <w:rsid w:val="007C2E94"/>
    <w:rsid w:val="007C572B"/>
    <w:rsid w:val="007D25A6"/>
    <w:rsid w:val="007D5574"/>
    <w:rsid w:val="007D6C1D"/>
    <w:rsid w:val="007E2A14"/>
    <w:rsid w:val="007F3041"/>
    <w:rsid w:val="008065EC"/>
    <w:rsid w:val="00807DE7"/>
    <w:rsid w:val="008141A2"/>
    <w:rsid w:val="00822B19"/>
    <w:rsid w:val="00847216"/>
    <w:rsid w:val="008514B8"/>
    <w:rsid w:val="0085218B"/>
    <w:rsid w:val="00864137"/>
    <w:rsid w:val="00880D9D"/>
    <w:rsid w:val="008A0299"/>
    <w:rsid w:val="008A46AE"/>
    <w:rsid w:val="008B11B9"/>
    <w:rsid w:val="008B750E"/>
    <w:rsid w:val="008C75D3"/>
    <w:rsid w:val="008D1B94"/>
    <w:rsid w:val="008E0749"/>
    <w:rsid w:val="008E6680"/>
    <w:rsid w:val="008E7579"/>
    <w:rsid w:val="008F4062"/>
    <w:rsid w:val="008F4D0C"/>
    <w:rsid w:val="00904593"/>
    <w:rsid w:val="00927F68"/>
    <w:rsid w:val="00933CB9"/>
    <w:rsid w:val="00936426"/>
    <w:rsid w:val="00940318"/>
    <w:rsid w:val="00945EAC"/>
    <w:rsid w:val="00955B30"/>
    <w:rsid w:val="00955BF6"/>
    <w:rsid w:val="009567DB"/>
    <w:rsid w:val="0097138D"/>
    <w:rsid w:val="009949C8"/>
    <w:rsid w:val="00995E89"/>
    <w:rsid w:val="0099655E"/>
    <w:rsid w:val="009A02FF"/>
    <w:rsid w:val="009A1572"/>
    <w:rsid w:val="009B230C"/>
    <w:rsid w:val="009B4331"/>
    <w:rsid w:val="009B4CB7"/>
    <w:rsid w:val="009B5636"/>
    <w:rsid w:val="009C2AFA"/>
    <w:rsid w:val="009C6357"/>
    <w:rsid w:val="009D1DB5"/>
    <w:rsid w:val="009D340A"/>
    <w:rsid w:val="009E39EB"/>
    <w:rsid w:val="009E5464"/>
    <w:rsid w:val="009E6BF2"/>
    <w:rsid w:val="009E74A6"/>
    <w:rsid w:val="00A03421"/>
    <w:rsid w:val="00A15A14"/>
    <w:rsid w:val="00A272E2"/>
    <w:rsid w:val="00A3067F"/>
    <w:rsid w:val="00A32456"/>
    <w:rsid w:val="00A32870"/>
    <w:rsid w:val="00A4209C"/>
    <w:rsid w:val="00A420E8"/>
    <w:rsid w:val="00A430EA"/>
    <w:rsid w:val="00A43D67"/>
    <w:rsid w:val="00A43DE0"/>
    <w:rsid w:val="00A5727F"/>
    <w:rsid w:val="00A619AB"/>
    <w:rsid w:val="00A73892"/>
    <w:rsid w:val="00A84ECC"/>
    <w:rsid w:val="00A86634"/>
    <w:rsid w:val="00A91FF3"/>
    <w:rsid w:val="00A9303D"/>
    <w:rsid w:val="00A9412D"/>
    <w:rsid w:val="00A96B2A"/>
    <w:rsid w:val="00AB7941"/>
    <w:rsid w:val="00AC131E"/>
    <w:rsid w:val="00AD00D2"/>
    <w:rsid w:val="00AD0A05"/>
    <w:rsid w:val="00AD1595"/>
    <w:rsid w:val="00AD2376"/>
    <w:rsid w:val="00AE2A3C"/>
    <w:rsid w:val="00AE36A1"/>
    <w:rsid w:val="00AE6F52"/>
    <w:rsid w:val="00AF2FFB"/>
    <w:rsid w:val="00B03A24"/>
    <w:rsid w:val="00B14869"/>
    <w:rsid w:val="00B163EC"/>
    <w:rsid w:val="00B20E91"/>
    <w:rsid w:val="00B21418"/>
    <w:rsid w:val="00B24601"/>
    <w:rsid w:val="00B25669"/>
    <w:rsid w:val="00B326C5"/>
    <w:rsid w:val="00B36272"/>
    <w:rsid w:val="00B41895"/>
    <w:rsid w:val="00B43553"/>
    <w:rsid w:val="00B435E5"/>
    <w:rsid w:val="00B6124F"/>
    <w:rsid w:val="00B67EC0"/>
    <w:rsid w:val="00B710F4"/>
    <w:rsid w:val="00B84973"/>
    <w:rsid w:val="00B922D8"/>
    <w:rsid w:val="00B93D65"/>
    <w:rsid w:val="00B95B9D"/>
    <w:rsid w:val="00BA2891"/>
    <w:rsid w:val="00BC0391"/>
    <w:rsid w:val="00BC5499"/>
    <w:rsid w:val="00BC568C"/>
    <w:rsid w:val="00BC6054"/>
    <w:rsid w:val="00BD0C98"/>
    <w:rsid w:val="00BE0EEE"/>
    <w:rsid w:val="00BE6A02"/>
    <w:rsid w:val="00BF3B52"/>
    <w:rsid w:val="00BF6106"/>
    <w:rsid w:val="00BF700C"/>
    <w:rsid w:val="00C121AB"/>
    <w:rsid w:val="00C17644"/>
    <w:rsid w:val="00C17B32"/>
    <w:rsid w:val="00C25A33"/>
    <w:rsid w:val="00C34A59"/>
    <w:rsid w:val="00C34DA4"/>
    <w:rsid w:val="00C36883"/>
    <w:rsid w:val="00C568F6"/>
    <w:rsid w:val="00C64F57"/>
    <w:rsid w:val="00C66A22"/>
    <w:rsid w:val="00C75E1A"/>
    <w:rsid w:val="00C8516B"/>
    <w:rsid w:val="00C90ACE"/>
    <w:rsid w:val="00C97DEB"/>
    <w:rsid w:val="00CA218B"/>
    <w:rsid w:val="00CB0CC8"/>
    <w:rsid w:val="00CB3317"/>
    <w:rsid w:val="00CC027F"/>
    <w:rsid w:val="00CC5E88"/>
    <w:rsid w:val="00CC66A7"/>
    <w:rsid w:val="00CD30EB"/>
    <w:rsid w:val="00CD6863"/>
    <w:rsid w:val="00CE6196"/>
    <w:rsid w:val="00CE6297"/>
    <w:rsid w:val="00CE7464"/>
    <w:rsid w:val="00CF336A"/>
    <w:rsid w:val="00CF4D9B"/>
    <w:rsid w:val="00CF4E70"/>
    <w:rsid w:val="00CF66A4"/>
    <w:rsid w:val="00D264DA"/>
    <w:rsid w:val="00D43F14"/>
    <w:rsid w:val="00D4719A"/>
    <w:rsid w:val="00D5489E"/>
    <w:rsid w:val="00D66A07"/>
    <w:rsid w:val="00D755AF"/>
    <w:rsid w:val="00D80F4D"/>
    <w:rsid w:val="00D836D0"/>
    <w:rsid w:val="00D85493"/>
    <w:rsid w:val="00D86836"/>
    <w:rsid w:val="00D966CF"/>
    <w:rsid w:val="00DA2C98"/>
    <w:rsid w:val="00DA3702"/>
    <w:rsid w:val="00DA3A12"/>
    <w:rsid w:val="00DB1801"/>
    <w:rsid w:val="00DB3C57"/>
    <w:rsid w:val="00DB3EF7"/>
    <w:rsid w:val="00DB4F57"/>
    <w:rsid w:val="00DC2316"/>
    <w:rsid w:val="00DC39B4"/>
    <w:rsid w:val="00DD3404"/>
    <w:rsid w:val="00DD35D3"/>
    <w:rsid w:val="00DE5119"/>
    <w:rsid w:val="00DE617D"/>
    <w:rsid w:val="00E01ABB"/>
    <w:rsid w:val="00E03C8D"/>
    <w:rsid w:val="00E152F8"/>
    <w:rsid w:val="00E16B8F"/>
    <w:rsid w:val="00E17DEB"/>
    <w:rsid w:val="00E23518"/>
    <w:rsid w:val="00E2483C"/>
    <w:rsid w:val="00E31EB2"/>
    <w:rsid w:val="00E3204A"/>
    <w:rsid w:val="00E34EA1"/>
    <w:rsid w:val="00E3603A"/>
    <w:rsid w:val="00E36300"/>
    <w:rsid w:val="00E40CB9"/>
    <w:rsid w:val="00E459DF"/>
    <w:rsid w:val="00E50146"/>
    <w:rsid w:val="00E514A3"/>
    <w:rsid w:val="00E573F0"/>
    <w:rsid w:val="00E57AB3"/>
    <w:rsid w:val="00E6387A"/>
    <w:rsid w:val="00E7032B"/>
    <w:rsid w:val="00E75465"/>
    <w:rsid w:val="00E83DF1"/>
    <w:rsid w:val="00E85236"/>
    <w:rsid w:val="00E915B4"/>
    <w:rsid w:val="00EA03B0"/>
    <w:rsid w:val="00EA1A53"/>
    <w:rsid w:val="00EB01D7"/>
    <w:rsid w:val="00EB26F9"/>
    <w:rsid w:val="00ED1197"/>
    <w:rsid w:val="00ED1493"/>
    <w:rsid w:val="00ED3CE8"/>
    <w:rsid w:val="00EF4357"/>
    <w:rsid w:val="00EF5E98"/>
    <w:rsid w:val="00EF703E"/>
    <w:rsid w:val="00F0276E"/>
    <w:rsid w:val="00F02DC5"/>
    <w:rsid w:val="00F041FF"/>
    <w:rsid w:val="00F12394"/>
    <w:rsid w:val="00F12C3B"/>
    <w:rsid w:val="00F13D35"/>
    <w:rsid w:val="00F13E77"/>
    <w:rsid w:val="00F23C1F"/>
    <w:rsid w:val="00F251C5"/>
    <w:rsid w:val="00F31C49"/>
    <w:rsid w:val="00F3713D"/>
    <w:rsid w:val="00F50827"/>
    <w:rsid w:val="00F511D6"/>
    <w:rsid w:val="00F667FC"/>
    <w:rsid w:val="00F72B31"/>
    <w:rsid w:val="00F76976"/>
    <w:rsid w:val="00F77B69"/>
    <w:rsid w:val="00F80252"/>
    <w:rsid w:val="00F94208"/>
    <w:rsid w:val="00F95B31"/>
    <w:rsid w:val="00FB4A80"/>
    <w:rsid w:val="00FC1377"/>
    <w:rsid w:val="00FE227D"/>
    <w:rsid w:val="00FE755E"/>
    <w:rsid w:val="00FF56A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GT"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F52"/>
  </w:style>
  <w:style w:type="paragraph" w:styleId="Ttulo1">
    <w:name w:val="heading 1"/>
    <w:basedOn w:val="Normal"/>
    <w:next w:val="Normal"/>
    <w:link w:val="Ttulo1Car"/>
    <w:qFormat/>
    <w:rsid w:val="00AE6F52"/>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nhideWhenUsed/>
    <w:qFormat/>
    <w:rsid w:val="00AE6F52"/>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AE6F52"/>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AE6F52"/>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AE6F52"/>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AE6F52"/>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AE6F52"/>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AE6F52"/>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AE6F52"/>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58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58C9"/>
    <w:rPr>
      <w:rFonts w:ascii="Tahoma" w:hAnsi="Tahoma" w:cs="Tahoma"/>
      <w:sz w:val="16"/>
      <w:szCs w:val="16"/>
    </w:rPr>
  </w:style>
  <w:style w:type="table" w:styleId="Tablaconcuadrcula">
    <w:name w:val="Table Grid"/>
    <w:basedOn w:val="Tablanormal"/>
    <w:uiPriority w:val="39"/>
    <w:rsid w:val="009B2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E6F52"/>
    <w:pPr>
      <w:spacing w:after="0" w:line="240" w:lineRule="auto"/>
    </w:pPr>
  </w:style>
  <w:style w:type="character" w:styleId="Refdecomentario">
    <w:name w:val="annotation reference"/>
    <w:basedOn w:val="Fuentedeprrafopredeter"/>
    <w:uiPriority w:val="99"/>
    <w:semiHidden/>
    <w:unhideWhenUsed/>
    <w:rsid w:val="00B24601"/>
    <w:rPr>
      <w:sz w:val="16"/>
      <w:szCs w:val="16"/>
    </w:rPr>
  </w:style>
  <w:style w:type="paragraph" w:styleId="Textocomentario">
    <w:name w:val="annotation text"/>
    <w:basedOn w:val="Normal"/>
    <w:link w:val="TextocomentarioCar"/>
    <w:uiPriority w:val="99"/>
    <w:semiHidden/>
    <w:unhideWhenUsed/>
    <w:rsid w:val="00B246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601"/>
    <w:rPr>
      <w:sz w:val="20"/>
      <w:szCs w:val="20"/>
    </w:rPr>
  </w:style>
  <w:style w:type="paragraph" w:styleId="Asuntodelcomentario">
    <w:name w:val="annotation subject"/>
    <w:basedOn w:val="Textocomentario"/>
    <w:next w:val="Textocomentario"/>
    <w:link w:val="AsuntodelcomentarioCar"/>
    <w:uiPriority w:val="99"/>
    <w:semiHidden/>
    <w:unhideWhenUsed/>
    <w:rsid w:val="00B24601"/>
    <w:rPr>
      <w:b/>
      <w:bCs/>
    </w:rPr>
  </w:style>
  <w:style w:type="character" w:customStyle="1" w:styleId="AsuntodelcomentarioCar">
    <w:name w:val="Asunto del comentario Car"/>
    <w:basedOn w:val="TextocomentarioCar"/>
    <w:link w:val="Asuntodelcomentario"/>
    <w:uiPriority w:val="99"/>
    <w:semiHidden/>
    <w:rsid w:val="00B24601"/>
    <w:rPr>
      <w:b/>
      <w:bCs/>
      <w:sz w:val="20"/>
      <w:szCs w:val="20"/>
    </w:rPr>
  </w:style>
  <w:style w:type="paragraph" w:styleId="Textonotapie">
    <w:name w:val="footnote text"/>
    <w:aliases w:val="ft,ft Car,ft Car Car,Texto nota pie2,ft1,ft Car Car Car1,Texto nota pie Car2,ft Car Car2,ft Car Car Car,fn,single space,footnote text,FOOTNOTES,Texto nota pie IIRSA,foottextfra,footnote,F,Char,Footnote Text Char2,Footnote Text Char1 Char1"/>
    <w:basedOn w:val="Normal"/>
    <w:link w:val="TextonotapieCar"/>
    <w:unhideWhenUsed/>
    <w:rsid w:val="004C0B51"/>
    <w:pPr>
      <w:spacing w:after="0" w:line="240" w:lineRule="auto"/>
    </w:pPr>
    <w:rPr>
      <w:sz w:val="20"/>
      <w:szCs w:val="20"/>
    </w:rPr>
  </w:style>
  <w:style w:type="character" w:customStyle="1" w:styleId="TextonotapieCar">
    <w:name w:val="Texto nota pie Car"/>
    <w:aliases w:val="ft Car2,ft Car Car3,ft Car Car Car3,Texto nota pie2 Car1,ft1 Car1,ft Car Car Car1 Car1,Texto nota pie Car2 Car1,ft Car Car2 Car1,ft Car Car Car Car1,fn Car1,single space Car1,footnote text Car1,FOOTNOTES Car1,Texto nota pie IIRSA Car1"/>
    <w:basedOn w:val="Fuentedeprrafopredeter"/>
    <w:link w:val="Textonotapie"/>
    <w:uiPriority w:val="99"/>
    <w:semiHidden/>
    <w:rsid w:val="004C0B51"/>
    <w:rPr>
      <w:sz w:val="20"/>
      <w:szCs w:val="20"/>
    </w:rPr>
  </w:style>
  <w:style w:type="character" w:styleId="Refdenotaalpie">
    <w:name w:val="footnote reference"/>
    <w:aliases w:val="ftref,16 Point,Superscript 6 Point,fr,Footnote Reference Number,Footnote Reference_LVL6,Footnote Reference_LVL61,Footnote Reference_LVL62,Footnote Reference_LVL63,Footnote Reference_LVL64,SUPERS,EN Footnote Reference,number"/>
    <w:basedOn w:val="Fuentedeprrafopredeter"/>
    <w:uiPriority w:val="99"/>
    <w:unhideWhenUsed/>
    <w:rsid w:val="004C0B51"/>
    <w:rPr>
      <w:vertAlign w:val="superscript"/>
    </w:rPr>
  </w:style>
  <w:style w:type="character" w:customStyle="1" w:styleId="Ttulo1Car">
    <w:name w:val="Título 1 Car"/>
    <w:basedOn w:val="Fuentedeprrafopredeter"/>
    <w:link w:val="Ttulo1"/>
    <w:uiPriority w:val="9"/>
    <w:rsid w:val="00AE6F52"/>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rsid w:val="00AE6F52"/>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semiHidden/>
    <w:rsid w:val="00AE6F52"/>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AE6F52"/>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AE6F52"/>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AE6F52"/>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AE6F52"/>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AE6F52"/>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AE6F52"/>
    <w:rPr>
      <w:rFonts w:asciiTheme="majorHAnsi" w:eastAsiaTheme="majorEastAsia" w:hAnsiTheme="majorHAnsi" w:cstheme="majorBidi"/>
      <w:i/>
      <w:iCs/>
      <w:color w:val="F79646" w:themeColor="accent6"/>
      <w:sz w:val="20"/>
      <w:szCs w:val="20"/>
    </w:rPr>
  </w:style>
  <w:style w:type="paragraph" w:styleId="Epgrafe">
    <w:name w:val="caption"/>
    <w:basedOn w:val="Normal"/>
    <w:next w:val="Normal"/>
    <w:uiPriority w:val="35"/>
    <w:unhideWhenUsed/>
    <w:qFormat/>
    <w:rsid w:val="00AE6F52"/>
    <w:pPr>
      <w:spacing w:line="240" w:lineRule="auto"/>
    </w:pPr>
    <w:rPr>
      <w:b/>
      <w:bCs/>
      <w:smallCaps/>
      <w:color w:val="595959" w:themeColor="text1" w:themeTint="A6"/>
    </w:rPr>
  </w:style>
  <w:style w:type="paragraph" w:styleId="Ttulo">
    <w:name w:val="Title"/>
    <w:basedOn w:val="Normal"/>
    <w:next w:val="Normal"/>
    <w:link w:val="TtuloCar"/>
    <w:uiPriority w:val="10"/>
    <w:qFormat/>
    <w:rsid w:val="00AE6F5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E6F52"/>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E6F52"/>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E6F52"/>
    <w:rPr>
      <w:rFonts w:asciiTheme="majorHAnsi" w:eastAsiaTheme="majorEastAsia" w:hAnsiTheme="majorHAnsi" w:cstheme="majorBidi"/>
      <w:sz w:val="30"/>
      <w:szCs w:val="30"/>
    </w:rPr>
  </w:style>
  <w:style w:type="character" w:styleId="Textoennegrita">
    <w:name w:val="Strong"/>
    <w:basedOn w:val="Fuentedeprrafopredeter"/>
    <w:uiPriority w:val="22"/>
    <w:qFormat/>
    <w:rsid w:val="00AE6F52"/>
    <w:rPr>
      <w:b/>
      <w:bCs/>
    </w:rPr>
  </w:style>
  <w:style w:type="character" w:styleId="nfasis">
    <w:name w:val="Emphasis"/>
    <w:basedOn w:val="Fuentedeprrafopredeter"/>
    <w:uiPriority w:val="20"/>
    <w:qFormat/>
    <w:rsid w:val="00AE6F52"/>
    <w:rPr>
      <w:i/>
      <w:iCs/>
      <w:color w:val="F79646" w:themeColor="accent6"/>
    </w:rPr>
  </w:style>
  <w:style w:type="paragraph" w:styleId="Cita">
    <w:name w:val="Quote"/>
    <w:basedOn w:val="Normal"/>
    <w:next w:val="Normal"/>
    <w:link w:val="CitaCar"/>
    <w:uiPriority w:val="29"/>
    <w:qFormat/>
    <w:rsid w:val="00AE6F52"/>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E6F52"/>
    <w:rPr>
      <w:i/>
      <w:iCs/>
      <w:color w:val="262626" w:themeColor="text1" w:themeTint="D9"/>
    </w:rPr>
  </w:style>
  <w:style w:type="paragraph" w:styleId="Citadestacada">
    <w:name w:val="Intense Quote"/>
    <w:basedOn w:val="Normal"/>
    <w:next w:val="Normal"/>
    <w:link w:val="CitadestacadaCar"/>
    <w:uiPriority w:val="30"/>
    <w:qFormat/>
    <w:rsid w:val="00AE6F52"/>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AE6F52"/>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AE6F52"/>
    <w:rPr>
      <w:i/>
      <w:iCs/>
    </w:rPr>
  </w:style>
  <w:style w:type="character" w:styleId="nfasisintenso">
    <w:name w:val="Intense Emphasis"/>
    <w:basedOn w:val="Fuentedeprrafopredeter"/>
    <w:uiPriority w:val="21"/>
    <w:qFormat/>
    <w:rsid w:val="00AE6F52"/>
    <w:rPr>
      <w:b/>
      <w:bCs/>
      <w:i/>
      <w:iCs/>
    </w:rPr>
  </w:style>
  <w:style w:type="character" w:styleId="Referenciasutil">
    <w:name w:val="Subtle Reference"/>
    <w:basedOn w:val="Fuentedeprrafopredeter"/>
    <w:uiPriority w:val="31"/>
    <w:qFormat/>
    <w:rsid w:val="00AE6F52"/>
    <w:rPr>
      <w:smallCaps/>
      <w:color w:val="595959" w:themeColor="text1" w:themeTint="A6"/>
    </w:rPr>
  </w:style>
  <w:style w:type="character" w:styleId="Referenciaintensa">
    <w:name w:val="Intense Reference"/>
    <w:basedOn w:val="Fuentedeprrafopredeter"/>
    <w:uiPriority w:val="32"/>
    <w:qFormat/>
    <w:rsid w:val="00AE6F52"/>
    <w:rPr>
      <w:b/>
      <w:bCs/>
      <w:smallCaps/>
      <w:color w:val="F79646" w:themeColor="accent6"/>
    </w:rPr>
  </w:style>
  <w:style w:type="character" w:styleId="Ttulodellibro">
    <w:name w:val="Book Title"/>
    <w:basedOn w:val="Fuentedeprrafopredeter"/>
    <w:uiPriority w:val="33"/>
    <w:qFormat/>
    <w:rsid w:val="00AE6F52"/>
    <w:rPr>
      <w:b/>
      <w:bCs/>
      <w:caps w:val="0"/>
      <w:smallCaps/>
      <w:spacing w:val="7"/>
      <w:sz w:val="21"/>
      <w:szCs w:val="21"/>
    </w:rPr>
  </w:style>
  <w:style w:type="paragraph" w:styleId="TtulodeTDC">
    <w:name w:val="TOC Heading"/>
    <w:basedOn w:val="Ttulo1"/>
    <w:next w:val="Normal"/>
    <w:uiPriority w:val="39"/>
    <w:unhideWhenUsed/>
    <w:qFormat/>
    <w:rsid w:val="00AE6F52"/>
    <w:pPr>
      <w:outlineLvl w:val="9"/>
    </w:pPr>
  </w:style>
  <w:style w:type="paragraph" w:styleId="Prrafodelista">
    <w:name w:val="List Paragraph"/>
    <w:aliases w:val="Párrafo de lista 2"/>
    <w:basedOn w:val="Normal"/>
    <w:link w:val="PrrafodelistaCar"/>
    <w:uiPriority w:val="34"/>
    <w:qFormat/>
    <w:rsid w:val="00A86634"/>
    <w:pPr>
      <w:spacing w:line="276" w:lineRule="auto"/>
      <w:ind w:left="720"/>
      <w:contextualSpacing/>
    </w:pPr>
    <w:rPr>
      <w:rFonts w:eastAsiaTheme="minorHAnsi"/>
      <w:sz w:val="22"/>
      <w:szCs w:val="22"/>
    </w:rPr>
  </w:style>
  <w:style w:type="character" w:customStyle="1" w:styleId="TextonotapieCar1">
    <w:name w:val="Texto nota pie Car1"/>
    <w:aliases w:val="ft Car1,ft Car Car1,ft Car Car Car2,Texto nota pie2 Car,ft1 Car,ft Car Car Car1 Car,Texto nota pie Car2 Car,ft Car Car2 Car,ft Car Car Car Car,fn Car,single space Car,footnote text Car,FOOTNOTES Car,Texto nota pie IIRSA Car,F Car"/>
    <w:basedOn w:val="Fuentedeprrafopredeter"/>
    <w:rsid w:val="00A86634"/>
    <w:rPr>
      <w:rFonts w:ascii="Times New Roman" w:eastAsia="SimSun" w:hAnsi="Times New Roman" w:cs="Times New Roman"/>
      <w:sz w:val="20"/>
      <w:szCs w:val="20"/>
    </w:rPr>
  </w:style>
  <w:style w:type="character" w:styleId="Hipervnculo">
    <w:name w:val="Hyperlink"/>
    <w:basedOn w:val="Fuentedeprrafopredeter"/>
    <w:uiPriority w:val="99"/>
    <w:unhideWhenUsed/>
    <w:rsid w:val="00A86634"/>
    <w:rPr>
      <w:color w:val="0000FF" w:themeColor="hyperlink"/>
      <w:u w:val="single"/>
    </w:rPr>
  </w:style>
  <w:style w:type="character" w:customStyle="1" w:styleId="PrrafodelistaCar">
    <w:name w:val="Párrafo de lista Car"/>
    <w:aliases w:val="Párrafo de lista 2 Car"/>
    <w:basedOn w:val="Fuentedeprrafopredeter"/>
    <w:link w:val="Prrafodelista"/>
    <w:uiPriority w:val="34"/>
    <w:rsid w:val="00A86634"/>
    <w:rPr>
      <w:rFonts w:eastAsiaTheme="minorHAnsi"/>
      <w:sz w:val="22"/>
      <w:szCs w:val="22"/>
    </w:rPr>
  </w:style>
  <w:style w:type="paragraph" w:customStyle="1" w:styleId="Default">
    <w:name w:val="Default"/>
    <w:rsid w:val="00A86634"/>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ne">
    <w:name w:val="None"/>
    <w:rsid w:val="00A86634"/>
  </w:style>
  <w:style w:type="paragraph" w:styleId="Encabezado">
    <w:name w:val="header"/>
    <w:basedOn w:val="Normal"/>
    <w:link w:val="EncabezadoCar"/>
    <w:uiPriority w:val="99"/>
    <w:unhideWhenUsed/>
    <w:rsid w:val="001173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733C"/>
  </w:style>
  <w:style w:type="paragraph" w:styleId="Piedepgina">
    <w:name w:val="footer"/>
    <w:basedOn w:val="Normal"/>
    <w:link w:val="PiedepginaCar"/>
    <w:uiPriority w:val="99"/>
    <w:unhideWhenUsed/>
    <w:rsid w:val="001173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733C"/>
  </w:style>
  <w:style w:type="paragraph" w:styleId="TDC1">
    <w:name w:val="toc 1"/>
    <w:basedOn w:val="Normal"/>
    <w:next w:val="Normal"/>
    <w:autoRedefine/>
    <w:uiPriority w:val="39"/>
    <w:unhideWhenUsed/>
    <w:rsid w:val="00285C61"/>
    <w:pPr>
      <w:spacing w:after="100"/>
    </w:pPr>
  </w:style>
  <w:style w:type="paragraph" w:styleId="TDC2">
    <w:name w:val="toc 2"/>
    <w:basedOn w:val="Normal"/>
    <w:next w:val="Normal"/>
    <w:autoRedefine/>
    <w:uiPriority w:val="39"/>
    <w:unhideWhenUsed/>
    <w:rsid w:val="00285C61"/>
    <w:pPr>
      <w:spacing w:after="100"/>
      <w:ind w:left="210"/>
    </w:pPr>
  </w:style>
  <w:style w:type="paragraph" w:styleId="TDC3">
    <w:name w:val="toc 3"/>
    <w:basedOn w:val="Normal"/>
    <w:next w:val="Normal"/>
    <w:autoRedefine/>
    <w:uiPriority w:val="39"/>
    <w:unhideWhenUsed/>
    <w:rsid w:val="00285C61"/>
    <w:pPr>
      <w:spacing w:after="100"/>
      <w:ind w:left="420"/>
    </w:pPr>
  </w:style>
  <w:style w:type="paragraph" w:customStyle="1" w:styleId="Ttulo11">
    <w:name w:val="Título 11"/>
    <w:basedOn w:val="Normal"/>
    <w:rsid w:val="00557268"/>
    <w:pPr>
      <w:numPr>
        <w:numId w:val="12"/>
      </w:numPr>
    </w:pPr>
  </w:style>
  <w:style w:type="paragraph" w:customStyle="1" w:styleId="Ttulo21">
    <w:name w:val="Título 21"/>
    <w:basedOn w:val="Normal"/>
    <w:rsid w:val="00557268"/>
    <w:pPr>
      <w:numPr>
        <w:ilvl w:val="1"/>
        <w:numId w:val="12"/>
      </w:numPr>
    </w:pPr>
  </w:style>
  <w:style w:type="paragraph" w:customStyle="1" w:styleId="Ttulo31">
    <w:name w:val="Título 31"/>
    <w:basedOn w:val="Normal"/>
    <w:rsid w:val="00557268"/>
    <w:pPr>
      <w:numPr>
        <w:ilvl w:val="2"/>
        <w:numId w:val="12"/>
      </w:numPr>
    </w:pPr>
  </w:style>
  <w:style w:type="paragraph" w:customStyle="1" w:styleId="Ttulo41">
    <w:name w:val="Título 41"/>
    <w:basedOn w:val="Normal"/>
    <w:rsid w:val="00557268"/>
    <w:pPr>
      <w:numPr>
        <w:ilvl w:val="3"/>
        <w:numId w:val="12"/>
      </w:numPr>
    </w:pPr>
  </w:style>
  <w:style w:type="paragraph" w:customStyle="1" w:styleId="Ttulo51">
    <w:name w:val="Título 51"/>
    <w:basedOn w:val="Normal"/>
    <w:rsid w:val="00557268"/>
    <w:pPr>
      <w:numPr>
        <w:ilvl w:val="4"/>
        <w:numId w:val="12"/>
      </w:numPr>
    </w:pPr>
  </w:style>
  <w:style w:type="paragraph" w:customStyle="1" w:styleId="Ttulo61">
    <w:name w:val="Título 61"/>
    <w:basedOn w:val="Normal"/>
    <w:rsid w:val="00557268"/>
    <w:pPr>
      <w:numPr>
        <w:ilvl w:val="5"/>
        <w:numId w:val="12"/>
      </w:numPr>
    </w:pPr>
  </w:style>
  <w:style w:type="paragraph" w:customStyle="1" w:styleId="Ttulo71">
    <w:name w:val="Título 71"/>
    <w:basedOn w:val="Normal"/>
    <w:rsid w:val="00557268"/>
    <w:pPr>
      <w:numPr>
        <w:ilvl w:val="6"/>
        <w:numId w:val="12"/>
      </w:numPr>
    </w:pPr>
  </w:style>
  <w:style w:type="paragraph" w:customStyle="1" w:styleId="Ttulo81">
    <w:name w:val="Título 81"/>
    <w:basedOn w:val="Normal"/>
    <w:rsid w:val="00557268"/>
    <w:pPr>
      <w:numPr>
        <w:ilvl w:val="7"/>
        <w:numId w:val="12"/>
      </w:numPr>
    </w:pPr>
  </w:style>
  <w:style w:type="paragraph" w:customStyle="1" w:styleId="Ttulo91">
    <w:name w:val="Título 91"/>
    <w:basedOn w:val="Normal"/>
    <w:rsid w:val="00557268"/>
    <w:pPr>
      <w:numPr>
        <w:ilvl w:val="8"/>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GT"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F52"/>
  </w:style>
  <w:style w:type="paragraph" w:styleId="Ttulo1">
    <w:name w:val="heading 1"/>
    <w:basedOn w:val="Normal"/>
    <w:next w:val="Normal"/>
    <w:link w:val="Ttulo1Car"/>
    <w:qFormat/>
    <w:rsid w:val="00AE6F52"/>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nhideWhenUsed/>
    <w:qFormat/>
    <w:rsid w:val="00AE6F52"/>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AE6F52"/>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AE6F52"/>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AE6F52"/>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AE6F52"/>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AE6F52"/>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AE6F52"/>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AE6F52"/>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58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58C9"/>
    <w:rPr>
      <w:rFonts w:ascii="Tahoma" w:hAnsi="Tahoma" w:cs="Tahoma"/>
      <w:sz w:val="16"/>
      <w:szCs w:val="16"/>
    </w:rPr>
  </w:style>
  <w:style w:type="table" w:styleId="Tablaconcuadrcula">
    <w:name w:val="Table Grid"/>
    <w:basedOn w:val="Tablanormal"/>
    <w:uiPriority w:val="39"/>
    <w:rsid w:val="009B2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E6F52"/>
    <w:pPr>
      <w:spacing w:after="0" w:line="240" w:lineRule="auto"/>
    </w:pPr>
  </w:style>
  <w:style w:type="character" w:styleId="Refdecomentario">
    <w:name w:val="annotation reference"/>
    <w:basedOn w:val="Fuentedeprrafopredeter"/>
    <w:uiPriority w:val="99"/>
    <w:semiHidden/>
    <w:unhideWhenUsed/>
    <w:rsid w:val="00B24601"/>
    <w:rPr>
      <w:sz w:val="16"/>
      <w:szCs w:val="16"/>
    </w:rPr>
  </w:style>
  <w:style w:type="paragraph" w:styleId="Textocomentario">
    <w:name w:val="annotation text"/>
    <w:basedOn w:val="Normal"/>
    <w:link w:val="TextocomentarioCar"/>
    <w:uiPriority w:val="99"/>
    <w:semiHidden/>
    <w:unhideWhenUsed/>
    <w:rsid w:val="00B246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601"/>
    <w:rPr>
      <w:sz w:val="20"/>
      <w:szCs w:val="20"/>
    </w:rPr>
  </w:style>
  <w:style w:type="paragraph" w:styleId="Asuntodelcomentario">
    <w:name w:val="annotation subject"/>
    <w:basedOn w:val="Textocomentario"/>
    <w:next w:val="Textocomentario"/>
    <w:link w:val="AsuntodelcomentarioCar"/>
    <w:uiPriority w:val="99"/>
    <w:semiHidden/>
    <w:unhideWhenUsed/>
    <w:rsid w:val="00B24601"/>
    <w:rPr>
      <w:b/>
      <w:bCs/>
    </w:rPr>
  </w:style>
  <w:style w:type="character" w:customStyle="1" w:styleId="AsuntodelcomentarioCar">
    <w:name w:val="Asunto del comentario Car"/>
    <w:basedOn w:val="TextocomentarioCar"/>
    <w:link w:val="Asuntodelcomentario"/>
    <w:uiPriority w:val="99"/>
    <w:semiHidden/>
    <w:rsid w:val="00B24601"/>
    <w:rPr>
      <w:b/>
      <w:bCs/>
      <w:sz w:val="20"/>
      <w:szCs w:val="20"/>
    </w:rPr>
  </w:style>
  <w:style w:type="paragraph" w:styleId="Textonotapie">
    <w:name w:val="footnote text"/>
    <w:aliases w:val="ft,ft Car,ft Car Car,Texto nota pie2,ft1,ft Car Car Car1,Texto nota pie Car2,ft Car Car2,ft Car Car Car,fn,single space,footnote text,FOOTNOTES,Texto nota pie IIRSA,foottextfra,footnote,F,Char,Footnote Text Char2,Footnote Text Char1 Char1"/>
    <w:basedOn w:val="Normal"/>
    <w:link w:val="TextonotapieCar"/>
    <w:unhideWhenUsed/>
    <w:rsid w:val="004C0B51"/>
    <w:pPr>
      <w:spacing w:after="0" w:line="240" w:lineRule="auto"/>
    </w:pPr>
    <w:rPr>
      <w:sz w:val="20"/>
      <w:szCs w:val="20"/>
    </w:rPr>
  </w:style>
  <w:style w:type="character" w:customStyle="1" w:styleId="TextonotapieCar">
    <w:name w:val="Texto nota pie Car"/>
    <w:aliases w:val="ft Car2,ft Car Car3,ft Car Car Car3,Texto nota pie2 Car1,ft1 Car1,ft Car Car Car1 Car1,Texto nota pie Car2 Car1,ft Car Car2 Car1,ft Car Car Car Car1,fn Car1,single space Car1,footnote text Car1,FOOTNOTES Car1,Texto nota pie IIRSA Car1"/>
    <w:basedOn w:val="Fuentedeprrafopredeter"/>
    <w:link w:val="Textonotapie"/>
    <w:uiPriority w:val="99"/>
    <w:semiHidden/>
    <w:rsid w:val="004C0B51"/>
    <w:rPr>
      <w:sz w:val="20"/>
      <w:szCs w:val="20"/>
    </w:rPr>
  </w:style>
  <w:style w:type="character" w:styleId="Refdenotaalpie">
    <w:name w:val="footnote reference"/>
    <w:aliases w:val="ftref,16 Point,Superscript 6 Point,fr,Footnote Reference Number,Footnote Reference_LVL6,Footnote Reference_LVL61,Footnote Reference_LVL62,Footnote Reference_LVL63,Footnote Reference_LVL64,SUPERS,EN Footnote Reference,number"/>
    <w:basedOn w:val="Fuentedeprrafopredeter"/>
    <w:uiPriority w:val="99"/>
    <w:unhideWhenUsed/>
    <w:rsid w:val="004C0B51"/>
    <w:rPr>
      <w:vertAlign w:val="superscript"/>
    </w:rPr>
  </w:style>
  <w:style w:type="character" w:customStyle="1" w:styleId="Ttulo1Car">
    <w:name w:val="Título 1 Car"/>
    <w:basedOn w:val="Fuentedeprrafopredeter"/>
    <w:link w:val="Ttulo1"/>
    <w:uiPriority w:val="9"/>
    <w:rsid w:val="00AE6F52"/>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rsid w:val="00AE6F52"/>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semiHidden/>
    <w:rsid w:val="00AE6F52"/>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AE6F52"/>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AE6F52"/>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AE6F52"/>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AE6F52"/>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AE6F52"/>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AE6F52"/>
    <w:rPr>
      <w:rFonts w:asciiTheme="majorHAnsi" w:eastAsiaTheme="majorEastAsia" w:hAnsiTheme="majorHAnsi" w:cstheme="majorBidi"/>
      <w:i/>
      <w:iCs/>
      <w:color w:val="F79646" w:themeColor="accent6"/>
      <w:sz w:val="20"/>
      <w:szCs w:val="20"/>
    </w:rPr>
  </w:style>
  <w:style w:type="paragraph" w:styleId="Epgrafe">
    <w:name w:val="caption"/>
    <w:basedOn w:val="Normal"/>
    <w:next w:val="Normal"/>
    <w:uiPriority w:val="35"/>
    <w:unhideWhenUsed/>
    <w:qFormat/>
    <w:rsid w:val="00AE6F52"/>
    <w:pPr>
      <w:spacing w:line="240" w:lineRule="auto"/>
    </w:pPr>
    <w:rPr>
      <w:b/>
      <w:bCs/>
      <w:smallCaps/>
      <w:color w:val="595959" w:themeColor="text1" w:themeTint="A6"/>
    </w:rPr>
  </w:style>
  <w:style w:type="paragraph" w:styleId="Ttulo">
    <w:name w:val="Title"/>
    <w:basedOn w:val="Normal"/>
    <w:next w:val="Normal"/>
    <w:link w:val="TtuloCar"/>
    <w:uiPriority w:val="10"/>
    <w:qFormat/>
    <w:rsid w:val="00AE6F5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E6F52"/>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E6F52"/>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E6F52"/>
    <w:rPr>
      <w:rFonts w:asciiTheme="majorHAnsi" w:eastAsiaTheme="majorEastAsia" w:hAnsiTheme="majorHAnsi" w:cstheme="majorBidi"/>
      <w:sz w:val="30"/>
      <w:szCs w:val="30"/>
    </w:rPr>
  </w:style>
  <w:style w:type="character" w:styleId="Textoennegrita">
    <w:name w:val="Strong"/>
    <w:basedOn w:val="Fuentedeprrafopredeter"/>
    <w:uiPriority w:val="22"/>
    <w:qFormat/>
    <w:rsid w:val="00AE6F52"/>
    <w:rPr>
      <w:b/>
      <w:bCs/>
    </w:rPr>
  </w:style>
  <w:style w:type="character" w:styleId="nfasis">
    <w:name w:val="Emphasis"/>
    <w:basedOn w:val="Fuentedeprrafopredeter"/>
    <w:uiPriority w:val="20"/>
    <w:qFormat/>
    <w:rsid w:val="00AE6F52"/>
    <w:rPr>
      <w:i/>
      <w:iCs/>
      <w:color w:val="F79646" w:themeColor="accent6"/>
    </w:rPr>
  </w:style>
  <w:style w:type="paragraph" w:styleId="Cita">
    <w:name w:val="Quote"/>
    <w:basedOn w:val="Normal"/>
    <w:next w:val="Normal"/>
    <w:link w:val="CitaCar"/>
    <w:uiPriority w:val="29"/>
    <w:qFormat/>
    <w:rsid w:val="00AE6F52"/>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E6F52"/>
    <w:rPr>
      <w:i/>
      <w:iCs/>
      <w:color w:val="262626" w:themeColor="text1" w:themeTint="D9"/>
    </w:rPr>
  </w:style>
  <w:style w:type="paragraph" w:styleId="Citadestacada">
    <w:name w:val="Intense Quote"/>
    <w:basedOn w:val="Normal"/>
    <w:next w:val="Normal"/>
    <w:link w:val="CitadestacadaCar"/>
    <w:uiPriority w:val="30"/>
    <w:qFormat/>
    <w:rsid w:val="00AE6F52"/>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AE6F52"/>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AE6F52"/>
    <w:rPr>
      <w:i/>
      <w:iCs/>
    </w:rPr>
  </w:style>
  <w:style w:type="character" w:styleId="nfasisintenso">
    <w:name w:val="Intense Emphasis"/>
    <w:basedOn w:val="Fuentedeprrafopredeter"/>
    <w:uiPriority w:val="21"/>
    <w:qFormat/>
    <w:rsid w:val="00AE6F52"/>
    <w:rPr>
      <w:b/>
      <w:bCs/>
      <w:i/>
      <w:iCs/>
    </w:rPr>
  </w:style>
  <w:style w:type="character" w:styleId="Referenciasutil">
    <w:name w:val="Subtle Reference"/>
    <w:basedOn w:val="Fuentedeprrafopredeter"/>
    <w:uiPriority w:val="31"/>
    <w:qFormat/>
    <w:rsid w:val="00AE6F52"/>
    <w:rPr>
      <w:smallCaps/>
      <w:color w:val="595959" w:themeColor="text1" w:themeTint="A6"/>
    </w:rPr>
  </w:style>
  <w:style w:type="character" w:styleId="Referenciaintensa">
    <w:name w:val="Intense Reference"/>
    <w:basedOn w:val="Fuentedeprrafopredeter"/>
    <w:uiPriority w:val="32"/>
    <w:qFormat/>
    <w:rsid w:val="00AE6F52"/>
    <w:rPr>
      <w:b/>
      <w:bCs/>
      <w:smallCaps/>
      <w:color w:val="F79646" w:themeColor="accent6"/>
    </w:rPr>
  </w:style>
  <w:style w:type="character" w:styleId="Ttulodellibro">
    <w:name w:val="Book Title"/>
    <w:basedOn w:val="Fuentedeprrafopredeter"/>
    <w:uiPriority w:val="33"/>
    <w:qFormat/>
    <w:rsid w:val="00AE6F52"/>
    <w:rPr>
      <w:b/>
      <w:bCs/>
      <w:caps w:val="0"/>
      <w:smallCaps/>
      <w:spacing w:val="7"/>
      <w:sz w:val="21"/>
      <w:szCs w:val="21"/>
    </w:rPr>
  </w:style>
  <w:style w:type="paragraph" w:styleId="TtulodeTDC">
    <w:name w:val="TOC Heading"/>
    <w:basedOn w:val="Ttulo1"/>
    <w:next w:val="Normal"/>
    <w:uiPriority w:val="39"/>
    <w:unhideWhenUsed/>
    <w:qFormat/>
    <w:rsid w:val="00AE6F52"/>
    <w:pPr>
      <w:outlineLvl w:val="9"/>
    </w:pPr>
  </w:style>
  <w:style w:type="paragraph" w:styleId="Prrafodelista">
    <w:name w:val="List Paragraph"/>
    <w:aliases w:val="Párrafo de lista 2"/>
    <w:basedOn w:val="Normal"/>
    <w:link w:val="PrrafodelistaCar"/>
    <w:uiPriority w:val="34"/>
    <w:qFormat/>
    <w:rsid w:val="00A86634"/>
    <w:pPr>
      <w:spacing w:line="276" w:lineRule="auto"/>
      <w:ind w:left="720"/>
      <w:contextualSpacing/>
    </w:pPr>
    <w:rPr>
      <w:rFonts w:eastAsiaTheme="minorHAnsi"/>
      <w:sz w:val="22"/>
      <w:szCs w:val="22"/>
    </w:rPr>
  </w:style>
  <w:style w:type="character" w:customStyle="1" w:styleId="TextonotapieCar1">
    <w:name w:val="Texto nota pie Car1"/>
    <w:aliases w:val="ft Car1,ft Car Car1,ft Car Car Car2,Texto nota pie2 Car,ft1 Car,ft Car Car Car1 Car,Texto nota pie Car2 Car,ft Car Car2 Car,ft Car Car Car Car,fn Car,single space Car,footnote text Car,FOOTNOTES Car,Texto nota pie IIRSA Car,F Car"/>
    <w:basedOn w:val="Fuentedeprrafopredeter"/>
    <w:rsid w:val="00A86634"/>
    <w:rPr>
      <w:rFonts w:ascii="Times New Roman" w:eastAsia="SimSun" w:hAnsi="Times New Roman" w:cs="Times New Roman"/>
      <w:sz w:val="20"/>
      <w:szCs w:val="20"/>
    </w:rPr>
  </w:style>
  <w:style w:type="character" w:styleId="Hipervnculo">
    <w:name w:val="Hyperlink"/>
    <w:basedOn w:val="Fuentedeprrafopredeter"/>
    <w:uiPriority w:val="99"/>
    <w:unhideWhenUsed/>
    <w:rsid w:val="00A86634"/>
    <w:rPr>
      <w:color w:val="0000FF" w:themeColor="hyperlink"/>
      <w:u w:val="single"/>
    </w:rPr>
  </w:style>
  <w:style w:type="character" w:customStyle="1" w:styleId="PrrafodelistaCar">
    <w:name w:val="Párrafo de lista Car"/>
    <w:aliases w:val="Párrafo de lista 2 Car"/>
    <w:basedOn w:val="Fuentedeprrafopredeter"/>
    <w:link w:val="Prrafodelista"/>
    <w:uiPriority w:val="34"/>
    <w:rsid w:val="00A86634"/>
    <w:rPr>
      <w:rFonts w:eastAsiaTheme="minorHAnsi"/>
      <w:sz w:val="22"/>
      <w:szCs w:val="22"/>
    </w:rPr>
  </w:style>
  <w:style w:type="paragraph" w:customStyle="1" w:styleId="Default">
    <w:name w:val="Default"/>
    <w:rsid w:val="00A86634"/>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ne">
    <w:name w:val="None"/>
    <w:rsid w:val="00A86634"/>
  </w:style>
  <w:style w:type="paragraph" w:styleId="Encabezado">
    <w:name w:val="header"/>
    <w:basedOn w:val="Normal"/>
    <w:link w:val="EncabezadoCar"/>
    <w:uiPriority w:val="99"/>
    <w:unhideWhenUsed/>
    <w:rsid w:val="001173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733C"/>
  </w:style>
  <w:style w:type="paragraph" w:styleId="Piedepgina">
    <w:name w:val="footer"/>
    <w:basedOn w:val="Normal"/>
    <w:link w:val="PiedepginaCar"/>
    <w:uiPriority w:val="99"/>
    <w:unhideWhenUsed/>
    <w:rsid w:val="001173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733C"/>
  </w:style>
  <w:style w:type="paragraph" w:styleId="TDC1">
    <w:name w:val="toc 1"/>
    <w:basedOn w:val="Normal"/>
    <w:next w:val="Normal"/>
    <w:autoRedefine/>
    <w:uiPriority w:val="39"/>
    <w:unhideWhenUsed/>
    <w:rsid w:val="00285C61"/>
    <w:pPr>
      <w:spacing w:after="100"/>
    </w:pPr>
  </w:style>
  <w:style w:type="paragraph" w:styleId="TDC2">
    <w:name w:val="toc 2"/>
    <w:basedOn w:val="Normal"/>
    <w:next w:val="Normal"/>
    <w:autoRedefine/>
    <w:uiPriority w:val="39"/>
    <w:unhideWhenUsed/>
    <w:rsid w:val="00285C61"/>
    <w:pPr>
      <w:spacing w:after="100"/>
      <w:ind w:left="210"/>
    </w:pPr>
  </w:style>
  <w:style w:type="paragraph" w:styleId="TDC3">
    <w:name w:val="toc 3"/>
    <w:basedOn w:val="Normal"/>
    <w:next w:val="Normal"/>
    <w:autoRedefine/>
    <w:uiPriority w:val="39"/>
    <w:unhideWhenUsed/>
    <w:rsid w:val="00285C61"/>
    <w:pPr>
      <w:spacing w:after="100"/>
      <w:ind w:left="420"/>
    </w:pPr>
  </w:style>
  <w:style w:type="paragraph" w:customStyle="1" w:styleId="Ttulo11">
    <w:name w:val="Título 11"/>
    <w:basedOn w:val="Normal"/>
    <w:rsid w:val="00557268"/>
    <w:pPr>
      <w:numPr>
        <w:numId w:val="12"/>
      </w:numPr>
    </w:pPr>
  </w:style>
  <w:style w:type="paragraph" w:customStyle="1" w:styleId="Ttulo21">
    <w:name w:val="Título 21"/>
    <w:basedOn w:val="Normal"/>
    <w:rsid w:val="00557268"/>
    <w:pPr>
      <w:numPr>
        <w:ilvl w:val="1"/>
        <w:numId w:val="12"/>
      </w:numPr>
    </w:pPr>
  </w:style>
  <w:style w:type="paragraph" w:customStyle="1" w:styleId="Ttulo31">
    <w:name w:val="Título 31"/>
    <w:basedOn w:val="Normal"/>
    <w:rsid w:val="00557268"/>
    <w:pPr>
      <w:numPr>
        <w:ilvl w:val="2"/>
        <w:numId w:val="12"/>
      </w:numPr>
    </w:pPr>
  </w:style>
  <w:style w:type="paragraph" w:customStyle="1" w:styleId="Ttulo41">
    <w:name w:val="Título 41"/>
    <w:basedOn w:val="Normal"/>
    <w:rsid w:val="00557268"/>
    <w:pPr>
      <w:numPr>
        <w:ilvl w:val="3"/>
        <w:numId w:val="12"/>
      </w:numPr>
    </w:pPr>
  </w:style>
  <w:style w:type="paragraph" w:customStyle="1" w:styleId="Ttulo51">
    <w:name w:val="Título 51"/>
    <w:basedOn w:val="Normal"/>
    <w:rsid w:val="00557268"/>
    <w:pPr>
      <w:numPr>
        <w:ilvl w:val="4"/>
        <w:numId w:val="12"/>
      </w:numPr>
    </w:pPr>
  </w:style>
  <w:style w:type="paragraph" w:customStyle="1" w:styleId="Ttulo61">
    <w:name w:val="Título 61"/>
    <w:basedOn w:val="Normal"/>
    <w:rsid w:val="00557268"/>
    <w:pPr>
      <w:numPr>
        <w:ilvl w:val="5"/>
        <w:numId w:val="12"/>
      </w:numPr>
    </w:pPr>
  </w:style>
  <w:style w:type="paragraph" w:customStyle="1" w:styleId="Ttulo71">
    <w:name w:val="Título 71"/>
    <w:basedOn w:val="Normal"/>
    <w:rsid w:val="00557268"/>
    <w:pPr>
      <w:numPr>
        <w:ilvl w:val="6"/>
        <w:numId w:val="12"/>
      </w:numPr>
    </w:pPr>
  </w:style>
  <w:style w:type="paragraph" w:customStyle="1" w:styleId="Ttulo81">
    <w:name w:val="Título 81"/>
    <w:basedOn w:val="Normal"/>
    <w:rsid w:val="00557268"/>
    <w:pPr>
      <w:numPr>
        <w:ilvl w:val="7"/>
        <w:numId w:val="12"/>
      </w:numPr>
    </w:pPr>
  </w:style>
  <w:style w:type="paragraph" w:customStyle="1" w:styleId="Ttulo91">
    <w:name w:val="Título 91"/>
    <w:basedOn w:val="Normal"/>
    <w:rsid w:val="00557268"/>
    <w:pPr>
      <w:numPr>
        <w:ilvl w:val="8"/>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09621">
      <w:bodyDiv w:val="1"/>
      <w:marLeft w:val="0"/>
      <w:marRight w:val="0"/>
      <w:marTop w:val="0"/>
      <w:marBottom w:val="0"/>
      <w:divBdr>
        <w:top w:val="none" w:sz="0" w:space="0" w:color="auto"/>
        <w:left w:val="none" w:sz="0" w:space="0" w:color="auto"/>
        <w:bottom w:val="none" w:sz="0" w:space="0" w:color="auto"/>
        <w:right w:val="none" w:sz="0" w:space="0" w:color="auto"/>
      </w:divBdr>
    </w:div>
    <w:div w:id="893587337">
      <w:bodyDiv w:val="1"/>
      <w:marLeft w:val="0"/>
      <w:marRight w:val="0"/>
      <w:marTop w:val="0"/>
      <w:marBottom w:val="0"/>
      <w:divBdr>
        <w:top w:val="none" w:sz="0" w:space="0" w:color="auto"/>
        <w:left w:val="none" w:sz="0" w:space="0" w:color="auto"/>
        <w:bottom w:val="none" w:sz="0" w:space="0" w:color="auto"/>
        <w:right w:val="none" w:sz="0" w:space="0" w:color="auto"/>
      </w:divBdr>
    </w:div>
    <w:div w:id="1032068727">
      <w:bodyDiv w:val="1"/>
      <w:marLeft w:val="0"/>
      <w:marRight w:val="0"/>
      <w:marTop w:val="0"/>
      <w:marBottom w:val="0"/>
      <w:divBdr>
        <w:top w:val="none" w:sz="0" w:space="0" w:color="auto"/>
        <w:left w:val="none" w:sz="0" w:space="0" w:color="auto"/>
        <w:bottom w:val="none" w:sz="0" w:space="0" w:color="auto"/>
        <w:right w:val="none" w:sz="0" w:space="0" w:color="auto"/>
      </w:divBdr>
    </w:div>
    <w:div w:id="1719863074">
      <w:bodyDiv w:val="1"/>
      <w:marLeft w:val="0"/>
      <w:marRight w:val="0"/>
      <w:marTop w:val="0"/>
      <w:marBottom w:val="0"/>
      <w:divBdr>
        <w:top w:val="none" w:sz="0" w:space="0" w:color="auto"/>
        <w:left w:val="none" w:sz="0" w:space="0" w:color="auto"/>
        <w:bottom w:val="none" w:sz="0" w:space="0" w:color="auto"/>
        <w:right w:val="none" w:sz="0" w:space="0" w:color="auto"/>
      </w:divBdr>
    </w:div>
    <w:div w:id="201726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chart" Target="charts/chart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chart" Target="charts/chart7.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unichre.com/en/reinsurance/business/non-life/natcatservice/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E:\Trabajo\2018\Excel\An&#225;lisis%20de%20sostenibilidad%20(largo%20plazo%20estatico)19218.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Drive\Google%20Drive\Consultorias\minfin\Datos%20de%20emdatbe\1900-201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deefoper18\Escritorio\Analisis%20de%20Riesgo\Gr&#225;fica%20PIB%20impactado%20Informe%20de%20Riesgos%20Fiscales.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efoper19\Desktop\Archivos%20Compartidos\2017\Excel\Cuadros%20para%20Informe\Datos%20Clases%20pasivas.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ClaveFa\Google%20Drive\1.Clases%20pasivas\Bases\graficas%20del%20documento%20GRAN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03103778694312E-2"/>
          <c:y val="2.442443898063645E-2"/>
          <c:w val="0.87239636712077662"/>
          <c:h val="0.72216568945218063"/>
        </c:manualLayout>
      </c:layout>
      <c:lineChart>
        <c:grouping val="standard"/>
        <c:varyColors val="0"/>
        <c:ser>
          <c:idx val="0"/>
          <c:order val="0"/>
          <c:tx>
            <c:strRef>
              <c:f>'esce Pólitica'!$AJ$20</c:f>
              <c:strCache>
                <c:ptCount val="1"/>
                <c:pt idx="0">
                  <c:v>Base</c:v>
                </c:pt>
              </c:strCache>
            </c:strRef>
          </c:tx>
          <c:spPr>
            <a:ln w="22225" cap="rnd">
              <a:solidFill>
                <a:srgbClr val="C00000"/>
              </a:solidFill>
              <a:prstDash val="solid"/>
              <a:round/>
            </a:ln>
            <a:effectLst/>
          </c:spPr>
          <c:marker>
            <c:symbol val="none"/>
          </c:marker>
          <c:dLbls>
            <c:dLbl>
              <c:idx val="15"/>
              <c:layout>
                <c:manualLayout>
                  <c:x val="-3.1746135899679208E-2"/>
                  <c:y val="-3.1055727472415685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912698412698412E-2"/>
                      <c:h val="4.0434932448139921E-2"/>
                    </c:manualLayout>
                  </c15:layout>
                </c:ext>
                <c:ext xmlns:c16="http://schemas.microsoft.com/office/drawing/2014/chart" uri="{C3380CC4-5D6E-409C-BE32-E72D297353CC}">
                  <c16:uniqueId val="{00000000-1353-4717-82AB-0B32CD662A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'esce Pólitica'!$AK$19:$AZ$19</c:f>
              <c:numCache>
                <c:formatCode>General</c:formatCode>
                <c:ptCount val="1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numCache>
            </c:numRef>
          </c:cat>
          <c:val>
            <c:numRef>
              <c:f>'esce Pólitica'!$AK$20:$AZ$20</c:f>
              <c:numCache>
                <c:formatCode>0.0%</c:formatCode>
                <c:ptCount val="16"/>
                <c:pt idx="0">
                  <c:v>0.25600000000000001</c:v>
                </c:pt>
                <c:pt idx="1">
                  <c:v>0.25825797101449277</c:v>
                </c:pt>
                <c:pt idx="2">
                  <c:v>0.26050939718546529</c:v>
                </c:pt>
                <c:pt idx="3">
                  <c:v>0.26275429748347845</c:v>
                </c:pt>
                <c:pt idx="4">
                  <c:v>0.26499269082410609</c:v>
                </c:pt>
                <c:pt idx="5">
                  <c:v>0.26722459606809423</c:v>
                </c:pt>
                <c:pt idx="6">
                  <c:v>0.26945003202152007</c:v>
                </c:pt>
                <c:pt idx="7">
                  <c:v>0.27166901743595046</c:v>
                </c:pt>
                <c:pt idx="8">
                  <c:v>0.27388157100859989</c:v>
                </c:pt>
                <c:pt idx="9">
                  <c:v>0.276087711382488</c:v>
                </c:pt>
                <c:pt idx="10">
                  <c:v>0.27828745714659675</c:v>
                </c:pt>
                <c:pt idx="11">
                  <c:v>0.28048082683602693</c:v>
                </c:pt>
                <c:pt idx="12">
                  <c:v>0.28266783893215441</c:v>
                </c:pt>
                <c:pt idx="13">
                  <c:v>0.28484851186278587</c:v>
                </c:pt>
                <c:pt idx="14">
                  <c:v>0.28702286400231403</c:v>
                </c:pt>
                <c:pt idx="15">
                  <c:v>0.28919091367187255</c:v>
                </c:pt>
              </c:numCache>
            </c:numRef>
          </c:val>
          <c:smooth val="0"/>
          <c:extLst xmlns:c16r2="http://schemas.microsoft.com/office/drawing/2015/06/chart">
            <c:ext xmlns:c16="http://schemas.microsoft.com/office/drawing/2014/chart" uri="{C3380CC4-5D6E-409C-BE32-E72D297353CC}">
              <c16:uniqueId val="{00000001-1353-4717-82AB-0B32CD662A8A}"/>
            </c:ext>
          </c:extLst>
        </c:ser>
        <c:ser>
          <c:idx val="3"/>
          <c:order val="1"/>
          <c:tx>
            <c:strRef>
              <c:f>'Escenarios de shock'!$AJ$14</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'esce Pólitica'!$AK$19:$AZ$19</c:f>
              <c:numCache>
                <c:formatCode>General</c:formatCode>
                <c:ptCount val="1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numCache>
            </c:numRef>
          </c:cat>
          <c:val>
            <c:numRef>
              <c:f>'Escenarios de shock'!$AK$14:$AZ$14</c:f>
            </c:numRef>
          </c:val>
          <c:smooth val="0"/>
          <c:extLst xmlns:c16r2="http://schemas.microsoft.com/office/drawing/2015/06/chart">
            <c:ext xmlns:c16="http://schemas.microsoft.com/office/drawing/2014/chart" uri="{C3380CC4-5D6E-409C-BE32-E72D297353CC}">
              <c16:uniqueId val="{00000002-1353-4717-82AB-0B32CD662A8A}"/>
            </c:ext>
          </c:extLst>
        </c:ser>
        <c:ser>
          <c:idx val="4"/>
          <c:order val="2"/>
          <c:tx>
            <c:strRef>
              <c:f>'Escenarios de shock'!$AJ$15</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'esce Pólitica'!$AK$19:$AZ$19</c:f>
              <c:numCache>
                <c:formatCode>General</c:formatCode>
                <c:ptCount val="1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numCache>
            </c:numRef>
          </c:cat>
          <c:val>
            <c:numRef>
              <c:f>'Escenarios de shock'!$AK$15:$AZ$15</c:f>
            </c:numRef>
          </c:val>
          <c:smooth val="0"/>
          <c:extLst xmlns:c16r2="http://schemas.microsoft.com/office/drawing/2015/06/chart">
            <c:ext xmlns:c16="http://schemas.microsoft.com/office/drawing/2014/chart" uri="{C3380CC4-5D6E-409C-BE32-E72D297353CC}">
              <c16:uniqueId val="{00000003-1353-4717-82AB-0B32CD662A8A}"/>
            </c:ext>
          </c:extLst>
        </c:ser>
        <c:ser>
          <c:idx val="5"/>
          <c:order val="3"/>
          <c:tx>
            <c:strRef>
              <c:f>'esce Pólitica'!$AJ$22</c:f>
              <c:strCache>
                <c:ptCount val="1"/>
                <c:pt idx="0">
                  <c:v>Choques combinado con equilibrio SP</c:v>
                </c:pt>
              </c:strCache>
            </c:strRef>
          </c:tx>
          <c:spPr>
            <a:ln w="22225" cap="rnd">
              <a:solidFill>
                <a:schemeClr val="accent6"/>
              </a:solidFill>
              <a:prstDash val="sysDash"/>
              <a:round/>
            </a:ln>
            <a:effectLst/>
          </c:spPr>
          <c:marker>
            <c:symbol val="none"/>
          </c:marker>
          <c:dLbls>
            <c:dLbl>
              <c:idx val="15"/>
              <c:layout>
                <c:manualLayout>
                  <c:x val="-3.0052251577657105E-2"/>
                  <c:y val="-3.20728837337689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53-4717-82AB-0B32CD662A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'esce Pólitica'!$AK$19:$AZ$19</c:f>
              <c:numCache>
                <c:formatCode>General</c:formatCode>
                <c:ptCount val="1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numCache>
            </c:numRef>
          </c:cat>
          <c:val>
            <c:numRef>
              <c:f>'esce Pólitica'!$AK$22:$AZ$22</c:f>
              <c:numCache>
                <c:formatCode>0.0%</c:formatCode>
                <c:ptCount val="16"/>
                <c:pt idx="0">
                  <c:v>0.25600000000000001</c:v>
                </c:pt>
                <c:pt idx="1">
                  <c:v>0.27751909892262488</c:v>
                </c:pt>
                <c:pt idx="2">
                  <c:v>0.29273671166375675</c:v>
                </c:pt>
                <c:pt idx="3">
                  <c:v>0.30613076049464089</c:v>
                </c:pt>
                <c:pt idx="4">
                  <c:v>0.30968010264530338</c:v>
                </c:pt>
                <c:pt idx="5">
                  <c:v>0.31327059658901707</c:v>
                </c:pt>
                <c:pt idx="6">
                  <c:v>0.31690271944802018</c:v>
                </c:pt>
                <c:pt idx="7">
                  <c:v>0.320576953876403</c:v>
                </c:pt>
                <c:pt idx="8">
                  <c:v>0.32429378812424536</c:v>
                </c:pt>
                <c:pt idx="9">
                  <c:v>0.32805371610249751</c:v>
                </c:pt>
                <c:pt idx="10">
                  <c:v>0.3318572374486134</c:v>
                </c:pt>
                <c:pt idx="11">
                  <c:v>0.33570485759294516</c:v>
                </c:pt>
                <c:pt idx="12">
                  <c:v>0.33959708782590686</c:v>
                </c:pt>
                <c:pt idx="13">
                  <c:v>0.34353444536591737</c:v>
                </c:pt>
                <c:pt idx="14">
                  <c:v>0.3475174534281309</c:v>
                </c:pt>
                <c:pt idx="15">
                  <c:v>0.35154664129396429</c:v>
                </c:pt>
              </c:numCache>
            </c:numRef>
          </c:val>
          <c:smooth val="0"/>
          <c:extLst xmlns:c16r2="http://schemas.microsoft.com/office/drawing/2015/06/chart">
            <c:ext xmlns:c16="http://schemas.microsoft.com/office/drawing/2014/chart" uri="{C3380CC4-5D6E-409C-BE32-E72D297353CC}">
              <c16:uniqueId val="{00000005-1353-4717-82AB-0B32CD662A8A}"/>
            </c:ext>
          </c:extLst>
        </c:ser>
        <c:ser>
          <c:idx val="1"/>
          <c:order val="4"/>
          <c:tx>
            <c:strRef>
              <c:f>'esce Pólitica'!$AJ$21</c:f>
              <c:strCache>
                <c:ptCount val="1"/>
                <c:pt idx="0">
                  <c:v>Choque combinado con ajuste fiscal</c:v>
                </c:pt>
              </c:strCache>
            </c:strRef>
          </c:tx>
          <c:spPr>
            <a:ln w="22225" cap="rnd">
              <a:solidFill>
                <a:schemeClr val="accent3">
                  <a:lumMod val="50000"/>
                </a:schemeClr>
              </a:solidFill>
              <a:prstDash val="sysDot"/>
              <a:round/>
            </a:ln>
            <a:effectLst/>
          </c:spPr>
          <c:marker>
            <c:symbol val="none"/>
          </c:marker>
          <c:dLbls>
            <c:dLbl>
              <c:idx val="15"/>
              <c:layout>
                <c:manualLayout>
                  <c:x val="-3.250955591479926E-2"/>
                  <c:y val="2.740510345494850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353-4717-82AB-0B32CD662A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'esce Pólitica'!$AK$19:$AZ$19</c:f>
              <c:numCache>
                <c:formatCode>General</c:formatCode>
                <c:ptCount val="1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numCache>
            </c:numRef>
          </c:cat>
          <c:val>
            <c:numRef>
              <c:f>'esce Pólitica'!$AK$21:$AZ$21</c:f>
              <c:numCache>
                <c:formatCode>0.0%</c:formatCode>
                <c:ptCount val="16"/>
                <c:pt idx="0">
                  <c:v>0.25600000000000001</c:v>
                </c:pt>
                <c:pt idx="1">
                  <c:v>0.27751909892262488</c:v>
                </c:pt>
                <c:pt idx="2">
                  <c:v>0.29273671166375675</c:v>
                </c:pt>
                <c:pt idx="3">
                  <c:v>0.30613076049464089</c:v>
                </c:pt>
                <c:pt idx="4">
                  <c:v>0.30768010264530338</c:v>
                </c:pt>
                <c:pt idx="5">
                  <c:v>0.30924740818321994</c:v>
                </c:pt>
                <c:pt idx="6">
                  <c:v>0.31083288537954712</c:v>
                </c:pt>
                <c:pt idx="7">
                  <c:v>0.31243674492017953</c:v>
                </c:pt>
                <c:pt idx="8">
                  <c:v>0.31405919993374681</c:v>
                </c:pt>
                <c:pt idx="9">
                  <c:v>0.31570046601993518</c:v>
                </c:pt>
                <c:pt idx="10">
                  <c:v>0.31736076127813734</c:v>
                </c:pt>
                <c:pt idx="11">
                  <c:v>0.3190403063364346</c:v>
                </c:pt>
                <c:pt idx="12">
                  <c:v>0.32073932438091501</c:v>
                </c:pt>
                <c:pt idx="13">
                  <c:v>0.32245804118533145</c:v>
                </c:pt>
                <c:pt idx="14">
                  <c:v>0.32419668514110339</c:v>
                </c:pt>
                <c:pt idx="15">
                  <c:v>0.32595548728766693</c:v>
                </c:pt>
              </c:numCache>
            </c:numRef>
          </c:val>
          <c:smooth val="0"/>
          <c:extLst xmlns:c16r2="http://schemas.microsoft.com/office/drawing/2015/06/chart">
            <c:ext xmlns:c16="http://schemas.microsoft.com/office/drawing/2014/chart" uri="{C3380CC4-5D6E-409C-BE32-E72D297353CC}">
              <c16:uniqueId val="{00000007-1353-4717-82AB-0B32CD662A8A}"/>
            </c:ext>
          </c:extLst>
        </c:ser>
        <c:ser>
          <c:idx val="2"/>
          <c:order val="5"/>
          <c:tx>
            <c:strRef>
              <c:f>'esce Pólitica'!$AJ$23</c:f>
              <c:strCache>
                <c:ptCount val="1"/>
                <c:pt idx="0">
                  <c:v>Choque combinado sin ajuste fiscal</c:v>
                </c:pt>
              </c:strCache>
            </c:strRef>
          </c:tx>
          <c:spPr>
            <a:ln w="22225" cap="rnd">
              <a:solidFill>
                <a:schemeClr val="tx2"/>
              </a:solidFill>
              <a:prstDash val="solid"/>
              <a:round/>
            </a:ln>
            <a:effectLst/>
          </c:spPr>
          <c:marker>
            <c:symbol val="none"/>
          </c:marker>
          <c:dLbls>
            <c:dLbl>
              <c:idx val="15"/>
              <c:layout>
                <c:manualLayout>
                  <c:x val="-2.834781111262677E-2"/>
                  <c:y val="4.968939327108867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353-4717-82AB-0B32CD662A8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'esce Pólitica'!$AK$19:$AZ$19</c:f>
              <c:numCache>
                <c:formatCode>General</c:formatCode>
                <c:ptCount val="1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numCache>
            </c:numRef>
          </c:cat>
          <c:val>
            <c:numRef>
              <c:f>'esce Pólitica'!$AK$23:$AZ$23</c:f>
              <c:numCache>
                <c:formatCode>0.0%</c:formatCode>
                <c:ptCount val="16"/>
                <c:pt idx="0">
                  <c:v>0.25600000000000001</c:v>
                </c:pt>
                <c:pt idx="1">
                  <c:v>0.27751909892262488</c:v>
                </c:pt>
                <c:pt idx="2">
                  <c:v>0.2965861866522902</c:v>
                </c:pt>
                <c:pt idx="3">
                  <c:v>0.3100248670772443</c:v>
                </c:pt>
                <c:pt idx="4">
                  <c:v>0.31661935828973409</c:v>
                </c:pt>
                <c:pt idx="5">
                  <c:v>0.32329030737135422</c:v>
                </c:pt>
                <c:pt idx="6">
                  <c:v>0.33003860079015251</c:v>
                </c:pt>
                <c:pt idx="7">
                  <c:v>0.33686513529206735</c:v>
                </c:pt>
                <c:pt idx="8">
                  <c:v>0.34377081802009135</c:v>
                </c:pt>
                <c:pt idx="9">
                  <c:v>0.35075656663481708</c:v>
                </c:pt>
                <c:pt idx="10">
                  <c:v>0.35782330943638019</c:v>
                </c:pt>
                <c:pt idx="11">
                  <c:v>0.36497198548781651</c:v>
                </c:pt>
                <c:pt idx="12">
                  <c:v>0.37220354473984918</c:v>
                </c:pt>
                <c:pt idx="13">
                  <c:v>0.37951894815712278</c:v>
                </c:pt>
                <c:pt idx="14">
                  <c:v>0.38691916784590102</c:v>
                </c:pt>
                <c:pt idx="15">
                  <c:v>0.3944051871832448</c:v>
                </c:pt>
              </c:numCache>
            </c:numRef>
          </c:val>
          <c:smooth val="0"/>
          <c:extLst xmlns:c16r2="http://schemas.microsoft.com/office/drawing/2015/06/chart">
            <c:ext xmlns:c16="http://schemas.microsoft.com/office/drawing/2014/chart" uri="{C3380CC4-5D6E-409C-BE32-E72D297353CC}">
              <c16:uniqueId val="{00000009-1353-4717-82AB-0B32CD662A8A}"/>
            </c:ext>
          </c:extLst>
        </c:ser>
        <c:dLbls>
          <c:showLegendKey val="0"/>
          <c:showVal val="0"/>
          <c:showCatName val="0"/>
          <c:showSerName val="0"/>
          <c:showPercent val="0"/>
          <c:showBubbleSize val="0"/>
        </c:dLbls>
        <c:marker val="1"/>
        <c:smooth val="0"/>
        <c:axId val="48439296"/>
        <c:axId val="48440832"/>
      </c:lineChart>
      <c:catAx>
        <c:axId val="484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8440832"/>
        <c:crosses val="autoZero"/>
        <c:auto val="1"/>
        <c:lblAlgn val="ctr"/>
        <c:lblOffset val="100"/>
        <c:noMultiLvlLbl val="0"/>
      </c:catAx>
      <c:valAx>
        <c:axId val="48440832"/>
        <c:scaling>
          <c:orientation val="minMax"/>
          <c:max val="0.4"/>
          <c:min val="0.22000000000000003"/>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8439296"/>
        <c:crosses val="autoZero"/>
        <c:crossBetween val="between"/>
      </c:valAx>
      <c:spPr>
        <a:noFill/>
        <a:ln w="6350">
          <a:noFill/>
        </a:ln>
        <a:effectLst/>
      </c:spPr>
    </c:plotArea>
    <c:legend>
      <c:legendPos val="b"/>
      <c:layout>
        <c:manualLayout>
          <c:xMode val="edge"/>
          <c:yMode val="edge"/>
          <c:x val="4.9053035037287009E-2"/>
          <c:y val="0.87156457457016523"/>
          <c:w val="0.93018872640919881"/>
          <c:h val="0.128435425429834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Hoja1!$B$16</c:f>
              <c:strCache>
                <c:ptCount val="1"/>
                <c:pt idx="0">
                  <c:v>Porcentaje de ocurrencia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CA0-464D-9576-5D8AE9025A5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CA0-464D-9576-5D8AE9025A5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CA0-464D-9576-5D8AE9025A5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CA0-464D-9576-5D8AE9025A5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CA0-464D-9576-5D8AE9025A5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CA0-464D-9576-5D8AE9025A5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CA0-464D-9576-5D8AE9025A5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CA0-464D-9576-5D8AE9025A53}"/>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2CA0-464D-9576-5D8AE9025A53}"/>
              </c:ext>
            </c:extLst>
          </c:dPt>
          <c:dLbls>
            <c:dLbl>
              <c:idx val="0"/>
              <c:layout>
                <c:manualLayout>
                  <c:x val="0.20490463215258839"/>
                  <c:y val="8.4745790986851394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A0-464D-9576-5D8AE9025A53}"/>
                </c:ext>
              </c:extLst>
            </c:dLbl>
            <c:dLbl>
              <c:idx val="1"/>
              <c:layout>
                <c:manualLayout>
                  <c:x val="6.3215258855585835E-2"/>
                  <c:y val="4.237289549342569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A0-464D-9576-5D8AE9025A53}"/>
                </c:ext>
              </c:extLst>
            </c:dLbl>
            <c:dLbl>
              <c:idx val="2"/>
              <c:layout>
                <c:manualLayout>
                  <c:x val="9.3732970027247953E-2"/>
                  <c:y val="-4.237289549342577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A0-464D-9576-5D8AE9025A53}"/>
                </c:ext>
              </c:extLst>
            </c:dLbl>
            <c:dLbl>
              <c:idx val="3"/>
              <c:layout>
                <c:manualLayout>
                  <c:x val="0.11553133514986361"/>
                  <c:y val="-1.694915819737027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CA0-464D-9576-5D8AE9025A53}"/>
                </c:ext>
              </c:extLst>
            </c:dLbl>
            <c:dLbl>
              <c:idx val="4"/>
              <c:layout>
                <c:manualLayout>
                  <c:x val="0.10245231607629428"/>
                  <c:y val="-4.2372895493425697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CA0-464D-9576-5D8AE9025A53}"/>
                </c:ext>
              </c:extLst>
            </c:dLbl>
            <c:dLbl>
              <c:idx val="5"/>
              <c:layout>
                <c:manualLayout>
                  <c:x val="4.7956403269754685E-2"/>
                  <c:y val="-8.474579098685293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CA0-464D-9576-5D8AE9025A53}"/>
                </c:ext>
              </c:extLst>
            </c:dLbl>
            <c:dLbl>
              <c:idx val="6"/>
              <c:layout>
                <c:manualLayout>
                  <c:x val="-8.5013623978201641E-2"/>
                  <c:y val="5.508476414145340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CA0-464D-9576-5D8AE9025A53}"/>
                </c:ext>
              </c:extLst>
            </c:dLbl>
            <c:dLbl>
              <c:idx val="7"/>
              <c:layout>
                <c:manualLayout>
                  <c:x val="-0.20708446866485014"/>
                  <c:y val="5.487256601913986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CA0-464D-9576-5D8AE9025A53}"/>
                </c:ext>
              </c:extLst>
            </c:dLbl>
            <c:dLbl>
              <c:idx val="8"/>
              <c:layout>
                <c:manualLayout>
                  <c:x val="-9.3732970027247953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CA0-464D-9576-5D8AE9025A53}"/>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s-GT"/>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accentCallout3">
                    <a:avLst/>
                  </a:prstGeom>
                </c15:spPr>
              </c:ext>
            </c:extLst>
          </c:dLbls>
          <c:cat>
            <c:strRef>
              <c:f>Hoja1!$A$17:$A$25</c:f>
              <c:strCache>
                <c:ptCount val="9"/>
                <c:pt idx="0">
                  <c:v>Sequía</c:v>
                </c:pt>
                <c:pt idx="1">
                  <c:v>Sismo</c:v>
                </c:pt>
                <c:pt idx="2">
                  <c:v>Epidemia</c:v>
                </c:pt>
                <c:pt idx="3">
                  <c:v>Temperaturas extremas</c:v>
                </c:pt>
                <c:pt idx="4">
                  <c:v>Deslizamiento</c:v>
                </c:pt>
                <c:pt idx="5">
                  <c:v>Derrumbes</c:v>
                </c:pt>
                <c:pt idx="6">
                  <c:v>Tormenta o inundación</c:v>
                </c:pt>
                <c:pt idx="7">
                  <c:v>Actividad volcánica</c:v>
                </c:pt>
                <c:pt idx="8">
                  <c:v>Incendio forestal</c:v>
                </c:pt>
              </c:strCache>
            </c:strRef>
          </c:cat>
          <c:val>
            <c:numRef>
              <c:f>Hoja1!$B$17:$B$25</c:f>
              <c:numCache>
                <c:formatCode>0%</c:formatCode>
                <c:ptCount val="9"/>
                <c:pt idx="0">
                  <c:v>6.1224489795918366E-2</c:v>
                </c:pt>
                <c:pt idx="1">
                  <c:v>0.15306122448979592</c:v>
                </c:pt>
                <c:pt idx="2">
                  <c:v>9.1836734693877556E-2</c:v>
                </c:pt>
                <c:pt idx="3">
                  <c:v>4.0816326530612242E-2</c:v>
                </c:pt>
                <c:pt idx="4">
                  <c:v>0.10204081632653061</c:v>
                </c:pt>
                <c:pt idx="5">
                  <c:v>2.0408163265306121E-2</c:v>
                </c:pt>
                <c:pt idx="6">
                  <c:v>0.39795918367346939</c:v>
                </c:pt>
                <c:pt idx="7">
                  <c:v>0.11224489795918367</c:v>
                </c:pt>
                <c:pt idx="8">
                  <c:v>2.0408163265306121E-2</c:v>
                </c:pt>
              </c:numCache>
            </c:numRef>
          </c:val>
          <c:extLst xmlns:c16r2="http://schemas.microsoft.com/office/drawing/2015/06/chart">
            <c:ext xmlns:c16="http://schemas.microsoft.com/office/drawing/2014/chart" uri="{C3380CC4-5D6E-409C-BE32-E72D297353CC}">
              <c16:uniqueId val="{00000012-2CA0-464D-9576-5D8AE9025A5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77694743350555E-2"/>
          <c:y val="3.7902959413385097E-2"/>
          <c:w val="0.87907997118003611"/>
          <c:h val="0.85959910253153826"/>
        </c:manualLayout>
      </c:layout>
      <c:lineChart>
        <c:grouping val="standard"/>
        <c:varyColors val="0"/>
        <c:ser>
          <c:idx val="0"/>
          <c:order val="0"/>
          <c:tx>
            <c:strRef>
              <c:f>'PIB impactado'!$U$57</c:f>
              <c:strCache>
                <c:ptCount val="1"/>
                <c:pt idx="0">
                  <c:v>proyectado</c:v>
                </c:pt>
              </c:strCache>
            </c:strRef>
          </c:tx>
          <c:spPr>
            <a:ln w="25400">
              <a:solidFill>
                <a:schemeClr val="tx1"/>
              </a:solidFill>
            </a:ln>
          </c:spPr>
          <c:marker>
            <c:symbol val="none"/>
          </c:marker>
          <c:dLbls>
            <c:dLbl>
              <c:idx val="7"/>
              <c:layout>
                <c:manualLayout>
                  <c:x val="-3.0221717146144477E-2"/>
                  <c:y val="-2.19413802337534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80-49B5-AE6C-39CA9B102C65}"/>
                </c:ext>
              </c:extLst>
            </c:dLbl>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80-49B5-AE6C-39CA9B102C65}"/>
                </c:ext>
              </c:extLst>
            </c:dLbl>
            <c:dLbl>
              <c:idx val="21"/>
              <c:layout>
                <c:manualLayout>
                  <c:x val="-1.8468827144866071E-2"/>
                  <c:y val="-3.29120703506301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80-49B5-AE6C-39CA9B102C65}"/>
                </c:ext>
              </c:extLst>
            </c:dLbl>
            <c:spPr>
              <a:noFill/>
              <a:ln>
                <a:noFill/>
              </a:ln>
              <a:effectLst/>
            </c:spPr>
            <c:txPr>
              <a:bodyPr/>
              <a:lstStyle/>
              <a:p>
                <a:pPr>
                  <a:defRPr sz="900" b="0">
                    <a:solidFill>
                      <a:sysClr val="windowText" lastClr="000000"/>
                    </a:solidFill>
                    <a:latin typeface="Berlin Sans FB" pitchFamily="34"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'PIB impactado'!$T$58:$T$83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'PIB impactado'!$U$58:$U$83</c:f>
              <c:numCache>
                <c:formatCode>General</c:formatCode>
                <c:ptCount val="26"/>
                <c:pt idx="0">
                  <c:v>3.1</c:v>
                </c:pt>
                <c:pt idx="1">
                  <c:v>4.5999999999999996</c:v>
                </c:pt>
                <c:pt idx="2">
                  <c:v>3.5</c:v>
                </c:pt>
                <c:pt idx="3">
                  <c:v>3.5</c:v>
                </c:pt>
                <c:pt idx="4">
                  <c:v>4.4000000000000004</c:v>
                </c:pt>
                <c:pt idx="5">
                  <c:v>2.8</c:v>
                </c:pt>
                <c:pt idx="6">
                  <c:v>4.0999999999999996</c:v>
                </c:pt>
                <c:pt idx="7">
                  <c:v>4.8</c:v>
                </c:pt>
                <c:pt idx="8">
                  <c:v>3.7</c:v>
                </c:pt>
                <c:pt idx="9">
                  <c:v>2.5</c:v>
                </c:pt>
                <c:pt idx="10">
                  <c:v>2.4</c:v>
                </c:pt>
                <c:pt idx="11">
                  <c:v>3.9</c:v>
                </c:pt>
                <c:pt idx="12">
                  <c:v>2.5</c:v>
                </c:pt>
                <c:pt idx="13">
                  <c:v>3.2</c:v>
                </c:pt>
                <c:pt idx="14">
                  <c:v>3.4</c:v>
                </c:pt>
                <c:pt idx="15">
                  <c:v>5.4</c:v>
                </c:pt>
                <c:pt idx="16">
                  <c:v>6.3</c:v>
                </c:pt>
                <c:pt idx="17">
                  <c:v>3.3</c:v>
                </c:pt>
                <c:pt idx="18">
                  <c:v>0.5</c:v>
                </c:pt>
                <c:pt idx="19">
                  <c:v>2.8</c:v>
                </c:pt>
                <c:pt idx="20">
                  <c:v>3.7</c:v>
                </c:pt>
                <c:pt idx="21">
                  <c:v>3.7</c:v>
                </c:pt>
                <c:pt idx="22">
                  <c:v>3.7</c:v>
                </c:pt>
                <c:pt idx="23">
                  <c:v>3.5</c:v>
                </c:pt>
                <c:pt idx="24">
                  <c:v>3.4</c:v>
                </c:pt>
                <c:pt idx="25">
                  <c:v>3.2</c:v>
                </c:pt>
              </c:numCache>
            </c:numRef>
          </c:val>
          <c:smooth val="1"/>
          <c:extLst xmlns:c16r2="http://schemas.microsoft.com/office/drawing/2015/06/chart">
            <c:ext xmlns:c16="http://schemas.microsoft.com/office/drawing/2014/chart" uri="{C3380CC4-5D6E-409C-BE32-E72D297353CC}">
              <c16:uniqueId val="{00000003-1780-49B5-AE6C-39CA9B102C65}"/>
            </c:ext>
          </c:extLst>
        </c:ser>
        <c:ser>
          <c:idx val="1"/>
          <c:order val="1"/>
          <c:tx>
            <c:strRef>
              <c:f>'PIB impactado'!$V$57</c:f>
              <c:strCache>
                <c:ptCount val="1"/>
                <c:pt idx="0">
                  <c:v>observado</c:v>
                </c:pt>
              </c:strCache>
            </c:strRef>
          </c:tx>
          <c:spPr>
            <a:ln w="25400">
              <a:prstDash val="sysDash"/>
            </a:ln>
          </c:spPr>
          <c:marker>
            <c:symbol val="none"/>
          </c:marker>
          <c:dLbls>
            <c:dLbl>
              <c:idx val="7"/>
              <c:layout>
                <c:manualLayout>
                  <c:x val="-4.8249902020166033E-2"/>
                  <c:y val="7.13094735616458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80-49B5-AE6C-39CA9B102C65}"/>
                </c:ext>
              </c:extLst>
            </c:dLbl>
            <c:dLbl>
              <c:idx val="8"/>
              <c:layout>
                <c:manualLayout>
                  <c:x val="-1.5110858573072239E-2"/>
                  <c:y val="2.74267252921918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80-49B5-AE6C-39CA9B102C65}"/>
                </c:ext>
              </c:extLst>
            </c:dLbl>
            <c:dLbl>
              <c:idx val="2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780-49B5-AE6C-39CA9B102C65}"/>
                </c:ext>
              </c:extLst>
            </c:dLbl>
            <c:spPr>
              <a:noFill/>
              <a:ln>
                <a:noFill/>
              </a:ln>
              <a:effectLst/>
            </c:spPr>
            <c:txPr>
              <a:bodyPr/>
              <a:lstStyle/>
              <a:p>
                <a:pPr>
                  <a:defRPr sz="900" b="0">
                    <a:solidFill>
                      <a:srgbClr val="FF0000"/>
                    </a:solidFill>
                    <a:latin typeface="Berlin Sans FB" pitchFamily="34"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'PIB impactado'!$T$58:$T$83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'PIB impactado'!$V$58:$V$83</c:f>
              <c:numCache>
                <c:formatCode>General</c:formatCode>
                <c:ptCount val="26"/>
                <c:pt idx="0">
                  <c:v>3.1</c:v>
                </c:pt>
                <c:pt idx="1">
                  <c:v>4.5999999999999996</c:v>
                </c:pt>
                <c:pt idx="2">
                  <c:v>3.5</c:v>
                </c:pt>
                <c:pt idx="3">
                  <c:v>3.5</c:v>
                </c:pt>
                <c:pt idx="4">
                  <c:v>4.4000000000000004</c:v>
                </c:pt>
                <c:pt idx="5">
                  <c:v>2.8</c:v>
                </c:pt>
                <c:pt idx="6">
                  <c:v>4.0999999999999996</c:v>
                </c:pt>
                <c:pt idx="7">
                  <c:v>4.5999999999999996</c:v>
                </c:pt>
                <c:pt idx="8">
                  <c:v>2.4</c:v>
                </c:pt>
                <c:pt idx="9">
                  <c:v>2.5</c:v>
                </c:pt>
                <c:pt idx="10" formatCode="_(* #,##0.0_);_(* \(#,##0.0\);_(* &quot;-&quot;??_);_(@_)">
                  <c:v>2.4</c:v>
                </c:pt>
                <c:pt idx="11" formatCode="_(* #,##0.0_);_(* \(#,##0.0\);_(* &quot;-&quot;??_);_(@_)">
                  <c:v>3.8666265050662787</c:v>
                </c:pt>
                <c:pt idx="12" formatCode="_(* #,##0.0_);_(* \(#,##0.0\);_(* &quot;-&quot;??_);_(@_)">
                  <c:v>2.5307899477296019</c:v>
                </c:pt>
                <c:pt idx="13" formatCode="_(* #,##0.0_);_(* \(#,##0.0\);_(* &quot;-&quot;??_);_(@_)">
                  <c:v>3.1520818717721113</c:v>
                </c:pt>
                <c:pt idx="14" formatCode="_(* #,##0.0_);_(* \(#,##0.0\);_(* &quot;-&quot;??_);_(@_)">
                  <c:v>3.2601110109370666</c:v>
                </c:pt>
                <c:pt idx="15" formatCode="0.0">
                  <c:v>5.3797767642226546</c:v>
                </c:pt>
                <c:pt idx="16" formatCode="_(* #,##0.0_);_(* \(#,##0.0\);_(* &quot;-&quot;??_);_(@_)">
                  <c:v>6.3040565377763897</c:v>
                </c:pt>
                <c:pt idx="17" formatCode="_(* #,##0.0_);_(* \(#,##0.0\);_(* &quot;-&quot;??_);_(@_)">
                  <c:v>3.2810798155511236</c:v>
                </c:pt>
                <c:pt idx="18" formatCode="_(* #,##0.0_);_(* \(#,##0.0\);_(* &quot;-&quot;??_);_(@_)">
                  <c:v>0.52604301774603357</c:v>
                </c:pt>
                <c:pt idx="19" formatCode="_(* #,##0.0_);_(* \(#,##0.0\);_(* &quot;-&quot;??_);_(@_)">
                  <c:v>2.8694877371278551</c:v>
                </c:pt>
                <c:pt idx="20" formatCode="_(* #,##0.0_);_(* \(#,##0.0\);_(* &quot;-&quot;??_);_(@_)">
                  <c:v>4.1620489461922574</c:v>
                </c:pt>
                <c:pt idx="21" formatCode="_(* #,##0.0_);_(* \(#,##0.0\);_(* &quot;-&quot;??_);_(@_)">
                  <c:v>2.969857426884758</c:v>
                </c:pt>
                <c:pt idx="22" formatCode="_(* #,##0.0_);_(* \(#,##0.0\);_(* &quot;-&quot;??_);_(@_)">
                  <c:v>3.6975855779096634</c:v>
                </c:pt>
                <c:pt idx="23" formatCode="_(* #,##0.0_);_(* \(#,##0.0\);_(* &quot;-&quot;??_);_(@_)">
                  <c:v>4.174169136581753</c:v>
                </c:pt>
                <c:pt idx="24" formatCode="_(* #,##0.0_);_(* \(#,##0.0\);_(* &quot;-&quot;??_);_(@_)">
                  <c:v>4.1400443582547837</c:v>
                </c:pt>
                <c:pt idx="25" formatCode="_(* #,##0.0_);_(* \(#,##0.0\);_(* &quot;-&quot;??_);_(@_)">
                  <c:v>3.0667191786616854</c:v>
                </c:pt>
              </c:numCache>
            </c:numRef>
          </c:val>
          <c:smooth val="0"/>
          <c:extLst xmlns:c16r2="http://schemas.microsoft.com/office/drawing/2015/06/chart">
            <c:ext xmlns:c16="http://schemas.microsoft.com/office/drawing/2014/chart" uri="{C3380CC4-5D6E-409C-BE32-E72D297353CC}">
              <c16:uniqueId val="{00000007-1780-49B5-AE6C-39CA9B102C65}"/>
            </c:ext>
          </c:extLst>
        </c:ser>
        <c:dLbls>
          <c:showLegendKey val="0"/>
          <c:showVal val="0"/>
          <c:showCatName val="0"/>
          <c:showSerName val="0"/>
          <c:showPercent val="0"/>
          <c:showBubbleSize val="0"/>
        </c:dLbls>
        <c:marker val="1"/>
        <c:smooth val="0"/>
        <c:axId val="50171264"/>
        <c:axId val="50173056"/>
      </c:lineChart>
      <c:catAx>
        <c:axId val="50171264"/>
        <c:scaling>
          <c:orientation val="minMax"/>
        </c:scaling>
        <c:delete val="0"/>
        <c:axPos val="b"/>
        <c:numFmt formatCode="General" sourceLinked="1"/>
        <c:majorTickMark val="out"/>
        <c:minorTickMark val="none"/>
        <c:tickLblPos val="nextTo"/>
        <c:txPr>
          <a:bodyPr rot="-5400000" vert="horz"/>
          <a:lstStyle/>
          <a:p>
            <a:pPr>
              <a:defRPr sz="700" b="1" i="0" u="none" strike="noStrike" baseline="0">
                <a:solidFill>
                  <a:srgbClr val="000000"/>
                </a:solidFill>
                <a:latin typeface="Calibri"/>
                <a:ea typeface="Calibri"/>
                <a:cs typeface="Calibri"/>
              </a:defRPr>
            </a:pPr>
            <a:endParaRPr lang="es-GT"/>
          </a:p>
        </c:txPr>
        <c:crossAx val="50173056"/>
        <c:crosses val="autoZero"/>
        <c:auto val="1"/>
        <c:lblAlgn val="ctr"/>
        <c:lblOffset val="100"/>
        <c:noMultiLvlLbl val="0"/>
      </c:catAx>
      <c:valAx>
        <c:axId val="50173056"/>
        <c:scaling>
          <c:orientation val="minMax"/>
        </c:scaling>
        <c:delete val="0"/>
        <c:axPos val="l"/>
        <c:title>
          <c:tx>
            <c:rich>
              <a:bodyPr/>
              <a:lstStyle/>
              <a:p>
                <a:pPr>
                  <a:defRPr sz="800" b="1" i="0" u="none" strike="noStrike" baseline="0">
                    <a:solidFill>
                      <a:srgbClr val="000000"/>
                    </a:solidFill>
                    <a:latin typeface="Calibri"/>
                    <a:ea typeface="Calibri"/>
                    <a:cs typeface="Calibri"/>
                  </a:defRPr>
                </a:pPr>
                <a:r>
                  <a:rPr lang="es-MX" sz="800"/>
                  <a:t>Variación Interanual  </a:t>
                </a:r>
                <a:r>
                  <a:rPr lang="es-MX" sz="900" b="1"/>
                  <a:t>%</a:t>
                </a:r>
                <a:endParaRPr lang="es-MX" sz="800" b="1"/>
              </a:p>
            </c:rich>
          </c:tx>
          <c:layout>
            <c:manualLayout>
              <c:xMode val="edge"/>
              <c:yMode val="edge"/>
              <c:x val="1.555385327965226E-3"/>
              <c:y val="0.3015030624406102"/>
            </c:manualLayout>
          </c:layout>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s-GT"/>
          </a:p>
        </c:txPr>
        <c:crossAx val="50171264"/>
        <c:crosses val="autoZero"/>
        <c:crossBetween val="between"/>
      </c:valAx>
      <c:spPr>
        <a:ln>
          <a:noFill/>
        </a:ln>
      </c:spPr>
    </c:plotArea>
    <c:legend>
      <c:legendPos val="b"/>
      <c:layout>
        <c:manualLayout>
          <c:xMode val="edge"/>
          <c:yMode val="edge"/>
          <c:x val="9.2571606850121432E-2"/>
          <c:y val="0.82235775971551939"/>
          <c:w val="0.49135016473246346"/>
          <c:h val="4.9501062108849185E-2"/>
        </c:manualLayout>
      </c:layout>
      <c:overlay val="0"/>
      <c:txPr>
        <a:bodyPr/>
        <a:lstStyle/>
        <a:p>
          <a:pPr>
            <a:defRPr sz="800"/>
          </a:pPr>
          <a:endParaRPr lang="es-GT"/>
        </a:p>
      </c:txPr>
    </c:legend>
    <c:plotVisOnly val="1"/>
    <c:dispBlanksAs val="gap"/>
    <c:showDLblsOverMax val="0"/>
  </c:chart>
  <c:spPr>
    <a:solidFill>
      <a:schemeClr val="bg1"/>
    </a:solidFill>
    <a:ln>
      <a:noFill/>
    </a:ln>
  </c:spPr>
  <c:txPr>
    <a:bodyPr/>
    <a:lstStyle/>
    <a:p>
      <a:pPr>
        <a:defRPr sz="1000" b="0" i="0" u="none" strike="noStrike" baseline="0">
          <a:solidFill>
            <a:srgbClr val="000000"/>
          </a:solidFill>
          <a:latin typeface="Calibri"/>
          <a:ea typeface="Calibri"/>
          <a:cs typeface="Calibri"/>
        </a:defRPr>
      </a:pPr>
      <a:endParaRPr lang="es-GT"/>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37212398752321E-2"/>
          <c:y val="2.584294442447806E-2"/>
          <c:w val="0.85969397799679592"/>
          <c:h val="0.7640756199562192"/>
        </c:manualLayout>
      </c:layout>
      <c:areaChart>
        <c:grouping val="stacked"/>
        <c:varyColors val="0"/>
        <c:ser>
          <c:idx val="0"/>
          <c:order val="0"/>
          <c:tx>
            <c:strRef>
              <c:f>Fabiola!$N$53</c:f>
              <c:strCache>
                <c:ptCount val="1"/>
                <c:pt idx="0">
                  <c:v>Contribuciones</c:v>
                </c:pt>
              </c:strCache>
            </c:strRef>
          </c:tx>
          <c:cat>
            <c:numRef>
              <c:f>Fabiola!$L$54:$L$78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Fabiola!$N$54:$N$78</c:f>
              <c:numCache>
                <c:formatCode>#,##0.0</c:formatCode>
                <c:ptCount val="25"/>
                <c:pt idx="0">
                  <c:v>223.9</c:v>
                </c:pt>
                <c:pt idx="1">
                  <c:v>302.60000000000002</c:v>
                </c:pt>
                <c:pt idx="2">
                  <c:v>356.7</c:v>
                </c:pt>
                <c:pt idx="3">
                  <c:v>414.2</c:v>
                </c:pt>
                <c:pt idx="4">
                  <c:v>466.2</c:v>
                </c:pt>
                <c:pt idx="5">
                  <c:v>501.7</c:v>
                </c:pt>
                <c:pt idx="6">
                  <c:v>535.70000000000005</c:v>
                </c:pt>
                <c:pt idx="7">
                  <c:v>544.29999999999995</c:v>
                </c:pt>
                <c:pt idx="8">
                  <c:v>578.6</c:v>
                </c:pt>
                <c:pt idx="9">
                  <c:v>647.9</c:v>
                </c:pt>
                <c:pt idx="10">
                  <c:v>745.5</c:v>
                </c:pt>
                <c:pt idx="11">
                  <c:v>921.85</c:v>
                </c:pt>
                <c:pt idx="12">
                  <c:v>1069.06</c:v>
                </c:pt>
                <c:pt idx="13">
                  <c:v>1214.3699999999999</c:v>
                </c:pt>
                <c:pt idx="14">
                  <c:v>1273.56</c:v>
                </c:pt>
                <c:pt idx="15">
                  <c:v>1427.37</c:v>
                </c:pt>
                <c:pt idx="16">
                  <c:v>1617.17</c:v>
                </c:pt>
                <c:pt idx="17">
                  <c:v>1650.94</c:v>
                </c:pt>
                <c:pt idx="18">
                  <c:v>2026.71</c:v>
                </c:pt>
                <c:pt idx="19">
                  <c:v>2203.5839660988472</c:v>
                </c:pt>
                <c:pt idx="20">
                  <c:v>2296.8023895276842</c:v>
                </c:pt>
                <c:pt idx="21">
                  <c:v>2389.7206576457329</c:v>
                </c:pt>
                <c:pt idx="22">
                  <c:v>2483.1994672764399</c:v>
                </c:pt>
                <c:pt idx="23">
                  <c:v>2571.9507486044845</c:v>
                </c:pt>
                <c:pt idx="24">
                  <c:v>2654.1457787006202</c:v>
                </c:pt>
              </c:numCache>
            </c:numRef>
          </c:val>
          <c:extLst xmlns:c16r2="http://schemas.microsoft.com/office/drawing/2015/06/chart">
            <c:ext xmlns:c16="http://schemas.microsoft.com/office/drawing/2014/chart" uri="{C3380CC4-5D6E-409C-BE32-E72D297353CC}">
              <c16:uniqueId val="{00000000-EF8D-4CFA-B347-EE14CCEF6B1B}"/>
            </c:ext>
          </c:extLst>
        </c:ser>
        <c:ser>
          <c:idx val="1"/>
          <c:order val="1"/>
          <c:tx>
            <c:strRef>
              <c:f>Fabiola!$O$53</c:f>
              <c:strCache>
                <c:ptCount val="1"/>
                <c:pt idx="0">
                  <c:v>Aporte del Estado 10%</c:v>
                </c:pt>
              </c:strCache>
            </c:strRef>
          </c:tx>
          <c:cat>
            <c:numRef>
              <c:f>Fabiola!$L$54:$L$78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Fabiola!$O$54:$O$78</c:f>
              <c:numCache>
                <c:formatCode>General</c:formatCode>
                <c:ptCount val="25"/>
              </c:numCache>
            </c:numRef>
          </c:val>
          <c:extLst xmlns:c16r2="http://schemas.microsoft.com/office/drawing/2015/06/chart">
            <c:ext xmlns:c16="http://schemas.microsoft.com/office/drawing/2014/chart" uri="{C3380CC4-5D6E-409C-BE32-E72D297353CC}">
              <c16:uniqueId val="{00000001-EF8D-4CFA-B347-EE14CCEF6B1B}"/>
            </c:ext>
          </c:extLst>
        </c:ser>
        <c:ser>
          <c:idx val="2"/>
          <c:order val="2"/>
          <c:tx>
            <c:strRef>
              <c:f>Fabiola!$P$53</c:f>
              <c:strCache>
                <c:ptCount val="1"/>
                <c:pt idx="0">
                  <c:v>Déficit despues del Aporte</c:v>
                </c:pt>
              </c:strCache>
            </c:strRef>
          </c:tx>
          <c:cat>
            <c:numRef>
              <c:f>Fabiola!$L$54:$L$78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Fabiola!$P$54:$P$78</c:f>
              <c:numCache>
                <c:formatCode>General</c:formatCode>
                <c:ptCount val="25"/>
              </c:numCache>
            </c:numRef>
          </c:val>
          <c:extLst xmlns:c16r2="http://schemas.microsoft.com/office/drawing/2015/06/chart">
            <c:ext xmlns:c16="http://schemas.microsoft.com/office/drawing/2014/chart" uri="{C3380CC4-5D6E-409C-BE32-E72D297353CC}">
              <c16:uniqueId val="{00000002-EF8D-4CFA-B347-EE14CCEF6B1B}"/>
            </c:ext>
          </c:extLst>
        </c:ser>
        <c:ser>
          <c:idx val="3"/>
          <c:order val="3"/>
          <c:tx>
            <c:strRef>
              <c:f>Fabiola!$Q$53</c:f>
              <c:strCache>
                <c:ptCount val="1"/>
                <c:pt idx="0">
                  <c:v>Aporte Total del Estado</c:v>
                </c:pt>
              </c:strCache>
            </c:strRef>
          </c:tx>
          <c:spPr>
            <a:ln w="25400">
              <a:noFill/>
            </a:ln>
          </c:spPr>
          <c:cat>
            <c:numRef>
              <c:f>Fabiola!$L$54:$L$78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Fabiola!$Q$54:$Q$78</c:f>
              <c:numCache>
                <c:formatCode>#,##0.0</c:formatCode>
                <c:ptCount val="25"/>
                <c:pt idx="0">
                  <c:v>720.2</c:v>
                </c:pt>
                <c:pt idx="1">
                  <c:v>703.19999999999993</c:v>
                </c:pt>
                <c:pt idx="2">
                  <c:v>1038.5</c:v>
                </c:pt>
                <c:pt idx="3">
                  <c:v>880.90000000000009</c:v>
                </c:pt>
                <c:pt idx="4">
                  <c:v>993.39999999999986</c:v>
                </c:pt>
                <c:pt idx="5">
                  <c:v>1088.7999999999997</c:v>
                </c:pt>
                <c:pt idx="6">
                  <c:v>1208.0999999999999</c:v>
                </c:pt>
                <c:pt idx="7">
                  <c:v>1294.8</c:v>
                </c:pt>
                <c:pt idx="8">
                  <c:v>1443.5</c:v>
                </c:pt>
                <c:pt idx="9">
                  <c:v>1541.8000000000002</c:v>
                </c:pt>
                <c:pt idx="10">
                  <c:v>1731.4</c:v>
                </c:pt>
                <c:pt idx="11">
                  <c:v>1724.6500000000005</c:v>
                </c:pt>
                <c:pt idx="12">
                  <c:v>1738.7400000000002</c:v>
                </c:pt>
                <c:pt idx="13">
                  <c:v>1675.58</c:v>
                </c:pt>
                <c:pt idx="14">
                  <c:v>1862.6799999999998</c:v>
                </c:pt>
                <c:pt idx="15">
                  <c:v>2001.65</c:v>
                </c:pt>
                <c:pt idx="16">
                  <c:v>1989.6799999999998</c:v>
                </c:pt>
                <c:pt idx="17">
                  <c:v>2087.91</c:v>
                </c:pt>
                <c:pt idx="18">
                  <c:v>2147.6376303255711</c:v>
                </c:pt>
                <c:pt idx="19">
                  <c:v>2414.6005792728934</c:v>
                </c:pt>
                <c:pt idx="20">
                  <c:v>2607.2937982251201</c:v>
                </c:pt>
                <c:pt idx="21">
                  <c:v>2609.3914954982301</c:v>
                </c:pt>
                <c:pt idx="22">
                  <c:v>2623.0924956447557</c:v>
                </c:pt>
                <c:pt idx="23">
                  <c:v>2650.0074936043889</c:v>
                </c:pt>
                <c:pt idx="24">
                  <c:v>2690.4078757330744</c:v>
                </c:pt>
              </c:numCache>
            </c:numRef>
          </c:val>
          <c:extLst xmlns:c16r2="http://schemas.microsoft.com/office/drawing/2015/06/chart">
            <c:ext xmlns:c16="http://schemas.microsoft.com/office/drawing/2014/chart" uri="{C3380CC4-5D6E-409C-BE32-E72D297353CC}">
              <c16:uniqueId val="{00000003-EF8D-4CFA-B347-EE14CCEF6B1B}"/>
            </c:ext>
          </c:extLst>
        </c:ser>
        <c:dLbls>
          <c:showLegendKey val="0"/>
          <c:showVal val="0"/>
          <c:showCatName val="0"/>
          <c:showSerName val="0"/>
          <c:showPercent val="0"/>
          <c:showBubbleSize val="0"/>
        </c:dLbls>
        <c:axId val="50227840"/>
        <c:axId val="50229632"/>
      </c:areaChart>
      <c:catAx>
        <c:axId val="5022784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s-GT"/>
          </a:p>
        </c:txPr>
        <c:crossAx val="50229632"/>
        <c:crosses val="autoZero"/>
        <c:auto val="1"/>
        <c:lblAlgn val="ctr"/>
        <c:lblOffset val="100"/>
        <c:noMultiLvlLbl val="0"/>
      </c:catAx>
      <c:valAx>
        <c:axId val="50229632"/>
        <c:scaling>
          <c:orientation val="minMax"/>
        </c:scaling>
        <c:delete val="0"/>
        <c:axPos val="l"/>
        <c:majorGridlines/>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s-GT"/>
          </a:p>
        </c:txPr>
        <c:crossAx val="50227840"/>
        <c:crosses val="autoZero"/>
        <c:crossBetween val="midCat"/>
      </c:valAx>
    </c:plotArea>
    <c:legend>
      <c:legendPos val="b"/>
      <c:legendEntry>
        <c:idx val="1"/>
        <c:delete val="1"/>
      </c:legendEntry>
      <c:legendEntry>
        <c:idx val="2"/>
        <c:delete val="1"/>
      </c:legendEntry>
      <c:layout>
        <c:manualLayout>
          <c:xMode val="edge"/>
          <c:yMode val="edge"/>
          <c:x val="0.27132016425426386"/>
          <c:y val="0.91771081778678076"/>
          <c:w val="0.45261958678912023"/>
          <c:h val="8.2289182213219195E-2"/>
        </c:manualLayout>
      </c:layout>
      <c:overlay val="0"/>
      <c:txPr>
        <a:bodyPr/>
        <a:lstStyle/>
        <a:p>
          <a:pPr>
            <a:defRPr>
              <a:latin typeface="Times New Roman" panose="02020603050405020304" pitchFamily="18" charset="0"/>
              <a:cs typeface="Times New Roman" panose="02020603050405020304" pitchFamily="18" charset="0"/>
            </a:defRPr>
          </a:pPr>
          <a:endParaRPr lang="es-GT"/>
        </a:p>
      </c:txPr>
    </c:legend>
    <c:plotVisOnly val="1"/>
    <c:dispBlanksAs val="zero"/>
    <c:showDLblsOverMax val="0"/>
  </c:chart>
  <c:spPr>
    <a:ln>
      <a:noFill/>
    </a:ln>
  </c:spPr>
  <c:txPr>
    <a:bodyPr/>
    <a:lstStyle/>
    <a:p>
      <a:pPr>
        <a:defRPr sz="900"/>
      </a:pPr>
      <a:endParaRPr lang="es-G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9331805932285E-2"/>
          <c:y val="3.1688013247271128E-2"/>
          <c:w val="0.88999446975482577"/>
          <c:h val="0.71743931150237117"/>
        </c:manualLayout>
      </c:layout>
      <c:barChart>
        <c:barDir val="col"/>
        <c:grouping val="percentStacked"/>
        <c:varyColors val="0"/>
        <c:ser>
          <c:idx val="0"/>
          <c:order val="0"/>
          <c:tx>
            <c:strRef>
              <c:f>'[Gráfico en Microsoft Word]Estructura'!$P$54</c:f>
              <c:strCache>
                <c:ptCount val="1"/>
                <c:pt idx="0">
                  <c:v>Aporte Laboral</c:v>
                </c:pt>
              </c:strCache>
            </c:strRef>
          </c:tx>
          <c:invertIfNegative val="0"/>
          <c:cat>
            <c:numRef>
              <c:f>'[Gráfico en Microsoft Word]Estructura'!$L$55:$L$79</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'[Gráfico en Microsoft Word]Estructura'!$P$55:$P$79</c:f>
              <c:numCache>
                <c:formatCode>0.0%</c:formatCode>
                <c:ptCount val="25"/>
                <c:pt idx="0">
                  <c:v>0.23715708081770998</c:v>
                </c:pt>
                <c:pt idx="1">
                  <c:v>0.30085504076357134</c:v>
                </c:pt>
                <c:pt idx="2">
                  <c:v>0.25566227064220182</c:v>
                </c:pt>
                <c:pt idx="3">
                  <c:v>0.31982086325380277</c:v>
                </c:pt>
                <c:pt idx="4">
                  <c:v>0.31940257604823241</c:v>
                </c:pt>
                <c:pt idx="5">
                  <c:v>0.31543539767368756</c:v>
                </c:pt>
                <c:pt idx="6">
                  <c:v>0.30720266085560272</c:v>
                </c:pt>
                <c:pt idx="7">
                  <c:v>0.29595998042520799</c:v>
                </c:pt>
                <c:pt idx="8">
                  <c:v>0.28613817318629148</c:v>
                </c:pt>
                <c:pt idx="9">
                  <c:v>0.29588528108873358</c:v>
                </c:pt>
                <c:pt idx="10">
                  <c:v>0.30098106504097866</c:v>
                </c:pt>
                <c:pt idx="11">
                  <c:v>0.3483279803514075</c:v>
                </c:pt>
                <c:pt idx="12">
                  <c:v>0.38074649191537857</c:v>
                </c:pt>
                <c:pt idx="13">
                  <c:v>0.42020450180798974</c:v>
                </c:pt>
                <c:pt idx="14">
                  <c:v>0.40607861643241588</c:v>
                </c:pt>
                <c:pt idx="15">
                  <c:v>0.41626178908259498</c:v>
                </c:pt>
                <c:pt idx="16">
                  <c:v>0.44836075800213487</c:v>
                </c:pt>
                <c:pt idx="17">
                  <c:v>0.44156358238495796</c:v>
                </c:pt>
                <c:pt idx="18">
                  <c:v>0.48551538575188818</c:v>
                </c:pt>
                <c:pt idx="19">
                  <c:v>0.47715372663208933</c:v>
                </c:pt>
                <c:pt idx="20">
                  <c:v>0.46834366651771242</c:v>
                </c:pt>
                <c:pt idx="21">
                  <c:v>0.47802901484073046</c:v>
                </c:pt>
                <c:pt idx="22">
                  <c:v>0.48630189681826497</c:v>
                </c:pt>
                <c:pt idx="23">
                  <c:v>0.49252610406102304</c:v>
                </c:pt>
                <c:pt idx="24">
                  <c:v>0.49660756544165552</c:v>
                </c:pt>
              </c:numCache>
            </c:numRef>
          </c:val>
          <c:extLst xmlns:c16r2="http://schemas.microsoft.com/office/drawing/2015/06/chart">
            <c:ext xmlns:c16="http://schemas.microsoft.com/office/drawing/2014/chart" uri="{C3380CC4-5D6E-409C-BE32-E72D297353CC}">
              <c16:uniqueId val="{00000000-607B-4E12-A5F8-FA3508FFB696}"/>
            </c:ext>
          </c:extLst>
        </c:ser>
        <c:ser>
          <c:idx val="1"/>
          <c:order val="1"/>
          <c:tx>
            <c:strRef>
              <c:f>'[Gráfico en Microsoft Word]Estructura'!$Q$54</c:f>
              <c:strCache>
                <c:ptCount val="1"/>
                <c:pt idx="0">
                  <c:v>Aporte Patronal</c:v>
                </c:pt>
              </c:strCache>
            </c:strRef>
          </c:tx>
          <c:invertIfNegative val="0"/>
          <c:cat>
            <c:numRef>
              <c:f>'[Gráfico en Microsoft Word]Estructura'!$L$55:$L$79</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'[Gráfico en Microsoft Word]Estructura'!$Q$55:$Q$79</c:f>
              <c:numCache>
                <c:formatCode>0.0%</c:formatCode>
                <c:ptCount val="25"/>
                <c:pt idx="0">
                  <c:v>0.76284291918229008</c:v>
                </c:pt>
                <c:pt idx="1">
                  <c:v>0.69914495923642872</c:v>
                </c:pt>
                <c:pt idx="2">
                  <c:v>0.74433772935779818</c:v>
                </c:pt>
                <c:pt idx="3">
                  <c:v>0.68017913674619723</c:v>
                </c:pt>
                <c:pt idx="4">
                  <c:v>0.68059742395176759</c:v>
                </c:pt>
                <c:pt idx="5">
                  <c:v>0.68456460232631244</c:v>
                </c:pt>
                <c:pt idx="6">
                  <c:v>0.69279733914439723</c:v>
                </c:pt>
                <c:pt idx="7">
                  <c:v>0.70404001957479201</c:v>
                </c:pt>
                <c:pt idx="8">
                  <c:v>0.71386182681370858</c:v>
                </c:pt>
                <c:pt idx="9">
                  <c:v>0.70411471891126642</c:v>
                </c:pt>
                <c:pt idx="10">
                  <c:v>0.69901893495902134</c:v>
                </c:pt>
                <c:pt idx="11">
                  <c:v>0.65167201964859256</c:v>
                </c:pt>
                <c:pt idx="12">
                  <c:v>0.61925350808462143</c:v>
                </c:pt>
                <c:pt idx="13">
                  <c:v>0.57979549819201026</c:v>
                </c:pt>
                <c:pt idx="14">
                  <c:v>0.59392138356758406</c:v>
                </c:pt>
                <c:pt idx="15">
                  <c:v>0.58373821091740496</c:v>
                </c:pt>
                <c:pt idx="16">
                  <c:v>0.55163924199786518</c:v>
                </c:pt>
                <c:pt idx="17">
                  <c:v>0.55843641761504204</c:v>
                </c:pt>
                <c:pt idx="18">
                  <c:v>0.51448461424811176</c:v>
                </c:pt>
                <c:pt idx="19">
                  <c:v>0.52284627336791067</c:v>
                </c:pt>
                <c:pt idx="20">
                  <c:v>0.53165633348228758</c:v>
                </c:pt>
                <c:pt idx="21">
                  <c:v>0.52197098515926954</c:v>
                </c:pt>
                <c:pt idx="22">
                  <c:v>0.51369810318173503</c:v>
                </c:pt>
                <c:pt idx="23">
                  <c:v>0.50747389593897696</c:v>
                </c:pt>
                <c:pt idx="24">
                  <c:v>0.50339243455834448</c:v>
                </c:pt>
              </c:numCache>
            </c:numRef>
          </c:val>
          <c:extLst xmlns:c16r2="http://schemas.microsoft.com/office/drawing/2015/06/chart">
            <c:ext xmlns:c16="http://schemas.microsoft.com/office/drawing/2014/chart" uri="{C3380CC4-5D6E-409C-BE32-E72D297353CC}">
              <c16:uniqueId val="{00000001-607B-4E12-A5F8-FA3508FFB696}"/>
            </c:ext>
          </c:extLst>
        </c:ser>
        <c:dLbls>
          <c:showLegendKey val="0"/>
          <c:showVal val="0"/>
          <c:showCatName val="0"/>
          <c:showSerName val="0"/>
          <c:showPercent val="0"/>
          <c:showBubbleSize val="0"/>
        </c:dLbls>
        <c:gapWidth val="150"/>
        <c:overlap val="100"/>
        <c:axId val="51525888"/>
        <c:axId val="51527680"/>
      </c:barChart>
      <c:catAx>
        <c:axId val="51525888"/>
        <c:scaling>
          <c:orientation val="minMax"/>
        </c:scaling>
        <c:delete val="0"/>
        <c:axPos val="b"/>
        <c:numFmt formatCode="General" sourceLinked="1"/>
        <c:majorTickMark val="none"/>
        <c:minorTickMark val="none"/>
        <c:tickLblPos val="nextTo"/>
        <c:txPr>
          <a:bodyPr/>
          <a:lstStyle/>
          <a:p>
            <a:pPr>
              <a:defRPr sz="900"/>
            </a:pPr>
            <a:endParaRPr lang="es-GT"/>
          </a:p>
        </c:txPr>
        <c:crossAx val="51527680"/>
        <c:crosses val="autoZero"/>
        <c:auto val="1"/>
        <c:lblAlgn val="ctr"/>
        <c:lblOffset val="100"/>
        <c:noMultiLvlLbl val="0"/>
      </c:catAx>
      <c:valAx>
        <c:axId val="51527680"/>
        <c:scaling>
          <c:orientation val="minMax"/>
        </c:scaling>
        <c:delete val="0"/>
        <c:axPos val="l"/>
        <c:majorGridlines/>
        <c:numFmt formatCode="0%" sourceLinked="1"/>
        <c:majorTickMark val="none"/>
        <c:minorTickMark val="none"/>
        <c:tickLblPos val="nextTo"/>
        <c:spPr>
          <a:ln w="9525">
            <a:noFill/>
          </a:ln>
        </c:spPr>
        <c:crossAx val="51525888"/>
        <c:crosses val="autoZero"/>
        <c:crossBetween val="between"/>
        <c:minorUnit val="0.25"/>
      </c:valAx>
    </c:plotArea>
    <c:legend>
      <c:legendPos val="b"/>
      <c:layout>
        <c:manualLayout>
          <c:xMode val="edge"/>
          <c:yMode val="edge"/>
          <c:x val="0.30391752034340186"/>
          <c:y val="0.90292318610388289"/>
          <c:w val="0.38770547494272245"/>
          <c:h val="9.7076813896117067E-2"/>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436348736950861E-2"/>
          <c:y val="7.2607260726072612E-2"/>
          <c:w val="0.90067677343499486"/>
          <c:h val="0.65417738624256139"/>
        </c:manualLayout>
      </c:layout>
      <c:barChart>
        <c:barDir val="col"/>
        <c:grouping val="clustered"/>
        <c:varyColors val="0"/>
        <c:ser>
          <c:idx val="0"/>
          <c:order val="0"/>
          <c:tx>
            <c:strRef>
              <c:f>'Graficas Ingresos y Gastos'!$A$7</c:f>
              <c:strCache>
                <c:ptCount val="1"/>
                <c:pt idx="0">
                  <c:v>% aporte Estado respcto Ingresos Tributarios</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98-4FAA-A25E-28E0E2442D40}"/>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98-4FAA-A25E-28E0E2442D40}"/>
                </c:ext>
              </c:extLst>
            </c:dLbl>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98-4FAA-A25E-28E0E2442D40}"/>
                </c:ext>
              </c:extLst>
            </c:dLbl>
            <c:dLbl>
              <c:idx val="9"/>
              <c:layout>
                <c:manualLayout>
                  <c:x val="0"/>
                  <c:y val="1.01572318157558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98-4FAA-A25E-28E0E2442D40}"/>
                </c:ext>
              </c:extLst>
            </c:dLbl>
            <c:dLbl>
              <c:idx val="1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98-4FAA-A25E-28E0E2442D4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'Graficas Ingresos y Gastos'!$B$6:$Z$6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'Graficas Ingresos y Gastos'!$B$7:$Z$7</c:f>
              <c:numCache>
                <c:formatCode>0.0%</c:formatCode>
                <c:ptCount val="25"/>
                <c:pt idx="0">
                  <c:v>6.2228995709738388E-2</c:v>
                </c:pt>
                <c:pt idx="1">
                  <c:v>5.2624318778968227E-2</c:v>
                </c:pt>
                <c:pt idx="2">
                  <c:v>6.9219470170813688E-2</c:v>
                </c:pt>
                <c:pt idx="3">
                  <c:v>5.5302541641821135E-2</c:v>
                </c:pt>
                <c:pt idx="4">
                  <c:v>5.1485686158323891E-2</c:v>
                </c:pt>
                <c:pt idx="5">
                  <c:v>5.3686461645442489E-2</c:v>
                </c:pt>
                <c:pt idx="6">
                  <c:v>5.4978704444893001E-2</c:v>
                </c:pt>
                <c:pt idx="7">
                  <c:v>5.5546865531249247E-2</c:v>
                </c:pt>
                <c:pt idx="8">
                  <c:v>5.299559015812582E-2</c:v>
                </c:pt>
                <c:pt idx="9">
                  <c:v>4.8878790732031198E-2</c:v>
                </c:pt>
                <c:pt idx="10">
                  <c:v>5.1903361785824491E-2</c:v>
                </c:pt>
                <c:pt idx="11">
                  <c:v>5.4214276191026423E-2</c:v>
                </c:pt>
                <c:pt idx="12">
                  <c:v>5.000408830062892E-2</c:v>
                </c:pt>
                <c:pt idx="13">
                  <c:v>4.1585763879185431E-2</c:v>
                </c:pt>
                <c:pt idx="14">
                  <c:v>4.350040841263509E-2</c:v>
                </c:pt>
                <c:pt idx="15">
                  <c:v>4.3199014633902078E-2</c:v>
                </c:pt>
                <c:pt idx="16">
                  <c:v>4.052556573893356E-2</c:v>
                </c:pt>
                <c:pt idx="17">
                  <c:v>4.1984299728810709E-2</c:v>
                </c:pt>
                <c:pt idx="18">
                  <c:v>3.9690615530770905E-2</c:v>
                </c:pt>
                <c:pt idx="19">
                  <c:v>4.1630254930904644E-2</c:v>
                </c:pt>
                <c:pt idx="20">
                  <c:v>4.1377471707554701E-2</c:v>
                </c:pt>
                <c:pt idx="21">
                  <c:v>3.5906916039386179E-2</c:v>
                </c:pt>
                <c:pt idx="22">
                  <c:v>3.4351341667176384E-2</c:v>
                </c:pt>
                <c:pt idx="23">
                  <c:v>3.153216740326064E-2</c:v>
                </c:pt>
                <c:pt idx="24">
                  <c:v>2.9097853203935018E-2</c:v>
                </c:pt>
              </c:numCache>
            </c:numRef>
          </c:val>
          <c:extLst xmlns:c16r2="http://schemas.microsoft.com/office/drawing/2015/06/chart">
            <c:ext xmlns:c16="http://schemas.microsoft.com/office/drawing/2014/chart" uri="{C3380CC4-5D6E-409C-BE32-E72D297353CC}">
              <c16:uniqueId val="{00000005-8698-4FAA-A25E-28E0E2442D40}"/>
            </c:ext>
          </c:extLst>
        </c:ser>
        <c:dLbls>
          <c:showLegendKey val="0"/>
          <c:showVal val="0"/>
          <c:showCatName val="0"/>
          <c:showSerName val="0"/>
          <c:showPercent val="0"/>
          <c:showBubbleSize val="0"/>
        </c:dLbls>
        <c:gapWidth val="75"/>
        <c:overlap val="-25"/>
        <c:axId val="51566080"/>
        <c:axId val="51567616"/>
      </c:barChart>
      <c:lineChart>
        <c:grouping val="standard"/>
        <c:varyColors val="0"/>
        <c:ser>
          <c:idx val="1"/>
          <c:order val="1"/>
          <c:tx>
            <c:strRef>
              <c:f>'Graficas Ingresos y Gastos'!$A$8</c:f>
              <c:strCache>
                <c:ptCount val="1"/>
                <c:pt idx="0">
                  <c:v>Promedio</c:v>
                </c:pt>
              </c:strCache>
            </c:strRef>
          </c:tx>
          <c:marker>
            <c:symbol val="none"/>
          </c:marker>
          <c:dLbls>
            <c:dLbl>
              <c:idx val="0"/>
              <c:layout>
                <c:manualLayout>
                  <c:x val="0.79440736708106152"/>
                  <c:y val="-3.38574393858527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98-4FAA-A25E-28E0E2442D4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'Graficas Ingresos y Gastos'!$H$2:$P$2</c:f>
              <c:numCache>
                <c:formatCode>#,##0.0</c:formatCode>
                <c:ptCount val="9"/>
                <c:pt idx="0">
                  <c:v>1208.0999999999999</c:v>
                </c:pt>
                <c:pt idx="1">
                  <c:v>1294.8</c:v>
                </c:pt>
                <c:pt idx="2">
                  <c:v>1443.5</c:v>
                </c:pt>
                <c:pt idx="3">
                  <c:v>1541.8000000000002</c:v>
                </c:pt>
                <c:pt idx="4">
                  <c:v>1731.4</c:v>
                </c:pt>
                <c:pt idx="5">
                  <c:v>1724.6500000000005</c:v>
                </c:pt>
                <c:pt idx="6">
                  <c:v>1738.7400000000002</c:v>
                </c:pt>
                <c:pt idx="7">
                  <c:v>1675.58</c:v>
                </c:pt>
                <c:pt idx="8">
                  <c:v>1862.6799999999998</c:v>
                </c:pt>
              </c:numCache>
            </c:numRef>
          </c:cat>
          <c:val>
            <c:numRef>
              <c:f>'Graficas Ingresos y Gastos'!$B$8:$Z$8</c:f>
              <c:numCache>
                <c:formatCode>0.0%</c:formatCode>
                <c:ptCount val="25"/>
                <c:pt idx="0">
                  <c:v>4.7E-2</c:v>
                </c:pt>
                <c:pt idx="1">
                  <c:v>4.7E-2</c:v>
                </c:pt>
                <c:pt idx="2">
                  <c:v>4.7E-2</c:v>
                </c:pt>
                <c:pt idx="3">
                  <c:v>4.7E-2</c:v>
                </c:pt>
                <c:pt idx="4">
                  <c:v>4.7E-2</c:v>
                </c:pt>
                <c:pt idx="5">
                  <c:v>4.7E-2</c:v>
                </c:pt>
                <c:pt idx="6">
                  <c:v>4.7E-2</c:v>
                </c:pt>
                <c:pt idx="7">
                  <c:v>4.7E-2</c:v>
                </c:pt>
                <c:pt idx="8">
                  <c:v>4.7E-2</c:v>
                </c:pt>
                <c:pt idx="9">
                  <c:v>4.7E-2</c:v>
                </c:pt>
                <c:pt idx="10">
                  <c:v>4.7E-2</c:v>
                </c:pt>
                <c:pt idx="11">
                  <c:v>4.7E-2</c:v>
                </c:pt>
                <c:pt idx="12">
                  <c:v>4.7E-2</c:v>
                </c:pt>
                <c:pt idx="13">
                  <c:v>4.7E-2</c:v>
                </c:pt>
                <c:pt idx="14">
                  <c:v>4.7E-2</c:v>
                </c:pt>
                <c:pt idx="15">
                  <c:v>4.7E-2</c:v>
                </c:pt>
                <c:pt idx="16">
                  <c:v>4.7E-2</c:v>
                </c:pt>
                <c:pt idx="17">
                  <c:v>4.7E-2</c:v>
                </c:pt>
                <c:pt idx="18">
                  <c:v>4.7E-2</c:v>
                </c:pt>
                <c:pt idx="19">
                  <c:v>4.7E-2</c:v>
                </c:pt>
                <c:pt idx="20">
                  <c:v>4.7E-2</c:v>
                </c:pt>
                <c:pt idx="21">
                  <c:v>4.7E-2</c:v>
                </c:pt>
                <c:pt idx="22">
                  <c:v>4.7E-2</c:v>
                </c:pt>
                <c:pt idx="23">
                  <c:v>4.7E-2</c:v>
                </c:pt>
                <c:pt idx="24">
                  <c:v>4.7E-2</c:v>
                </c:pt>
              </c:numCache>
            </c:numRef>
          </c:val>
          <c:smooth val="0"/>
          <c:extLst xmlns:c16r2="http://schemas.microsoft.com/office/drawing/2015/06/chart">
            <c:ext xmlns:c16="http://schemas.microsoft.com/office/drawing/2014/chart" uri="{C3380CC4-5D6E-409C-BE32-E72D297353CC}">
              <c16:uniqueId val="{00000007-8698-4FAA-A25E-28E0E2442D40}"/>
            </c:ext>
          </c:extLst>
        </c:ser>
        <c:dLbls>
          <c:showLegendKey val="0"/>
          <c:showVal val="0"/>
          <c:showCatName val="0"/>
          <c:showSerName val="0"/>
          <c:showPercent val="0"/>
          <c:showBubbleSize val="0"/>
        </c:dLbls>
        <c:marker val="1"/>
        <c:smooth val="0"/>
        <c:axId val="51566080"/>
        <c:axId val="51567616"/>
      </c:lineChart>
      <c:catAx>
        <c:axId val="5156608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s-GT"/>
          </a:p>
        </c:txPr>
        <c:crossAx val="51567616"/>
        <c:crosses val="autoZero"/>
        <c:auto val="1"/>
        <c:lblAlgn val="ctr"/>
        <c:lblOffset val="100"/>
        <c:noMultiLvlLbl val="0"/>
      </c:catAx>
      <c:valAx>
        <c:axId val="51567616"/>
        <c:scaling>
          <c:orientation val="minMax"/>
        </c:scaling>
        <c:delete val="0"/>
        <c:axPos val="l"/>
        <c:numFmt formatCode="0.0%"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es-GT"/>
          </a:p>
        </c:txPr>
        <c:crossAx val="51566080"/>
        <c:crosses val="autoZero"/>
        <c:crossBetween val="between"/>
      </c:valAx>
    </c:plotArea>
    <c:legend>
      <c:legendPos val="b"/>
      <c:layout>
        <c:manualLayout>
          <c:xMode val="edge"/>
          <c:yMode val="edge"/>
          <c:x val="0.19685627249082552"/>
          <c:y val="0.90249993503287329"/>
          <c:w val="0.60628745501834891"/>
          <c:h val="9.750006496712664E-2"/>
        </c:manualLayout>
      </c:layout>
      <c:overlay val="0"/>
      <c:txPr>
        <a:bodyPr/>
        <a:lstStyle/>
        <a:p>
          <a:pPr>
            <a:defRPr sz="800">
              <a:latin typeface="Times New Roman" panose="02020603050405020304" pitchFamily="18" charset="0"/>
              <a:cs typeface="Times New Roman" panose="02020603050405020304" pitchFamily="18" charset="0"/>
            </a:defRPr>
          </a:pPr>
          <a:endParaRPr lang="es-GT"/>
        </a:p>
      </c:txPr>
    </c:legend>
    <c:plotVisOnly val="1"/>
    <c:dispBlanksAs val="gap"/>
    <c:showDLblsOverMax val="0"/>
  </c:chart>
  <c:spPr>
    <a:ln>
      <a:noFill/>
    </a:ln>
  </c:spPr>
  <c:txPr>
    <a:bodyPr/>
    <a:lstStyle/>
    <a:p>
      <a:pPr>
        <a:defRPr sz="900"/>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57331787014992E-2"/>
          <c:y val="3.4303061514901E-2"/>
          <c:w val="0.88630287493133131"/>
          <c:h val="0.76477374063181847"/>
        </c:manualLayout>
      </c:layout>
      <c:lineChart>
        <c:grouping val="standard"/>
        <c:varyColors val="0"/>
        <c:ser>
          <c:idx val="0"/>
          <c:order val="0"/>
          <c:tx>
            <c:strRef>
              <c:f>'Aporte Efectivo'!$E$3</c:f>
              <c:strCache>
                <c:ptCount val="1"/>
                <c:pt idx="0">
                  <c:v>% aportación Estado respecto masa salarial</c:v>
                </c:pt>
              </c:strCache>
            </c:strRef>
          </c:tx>
          <c:marker>
            <c:symbol val="none"/>
          </c:marker>
          <c:cat>
            <c:numRef>
              <c:f>'Aporte Efectivo'!$A$4:$A$18</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'Aporte Efectivo'!$E$4:$E$18</c:f>
              <c:numCache>
                <c:formatCode>0.0%</c:formatCode>
                <c:ptCount val="15"/>
                <c:pt idx="0">
                  <c:v>0.26514434547600713</c:v>
                </c:pt>
                <c:pt idx="1">
                  <c:v>0.21185240926301069</c:v>
                </c:pt>
                <c:pt idx="2">
                  <c:v>0.18922503210994499</c:v>
                </c:pt>
                <c:pt idx="3">
                  <c:v>0.15971947906959719</c:v>
                </c:pt>
                <c:pt idx="4">
                  <c:v>0.16999427779263335</c:v>
                </c:pt>
                <c:pt idx="5">
                  <c:v>0.16405155922538714</c:v>
                </c:pt>
                <c:pt idx="6">
                  <c:v>0.14862195578510259</c:v>
                </c:pt>
                <c:pt idx="7">
                  <c:v>0.13890089133909622</c:v>
                </c:pt>
                <c:pt idx="8">
                  <c:v>0.13831751984776808</c:v>
                </c:pt>
                <c:pt idx="9">
                  <c:v>0.15480458042753889</c:v>
                </c:pt>
                <c:pt idx="10">
                  <c:v>0.15182105256742531</c:v>
                </c:pt>
                <c:pt idx="11">
                  <c:v>0.14921548494781581</c:v>
                </c:pt>
                <c:pt idx="12">
                  <c:v>0.14687889443159088</c:v>
                </c:pt>
                <c:pt idx="13">
                  <c:v>0.1450245166574631</c:v>
                </c:pt>
                <c:pt idx="14">
                  <c:v>0.14366224442304235</c:v>
                </c:pt>
              </c:numCache>
            </c:numRef>
          </c:val>
          <c:smooth val="0"/>
          <c:extLst xmlns:c16r2="http://schemas.microsoft.com/office/drawing/2015/06/chart">
            <c:ext xmlns:c16="http://schemas.microsoft.com/office/drawing/2014/chart" uri="{C3380CC4-5D6E-409C-BE32-E72D297353CC}">
              <c16:uniqueId val="{00000000-A4D4-4844-80B1-18A24FD9C2F3}"/>
            </c:ext>
          </c:extLst>
        </c:ser>
        <c:ser>
          <c:idx val="1"/>
          <c:order val="1"/>
          <c:tx>
            <c:strRef>
              <c:f>'Aporte Efectivo'!$F$3</c:f>
              <c:strCache>
                <c:ptCount val="1"/>
                <c:pt idx="0">
                  <c:v>% aportación laboral respecto masa salarial</c:v>
                </c:pt>
              </c:strCache>
            </c:strRef>
          </c:tx>
          <c:marker>
            <c:symbol val="none"/>
          </c:marker>
          <c:cat>
            <c:numRef>
              <c:f>'Aporte Efectivo'!$A$4:$A$18</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'Aporte Efectivo'!$F$4:$F$18</c:f>
              <c:numCache>
                <c:formatCode>0.0%</c:formatCode>
                <c:ptCount val="15"/>
                <c:pt idx="0">
                  <c:v>0.111</c:v>
                </c:pt>
                <c:pt idx="1">
                  <c:v>0.1119</c:v>
                </c:pt>
                <c:pt idx="2">
                  <c:v>0.11259999999999999</c:v>
                </c:pt>
                <c:pt idx="3">
                  <c:v>0.11320000000000001</c:v>
                </c:pt>
                <c:pt idx="4">
                  <c:v>0.11460000000000001</c:v>
                </c:pt>
                <c:pt idx="5">
                  <c:v>0.1153</c:v>
                </c:pt>
                <c:pt idx="6">
                  <c:v>0.11749999999999999</c:v>
                </c:pt>
                <c:pt idx="7">
                  <c:v>0.11939999999999999</c:v>
                </c:pt>
                <c:pt idx="8">
                  <c:v>0.12</c:v>
                </c:pt>
                <c:pt idx="9">
                  <c:v>0.1202</c:v>
                </c:pt>
                <c:pt idx="10">
                  <c:v>0.12083000000000001</c:v>
                </c:pt>
                <c:pt idx="11">
                  <c:v>0.12083000000000001</c:v>
                </c:pt>
                <c:pt idx="12">
                  <c:v>0.12083000000000001</c:v>
                </c:pt>
                <c:pt idx="13">
                  <c:v>0.12083000000000001</c:v>
                </c:pt>
                <c:pt idx="14">
                  <c:v>0.12083000000000001</c:v>
                </c:pt>
              </c:numCache>
            </c:numRef>
          </c:val>
          <c:smooth val="0"/>
          <c:extLst xmlns:c16r2="http://schemas.microsoft.com/office/drawing/2015/06/chart">
            <c:ext xmlns:c16="http://schemas.microsoft.com/office/drawing/2014/chart" uri="{C3380CC4-5D6E-409C-BE32-E72D297353CC}">
              <c16:uniqueId val="{00000001-A4D4-4844-80B1-18A24FD9C2F3}"/>
            </c:ext>
          </c:extLst>
        </c:ser>
        <c:dLbls>
          <c:showLegendKey val="0"/>
          <c:showVal val="0"/>
          <c:showCatName val="0"/>
          <c:showSerName val="0"/>
          <c:showPercent val="0"/>
          <c:showBubbleSize val="0"/>
        </c:dLbls>
        <c:marker val="1"/>
        <c:smooth val="0"/>
        <c:axId val="65569152"/>
        <c:axId val="65570688"/>
      </c:lineChart>
      <c:catAx>
        <c:axId val="65569152"/>
        <c:scaling>
          <c:orientation val="minMax"/>
        </c:scaling>
        <c:delete val="0"/>
        <c:axPos val="b"/>
        <c:numFmt formatCode="General" sourceLinked="1"/>
        <c:majorTickMark val="none"/>
        <c:minorTickMark val="none"/>
        <c:tickLblPos val="nextTo"/>
        <c:txPr>
          <a:bodyPr/>
          <a:lstStyle/>
          <a:p>
            <a:pPr>
              <a:defRPr sz="800"/>
            </a:pPr>
            <a:endParaRPr lang="es-GT"/>
          </a:p>
        </c:txPr>
        <c:crossAx val="65570688"/>
        <c:crosses val="autoZero"/>
        <c:auto val="1"/>
        <c:lblAlgn val="ctr"/>
        <c:lblOffset val="100"/>
        <c:noMultiLvlLbl val="0"/>
      </c:catAx>
      <c:valAx>
        <c:axId val="65570688"/>
        <c:scaling>
          <c:orientation val="minMax"/>
        </c:scaling>
        <c:delete val="0"/>
        <c:axPos val="l"/>
        <c:majorGridlines>
          <c:spPr>
            <a:ln>
              <a:solidFill>
                <a:schemeClr val="bg1">
                  <a:lumMod val="85000"/>
                </a:schemeClr>
              </a:solidFill>
            </a:ln>
          </c:spPr>
        </c:majorGridlines>
        <c:numFmt formatCode="0.0%" sourceLinked="1"/>
        <c:majorTickMark val="none"/>
        <c:minorTickMark val="none"/>
        <c:tickLblPos val="nextTo"/>
        <c:spPr>
          <a:ln w="9525">
            <a:noFill/>
          </a:ln>
        </c:spPr>
        <c:crossAx val="65569152"/>
        <c:crosses val="autoZero"/>
        <c:crossBetween val="between"/>
      </c:valAx>
      <c:spPr>
        <a:ln>
          <a:noFill/>
        </a:ln>
      </c:spPr>
    </c:plotArea>
    <c:legend>
      <c:legendPos val="b"/>
      <c:layout>
        <c:manualLayout>
          <c:xMode val="edge"/>
          <c:yMode val="edge"/>
          <c:x val="5.2348979633359771E-2"/>
          <c:y val="0.87895805909464286"/>
          <c:w val="0.9"/>
          <c:h val="0.12104194090535716"/>
        </c:manualLayout>
      </c:layout>
      <c:overlay val="0"/>
      <c:txPr>
        <a:bodyPr/>
        <a:lstStyle/>
        <a:p>
          <a:pPr>
            <a:defRPr sz="800"/>
          </a:pPr>
          <a:endParaRPr lang="es-GT"/>
        </a:p>
      </c:txPr>
    </c:legend>
    <c:plotVisOnly val="1"/>
    <c:dispBlanksAs val="zero"/>
    <c:showDLblsOverMax val="0"/>
  </c:chart>
  <c:spPr>
    <a:ln>
      <a:noFill/>
    </a:ln>
  </c:spPr>
  <c:txPr>
    <a:bodyPr/>
    <a:lstStyle/>
    <a:p>
      <a:pPr>
        <a:defRPr sz="900">
          <a:latin typeface="Times New Roman" pitchFamily="18" charset="0"/>
          <a:cs typeface="Times New Roman" pitchFamily="18" charset="0"/>
        </a:defRPr>
      </a:pPr>
      <a:endParaRPr lang="es-G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061805630460579E-2"/>
          <c:y val="3.8834915705684883E-2"/>
          <c:w val="0.88603017088617353"/>
          <c:h val="0.72170724372625672"/>
        </c:manualLayout>
      </c:layout>
      <c:barChart>
        <c:barDir val="col"/>
        <c:grouping val="clustered"/>
        <c:varyColors val="0"/>
        <c:ser>
          <c:idx val="0"/>
          <c:order val="0"/>
          <c:tx>
            <c:strRef>
              <c:f>Fabiola!$B$97</c:f>
              <c:strCache>
                <c:ptCount val="1"/>
                <c:pt idx="0">
                  <c:v>% PIB</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0B-402C-86FF-62CB00A7D0C6}"/>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0B-402C-86FF-62CB00A7D0C6}"/>
                </c:ext>
              </c:extLst>
            </c:dLbl>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0B-402C-86FF-62CB00A7D0C6}"/>
                </c:ext>
              </c:extLst>
            </c:dLbl>
            <c:dLbl>
              <c:idx val="18"/>
              <c:layout>
                <c:manualLayout>
                  <c:x val="2.4461839530331782E-3"/>
                  <c:y val="-4.14937759336100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0B-402C-86FF-62CB00A7D0C6}"/>
                </c:ext>
              </c:extLst>
            </c:dLbl>
            <c:dLbl>
              <c:idx val="2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0B-402C-86FF-62CB00A7D0C6}"/>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Fabiola!$A$98:$A$122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Fabiola!$B$98:$B$122</c:f>
              <c:numCache>
                <c:formatCode>0.0%</c:formatCode>
                <c:ptCount val="25"/>
                <c:pt idx="0">
                  <c:v>6.4405354891212008E-3</c:v>
                </c:pt>
                <c:pt idx="1">
                  <c:v>5.7735696621575017E-3</c:v>
                </c:pt>
                <c:pt idx="2">
                  <c:v>7.783253077514006E-3</c:v>
                </c:pt>
                <c:pt idx="3">
                  <c:v>5.9934221358599743E-3</c:v>
                </c:pt>
                <c:pt idx="4">
                  <c:v>6.1129749647399366E-3</c:v>
                </c:pt>
                <c:pt idx="5">
                  <c:v>6.2558857209178576E-3</c:v>
                </c:pt>
                <c:pt idx="6">
                  <c:v>6.3437269776690933E-3</c:v>
                </c:pt>
                <c:pt idx="7">
                  <c:v>6.2331240381092853E-3</c:v>
                </c:pt>
                <c:pt idx="8">
                  <c:v>6.2805625400013309E-3</c:v>
                </c:pt>
                <c:pt idx="9">
                  <c:v>5.8901261116572016E-3</c:v>
                </c:pt>
                <c:pt idx="10">
                  <c:v>5.8518647453370811E-3</c:v>
                </c:pt>
                <c:pt idx="11">
                  <c:v>5.6001202727828303E-3</c:v>
                </c:pt>
                <c:pt idx="12">
                  <c:v>5.2199773396891082E-3</c:v>
                </c:pt>
                <c:pt idx="13">
                  <c:v>4.5162469313627931E-3</c:v>
                </c:pt>
                <c:pt idx="14">
                  <c:v>4.7189548113487174E-3</c:v>
                </c:pt>
                <c:pt idx="15">
                  <c:v>4.730940395090779E-3</c:v>
                </c:pt>
                <c:pt idx="16">
                  <c:v>4.3820454361254901E-3</c:v>
                </c:pt>
                <c:pt idx="17">
                  <c:v>4.2755865362365435E-3</c:v>
                </c:pt>
                <c:pt idx="18">
                  <c:v>4.1095727109052953E-3</c:v>
                </c:pt>
                <c:pt idx="19">
                  <c:v>4.3134597548779513E-3</c:v>
                </c:pt>
                <c:pt idx="20">
                  <c:v>4.327035578140361E-3</c:v>
                </c:pt>
                <c:pt idx="21">
                  <c:v>4.017905707939513E-3</c:v>
                </c:pt>
                <c:pt idx="22">
                  <c:v>3.7442165037827038E-3</c:v>
                </c:pt>
                <c:pt idx="23">
                  <c:v>3.5031823262497721E-3</c:v>
                </c:pt>
                <c:pt idx="24">
                  <c:v>3.2900923504269189E-3</c:v>
                </c:pt>
              </c:numCache>
            </c:numRef>
          </c:val>
          <c:extLst xmlns:c16r2="http://schemas.microsoft.com/office/drawing/2015/06/chart">
            <c:ext xmlns:c16="http://schemas.microsoft.com/office/drawing/2014/chart" uri="{C3380CC4-5D6E-409C-BE32-E72D297353CC}">
              <c16:uniqueId val="{00000005-860B-402C-86FF-62CB00A7D0C6}"/>
            </c:ext>
          </c:extLst>
        </c:ser>
        <c:dLbls>
          <c:showLegendKey val="0"/>
          <c:showVal val="0"/>
          <c:showCatName val="0"/>
          <c:showSerName val="0"/>
          <c:showPercent val="0"/>
          <c:showBubbleSize val="0"/>
        </c:dLbls>
        <c:gapWidth val="75"/>
        <c:overlap val="-25"/>
        <c:axId val="68356352"/>
        <c:axId val="68362240"/>
      </c:barChart>
      <c:lineChart>
        <c:grouping val="standard"/>
        <c:varyColors val="0"/>
        <c:ser>
          <c:idx val="1"/>
          <c:order val="1"/>
          <c:tx>
            <c:strRef>
              <c:f>Fabiola!$C$97</c:f>
              <c:strCache>
                <c:ptCount val="1"/>
                <c:pt idx="0">
                  <c:v>Promedio</c:v>
                </c:pt>
              </c:strCache>
            </c:strRef>
          </c:tx>
          <c:marker>
            <c:symbol val="none"/>
          </c:marker>
          <c:cat>
            <c:numRef>
              <c:f>Fabiola!$A$98:$A$122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Fabiola!$C$98:$C$122</c:f>
              <c:numCache>
                <c:formatCode>0.0%</c:formatCode>
                <c:ptCount val="25"/>
                <c:pt idx="0">
                  <c:v>5.0000000000000001E-3</c:v>
                </c:pt>
                <c:pt idx="1">
                  <c:v>5.0000000000000001E-3</c:v>
                </c:pt>
                <c:pt idx="2">
                  <c:v>5.0000000000000001E-3</c:v>
                </c:pt>
                <c:pt idx="3">
                  <c:v>5.0000000000000001E-3</c:v>
                </c:pt>
                <c:pt idx="4">
                  <c:v>5.0000000000000001E-3</c:v>
                </c:pt>
                <c:pt idx="5">
                  <c:v>5.0000000000000001E-3</c:v>
                </c:pt>
                <c:pt idx="6">
                  <c:v>5.0000000000000001E-3</c:v>
                </c:pt>
                <c:pt idx="7">
                  <c:v>5.0000000000000001E-3</c:v>
                </c:pt>
                <c:pt idx="8">
                  <c:v>5.0000000000000001E-3</c:v>
                </c:pt>
                <c:pt idx="9">
                  <c:v>5.0000000000000001E-3</c:v>
                </c:pt>
                <c:pt idx="10">
                  <c:v>5.0000000000000001E-3</c:v>
                </c:pt>
                <c:pt idx="11">
                  <c:v>5.0000000000000001E-3</c:v>
                </c:pt>
                <c:pt idx="12">
                  <c:v>5.0000000000000001E-3</c:v>
                </c:pt>
                <c:pt idx="13">
                  <c:v>5.0000000000000001E-3</c:v>
                </c:pt>
                <c:pt idx="14">
                  <c:v>5.0000000000000001E-3</c:v>
                </c:pt>
                <c:pt idx="15">
                  <c:v>5.0000000000000001E-3</c:v>
                </c:pt>
                <c:pt idx="16">
                  <c:v>5.0000000000000001E-3</c:v>
                </c:pt>
                <c:pt idx="17">
                  <c:v>5.0000000000000001E-3</c:v>
                </c:pt>
                <c:pt idx="18">
                  <c:v>5.0000000000000001E-3</c:v>
                </c:pt>
                <c:pt idx="19">
                  <c:v>5.0000000000000001E-3</c:v>
                </c:pt>
                <c:pt idx="20">
                  <c:v>5.0000000000000001E-3</c:v>
                </c:pt>
                <c:pt idx="21">
                  <c:v>5.0000000000000001E-3</c:v>
                </c:pt>
                <c:pt idx="22">
                  <c:v>5.0000000000000001E-3</c:v>
                </c:pt>
                <c:pt idx="23">
                  <c:v>5.0000000000000001E-3</c:v>
                </c:pt>
                <c:pt idx="24">
                  <c:v>5.0000000000000001E-3</c:v>
                </c:pt>
              </c:numCache>
            </c:numRef>
          </c:val>
          <c:smooth val="0"/>
          <c:extLst xmlns:c16r2="http://schemas.microsoft.com/office/drawing/2015/06/chart">
            <c:ext xmlns:c16="http://schemas.microsoft.com/office/drawing/2014/chart" uri="{C3380CC4-5D6E-409C-BE32-E72D297353CC}">
              <c16:uniqueId val="{00000006-860B-402C-86FF-62CB00A7D0C6}"/>
            </c:ext>
          </c:extLst>
        </c:ser>
        <c:dLbls>
          <c:showLegendKey val="0"/>
          <c:showVal val="0"/>
          <c:showCatName val="0"/>
          <c:showSerName val="0"/>
          <c:showPercent val="0"/>
          <c:showBubbleSize val="0"/>
        </c:dLbls>
        <c:marker val="1"/>
        <c:smooth val="0"/>
        <c:axId val="68356352"/>
        <c:axId val="68362240"/>
      </c:lineChart>
      <c:catAx>
        <c:axId val="68356352"/>
        <c:scaling>
          <c:orientation val="minMax"/>
        </c:scaling>
        <c:delete val="0"/>
        <c:axPos val="b"/>
        <c:numFmt formatCode="General" sourceLinked="1"/>
        <c:majorTickMark val="none"/>
        <c:minorTickMark val="none"/>
        <c:tickLblPos val="nextTo"/>
        <c:txPr>
          <a:bodyPr/>
          <a:lstStyle/>
          <a:p>
            <a:pPr>
              <a:defRPr sz="800" b="0">
                <a:latin typeface="Times New Roman" panose="02020603050405020304" pitchFamily="18" charset="0"/>
                <a:cs typeface="Times New Roman" panose="02020603050405020304" pitchFamily="18" charset="0"/>
              </a:defRPr>
            </a:pPr>
            <a:endParaRPr lang="es-GT"/>
          </a:p>
        </c:txPr>
        <c:crossAx val="68362240"/>
        <c:crosses val="autoZero"/>
        <c:auto val="1"/>
        <c:lblAlgn val="ctr"/>
        <c:lblOffset val="100"/>
        <c:noMultiLvlLbl val="0"/>
      </c:catAx>
      <c:valAx>
        <c:axId val="68362240"/>
        <c:scaling>
          <c:orientation val="minMax"/>
        </c:scaling>
        <c:delete val="0"/>
        <c:axPos val="l"/>
        <c:numFmt formatCode="0.0%" sourceLinked="1"/>
        <c:majorTickMark val="none"/>
        <c:minorTickMark val="none"/>
        <c:tickLblPos val="nextTo"/>
        <c:spPr>
          <a:ln w="9525">
            <a:noFill/>
          </a:ln>
        </c:spPr>
        <c:txPr>
          <a:bodyPr/>
          <a:lstStyle/>
          <a:p>
            <a:pPr>
              <a:defRPr sz="900">
                <a:latin typeface="Times New Roman" panose="02020603050405020304" pitchFamily="18" charset="0"/>
                <a:cs typeface="Times New Roman" panose="02020603050405020304" pitchFamily="18" charset="0"/>
              </a:defRPr>
            </a:pPr>
            <a:endParaRPr lang="es-GT"/>
          </a:p>
        </c:txPr>
        <c:crossAx val="68356352"/>
        <c:crosses val="autoZero"/>
        <c:crossBetween val="between"/>
      </c:valAx>
    </c:plotArea>
    <c:legend>
      <c:legendPos val="b"/>
      <c:layout>
        <c:manualLayout>
          <c:xMode val="edge"/>
          <c:yMode val="edge"/>
          <c:x val="0.33597546881982215"/>
          <c:y val="0.94245769941267088"/>
          <c:w val="0.32804886974744596"/>
          <c:h val="5.7542300587329148E-2"/>
        </c:manualLayout>
      </c:layout>
      <c:overlay val="0"/>
      <c:txPr>
        <a:bodyPr/>
        <a:lstStyle/>
        <a:p>
          <a:pPr>
            <a:defRPr sz="800" b="0">
              <a:latin typeface="Times New Roman" panose="02020603050405020304" pitchFamily="18" charset="0"/>
              <a:cs typeface="Times New Roman" panose="02020603050405020304" pitchFamily="18" charset="0"/>
            </a:defRPr>
          </a:pPr>
          <a:endParaRPr lang="es-GT"/>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Hoja1!$K$5</c:f>
              <c:strCache>
                <c:ptCount val="1"/>
                <c:pt idx="0">
                  <c:v>Total de pensionados atendidos por el Estado, por régimen</c:v>
                </c:pt>
              </c:strCache>
            </c:strRef>
          </c:tx>
          <c:dLbls>
            <c:dLbl>
              <c:idx val="0"/>
              <c:layout>
                <c:manualLayout>
                  <c:x val="0.15804899387576554"/>
                  <c:y val="-2.1102362204724408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B0-4920-A202-1295A188DA4F}"/>
                </c:ext>
              </c:extLst>
            </c:dLbl>
            <c:dLbl>
              <c:idx val="1"/>
              <c:layout>
                <c:manualLayout>
                  <c:x val="-0.23802397673263814"/>
                  <c:y val="0.11721648732595467"/>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B0-4920-A202-1295A188DA4F}"/>
                </c:ext>
              </c:extLst>
            </c:dLbl>
            <c:dLbl>
              <c:idx val="2"/>
              <c:layout>
                <c:manualLayout>
                  <c:x val="0.20213891741793136"/>
                  <c:y val="2.0534478644714852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DB0-4920-A202-1295A188DA4F}"/>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s-GT"/>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Hoja1!$H$6:$H$8</c:f>
              <c:strCache>
                <c:ptCount val="3"/>
                <c:pt idx="0">
                  <c:v>Pensionados montepío Estado</c:v>
                </c:pt>
                <c:pt idx="1">
                  <c:v>Pensionados montepío militar</c:v>
                </c:pt>
                <c:pt idx="2">
                  <c:v>Pensionados por Otras pensiones</c:v>
                </c:pt>
              </c:strCache>
            </c:strRef>
          </c:cat>
          <c:val>
            <c:numRef>
              <c:f>Hoja1!$K$6:$K$8</c:f>
              <c:numCache>
                <c:formatCode>_-* #,##0\ _€_-;\-* #,##0\ _€_-;_-* "-"??\ _€_-;_-@_-</c:formatCode>
                <c:ptCount val="3"/>
                <c:pt idx="0">
                  <c:v>95915</c:v>
                </c:pt>
                <c:pt idx="1">
                  <c:v>1331</c:v>
                </c:pt>
                <c:pt idx="2">
                  <c:v>2059</c:v>
                </c:pt>
              </c:numCache>
            </c:numRef>
          </c:val>
          <c:extLst xmlns:c16r2="http://schemas.microsoft.com/office/drawing/2015/06/chart">
            <c:ext xmlns:c16="http://schemas.microsoft.com/office/drawing/2014/chart" uri="{C3380CC4-5D6E-409C-BE32-E72D297353CC}">
              <c16:uniqueId val="{00000003-8DB0-4920-A202-1295A188DA4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0.42888</cdr:x>
      <cdr:y>0.07203</cdr:y>
    </cdr:from>
    <cdr:to>
      <cdr:x>0.48338</cdr:x>
      <cdr:y>0.10805</cdr:y>
    </cdr:to>
    <cdr:cxnSp macro="">
      <cdr:nvCxnSpPr>
        <cdr:cNvPr id="10" name="Conector recto de flecha 9">
          <a:extLst xmlns:a="http://schemas.openxmlformats.org/drawingml/2006/main">
            <a:ext uri="{FF2B5EF4-FFF2-40B4-BE49-F238E27FC236}">
              <a16:creationId xmlns="" xmlns:a16="http://schemas.microsoft.com/office/drawing/2014/main" id="{76CD7C60-8377-42F8-BF5C-BDB0B77005A1}"/>
            </a:ext>
          </a:extLst>
        </cdr:cNvPr>
        <cdr:cNvCxnSpPr/>
      </cdr:nvCxnSpPr>
      <cdr:spPr>
        <a:xfrm xmlns:a="http://schemas.openxmlformats.org/drawingml/2006/main">
          <a:off x="2498726" y="215900"/>
          <a:ext cx="317500" cy="1079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0.54005</cdr:x>
      <cdr:y>0.04449</cdr:y>
    </cdr:from>
    <cdr:to>
      <cdr:x>0.72861</cdr:x>
      <cdr:y>0.12076</cdr:y>
    </cdr:to>
    <cdr:cxnSp macro="">
      <cdr:nvCxnSpPr>
        <cdr:cNvPr id="13" name="Conector: angular 12">
          <a:extLst xmlns:a="http://schemas.openxmlformats.org/drawingml/2006/main">
            <a:ext uri="{FF2B5EF4-FFF2-40B4-BE49-F238E27FC236}">
              <a16:creationId xmlns="" xmlns:a16="http://schemas.microsoft.com/office/drawing/2014/main" id="{F56507CF-CCF9-4A76-92A5-BE7E3E794B02}"/>
            </a:ext>
          </a:extLst>
        </cdr:cNvPr>
        <cdr:cNvCxnSpPr/>
      </cdr:nvCxnSpPr>
      <cdr:spPr>
        <a:xfrm xmlns:a="http://schemas.openxmlformats.org/drawingml/2006/main" rot="10800000" flipV="1">
          <a:off x="3146425" y="133350"/>
          <a:ext cx="1098551" cy="228601"/>
        </a:xfrm>
        <a:prstGeom xmlns:a="http://schemas.openxmlformats.org/drawingml/2006/main" prst="bentConnector3">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0.64469</cdr:x>
      <cdr:y>0.23517</cdr:y>
    </cdr:from>
    <cdr:to>
      <cdr:x>0.72861</cdr:x>
      <cdr:y>0.24788</cdr:y>
    </cdr:to>
    <cdr:cxnSp macro="">
      <cdr:nvCxnSpPr>
        <cdr:cNvPr id="15" name="Conector recto de flecha 14">
          <a:extLst xmlns:a="http://schemas.openxmlformats.org/drawingml/2006/main">
            <a:ext uri="{FF2B5EF4-FFF2-40B4-BE49-F238E27FC236}">
              <a16:creationId xmlns="" xmlns:a16="http://schemas.microsoft.com/office/drawing/2014/main" id="{70BAE8E2-F166-4422-9B2E-F4FC582FF006}"/>
            </a:ext>
          </a:extLst>
        </cdr:cNvPr>
        <cdr:cNvCxnSpPr/>
      </cdr:nvCxnSpPr>
      <cdr:spPr>
        <a:xfrm xmlns:a="http://schemas.openxmlformats.org/drawingml/2006/main" flipH="1">
          <a:off x="3756026" y="704850"/>
          <a:ext cx="488950" cy="381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0.20545</cdr:x>
      <cdr:y>0.13559</cdr:y>
    </cdr:from>
    <cdr:to>
      <cdr:x>0.39401</cdr:x>
      <cdr:y>0.16314</cdr:y>
    </cdr:to>
    <cdr:cxnSp macro="">
      <cdr:nvCxnSpPr>
        <cdr:cNvPr id="20" name="Conector recto de flecha 19">
          <a:extLst xmlns:a="http://schemas.openxmlformats.org/drawingml/2006/main">
            <a:ext uri="{FF2B5EF4-FFF2-40B4-BE49-F238E27FC236}">
              <a16:creationId xmlns="" xmlns:a16="http://schemas.microsoft.com/office/drawing/2014/main" id="{EDEAD182-D445-4AD5-A523-BED881A11251}"/>
            </a:ext>
          </a:extLst>
        </cdr:cNvPr>
        <cdr:cNvCxnSpPr/>
      </cdr:nvCxnSpPr>
      <cdr:spPr>
        <a:xfrm xmlns:a="http://schemas.openxmlformats.org/drawingml/2006/main">
          <a:off x="1196976" y="406400"/>
          <a:ext cx="1098550" cy="825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0.22943</cdr:x>
      <cdr:y>0.65042</cdr:y>
    </cdr:from>
    <cdr:to>
      <cdr:x>0.30899</cdr:x>
      <cdr:y>0.76907</cdr:y>
    </cdr:to>
    <cdr:cxnSp macro="">
      <cdr:nvCxnSpPr>
        <cdr:cNvPr id="22" name="Conector recto de flecha 21">
          <a:extLst xmlns:a="http://schemas.openxmlformats.org/drawingml/2006/main">
            <a:ext uri="{FF2B5EF4-FFF2-40B4-BE49-F238E27FC236}">
              <a16:creationId xmlns="" xmlns:a16="http://schemas.microsoft.com/office/drawing/2014/main" id="{0B760C2D-A458-401D-828D-DD62A27E9698}"/>
            </a:ext>
          </a:extLst>
        </cdr:cNvPr>
        <cdr:cNvCxnSpPr/>
      </cdr:nvCxnSpPr>
      <cdr:spPr>
        <a:xfrm xmlns:a="http://schemas.openxmlformats.org/drawingml/2006/main" flipV="1">
          <a:off x="1336676" y="1949450"/>
          <a:ext cx="463550" cy="3556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0.56076</cdr:x>
      <cdr:y>0.86653</cdr:y>
    </cdr:from>
    <cdr:to>
      <cdr:x>0.60872</cdr:x>
      <cdr:y>0.88559</cdr:y>
    </cdr:to>
    <cdr:cxnSp macro="">
      <cdr:nvCxnSpPr>
        <cdr:cNvPr id="24" name="Conector recto de flecha 23">
          <a:extLst xmlns:a="http://schemas.openxmlformats.org/drawingml/2006/main">
            <a:ext uri="{FF2B5EF4-FFF2-40B4-BE49-F238E27FC236}">
              <a16:creationId xmlns="" xmlns:a16="http://schemas.microsoft.com/office/drawing/2014/main" id="{A4DDC6A6-27F5-4B32-8881-9D4973DFA866}"/>
            </a:ext>
          </a:extLst>
        </cdr:cNvPr>
        <cdr:cNvCxnSpPr/>
      </cdr:nvCxnSpPr>
      <cdr:spPr>
        <a:xfrm xmlns:a="http://schemas.openxmlformats.org/drawingml/2006/main" flipH="1" flipV="1">
          <a:off x="3267076" y="2597150"/>
          <a:ext cx="279400" cy="571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0.63597</cdr:x>
      <cdr:y>0.79449</cdr:y>
    </cdr:from>
    <cdr:to>
      <cdr:x>0.73624</cdr:x>
      <cdr:y>0.8072</cdr:y>
    </cdr:to>
    <cdr:cxnSp macro="">
      <cdr:nvCxnSpPr>
        <cdr:cNvPr id="26" name="Conector recto de flecha 25">
          <a:extLst xmlns:a="http://schemas.openxmlformats.org/drawingml/2006/main">
            <a:ext uri="{FF2B5EF4-FFF2-40B4-BE49-F238E27FC236}">
              <a16:creationId xmlns="" xmlns:a16="http://schemas.microsoft.com/office/drawing/2014/main" id="{FACB6357-D7CD-40AF-B964-C5D0B96C76F8}"/>
            </a:ext>
          </a:extLst>
        </cdr:cNvPr>
        <cdr:cNvCxnSpPr/>
      </cdr:nvCxnSpPr>
      <cdr:spPr>
        <a:xfrm xmlns:a="http://schemas.openxmlformats.org/drawingml/2006/main" flipH="1" flipV="1">
          <a:off x="3705226" y="2381250"/>
          <a:ext cx="584200" cy="381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0.68283</cdr:x>
      <cdr:y>0.67161</cdr:y>
    </cdr:from>
    <cdr:to>
      <cdr:x>0.80708</cdr:x>
      <cdr:y>0.69703</cdr:y>
    </cdr:to>
    <cdr:cxnSp macro="">
      <cdr:nvCxnSpPr>
        <cdr:cNvPr id="28" name="Conector recto de flecha 27">
          <a:extLst xmlns:a="http://schemas.openxmlformats.org/drawingml/2006/main">
            <a:ext uri="{FF2B5EF4-FFF2-40B4-BE49-F238E27FC236}">
              <a16:creationId xmlns="" xmlns:a16="http://schemas.microsoft.com/office/drawing/2014/main" id="{9BA70B71-B889-47A6-A92E-3DB0D2AC7C68}"/>
            </a:ext>
          </a:extLst>
        </cdr:cNvPr>
        <cdr:cNvCxnSpPr/>
      </cdr:nvCxnSpPr>
      <cdr:spPr>
        <a:xfrm xmlns:a="http://schemas.openxmlformats.org/drawingml/2006/main" flipH="1" flipV="1">
          <a:off x="3978276" y="2012950"/>
          <a:ext cx="723900" cy="762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0.69809</cdr:x>
      <cdr:y>0.48093</cdr:y>
    </cdr:from>
    <cdr:to>
      <cdr:x>0.79837</cdr:x>
      <cdr:y>0.5</cdr:y>
    </cdr:to>
    <cdr:cxnSp macro="">
      <cdr:nvCxnSpPr>
        <cdr:cNvPr id="30" name="Conector recto de flecha 29">
          <a:extLst xmlns:a="http://schemas.openxmlformats.org/drawingml/2006/main">
            <a:ext uri="{FF2B5EF4-FFF2-40B4-BE49-F238E27FC236}">
              <a16:creationId xmlns="" xmlns:a16="http://schemas.microsoft.com/office/drawing/2014/main" id="{51F900E6-6BDA-4F1D-A688-55EC97510DCC}"/>
            </a:ext>
          </a:extLst>
        </cdr:cNvPr>
        <cdr:cNvCxnSpPr/>
      </cdr:nvCxnSpPr>
      <cdr:spPr>
        <a:xfrm xmlns:a="http://schemas.openxmlformats.org/drawingml/2006/main" flipH="1">
          <a:off x="4067176" y="1441450"/>
          <a:ext cx="584200" cy="571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0.75515</cdr:x>
      <cdr:y>0.56458</cdr:y>
    </cdr:from>
    <cdr:to>
      <cdr:x>0.85869</cdr:x>
      <cdr:y>0.70624</cdr:y>
    </cdr:to>
    <cdr:grpSp>
      <cdr:nvGrpSpPr>
        <cdr:cNvPr id="2" name="1 Grupo"/>
        <cdr:cNvGrpSpPr/>
      </cdr:nvGrpSpPr>
      <cdr:grpSpPr>
        <a:xfrm xmlns:a="http://schemas.openxmlformats.org/drawingml/2006/main">
          <a:off x="5712028" y="2614299"/>
          <a:ext cx="783186" cy="655959"/>
          <a:chOff x="5646418" y="2564188"/>
          <a:chExt cx="747362" cy="811644"/>
        </a:xfrm>
      </cdr:grpSpPr>
      <cdr:sp macro="" textlink="">
        <cdr:nvSpPr>
          <cdr:cNvPr id="3" name="8 Llamada de flecha hacia arriba"/>
          <cdr:cNvSpPr/>
        </cdr:nvSpPr>
        <cdr:spPr>
          <a:xfrm xmlns:a="http://schemas.openxmlformats.org/drawingml/2006/main">
            <a:off x="5646418" y="2564188"/>
            <a:ext cx="747362" cy="811644"/>
          </a:xfrm>
          <a:prstGeom xmlns:a="http://schemas.openxmlformats.org/drawingml/2006/main" prst="upArrowCallout">
            <a:avLst/>
          </a:prstGeom>
          <a:ln xmlns:a="http://schemas.openxmlformats.org/drawingml/2006/main" w="12700">
            <a:solidFill>
              <a:schemeClr val="tx2"/>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GT" sz="900" b="0">
                <a:latin typeface="Berlin Sans FB" pitchFamily="34" charset="0"/>
              </a:rPr>
              <a:t>2012 </a:t>
            </a:r>
            <a:r>
              <a:rPr lang="es-GT" sz="900" b="0" baseline="0">
                <a:latin typeface="Berlin Sans FB" pitchFamily="34" charset="0"/>
              </a:rPr>
              <a:t> </a:t>
            </a:r>
          </a:p>
          <a:p xmlns:a="http://schemas.openxmlformats.org/drawingml/2006/main">
            <a:pPr algn="ctr"/>
            <a:r>
              <a:rPr lang="es-GT" sz="900" b="0">
                <a:latin typeface="Berlin Sans FB" pitchFamily="34" charset="0"/>
              </a:rPr>
              <a:t>Terremoto</a:t>
            </a:r>
          </a:p>
          <a:p xmlns:a="http://schemas.openxmlformats.org/drawingml/2006/main">
            <a:pPr algn="ctr"/>
            <a:r>
              <a:rPr lang="es-GT" sz="900" b="0">
                <a:latin typeface="Berlin Sans FB" pitchFamily="34" charset="0"/>
              </a:rPr>
              <a:t> San Marcos</a:t>
            </a:r>
          </a:p>
        </cdr:txBody>
      </cdr:sp>
    </cdr:grpSp>
  </cdr:relSizeAnchor>
  <cdr:relSizeAnchor xmlns:cdr="http://schemas.openxmlformats.org/drawingml/2006/chartDrawing">
    <cdr:from>
      <cdr:x>0.52329</cdr:x>
      <cdr:y>0.61911</cdr:y>
    </cdr:from>
    <cdr:to>
      <cdr:x>0.60081</cdr:x>
      <cdr:y>0.75224</cdr:y>
    </cdr:to>
    <cdr:sp macro="" textlink="">
      <cdr:nvSpPr>
        <cdr:cNvPr id="6" name="8 Llamada de flecha hacia arriba"/>
        <cdr:cNvSpPr/>
      </cdr:nvSpPr>
      <cdr:spPr>
        <a:xfrm xmlns:a="http://schemas.openxmlformats.org/drawingml/2006/main">
          <a:off x="2936787" y="2127251"/>
          <a:ext cx="435063" cy="457440"/>
        </a:xfrm>
        <a:prstGeom xmlns:a="http://schemas.openxmlformats.org/drawingml/2006/main" prst="upArrowCallout">
          <a:avLst>
            <a:gd name="adj1" fmla="val 25000"/>
            <a:gd name="adj2" fmla="val 26611"/>
            <a:gd name="adj3" fmla="val 25000"/>
            <a:gd name="adj4" fmla="val 64977"/>
          </a:avLst>
        </a:prstGeom>
        <a:ln xmlns:a="http://schemas.openxmlformats.org/drawingml/2006/main" w="9525">
          <a:solidFill>
            <a:schemeClr val="tx2"/>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GT" sz="700" b="0">
              <a:latin typeface="Berlin Sans FB" pitchFamily="34" charset="0"/>
            </a:rPr>
            <a:t>2005</a:t>
          </a:r>
        </a:p>
        <a:p xmlns:a="http://schemas.openxmlformats.org/drawingml/2006/main">
          <a:pPr algn="ctr"/>
          <a:r>
            <a:rPr lang="es-GT" sz="700" b="0">
              <a:latin typeface="Berlin Sans FB" pitchFamily="34" charset="0"/>
            </a:rPr>
            <a:t>Stan</a:t>
          </a:r>
        </a:p>
      </cdr:txBody>
    </cdr:sp>
  </cdr:relSizeAnchor>
  <cdr:relSizeAnchor xmlns:cdr="http://schemas.openxmlformats.org/drawingml/2006/chartDrawing">
    <cdr:from>
      <cdr:x>0.28174</cdr:x>
      <cdr:y>0.62096</cdr:y>
    </cdr:from>
    <cdr:to>
      <cdr:x>0.36547</cdr:x>
      <cdr:y>0.75402</cdr:y>
    </cdr:to>
    <cdr:sp macro="" textlink="">
      <cdr:nvSpPr>
        <cdr:cNvPr id="5" name="8 Llamada de flecha hacia arriba"/>
        <cdr:cNvSpPr/>
      </cdr:nvSpPr>
      <cdr:spPr>
        <a:xfrm xmlns:a="http://schemas.openxmlformats.org/drawingml/2006/main">
          <a:off x="1581150" y="2133601"/>
          <a:ext cx="469900" cy="457199"/>
        </a:xfrm>
        <a:prstGeom xmlns:a="http://schemas.openxmlformats.org/drawingml/2006/main" prst="upArrowCallout">
          <a:avLst/>
        </a:prstGeom>
        <a:noFill xmlns:a="http://schemas.openxmlformats.org/drawingml/2006/main"/>
        <a:ln xmlns:a="http://schemas.openxmlformats.org/drawingml/2006/main" w="3175">
          <a:solidFill>
            <a:schemeClr val="tx2"/>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pPr algn="ctr"/>
          <a:r>
            <a:rPr lang="es-GT" sz="800">
              <a:latin typeface="Berlin Sans FB" pitchFamily="34" charset="0"/>
            </a:rPr>
            <a:t>1998</a:t>
          </a:r>
        </a:p>
        <a:p xmlns:a="http://schemas.openxmlformats.org/drawingml/2006/main">
          <a:pPr algn="ctr"/>
          <a:r>
            <a:rPr lang="es-GT" sz="800">
              <a:latin typeface="Berlin Sans FB" pitchFamily="34" charset="0"/>
            </a:rPr>
            <a:t>Mitch</a:t>
          </a:r>
        </a:p>
      </cdr:txBody>
    </cdr:sp>
  </cdr:relSizeAnchor>
  <cdr:relSizeAnchor xmlns:cdr="http://schemas.openxmlformats.org/drawingml/2006/chartDrawing">
    <cdr:from>
      <cdr:x>0.7547</cdr:x>
      <cdr:y>0.60432</cdr:y>
    </cdr:from>
    <cdr:to>
      <cdr:x>0.88142</cdr:x>
      <cdr:y>0.76511</cdr:y>
    </cdr:to>
    <cdr:sp macro="" textlink="">
      <cdr:nvSpPr>
        <cdr:cNvPr id="7" name="8 Llamada de flecha hacia arriba"/>
        <cdr:cNvSpPr/>
      </cdr:nvSpPr>
      <cdr:spPr>
        <a:xfrm xmlns:a="http://schemas.openxmlformats.org/drawingml/2006/main">
          <a:off x="4235450" y="2076450"/>
          <a:ext cx="711200" cy="552450"/>
        </a:xfrm>
        <a:prstGeom xmlns:a="http://schemas.openxmlformats.org/drawingml/2006/main" prst="upArrowCallout">
          <a:avLst/>
        </a:prstGeom>
        <a:ln xmlns:a="http://schemas.openxmlformats.org/drawingml/2006/main" w="9525">
          <a:solidFill>
            <a:schemeClr val="accent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es-GT" sz="700">
              <a:latin typeface="Berlin Sans FB" pitchFamily="34" charset="0"/>
            </a:rPr>
            <a:t>Terrremoto</a:t>
          </a:r>
        </a:p>
        <a:p xmlns:a="http://schemas.openxmlformats.org/drawingml/2006/main">
          <a:pPr algn="ctr"/>
          <a:r>
            <a:rPr lang="es-GT" sz="700">
              <a:latin typeface="Berlin Sans FB" pitchFamily="34" charset="0"/>
            </a:rPr>
            <a:t>San Marcos</a:t>
          </a:r>
        </a:p>
        <a:p xmlns:a="http://schemas.openxmlformats.org/drawingml/2006/main">
          <a:pPr algn="ctr"/>
          <a:r>
            <a:rPr lang="es-GT" sz="700">
              <a:latin typeface="Berlin Sans FB" pitchFamily="34" charset="0"/>
            </a:rPr>
            <a:t>2012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2C208B-0E68-48AC-93CB-1E370D6FDDC1}">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3F719-027B-4237-8121-D1AD7420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13202</Words>
  <Characters>72614</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Rodas Anleu</dc:creator>
  <cp:lastModifiedBy>René Augusto Castro González</cp:lastModifiedBy>
  <cp:revision>2</cp:revision>
  <cp:lastPrinted>2018-03-22T15:06:00Z</cp:lastPrinted>
  <dcterms:created xsi:type="dcterms:W3CDTF">2018-03-22T17:02:00Z</dcterms:created>
  <dcterms:modified xsi:type="dcterms:W3CDTF">2018-03-22T17:02:00Z</dcterms:modified>
</cp:coreProperties>
</file>