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1" w:rsidRPr="00E16925" w:rsidRDefault="007D4651" w:rsidP="007D465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pPr>
      <w:r w:rsidRPr="00E16925">
        <w:rPr>
          <w:rFonts w:ascii="Times New Roman" w:hAnsi="Times New Roman" w:cs="Times New Roman"/>
          <w:b/>
          <w:lang w:val="es-MX"/>
        </w:rPr>
        <w:t>Contención de gasto propicia superávit fiscal</w:t>
      </w:r>
    </w:p>
    <w:p w:rsidR="007D4651" w:rsidRPr="00E16925" w:rsidRDefault="007D4651" w:rsidP="007D4651">
      <w:pPr>
        <w:rPr>
          <w:rFonts w:ascii="Times New Roman" w:hAnsi="Times New Roman" w:cs="Times New Roman"/>
          <w:b/>
          <w:lang w:val="es-MX"/>
        </w:rPr>
        <w:sectPr w:rsidR="007D4651" w:rsidRPr="00E16925" w:rsidSect="00754057">
          <w:headerReference w:type="default" r:id="rId7"/>
          <w:footerReference w:type="default" r:id="rId8"/>
          <w:pgSz w:w="12240" w:h="15840" w:code="1"/>
          <w:pgMar w:top="1418" w:right="1418" w:bottom="1418" w:left="1418" w:header="709" w:footer="709" w:gutter="0"/>
          <w:cols w:space="708"/>
          <w:docGrid w:linePitch="360"/>
        </w:sectPr>
      </w:pPr>
    </w:p>
    <w:p w:rsidR="007D4651" w:rsidRPr="00BC7539" w:rsidRDefault="007D4651" w:rsidP="007D4651">
      <w:pPr>
        <w:pStyle w:val="Sinespaciado"/>
        <w:rPr>
          <w:rFonts w:ascii="Times New Roman" w:hAnsi="Times New Roman" w:cs="Times New Roman"/>
          <w:b/>
          <w:sz w:val="18"/>
          <w:lang w:val="es-MX"/>
        </w:rPr>
      </w:pPr>
    </w:p>
    <w:p w:rsidR="007D4651" w:rsidRDefault="007D4651" w:rsidP="007D4651">
      <w:pPr>
        <w:pStyle w:val="Sinespaciado"/>
        <w:jc w:val="center"/>
        <w:rPr>
          <w:rFonts w:ascii="Times New Roman" w:hAnsi="Times New Roman" w:cs="Times New Roman"/>
          <w:b/>
          <w:lang w:val="es-MX"/>
        </w:rPr>
        <w:sectPr w:rsidR="007D4651" w:rsidSect="00213F7F">
          <w:type w:val="continuous"/>
          <w:pgSz w:w="12240" w:h="15840"/>
          <w:pgMar w:top="1417" w:right="1701" w:bottom="1417" w:left="1701" w:header="708" w:footer="708" w:gutter="0"/>
          <w:cols w:space="708"/>
          <w:docGrid w:linePitch="360"/>
        </w:sectPr>
      </w:pPr>
    </w:p>
    <w:p w:rsidR="007D4651" w:rsidRDefault="007D4651" w:rsidP="007D4651">
      <w:pPr>
        <w:pStyle w:val="Sinespaciado"/>
        <w:jc w:val="both"/>
        <w:rPr>
          <w:rFonts w:ascii="Times New Roman" w:hAnsi="Times New Roman" w:cs="Times New Roman"/>
          <w:lang w:val="es-MX"/>
        </w:rPr>
      </w:pPr>
      <w:r>
        <w:rPr>
          <w:rFonts w:ascii="Times New Roman" w:hAnsi="Times New Roman" w:cs="Times New Roman"/>
          <w:lang w:val="es-MX"/>
        </w:rPr>
        <w:lastRenderedPageBreak/>
        <w:t>E</w:t>
      </w:r>
      <w:r w:rsidRPr="00F92177">
        <w:rPr>
          <w:rFonts w:ascii="Times New Roman" w:hAnsi="Times New Roman" w:cs="Times New Roman"/>
          <w:lang w:val="es-MX"/>
        </w:rPr>
        <w:t>l resultado pr</w:t>
      </w:r>
      <w:r>
        <w:rPr>
          <w:rFonts w:ascii="Times New Roman" w:hAnsi="Times New Roman" w:cs="Times New Roman"/>
          <w:lang w:val="es-MX"/>
        </w:rPr>
        <w:t xml:space="preserve">esupuestario del gobierno muestra </w:t>
      </w:r>
      <w:r w:rsidRPr="00F92177">
        <w:rPr>
          <w:rFonts w:ascii="Times New Roman" w:hAnsi="Times New Roman" w:cs="Times New Roman"/>
          <w:lang w:val="es-MX"/>
        </w:rPr>
        <w:t xml:space="preserve">un </w:t>
      </w:r>
      <w:r>
        <w:rPr>
          <w:rFonts w:ascii="Times New Roman" w:hAnsi="Times New Roman" w:cs="Times New Roman"/>
          <w:lang w:val="es-MX"/>
        </w:rPr>
        <w:t>superávit</w:t>
      </w:r>
      <w:r w:rsidRPr="00F92177">
        <w:rPr>
          <w:rFonts w:ascii="Times New Roman" w:hAnsi="Times New Roman" w:cs="Times New Roman"/>
          <w:lang w:val="es-MX"/>
        </w:rPr>
        <w:t xml:space="preserve"> fiscal</w:t>
      </w:r>
      <w:r>
        <w:rPr>
          <w:rFonts w:ascii="Times New Roman" w:hAnsi="Times New Roman" w:cs="Times New Roman"/>
          <w:lang w:val="es-MX"/>
        </w:rPr>
        <w:t xml:space="preserve"> que se sitúa al 29 de febrero de 2016 en</w:t>
      </w:r>
      <w:r w:rsidRPr="00F92177">
        <w:rPr>
          <w:rFonts w:ascii="Times New Roman" w:hAnsi="Times New Roman" w:cs="Times New Roman"/>
          <w:lang w:val="es-MX"/>
        </w:rPr>
        <w:t xml:space="preserve"> Q</w:t>
      </w:r>
      <w:r>
        <w:rPr>
          <w:rFonts w:ascii="Times New Roman" w:hAnsi="Times New Roman" w:cs="Times New Roman"/>
          <w:lang w:val="es-MX"/>
        </w:rPr>
        <w:t xml:space="preserve"> 565.9 </w:t>
      </w:r>
      <w:r w:rsidRPr="00F92177">
        <w:rPr>
          <w:rFonts w:ascii="Times New Roman" w:hAnsi="Times New Roman" w:cs="Times New Roman"/>
          <w:lang w:val="es-MX"/>
        </w:rPr>
        <w:t xml:space="preserve"> millones</w:t>
      </w:r>
      <w:r>
        <w:rPr>
          <w:rFonts w:ascii="Times New Roman" w:hAnsi="Times New Roman" w:cs="Times New Roman"/>
          <w:lang w:val="es-MX"/>
        </w:rPr>
        <w:t xml:space="preserve">. </w:t>
      </w:r>
      <w:r w:rsidRPr="00F92177">
        <w:rPr>
          <w:rFonts w:ascii="Times New Roman" w:hAnsi="Times New Roman" w:cs="Times New Roman"/>
          <w:lang w:val="es-MX"/>
        </w:rPr>
        <w:t xml:space="preserve"> </w:t>
      </w:r>
      <w:r>
        <w:rPr>
          <w:rFonts w:ascii="Times New Roman" w:hAnsi="Times New Roman" w:cs="Times New Roman"/>
          <w:lang w:val="es-MX"/>
        </w:rPr>
        <w:t xml:space="preserve">Este superávit se obtuvo por la fuerte contención en el gasto público que ha sido necesaria debido al bajo ritmo de crecimiento observado en la recaudación tributaria (1.6%) y por la incertidumbre que en lo que resta del año dichos ingresos muestren un mejor </w:t>
      </w:r>
      <w:r>
        <w:rPr>
          <w:rFonts w:ascii="Times New Roman" w:hAnsi="Times New Roman" w:cs="Times New Roman"/>
          <w:lang w:val="es-MX"/>
        </w:rPr>
        <w:lastRenderedPageBreak/>
        <w:t xml:space="preserve">desempeño.  De esa cuenta, la ejecución de gasto público se ha controlado, contrario a lo que ocurrió en los primeros dos meses de 2015, en donde hubo un crecimiento bastante dinámico (22.4%) que contrasta con lo observado al cierre de febrero de 2016 en donde se observó una contracción en el ritmo de ejecución de -4.3%. </w:t>
      </w:r>
    </w:p>
    <w:p w:rsidR="007D4651" w:rsidRDefault="007D4651" w:rsidP="007D4651">
      <w:pPr>
        <w:pStyle w:val="Sinespaciado"/>
        <w:jc w:val="both"/>
        <w:rPr>
          <w:rFonts w:ascii="Times New Roman" w:hAnsi="Times New Roman" w:cs="Times New Roman"/>
          <w:lang w:val="es-MX"/>
        </w:rPr>
      </w:pPr>
    </w:p>
    <w:p w:rsidR="007D4651" w:rsidRDefault="007D4651" w:rsidP="007D4651">
      <w:pPr>
        <w:pStyle w:val="Sinespaciado"/>
        <w:jc w:val="center"/>
        <w:rPr>
          <w:rFonts w:ascii="Times New Roman" w:hAnsi="Times New Roman" w:cs="Times New Roman"/>
          <w:b/>
          <w:lang w:val="es-MX"/>
        </w:rPr>
        <w:sectPr w:rsidR="007D4651" w:rsidSect="005D6A2E">
          <w:type w:val="continuous"/>
          <w:pgSz w:w="12240" w:h="15840"/>
          <w:pgMar w:top="1417" w:right="1701" w:bottom="1417" w:left="1701" w:header="708" w:footer="708" w:gutter="0"/>
          <w:cols w:num="2" w:space="708"/>
          <w:docGrid w:linePitch="360"/>
        </w:sectPr>
      </w:pPr>
    </w:p>
    <w:p w:rsidR="007D4651" w:rsidRDefault="007D4651" w:rsidP="007D4651">
      <w:pPr>
        <w:pStyle w:val="Sinespaciado"/>
        <w:jc w:val="center"/>
        <w:rPr>
          <w:rFonts w:ascii="Times New Roman" w:hAnsi="Times New Roman" w:cs="Times New Roman"/>
          <w:b/>
          <w:lang w:val="es-MX"/>
        </w:rPr>
      </w:pPr>
    </w:p>
    <w:p w:rsidR="007D4651" w:rsidRDefault="007D4651" w:rsidP="007D4651">
      <w:pPr>
        <w:pStyle w:val="Sinespaciado"/>
        <w:jc w:val="center"/>
        <w:rPr>
          <w:rFonts w:ascii="Times New Roman" w:hAnsi="Times New Roman" w:cs="Times New Roman"/>
          <w:b/>
          <w:lang w:val="es-MX"/>
        </w:rPr>
        <w:sectPr w:rsidR="007D4651" w:rsidSect="007D4651">
          <w:type w:val="continuous"/>
          <w:pgSz w:w="12240" w:h="15840" w:code="1"/>
          <w:pgMar w:top="1418" w:right="1418" w:bottom="1418" w:left="1418" w:header="709" w:footer="709" w:gutter="0"/>
          <w:cols w:num="2" w:space="708"/>
          <w:docGrid w:linePitch="360"/>
        </w:sectPr>
      </w:pPr>
    </w:p>
    <w:p w:rsidR="007D4651" w:rsidRPr="00C1022E" w:rsidRDefault="007D4651" w:rsidP="007D4651">
      <w:pPr>
        <w:pStyle w:val="Sinespaciado"/>
        <w:jc w:val="center"/>
        <w:rPr>
          <w:rFonts w:ascii="Times New Roman" w:hAnsi="Times New Roman" w:cs="Times New Roman"/>
          <w:b/>
          <w:lang w:val="es-MX"/>
        </w:rPr>
      </w:pPr>
      <w:r w:rsidRPr="00C1022E">
        <w:rPr>
          <w:rFonts w:ascii="Times New Roman" w:hAnsi="Times New Roman" w:cs="Times New Roman"/>
          <w:b/>
          <w:lang w:val="es-MX"/>
        </w:rPr>
        <w:lastRenderedPageBreak/>
        <w:t>Resultado Presupuestario</w:t>
      </w:r>
    </w:p>
    <w:p w:rsidR="007D4651" w:rsidRDefault="007D4651" w:rsidP="007D4651">
      <w:pPr>
        <w:pStyle w:val="Sinespaciado"/>
        <w:jc w:val="center"/>
        <w:rPr>
          <w:rFonts w:ascii="Times New Roman" w:hAnsi="Times New Roman" w:cs="Times New Roman"/>
          <w:sz w:val="18"/>
          <w:lang w:val="es-MX"/>
        </w:rPr>
      </w:pPr>
      <w:r>
        <w:rPr>
          <w:rFonts w:ascii="Times New Roman" w:hAnsi="Times New Roman" w:cs="Times New Roman"/>
          <w:sz w:val="18"/>
          <w:lang w:val="es-MX"/>
        </w:rPr>
        <w:t>Acumulado</w:t>
      </w:r>
      <w:r w:rsidRPr="00C1022E">
        <w:rPr>
          <w:rFonts w:ascii="Times New Roman" w:hAnsi="Times New Roman" w:cs="Times New Roman"/>
          <w:sz w:val="18"/>
          <w:lang w:val="es-MX"/>
        </w:rPr>
        <w:t xml:space="preserve"> </w:t>
      </w:r>
      <w:r>
        <w:rPr>
          <w:rFonts w:ascii="Times New Roman" w:hAnsi="Times New Roman" w:cs="Times New Roman"/>
          <w:sz w:val="18"/>
          <w:lang w:val="es-MX"/>
        </w:rPr>
        <w:t>a</w:t>
      </w:r>
      <w:r w:rsidRPr="00C1022E">
        <w:rPr>
          <w:rFonts w:ascii="Times New Roman" w:hAnsi="Times New Roman" w:cs="Times New Roman"/>
          <w:sz w:val="18"/>
          <w:lang w:val="es-MX"/>
        </w:rPr>
        <w:t xml:space="preserve"> </w:t>
      </w:r>
      <w:r>
        <w:rPr>
          <w:rFonts w:ascii="Times New Roman" w:hAnsi="Times New Roman" w:cs="Times New Roman"/>
          <w:sz w:val="18"/>
          <w:lang w:val="es-MX"/>
        </w:rPr>
        <w:t>Febrero</w:t>
      </w:r>
      <w:r w:rsidRPr="00C1022E">
        <w:rPr>
          <w:rFonts w:ascii="Times New Roman" w:hAnsi="Times New Roman" w:cs="Times New Roman"/>
          <w:sz w:val="18"/>
          <w:lang w:val="es-MX"/>
        </w:rPr>
        <w:t xml:space="preserve"> de Cada Año</w:t>
      </w:r>
    </w:p>
    <w:p w:rsidR="007D4651" w:rsidRPr="00C1022E" w:rsidRDefault="007D4651" w:rsidP="007D4651">
      <w:pPr>
        <w:pStyle w:val="Sinespaciado"/>
        <w:jc w:val="center"/>
        <w:rPr>
          <w:rFonts w:ascii="Times New Roman" w:hAnsi="Times New Roman" w:cs="Times New Roman"/>
          <w:sz w:val="18"/>
          <w:lang w:val="es-MX"/>
        </w:rPr>
      </w:pPr>
      <w:r>
        <w:rPr>
          <w:rFonts w:ascii="Times New Roman" w:hAnsi="Times New Roman" w:cs="Times New Roman"/>
          <w:sz w:val="18"/>
          <w:lang w:val="es-MX"/>
        </w:rPr>
        <w:t>Millones de quetzales</w:t>
      </w:r>
    </w:p>
    <w:p w:rsidR="007D4651" w:rsidRPr="00647B24" w:rsidRDefault="007D4651" w:rsidP="007D4651">
      <w:pPr>
        <w:pStyle w:val="Sinespaciado"/>
        <w:jc w:val="center"/>
        <w:rPr>
          <w:rFonts w:ascii="Times New Roman" w:hAnsi="Times New Roman" w:cs="Times New Roman"/>
          <w:lang w:val="es-MX"/>
        </w:rPr>
      </w:pPr>
      <w:r w:rsidRPr="006337D8">
        <w:rPr>
          <w:noProof/>
          <w:lang w:eastAsia="es-GT"/>
        </w:rPr>
        <w:drawing>
          <wp:inline distT="0" distB="0" distL="0" distR="0" wp14:anchorId="5F8ADB84" wp14:editId="6D143B21">
            <wp:extent cx="3047999" cy="182880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947" cy="1836569"/>
                    </a:xfrm>
                    <a:prstGeom prst="rect">
                      <a:avLst/>
                    </a:prstGeom>
                    <a:noFill/>
                    <a:ln>
                      <a:noFill/>
                    </a:ln>
                  </pic:spPr>
                </pic:pic>
              </a:graphicData>
            </a:graphic>
          </wp:inline>
        </w:drawing>
      </w:r>
    </w:p>
    <w:p w:rsidR="007D4651" w:rsidRPr="00BC7539" w:rsidRDefault="007D4651" w:rsidP="00BC7539">
      <w:pPr>
        <w:pStyle w:val="Sinespaciado"/>
        <w:ind w:left="1416" w:firstLine="708"/>
        <w:jc w:val="both"/>
        <w:rPr>
          <w:rFonts w:ascii="Times New Roman" w:hAnsi="Times New Roman" w:cs="Times New Roman"/>
          <w:sz w:val="14"/>
        </w:rPr>
      </w:pPr>
      <w:r w:rsidRPr="00BC7539">
        <w:rPr>
          <w:rFonts w:ascii="Times New Roman" w:hAnsi="Times New Roman" w:cs="Times New Roman"/>
          <w:sz w:val="14"/>
        </w:rPr>
        <w:t>Fuente: Dirección de Análisis y Política fiscal</w:t>
      </w:r>
    </w:p>
    <w:p w:rsidR="007D4651" w:rsidRPr="00BC7539" w:rsidRDefault="007D4651" w:rsidP="007D4651">
      <w:pPr>
        <w:pStyle w:val="Sinespaciado"/>
        <w:ind w:left="708" w:firstLine="708"/>
        <w:jc w:val="both"/>
        <w:rPr>
          <w:rFonts w:ascii="Times New Roman" w:hAnsi="Times New Roman" w:cs="Times New Roman"/>
          <w:b/>
          <w:sz w:val="18"/>
          <w:lang w:val="es-MX"/>
        </w:rPr>
      </w:pPr>
    </w:p>
    <w:p w:rsidR="007D4651" w:rsidRDefault="007D4651" w:rsidP="007D4651">
      <w:pPr>
        <w:spacing w:after="0" w:line="240" w:lineRule="auto"/>
        <w:rPr>
          <w:rFonts w:ascii="Times New Roman" w:hAnsi="Times New Roman" w:cs="Times New Roman"/>
          <w:lang w:val="es-MX"/>
        </w:rPr>
        <w:sectPr w:rsidR="007D4651" w:rsidSect="007D4651">
          <w:type w:val="continuous"/>
          <w:pgSz w:w="12240" w:h="15840" w:code="1"/>
          <w:pgMar w:top="1418" w:right="1418" w:bottom="1418" w:left="1418" w:header="709" w:footer="709" w:gutter="0"/>
          <w:cols w:space="708"/>
          <w:docGrid w:linePitch="360"/>
        </w:sectPr>
      </w:pPr>
    </w:p>
    <w:p w:rsidR="00E16925" w:rsidRPr="00E16925" w:rsidRDefault="00E16925" w:rsidP="00E1692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pPr>
      <w:r>
        <w:rPr>
          <w:rFonts w:ascii="Times New Roman" w:hAnsi="Times New Roman" w:cs="Times New Roman"/>
          <w:b/>
          <w:lang w:val="es-MX"/>
        </w:rPr>
        <w:lastRenderedPageBreak/>
        <w:t xml:space="preserve">Recaudación de </w:t>
      </w:r>
      <w:r w:rsidR="00BC7539">
        <w:rPr>
          <w:rFonts w:ascii="Times New Roman" w:hAnsi="Times New Roman" w:cs="Times New Roman"/>
          <w:b/>
          <w:lang w:val="es-MX"/>
        </w:rPr>
        <w:t>febrero superó lo observado en 2015</w:t>
      </w:r>
    </w:p>
    <w:p w:rsidR="00E16925" w:rsidRPr="00E16925" w:rsidRDefault="00E16925" w:rsidP="00E16925">
      <w:pPr>
        <w:rPr>
          <w:rFonts w:ascii="Times New Roman" w:hAnsi="Times New Roman" w:cs="Times New Roman"/>
          <w:b/>
          <w:lang w:val="es-MX"/>
        </w:rPr>
        <w:sectPr w:rsidR="00E16925" w:rsidRPr="00E16925" w:rsidSect="00E16925">
          <w:headerReference w:type="default" r:id="rId10"/>
          <w:footerReference w:type="default" r:id="rId11"/>
          <w:type w:val="continuous"/>
          <w:pgSz w:w="12240" w:h="15840" w:code="1"/>
          <w:pgMar w:top="1418" w:right="1418" w:bottom="1418" w:left="1418" w:header="709" w:footer="709" w:gutter="0"/>
          <w:cols w:space="708"/>
          <w:docGrid w:linePitch="360"/>
        </w:sectPr>
      </w:pPr>
    </w:p>
    <w:p w:rsidR="00E16925" w:rsidRPr="00BC7539" w:rsidRDefault="00E16925" w:rsidP="00E16925">
      <w:pPr>
        <w:pStyle w:val="Sinespaciado"/>
        <w:rPr>
          <w:rFonts w:ascii="Times New Roman" w:hAnsi="Times New Roman" w:cs="Times New Roman"/>
          <w:b/>
          <w:sz w:val="18"/>
          <w:lang w:val="es-MX"/>
        </w:rPr>
      </w:pPr>
    </w:p>
    <w:p w:rsidR="00E16925" w:rsidRDefault="00E16925" w:rsidP="00E16925">
      <w:pPr>
        <w:pStyle w:val="Sinespaciado"/>
        <w:jc w:val="center"/>
        <w:rPr>
          <w:rFonts w:ascii="Times New Roman" w:hAnsi="Times New Roman" w:cs="Times New Roman"/>
          <w:b/>
          <w:lang w:val="es-MX"/>
        </w:rPr>
        <w:sectPr w:rsidR="00E16925" w:rsidSect="00213F7F">
          <w:type w:val="continuous"/>
          <w:pgSz w:w="12240" w:h="15840"/>
          <w:pgMar w:top="1417" w:right="1701" w:bottom="1417" w:left="1701" w:header="708" w:footer="708" w:gutter="0"/>
          <w:cols w:space="708"/>
          <w:docGrid w:linePitch="360"/>
        </w:sectPr>
      </w:pPr>
    </w:p>
    <w:p w:rsidR="00BC7539" w:rsidRDefault="00BC7539" w:rsidP="00BC7539">
      <w:pPr>
        <w:spacing w:after="0" w:line="240" w:lineRule="auto"/>
        <w:jc w:val="both"/>
        <w:rPr>
          <w:rFonts w:ascii="Times New Roman" w:hAnsi="Times New Roman" w:cs="Times New Roman"/>
          <w:szCs w:val="24"/>
          <w:lang w:val="es-MX"/>
        </w:rPr>
      </w:pPr>
      <w:r w:rsidRPr="003C2F47">
        <w:rPr>
          <w:rFonts w:ascii="Times New Roman" w:hAnsi="Times New Roman" w:cs="Times New Roman"/>
          <w:szCs w:val="24"/>
          <w:lang w:val="es-MX"/>
        </w:rPr>
        <w:lastRenderedPageBreak/>
        <w:t xml:space="preserve">Información preliminar de recaudación de </w:t>
      </w:r>
      <w:r>
        <w:rPr>
          <w:rFonts w:ascii="Times New Roman" w:hAnsi="Times New Roman" w:cs="Times New Roman"/>
          <w:szCs w:val="24"/>
          <w:lang w:val="es-MX"/>
        </w:rPr>
        <w:t>febrero</w:t>
      </w:r>
      <w:r w:rsidRPr="003C2F47">
        <w:rPr>
          <w:rFonts w:ascii="Times New Roman" w:hAnsi="Times New Roman" w:cs="Times New Roman"/>
          <w:szCs w:val="24"/>
          <w:lang w:val="es-MX"/>
        </w:rPr>
        <w:t xml:space="preserve"> da cuenta de un crecimiento de </w:t>
      </w:r>
      <w:r>
        <w:rPr>
          <w:rFonts w:ascii="Times New Roman" w:hAnsi="Times New Roman" w:cs="Times New Roman"/>
          <w:szCs w:val="24"/>
          <w:lang w:val="es-MX"/>
        </w:rPr>
        <w:t>1.7</w:t>
      </w:r>
      <w:r w:rsidRPr="003C2F47">
        <w:rPr>
          <w:rFonts w:ascii="Times New Roman" w:hAnsi="Times New Roman" w:cs="Times New Roman"/>
          <w:szCs w:val="24"/>
          <w:lang w:val="es-MX"/>
        </w:rPr>
        <w:t xml:space="preserve">% </w:t>
      </w:r>
      <w:r>
        <w:rPr>
          <w:rFonts w:ascii="Times New Roman" w:hAnsi="Times New Roman" w:cs="Times New Roman"/>
          <w:szCs w:val="24"/>
          <w:lang w:val="es-MX"/>
        </w:rPr>
        <w:t xml:space="preserve">(Q 136 millones) </w:t>
      </w:r>
      <w:r w:rsidRPr="003C2F47">
        <w:rPr>
          <w:rFonts w:ascii="Times New Roman" w:hAnsi="Times New Roman" w:cs="Times New Roman"/>
          <w:szCs w:val="24"/>
          <w:lang w:val="es-MX"/>
        </w:rPr>
        <w:t>respecto a l</w:t>
      </w:r>
      <w:r>
        <w:rPr>
          <w:rFonts w:ascii="Times New Roman" w:hAnsi="Times New Roman" w:cs="Times New Roman"/>
          <w:szCs w:val="24"/>
          <w:lang w:val="es-MX"/>
        </w:rPr>
        <w:t xml:space="preserve">o observado a la misma fecha del año anterior, </w:t>
      </w:r>
      <w:r w:rsidRPr="003C2F47">
        <w:rPr>
          <w:rFonts w:ascii="Times New Roman" w:hAnsi="Times New Roman" w:cs="Times New Roman"/>
          <w:szCs w:val="24"/>
          <w:lang w:val="es-MX"/>
        </w:rPr>
        <w:t xml:space="preserve">dicho crecimiento </w:t>
      </w:r>
      <w:r>
        <w:rPr>
          <w:rFonts w:ascii="Times New Roman" w:hAnsi="Times New Roman" w:cs="Times New Roman"/>
          <w:szCs w:val="24"/>
          <w:lang w:val="es-MX"/>
        </w:rPr>
        <w:t>se basa en el desempeño positivo del ISO, el IVA doméstico los derechos arancelarios y los derivados del petróleo.</w:t>
      </w:r>
    </w:p>
    <w:p w:rsidR="00BC7539" w:rsidRDefault="00BC7539" w:rsidP="00BC7539">
      <w:pPr>
        <w:spacing w:after="0" w:line="240" w:lineRule="auto"/>
        <w:jc w:val="both"/>
        <w:rPr>
          <w:rFonts w:ascii="Times New Roman" w:hAnsi="Times New Roman" w:cs="Times New Roman"/>
          <w:szCs w:val="24"/>
          <w:lang w:val="es-MX"/>
        </w:rPr>
      </w:pPr>
    </w:p>
    <w:p w:rsidR="00BC7539" w:rsidRDefault="00BC7539" w:rsidP="00BC7539">
      <w:pPr>
        <w:spacing w:after="0" w:line="240" w:lineRule="auto"/>
        <w:jc w:val="both"/>
        <w:rPr>
          <w:rFonts w:ascii="Times New Roman" w:hAnsi="Times New Roman" w:cs="Times New Roman"/>
          <w:szCs w:val="24"/>
          <w:lang w:val="es-MX"/>
        </w:rPr>
      </w:pPr>
    </w:p>
    <w:p w:rsidR="00BC7539" w:rsidRDefault="00BC7539" w:rsidP="00BC7539">
      <w:pPr>
        <w:spacing w:after="0" w:line="240" w:lineRule="auto"/>
        <w:jc w:val="both"/>
        <w:rPr>
          <w:rFonts w:ascii="Times New Roman" w:hAnsi="Times New Roman" w:cs="Times New Roman"/>
          <w:szCs w:val="24"/>
          <w:lang w:val="es-MX"/>
        </w:rPr>
      </w:pPr>
    </w:p>
    <w:p w:rsidR="00BC7539" w:rsidRDefault="00BC7539" w:rsidP="00BC7539">
      <w:pPr>
        <w:spacing w:after="0" w:line="240" w:lineRule="auto"/>
        <w:jc w:val="both"/>
        <w:rPr>
          <w:rFonts w:ascii="Times New Roman" w:hAnsi="Times New Roman" w:cs="Times New Roman"/>
          <w:szCs w:val="24"/>
          <w:lang w:val="es-MX"/>
        </w:rPr>
      </w:pPr>
    </w:p>
    <w:p w:rsidR="00BC7539" w:rsidRDefault="00BC7539" w:rsidP="00BC7539">
      <w:pPr>
        <w:spacing w:after="0" w:line="240" w:lineRule="auto"/>
        <w:jc w:val="both"/>
        <w:rPr>
          <w:rFonts w:ascii="Times New Roman" w:hAnsi="Times New Roman" w:cs="Times New Roman"/>
          <w:szCs w:val="24"/>
          <w:lang w:val="es-MX"/>
        </w:rPr>
      </w:pPr>
    </w:p>
    <w:p w:rsidR="00BC7539" w:rsidRDefault="00BC7539" w:rsidP="00BC7539">
      <w:pPr>
        <w:spacing w:after="0" w:line="240" w:lineRule="auto"/>
        <w:jc w:val="both"/>
        <w:rPr>
          <w:rFonts w:ascii="Times New Roman" w:hAnsi="Times New Roman" w:cs="Times New Roman"/>
          <w:szCs w:val="24"/>
          <w:lang w:val="es-MX"/>
        </w:rPr>
      </w:pPr>
    </w:p>
    <w:p w:rsidR="00BC7539" w:rsidRDefault="00BC7539" w:rsidP="00BC7539">
      <w:pPr>
        <w:spacing w:after="0" w:line="240" w:lineRule="auto"/>
        <w:jc w:val="both"/>
        <w:rPr>
          <w:rFonts w:ascii="Times New Roman" w:hAnsi="Times New Roman" w:cs="Times New Roman"/>
          <w:szCs w:val="24"/>
          <w:lang w:val="es-MX"/>
        </w:rPr>
      </w:pPr>
    </w:p>
    <w:p w:rsidR="00BC7539" w:rsidRDefault="00BC7539" w:rsidP="00BC7539">
      <w:pPr>
        <w:spacing w:after="0" w:line="240" w:lineRule="auto"/>
        <w:jc w:val="both"/>
        <w:rPr>
          <w:rFonts w:ascii="Times New Roman" w:hAnsi="Times New Roman" w:cs="Times New Roman"/>
          <w:szCs w:val="24"/>
          <w:lang w:val="es-MX"/>
        </w:rPr>
      </w:pPr>
    </w:p>
    <w:p w:rsidR="00BC7539" w:rsidRDefault="00BC7539" w:rsidP="00BC7539">
      <w:pPr>
        <w:spacing w:after="0" w:line="240" w:lineRule="auto"/>
        <w:jc w:val="both"/>
        <w:rPr>
          <w:rFonts w:ascii="Times New Roman" w:hAnsi="Times New Roman" w:cs="Times New Roman"/>
          <w:szCs w:val="24"/>
          <w:lang w:val="es-MX"/>
        </w:rPr>
      </w:pPr>
    </w:p>
    <w:p w:rsidR="00BC7539" w:rsidRPr="00190999" w:rsidRDefault="00BC7539" w:rsidP="00BC7539">
      <w:pPr>
        <w:spacing w:after="0" w:line="240" w:lineRule="auto"/>
        <w:jc w:val="center"/>
        <w:rPr>
          <w:rFonts w:ascii="Times New Roman" w:hAnsi="Times New Roman" w:cs="Times New Roman"/>
          <w:b/>
          <w:lang w:val="es-MX"/>
        </w:rPr>
      </w:pPr>
      <w:r w:rsidRPr="00190999">
        <w:rPr>
          <w:rFonts w:ascii="Times New Roman" w:hAnsi="Times New Roman" w:cs="Times New Roman"/>
          <w:b/>
          <w:lang w:val="es-MX"/>
        </w:rPr>
        <w:lastRenderedPageBreak/>
        <w:t>Variación de la recaudación tributaria</w:t>
      </w:r>
    </w:p>
    <w:p w:rsidR="00BC7539" w:rsidRPr="00F76491" w:rsidRDefault="00BC7539" w:rsidP="00BC7539">
      <w:pPr>
        <w:spacing w:after="0" w:line="240" w:lineRule="auto"/>
        <w:jc w:val="center"/>
        <w:rPr>
          <w:rFonts w:ascii="Times New Roman" w:hAnsi="Times New Roman" w:cs="Times New Roman"/>
          <w:sz w:val="18"/>
          <w:lang w:val="es-MX"/>
        </w:rPr>
      </w:pPr>
      <w:r w:rsidRPr="00F76491">
        <w:rPr>
          <w:rFonts w:ascii="Times New Roman" w:hAnsi="Times New Roman" w:cs="Times New Roman"/>
          <w:sz w:val="18"/>
          <w:lang w:val="es-MX"/>
        </w:rPr>
        <w:t>Millones de quetzales</w:t>
      </w:r>
    </w:p>
    <w:p w:rsidR="00BC7539" w:rsidRPr="002F58A3" w:rsidRDefault="00BC7539" w:rsidP="00BC7539">
      <w:pPr>
        <w:spacing w:after="0" w:line="240" w:lineRule="aut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3F0A9924" wp14:editId="14A1CE3A">
            <wp:extent cx="2765233" cy="2170323"/>
            <wp:effectExtent l="0" t="0" r="0" b="190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7539" w:rsidRPr="00BC7539" w:rsidRDefault="00BC7539" w:rsidP="00BC7539">
      <w:pPr>
        <w:spacing w:after="0" w:line="240" w:lineRule="auto"/>
        <w:jc w:val="both"/>
        <w:rPr>
          <w:rFonts w:ascii="Times New Roman" w:hAnsi="Times New Roman" w:cs="Times New Roman"/>
          <w:sz w:val="14"/>
          <w:lang w:val="es-MX"/>
        </w:rPr>
      </w:pPr>
      <w:r w:rsidRPr="00BC7539">
        <w:rPr>
          <w:rFonts w:ascii="Times New Roman" w:hAnsi="Times New Roman" w:cs="Times New Roman"/>
          <w:sz w:val="14"/>
          <w:lang w:val="es-MX"/>
        </w:rPr>
        <w:t>Fuente: Dirección de análisis y política fiscal</w:t>
      </w:r>
    </w:p>
    <w:p w:rsidR="00BC7539" w:rsidRPr="00ED2C29" w:rsidRDefault="00BC7539" w:rsidP="00BC7539">
      <w:pPr>
        <w:spacing w:after="0" w:line="240" w:lineRule="auto"/>
        <w:jc w:val="both"/>
        <w:rPr>
          <w:rFonts w:ascii="Times New Roman" w:hAnsi="Times New Roman" w:cs="Times New Roman"/>
          <w:b/>
          <w:szCs w:val="24"/>
          <w:lang w:val="es-MX"/>
        </w:rPr>
      </w:pPr>
      <w:r w:rsidRPr="00ED2C29">
        <w:rPr>
          <w:rFonts w:ascii="Times New Roman" w:hAnsi="Times New Roman" w:cs="Times New Roman"/>
          <w:b/>
          <w:szCs w:val="24"/>
          <w:lang w:val="es-MX"/>
        </w:rPr>
        <w:lastRenderedPageBreak/>
        <w:t>El impuesto sobre la renta</w:t>
      </w:r>
    </w:p>
    <w:p w:rsidR="00BC7539" w:rsidRPr="00761D0C" w:rsidRDefault="00BC7539" w:rsidP="00BC7539">
      <w:pPr>
        <w:spacing w:after="0" w:line="240" w:lineRule="auto"/>
        <w:jc w:val="both"/>
        <w:rPr>
          <w:rFonts w:ascii="Times New Roman" w:hAnsi="Times New Roman" w:cs="Times New Roman"/>
          <w:szCs w:val="24"/>
          <w:lang w:val="es-MX"/>
        </w:rPr>
      </w:pPr>
    </w:p>
    <w:p w:rsidR="00BC7539" w:rsidRPr="00761D0C" w:rsidRDefault="00BC7539" w:rsidP="00BC7539">
      <w:pPr>
        <w:spacing w:after="0" w:line="240" w:lineRule="auto"/>
        <w:jc w:val="both"/>
        <w:rPr>
          <w:rFonts w:ascii="Times New Roman" w:hAnsi="Times New Roman" w:cs="Times New Roman"/>
          <w:szCs w:val="24"/>
          <w:lang w:val="es-MX"/>
        </w:rPr>
      </w:pPr>
      <w:r w:rsidRPr="00761D0C">
        <w:rPr>
          <w:rFonts w:ascii="Times New Roman" w:hAnsi="Times New Roman" w:cs="Times New Roman"/>
          <w:szCs w:val="24"/>
          <w:lang w:val="es-MX"/>
        </w:rPr>
        <w:t>Para febrero este impuesto representa cerca del 2</w:t>
      </w:r>
      <w:r>
        <w:rPr>
          <w:rFonts w:ascii="Times New Roman" w:hAnsi="Times New Roman" w:cs="Times New Roman"/>
          <w:szCs w:val="24"/>
          <w:lang w:val="es-MX"/>
        </w:rPr>
        <w:t>3</w:t>
      </w:r>
      <w:r w:rsidRPr="00761D0C">
        <w:rPr>
          <w:rFonts w:ascii="Times New Roman" w:hAnsi="Times New Roman" w:cs="Times New Roman"/>
          <w:szCs w:val="24"/>
          <w:lang w:val="es-MX"/>
        </w:rPr>
        <w:t xml:space="preserve">% del total de la recaudación </w:t>
      </w:r>
      <w:r>
        <w:rPr>
          <w:rFonts w:ascii="Times New Roman" w:hAnsi="Times New Roman" w:cs="Times New Roman"/>
          <w:szCs w:val="24"/>
          <w:lang w:val="es-MX"/>
        </w:rPr>
        <w:t>observada</w:t>
      </w:r>
      <w:r w:rsidRPr="00761D0C">
        <w:rPr>
          <w:rFonts w:ascii="Times New Roman" w:hAnsi="Times New Roman" w:cs="Times New Roman"/>
          <w:szCs w:val="24"/>
          <w:lang w:val="es-MX"/>
        </w:rPr>
        <w:t xml:space="preserve">, </w:t>
      </w:r>
      <w:r>
        <w:rPr>
          <w:rFonts w:ascii="Times New Roman" w:hAnsi="Times New Roman" w:cs="Times New Roman"/>
          <w:szCs w:val="24"/>
          <w:lang w:val="es-MX"/>
        </w:rPr>
        <w:t xml:space="preserve">el año anterior a la misma fecha represento 24.7% lo cual denota una caída de 4.5% (Q 90.3 millones) respecto a lo observado, posiblemente las </w:t>
      </w:r>
      <w:r w:rsidRPr="00761D0C">
        <w:rPr>
          <w:rFonts w:ascii="Times New Roman" w:hAnsi="Times New Roman" w:cs="Times New Roman"/>
          <w:szCs w:val="24"/>
          <w:lang w:val="es-MX"/>
        </w:rPr>
        <w:t>causas de esta caída pueden ser el uso de créditos de ejercicios anteriores</w:t>
      </w:r>
      <w:r>
        <w:rPr>
          <w:rFonts w:ascii="Times New Roman" w:hAnsi="Times New Roman" w:cs="Times New Roman"/>
          <w:szCs w:val="24"/>
          <w:lang w:val="es-MX"/>
        </w:rPr>
        <w:t xml:space="preserve"> y la migración entre regímenes.</w:t>
      </w:r>
    </w:p>
    <w:p w:rsidR="00BC7539" w:rsidRPr="00761D0C" w:rsidRDefault="00BC7539" w:rsidP="00BC7539">
      <w:pPr>
        <w:spacing w:after="0" w:line="240" w:lineRule="auto"/>
        <w:jc w:val="both"/>
        <w:rPr>
          <w:rFonts w:ascii="Times New Roman" w:hAnsi="Times New Roman" w:cs="Times New Roman"/>
          <w:szCs w:val="24"/>
          <w:lang w:val="es-MX"/>
        </w:rPr>
      </w:pPr>
    </w:p>
    <w:p w:rsidR="00BC7539" w:rsidRPr="00D24DA7" w:rsidRDefault="00BC7539" w:rsidP="00BC7539">
      <w:pPr>
        <w:spacing w:after="0" w:line="240" w:lineRule="auto"/>
        <w:jc w:val="center"/>
        <w:rPr>
          <w:rFonts w:ascii="Times New Roman" w:hAnsi="Times New Roman" w:cs="Times New Roman"/>
          <w:b/>
          <w:lang w:val="es-MX"/>
        </w:rPr>
      </w:pPr>
      <w:r w:rsidRPr="00D24DA7">
        <w:rPr>
          <w:rFonts w:ascii="Times New Roman" w:hAnsi="Times New Roman" w:cs="Times New Roman"/>
          <w:b/>
          <w:lang w:val="es-MX"/>
        </w:rPr>
        <w:t>Impuesto sobre la renta</w:t>
      </w:r>
    </w:p>
    <w:p w:rsidR="00BC7539" w:rsidRPr="00F76491" w:rsidRDefault="00BC7539" w:rsidP="00BC7539">
      <w:pPr>
        <w:spacing w:after="0" w:line="240" w:lineRule="auto"/>
        <w:jc w:val="center"/>
        <w:rPr>
          <w:rFonts w:ascii="Times New Roman" w:hAnsi="Times New Roman" w:cs="Times New Roman"/>
          <w:sz w:val="18"/>
          <w:lang w:val="es-MX"/>
        </w:rPr>
      </w:pPr>
      <w:r w:rsidRPr="00F76491">
        <w:rPr>
          <w:rFonts w:ascii="Times New Roman" w:hAnsi="Times New Roman" w:cs="Times New Roman"/>
          <w:sz w:val="18"/>
          <w:lang w:val="es-MX"/>
        </w:rPr>
        <w:t>Millones de quetzales</w:t>
      </w:r>
    </w:p>
    <w:p w:rsidR="00BC7539" w:rsidRPr="00BC7539" w:rsidRDefault="00BC7539" w:rsidP="00BC7539">
      <w:pPr>
        <w:spacing w:after="0" w:line="240" w:lineRule="auto"/>
        <w:jc w:val="both"/>
        <w:rPr>
          <w:rFonts w:ascii="Times New Roman" w:hAnsi="Times New Roman" w:cs="Times New Roman"/>
          <w:szCs w:val="24"/>
          <w:lang w:val="es-MX"/>
        </w:rPr>
      </w:pPr>
      <w:r>
        <w:rPr>
          <w:rFonts w:ascii="Times New Roman" w:hAnsi="Times New Roman" w:cs="Times New Roman"/>
          <w:noProof/>
          <w:szCs w:val="24"/>
          <w:lang w:eastAsia="es-GT"/>
        </w:rPr>
        <w:drawing>
          <wp:inline distT="0" distB="0" distL="0" distR="0" wp14:anchorId="1E7139E0" wp14:editId="78C5FFB1">
            <wp:extent cx="2752725" cy="20193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61D0C">
        <w:rPr>
          <w:rFonts w:ascii="Times New Roman" w:hAnsi="Times New Roman" w:cs="Times New Roman"/>
          <w:szCs w:val="24"/>
          <w:lang w:val="es-MX"/>
        </w:rPr>
        <w:t xml:space="preserve"> </w:t>
      </w:r>
      <w:r w:rsidRPr="00BC7539">
        <w:rPr>
          <w:rFonts w:ascii="Times New Roman" w:hAnsi="Times New Roman" w:cs="Times New Roman"/>
          <w:sz w:val="14"/>
          <w:lang w:val="es-MX"/>
        </w:rPr>
        <w:t>Fuente: Dirección de análisis y política fiscal</w:t>
      </w:r>
    </w:p>
    <w:p w:rsidR="00BC7539" w:rsidRDefault="00BC7539" w:rsidP="00BC7539">
      <w:pPr>
        <w:spacing w:after="0" w:line="240" w:lineRule="auto"/>
        <w:jc w:val="both"/>
        <w:rPr>
          <w:rFonts w:ascii="Times New Roman" w:hAnsi="Times New Roman" w:cs="Times New Roman"/>
          <w:szCs w:val="24"/>
          <w:lang w:val="es-MX"/>
        </w:rPr>
      </w:pPr>
    </w:p>
    <w:p w:rsidR="00F76491" w:rsidRPr="00761D0C" w:rsidRDefault="00F76491" w:rsidP="00BC7539">
      <w:pPr>
        <w:spacing w:after="0" w:line="240" w:lineRule="auto"/>
        <w:jc w:val="both"/>
        <w:rPr>
          <w:rFonts w:ascii="Times New Roman" w:hAnsi="Times New Roman" w:cs="Times New Roman"/>
          <w:szCs w:val="24"/>
          <w:lang w:val="es-MX"/>
        </w:rPr>
      </w:pPr>
    </w:p>
    <w:p w:rsidR="00BC7539" w:rsidRPr="00D24DA7" w:rsidRDefault="00BC7539" w:rsidP="00BC7539">
      <w:pPr>
        <w:spacing w:after="0" w:line="240" w:lineRule="auto"/>
        <w:jc w:val="both"/>
        <w:rPr>
          <w:rFonts w:ascii="Times New Roman" w:hAnsi="Times New Roman" w:cs="Times New Roman"/>
          <w:b/>
          <w:szCs w:val="24"/>
          <w:lang w:val="es-MX"/>
        </w:rPr>
      </w:pPr>
      <w:r w:rsidRPr="00D24DA7">
        <w:rPr>
          <w:rFonts w:ascii="Times New Roman" w:hAnsi="Times New Roman" w:cs="Times New Roman"/>
          <w:b/>
          <w:szCs w:val="24"/>
          <w:lang w:val="es-MX"/>
        </w:rPr>
        <w:t>Impuesto al valor agregado</w:t>
      </w:r>
    </w:p>
    <w:p w:rsidR="00BC7539" w:rsidRPr="00761D0C" w:rsidRDefault="00BC7539" w:rsidP="00BC7539">
      <w:pPr>
        <w:spacing w:after="0" w:line="240" w:lineRule="auto"/>
        <w:jc w:val="both"/>
        <w:rPr>
          <w:rFonts w:ascii="Times New Roman" w:hAnsi="Times New Roman" w:cs="Times New Roman"/>
          <w:szCs w:val="24"/>
          <w:lang w:val="es-MX"/>
        </w:rPr>
      </w:pPr>
    </w:p>
    <w:p w:rsidR="00BC7539" w:rsidRPr="00761D0C" w:rsidRDefault="00BC7539" w:rsidP="00BC7539">
      <w:pPr>
        <w:spacing w:after="0" w:line="240" w:lineRule="auto"/>
        <w:jc w:val="both"/>
        <w:rPr>
          <w:rFonts w:ascii="Times New Roman" w:hAnsi="Times New Roman" w:cs="Times New Roman"/>
          <w:szCs w:val="24"/>
          <w:lang w:val="es-MX"/>
        </w:rPr>
      </w:pPr>
      <w:r>
        <w:rPr>
          <w:rFonts w:ascii="Times New Roman" w:hAnsi="Times New Roman" w:cs="Times New Roman"/>
          <w:szCs w:val="24"/>
          <w:lang w:val="es-MX"/>
        </w:rPr>
        <w:t xml:space="preserve">La recaudación del </w:t>
      </w:r>
      <w:r w:rsidRPr="00761D0C">
        <w:rPr>
          <w:rFonts w:ascii="Times New Roman" w:hAnsi="Times New Roman" w:cs="Times New Roman"/>
          <w:szCs w:val="24"/>
          <w:lang w:val="es-MX"/>
        </w:rPr>
        <w:t xml:space="preserve">IVA total </w:t>
      </w:r>
      <w:r>
        <w:rPr>
          <w:rFonts w:ascii="Times New Roman" w:hAnsi="Times New Roman" w:cs="Times New Roman"/>
          <w:szCs w:val="24"/>
          <w:lang w:val="es-MX"/>
        </w:rPr>
        <w:t>supero lo observado en 2015 por 65.5 millones esto producto del rendimiento positivo en el IVA asociado al consumo interno esto producto de una mayor dinámica en la economía doméstica, por aparte el IVA asociado a las importaciones este reflejo una merma de Q 18.9 millones respecto a lo observado a la misma fecha del año anterior, las razones de esta caída obedecen principalmente a una baja en las importaciones petroleras.</w:t>
      </w:r>
    </w:p>
    <w:p w:rsidR="00BC7539" w:rsidRPr="00761D0C" w:rsidRDefault="00BC7539" w:rsidP="00BC7539">
      <w:pPr>
        <w:spacing w:after="0" w:line="240" w:lineRule="auto"/>
        <w:jc w:val="both"/>
        <w:rPr>
          <w:rFonts w:ascii="Times New Roman" w:hAnsi="Times New Roman" w:cs="Times New Roman"/>
          <w:szCs w:val="24"/>
          <w:lang w:val="es-MX"/>
        </w:rPr>
      </w:pPr>
    </w:p>
    <w:p w:rsidR="00BC7539" w:rsidRDefault="00BC7539" w:rsidP="00F76491">
      <w:pPr>
        <w:spacing w:line="240" w:lineRule="auto"/>
        <w:jc w:val="both"/>
        <w:rPr>
          <w:rFonts w:ascii="Times New Roman" w:hAnsi="Times New Roman" w:cs="Times New Roman"/>
          <w:szCs w:val="24"/>
          <w:lang w:val="es-MX"/>
        </w:rPr>
      </w:pPr>
      <w:r w:rsidRPr="00761D0C">
        <w:rPr>
          <w:rFonts w:ascii="Times New Roman" w:hAnsi="Times New Roman" w:cs="Times New Roman"/>
          <w:szCs w:val="24"/>
          <w:lang w:val="es-MX"/>
        </w:rPr>
        <w:t>El resto de los impuestos presentan un comportamiento normal, incluso superando la</w:t>
      </w:r>
      <w:r>
        <w:rPr>
          <w:rFonts w:ascii="Times New Roman" w:hAnsi="Times New Roman" w:cs="Times New Roman"/>
          <w:szCs w:val="24"/>
          <w:lang w:val="es-MX"/>
        </w:rPr>
        <w:t>s</w:t>
      </w:r>
      <w:r w:rsidRPr="00761D0C">
        <w:rPr>
          <w:rFonts w:ascii="Times New Roman" w:hAnsi="Times New Roman" w:cs="Times New Roman"/>
          <w:szCs w:val="24"/>
          <w:lang w:val="es-MX"/>
        </w:rPr>
        <w:t xml:space="preserve"> </w:t>
      </w:r>
      <w:r>
        <w:rPr>
          <w:rFonts w:ascii="Times New Roman" w:hAnsi="Times New Roman" w:cs="Times New Roman"/>
          <w:szCs w:val="24"/>
          <w:lang w:val="es-MX"/>
        </w:rPr>
        <w:t xml:space="preserve">expectativas planteadas en la </w:t>
      </w:r>
      <w:r w:rsidRPr="00761D0C">
        <w:rPr>
          <w:rFonts w:ascii="Times New Roman" w:hAnsi="Times New Roman" w:cs="Times New Roman"/>
          <w:szCs w:val="24"/>
          <w:lang w:val="es-MX"/>
        </w:rPr>
        <w:t xml:space="preserve">meta </w:t>
      </w:r>
      <w:r>
        <w:rPr>
          <w:rFonts w:ascii="Times New Roman" w:hAnsi="Times New Roman" w:cs="Times New Roman"/>
          <w:szCs w:val="24"/>
          <w:lang w:val="es-MX"/>
        </w:rPr>
        <w:t xml:space="preserve">de </w:t>
      </w:r>
      <w:r w:rsidRPr="00761D0C">
        <w:rPr>
          <w:rFonts w:ascii="Times New Roman" w:hAnsi="Times New Roman" w:cs="Times New Roman"/>
          <w:szCs w:val="24"/>
          <w:lang w:val="es-MX"/>
        </w:rPr>
        <w:t xml:space="preserve">presupuesto tal el caso del impuesto a los derivados del petróleo que supera la </w:t>
      </w:r>
      <w:r>
        <w:rPr>
          <w:rFonts w:ascii="Times New Roman" w:hAnsi="Times New Roman" w:cs="Times New Roman"/>
          <w:szCs w:val="24"/>
          <w:lang w:val="es-MX"/>
        </w:rPr>
        <w:t>recaudación del año anterior en Q 26.2 millones, para el caso del cemento es preciso recordar que el impuesto en 2015 se gravaba con una tasa de Q 5.00 por saco de cemento, mientras que ahora es de Q 1.50, el tema de las regalías e hidrocarburos compartibles sigue siendo afectado por la baja en el precio internacional del petróleo.</w:t>
      </w:r>
      <w:r w:rsidRPr="00BC7539">
        <w:rPr>
          <w:rFonts w:ascii="Times New Roman" w:hAnsi="Times New Roman" w:cs="Times New Roman"/>
          <w:szCs w:val="24"/>
          <w:lang w:val="es-MX"/>
        </w:rPr>
        <w:t xml:space="preserve"> </w:t>
      </w:r>
    </w:p>
    <w:p w:rsidR="00BC7539" w:rsidRDefault="00BC7539" w:rsidP="00BC7539">
      <w:pPr>
        <w:jc w:val="both"/>
        <w:rPr>
          <w:rFonts w:ascii="Times New Roman" w:hAnsi="Times New Roman" w:cs="Times New Roman"/>
          <w:szCs w:val="24"/>
          <w:lang w:val="es-MX"/>
        </w:rPr>
        <w:sectPr w:rsidR="00BC7539" w:rsidSect="00BC7539">
          <w:type w:val="continuous"/>
          <w:pgSz w:w="12240" w:h="15840"/>
          <w:pgMar w:top="1417" w:right="1701" w:bottom="1417" w:left="1701" w:header="708" w:footer="708" w:gutter="0"/>
          <w:cols w:num="2" w:space="708"/>
          <w:docGrid w:linePitch="360"/>
        </w:sectPr>
      </w:pPr>
    </w:p>
    <w:p w:rsidR="00BC7539" w:rsidRPr="00FA3B81" w:rsidRDefault="00BC7539" w:rsidP="00FA3B81">
      <w:pPr>
        <w:spacing w:after="0"/>
        <w:jc w:val="both"/>
        <w:rPr>
          <w:rFonts w:ascii="Times New Roman" w:hAnsi="Times New Roman" w:cs="Times New Roman"/>
          <w:sz w:val="18"/>
          <w:szCs w:val="24"/>
          <w:lang w:val="es-MX"/>
        </w:rPr>
      </w:pPr>
    </w:p>
    <w:p w:rsidR="00FA3B81" w:rsidRPr="00E16925" w:rsidRDefault="00F76491" w:rsidP="00FA3B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pPr>
      <w:r>
        <w:rPr>
          <w:rFonts w:ascii="Times New Roman" w:hAnsi="Times New Roman" w:cs="Times New Roman"/>
          <w:b/>
          <w:lang w:val="es-MX"/>
        </w:rPr>
        <w:t>Ejecución</w:t>
      </w:r>
      <w:r w:rsidR="00FA3B81" w:rsidRPr="00E16925">
        <w:rPr>
          <w:rFonts w:ascii="Times New Roman" w:hAnsi="Times New Roman" w:cs="Times New Roman"/>
          <w:b/>
          <w:lang w:val="es-MX"/>
        </w:rPr>
        <w:t xml:space="preserve"> de gasto </w:t>
      </w:r>
      <w:r>
        <w:rPr>
          <w:rFonts w:ascii="Times New Roman" w:hAnsi="Times New Roman" w:cs="Times New Roman"/>
          <w:b/>
          <w:lang w:val="es-MX"/>
        </w:rPr>
        <w:t>experimenta una contracción</w:t>
      </w:r>
    </w:p>
    <w:p w:rsidR="00FA3B81" w:rsidRPr="00E16925" w:rsidRDefault="00FA3B81" w:rsidP="00FA3B81">
      <w:pPr>
        <w:rPr>
          <w:rFonts w:ascii="Times New Roman" w:hAnsi="Times New Roman" w:cs="Times New Roman"/>
          <w:b/>
          <w:lang w:val="es-MX"/>
        </w:rPr>
        <w:sectPr w:rsidR="00FA3B81" w:rsidRPr="00E16925" w:rsidSect="00FA3B81">
          <w:headerReference w:type="default" r:id="rId14"/>
          <w:footerReference w:type="default" r:id="rId15"/>
          <w:type w:val="continuous"/>
          <w:pgSz w:w="12240" w:h="15840" w:code="1"/>
          <w:pgMar w:top="1418" w:right="1418" w:bottom="1418" w:left="1418" w:header="709" w:footer="709" w:gutter="0"/>
          <w:cols w:space="708"/>
          <w:docGrid w:linePitch="360"/>
        </w:sectPr>
      </w:pPr>
    </w:p>
    <w:p w:rsidR="00FA3B81" w:rsidRPr="00BC7539" w:rsidRDefault="00FA3B81" w:rsidP="00FA3B81">
      <w:pPr>
        <w:pStyle w:val="Sinespaciado"/>
        <w:rPr>
          <w:rFonts w:ascii="Times New Roman" w:hAnsi="Times New Roman" w:cs="Times New Roman"/>
          <w:b/>
          <w:sz w:val="18"/>
          <w:lang w:val="es-MX"/>
        </w:rPr>
      </w:pPr>
    </w:p>
    <w:p w:rsidR="00FA3B81" w:rsidRDefault="00FA3B81" w:rsidP="00FA3B81">
      <w:pPr>
        <w:pStyle w:val="Sinespaciado"/>
        <w:jc w:val="center"/>
        <w:rPr>
          <w:rFonts w:ascii="Times New Roman" w:hAnsi="Times New Roman" w:cs="Times New Roman"/>
          <w:b/>
          <w:lang w:val="es-MX"/>
        </w:rPr>
        <w:sectPr w:rsidR="00FA3B81" w:rsidSect="00213F7F">
          <w:type w:val="continuous"/>
          <w:pgSz w:w="12240" w:h="15840"/>
          <w:pgMar w:top="1417" w:right="1701" w:bottom="1417" w:left="1701" w:header="708" w:footer="708" w:gutter="0"/>
          <w:cols w:space="708"/>
          <w:docGrid w:linePitch="360"/>
        </w:sectPr>
      </w:pPr>
    </w:p>
    <w:p w:rsidR="00FA3B81" w:rsidRPr="00F76491" w:rsidRDefault="00FA3B81" w:rsidP="00FA3B81">
      <w:pPr>
        <w:pStyle w:val="Sinespaciado"/>
        <w:jc w:val="both"/>
        <w:rPr>
          <w:rFonts w:ascii="Times New Roman" w:hAnsi="Times New Roman" w:cs="Times New Roman"/>
        </w:rPr>
      </w:pPr>
      <w:r w:rsidRPr="00F76491">
        <w:rPr>
          <w:rFonts w:ascii="Times New Roman" w:hAnsi="Times New Roman" w:cs="Times New Roman"/>
        </w:rPr>
        <w:t xml:space="preserve">En febrero se evidenció la política de gasto público que regirá en el presente ejercicio fiscal, mediante las normativas de control y contención del gasto que emitió el Presidente de la República, las cuales son aplicables a las instituciones que conforman el Organismo Ejecutivo e instituciones autónomas y descentralizadas que reciben aportes de la administración central.  El objetivo de esta normativa es reiterar la necesidad que tiene el Estado de mantener el uso racional de los recursos disponibles en un contexto de priorización del gasto público. </w:t>
      </w:r>
    </w:p>
    <w:p w:rsidR="00FA3B81" w:rsidRPr="00F76491" w:rsidRDefault="00FA3B81" w:rsidP="00FA3B81">
      <w:pPr>
        <w:pStyle w:val="Sinespaciado"/>
        <w:jc w:val="both"/>
        <w:rPr>
          <w:rFonts w:ascii="Times New Roman" w:hAnsi="Times New Roman" w:cs="Times New Roman"/>
        </w:rPr>
      </w:pPr>
    </w:p>
    <w:p w:rsidR="00FA3B81" w:rsidRPr="00F76491" w:rsidRDefault="00FA3B81" w:rsidP="00FA3B81">
      <w:pPr>
        <w:pStyle w:val="Sinespaciado"/>
        <w:jc w:val="both"/>
        <w:rPr>
          <w:rFonts w:ascii="Times New Roman" w:hAnsi="Times New Roman" w:cs="Times New Roman"/>
        </w:rPr>
      </w:pPr>
      <w:r w:rsidRPr="00F76491">
        <w:rPr>
          <w:rFonts w:ascii="Times New Roman" w:hAnsi="Times New Roman" w:cs="Times New Roman"/>
        </w:rPr>
        <w:t xml:space="preserve">Aunque el oficio circular de contención de gasto, se extendió en febrero, desde inicios de año la programación y ejecución financiera ha sido prudente y la asignación de cuota financieras se ha realizado sobre la base de los ingresos disponibles y conforme a una proyección conservadora de recaudación tributaria, para evitar con ello desequilibrios en la caja fiscal que imposibiliten atender oportunamente los pagos en los próximos meses.  </w:t>
      </w:r>
    </w:p>
    <w:p w:rsidR="00FA3B81" w:rsidRPr="00F76491" w:rsidRDefault="00FA3B81" w:rsidP="00FA3B81">
      <w:pPr>
        <w:pStyle w:val="Sinespaciado"/>
        <w:jc w:val="both"/>
        <w:rPr>
          <w:rFonts w:ascii="Times New Roman" w:hAnsi="Times New Roman" w:cs="Times New Roman"/>
          <w:lang w:val="es-MX"/>
        </w:rPr>
      </w:pPr>
    </w:p>
    <w:p w:rsidR="00FA3B81" w:rsidRPr="00F76491" w:rsidRDefault="00FA3B81" w:rsidP="00FA3B81">
      <w:pPr>
        <w:pStyle w:val="Sinespaciado"/>
        <w:jc w:val="both"/>
        <w:rPr>
          <w:rFonts w:ascii="Times New Roman" w:hAnsi="Times New Roman" w:cs="Times New Roman"/>
          <w:lang w:val="es-MX"/>
        </w:rPr>
      </w:pPr>
      <w:r w:rsidRPr="00F76491">
        <w:rPr>
          <w:rFonts w:ascii="Times New Roman" w:hAnsi="Times New Roman" w:cs="Times New Roman"/>
          <w:lang w:val="es-MX"/>
        </w:rPr>
        <w:t xml:space="preserve">De esa cuenta, al 29 de febrero de 2016, el nivel de ejecución gasto público se sitúa </w:t>
      </w:r>
      <w:r w:rsidR="00AD5EA1">
        <w:rPr>
          <w:rFonts w:ascii="Times New Roman" w:hAnsi="Times New Roman" w:cs="Times New Roman"/>
          <w:lang w:val="es-MX"/>
        </w:rPr>
        <w:t xml:space="preserve">      </w:t>
      </w:r>
      <w:r w:rsidRPr="00F76491">
        <w:rPr>
          <w:rFonts w:ascii="Times New Roman" w:hAnsi="Times New Roman" w:cs="Times New Roman"/>
          <w:lang w:val="es-MX"/>
        </w:rPr>
        <w:lastRenderedPageBreak/>
        <w:t>Q</w:t>
      </w:r>
      <w:r w:rsidR="00F76491">
        <w:rPr>
          <w:rFonts w:ascii="Times New Roman" w:hAnsi="Times New Roman" w:cs="Times New Roman"/>
          <w:lang w:val="es-MX"/>
        </w:rPr>
        <w:t xml:space="preserve"> </w:t>
      </w:r>
      <w:r w:rsidRPr="00F76491">
        <w:rPr>
          <w:rFonts w:ascii="Times New Roman" w:hAnsi="Times New Roman" w:cs="Times New Roman"/>
          <w:lang w:val="es-MX"/>
        </w:rPr>
        <w:t xml:space="preserve">8,355.6 millones, el cual muestra una contracción con respecto a lo observado en igual fecha del año anterior de 4.3%, situación que contrasta con el alto dinamismo que se observó en febrero de 2015 cuya ejecución tuvo un crecimiento interanual de 22.4%.   </w:t>
      </w:r>
    </w:p>
    <w:p w:rsidR="00FA3B81" w:rsidRPr="00F76491" w:rsidRDefault="00FA3B81" w:rsidP="00FA3B81">
      <w:pPr>
        <w:pStyle w:val="Sinespaciado"/>
        <w:jc w:val="both"/>
        <w:rPr>
          <w:rFonts w:ascii="Times New Roman" w:hAnsi="Times New Roman" w:cs="Times New Roman"/>
          <w:lang w:val="es-MX"/>
        </w:rPr>
      </w:pPr>
    </w:p>
    <w:p w:rsidR="00FA3B81" w:rsidRPr="00F76491" w:rsidRDefault="00FA3B81" w:rsidP="00FA3B81">
      <w:pPr>
        <w:pStyle w:val="Sinespaciado"/>
        <w:jc w:val="both"/>
        <w:rPr>
          <w:rFonts w:ascii="Times New Roman" w:hAnsi="Times New Roman" w:cs="Times New Roman"/>
          <w:lang w:val="es-MX"/>
        </w:rPr>
      </w:pPr>
      <w:r w:rsidRPr="00F76491">
        <w:rPr>
          <w:rFonts w:ascii="Times New Roman" w:hAnsi="Times New Roman" w:cs="Times New Roman"/>
          <w:lang w:val="es-MX"/>
        </w:rPr>
        <w:t>La baja ejecución experimentada a febrero, responde en buena medida al moderado crecimiento en la recaudación tributaria (1.4%) y a la incertidumbre en el comportamiento de la misma en lo que resta del año.  Dicho comportamiento en el gasto, podría cambiar en la medida en que los ingresos fiscales aumenten o las presiones instituciones por más recursos afecten la programación mediante la asignación de cuotas sin contar con la suficiente disponibilidad para atender los compromisos en el corto plazo.  Esto último pareciera difícil de llevarse a cabo, tomando en cuenta que la disciplina fiscal y la transparencia son de los principales pilares de la política gubernamental.</w:t>
      </w:r>
    </w:p>
    <w:p w:rsidR="00FA3B81" w:rsidRPr="00F76491" w:rsidRDefault="00FA3B81" w:rsidP="00FA3B81">
      <w:pPr>
        <w:pStyle w:val="Sinespaciado"/>
        <w:jc w:val="both"/>
        <w:rPr>
          <w:rFonts w:ascii="Times New Roman" w:hAnsi="Times New Roman" w:cs="Times New Roman"/>
          <w:lang w:val="es-MX"/>
        </w:rPr>
      </w:pPr>
    </w:p>
    <w:p w:rsidR="00FA3B81" w:rsidRPr="009D459C" w:rsidRDefault="00FA3B81" w:rsidP="00FA3B81">
      <w:pPr>
        <w:pStyle w:val="Sinespaciado"/>
        <w:jc w:val="center"/>
        <w:rPr>
          <w:rFonts w:ascii="Times New Roman" w:hAnsi="Times New Roman" w:cs="Times New Roman"/>
          <w:b/>
          <w:lang w:val="es-MX"/>
        </w:rPr>
      </w:pPr>
      <w:r w:rsidRPr="009D459C">
        <w:rPr>
          <w:rFonts w:ascii="Times New Roman" w:hAnsi="Times New Roman" w:cs="Times New Roman"/>
          <w:b/>
          <w:lang w:val="es-MX"/>
        </w:rPr>
        <w:t>Ritmo de Ejecución del Gasto</w:t>
      </w:r>
    </w:p>
    <w:p w:rsidR="00FA3B81" w:rsidRPr="009D459C" w:rsidRDefault="00FA3B81" w:rsidP="00FA3B81">
      <w:pPr>
        <w:pStyle w:val="Sinespaciado"/>
        <w:jc w:val="center"/>
        <w:rPr>
          <w:rFonts w:ascii="Times New Roman" w:hAnsi="Times New Roman" w:cs="Times New Roman"/>
          <w:sz w:val="18"/>
          <w:lang w:val="es-MX"/>
        </w:rPr>
      </w:pPr>
      <w:r w:rsidRPr="009D459C">
        <w:rPr>
          <w:rFonts w:ascii="Times New Roman" w:hAnsi="Times New Roman" w:cs="Times New Roman"/>
          <w:sz w:val="18"/>
          <w:lang w:val="es-MX"/>
        </w:rPr>
        <w:t>Variación Interanual</w:t>
      </w:r>
    </w:p>
    <w:p w:rsidR="00FA3B81" w:rsidRDefault="00FA3B81" w:rsidP="00FA3B81">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58D99301" wp14:editId="2DE980FB">
            <wp:extent cx="2657475" cy="23336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9660" cy="2335544"/>
                    </a:xfrm>
                    <a:prstGeom prst="rect">
                      <a:avLst/>
                    </a:prstGeom>
                    <a:noFill/>
                  </pic:spPr>
                </pic:pic>
              </a:graphicData>
            </a:graphic>
          </wp:inline>
        </w:drawing>
      </w:r>
    </w:p>
    <w:p w:rsidR="00FA3B81" w:rsidRPr="00F76491" w:rsidRDefault="00FA3B81" w:rsidP="00FA3B81">
      <w:pPr>
        <w:pStyle w:val="Sinespaciado"/>
        <w:jc w:val="both"/>
        <w:rPr>
          <w:rFonts w:ascii="Times New Roman" w:hAnsi="Times New Roman" w:cs="Times New Roman"/>
          <w:sz w:val="14"/>
        </w:rPr>
      </w:pPr>
      <w:r w:rsidRPr="00F76491">
        <w:rPr>
          <w:rFonts w:ascii="Times New Roman" w:hAnsi="Times New Roman" w:cs="Times New Roman"/>
          <w:sz w:val="14"/>
        </w:rPr>
        <w:t>Fuente: Dirección de Análisis y Política fiscal</w:t>
      </w:r>
    </w:p>
    <w:p w:rsidR="00FA3B81" w:rsidRPr="009D459C" w:rsidRDefault="00FA3B81" w:rsidP="00FA3B81">
      <w:pPr>
        <w:pStyle w:val="Sinespaciado"/>
        <w:jc w:val="both"/>
        <w:rPr>
          <w:rFonts w:ascii="Times New Roman" w:hAnsi="Times New Roman" w:cs="Times New Roman"/>
        </w:rPr>
      </w:pPr>
    </w:p>
    <w:p w:rsidR="00FA3B81" w:rsidRDefault="00FA3B81" w:rsidP="00FA3B81">
      <w:pPr>
        <w:pStyle w:val="Sinespaciado"/>
        <w:jc w:val="both"/>
        <w:rPr>
          <w:rFonts w:ascii="Times New Roman" w:hAnsi="Times New Roman" w:cs="Times New Roman"/>
          <w:lang w:val="es-MX"/>
        </w:rPr>
      </w:pPr>
      <w:r>
        <w:rPr>
          <w:rFonts w:ascii="Times New Roman" w:hAnsi="Times New Roman" w:cs="Times New Roman"/>
          <w:lang w:val="es-MX"/>
        </w:rPr>
        <w:lastRenderedPageBreak/>
        <w:t>La ejecución de gasto público privilegió el pago de la nómina, el servicio de la deuda pública, la pensiones y jubilaciones, y los aportes institucionales a  descentralizadas, autónomas y municipalidades.</w:t>
      </w:r>
    </w:p>
    <w:p w:rsidR="00FA3B81" w:rsidRDefault="00FA3B81" w:rsidP="00FA3B81">
      <w:pPr>
        <w:pStyle w:val="Sinespaciado"/>
        <w:jc w:val="both"/>
        <w:rPr>
          <w:rFonts w:ascii="Times New Roman" w:hAnsi="Times New Roman" w:cs="Times New Roman"/>
          <w:lang w:val="es-MX"/>
        </w:rPr>
      </w:pPr>
    </w:p>
    <w:p w:rsidR="00FA3B81" w:rsidRDefault="00FA3B81" w:rsidP="00FA3B81">
      <w:pPr>
        <w:pStyle w:val="Sinespaciado"/>
        <w:jc w:val="both"/>
        <w:rPr>
          <w:rFonts w:ascii="Times New Roman" w:hAnsi="Times New Roman" w:cs="Times New Roman"/>
          <w:lang w:val="es-MX"/>
        </w:rPr>
      </w:pPr>
      <w:r>
        <w:rPr>
          <w:rFonts w:ascii="Times New Roman" w:hAnsi="Times New Roman" w:cs="Times New Roman"/>
          <w:lang w:val="es-MX"/>
        </w:rPr>
        <w:t xml:space="preserve">La principal contracción en el gasto se observa en los rubros  de inversión, bienes y servicios y en menor medida en los aportes de capital así como los aportes corrientes al sector privado, en este último caso especialmente a las ONG. </w:t>
      </w:r>
    </w:p>
    <w:p w:rsidR="00FA3B81" w:rsidRDefault="00FA3B81" w:rsidP="00FA3B81">
      <w:pPr>
        <w:pStyle w:val="Sinespaciado"/>
        <w:jc w:val="center"/>
        <w:rPr>
          <w:rFonts w:ascii="Times New Roman" w:hAnsi="Times New Roman" w:cs="Times New Roman"/>
          <w:lang w:val="es-MX"/>
        </w:rPr>
      </w:pPr>
      <w:r>
        <w:rPr>
          <w:rFonts w:ascii="Times New Roman" w:hAnsi="Times New Roman" w:cs="Times New Roman"/>
          <w:lang w:val="es-MX"/>
        </w:rPr>
        <w:t xml:space="preserve"> </w:t>
      </w:r>
    </w:p>
    <w:p w:rsidR="00FA3B81" w:rsidRPr="009D459C" w:rsidRDefault="00FA3B81" w:rsidP="00FA3B81">
      <w:pPr>
        <w:pStyle w:val="Sinespaciado"/>
        <w:jc w:val="center"/>
        <w:rPr>
          <w:rFonts w:ascii="Times New Roman" w:hAnsi="Times New Roman" w:cs="Times New Roman"/>
          <w:b/>
          <w:lang w:val="es-MX"/>
        </w:rPr>
      </w:pPr>
      <w:r w:rsidRPr="009D459C">
        <w:rPr>
          <w:rFonts w:ascii="Times New Roman" w:hAnsi="Times New Roman" w:cs="Times New Roman"/>
          <w:b/>
          <w:lang w:val="es-MX"/>
        </w:rPr>
        <w:t xml:space="preserve"> Ejecución del Gasto</w:t>
      </w:r>
      <w:r>
        <w:rPr>
          <w:rFonts w:ascii="Times New Roman" w:hAnsi="Times New Roman" w:cs="Times New Roman"/>
          <w:b/>
          <w:lang w:val="es-MX"/>
        </w:rPr>
        <w:t xml:space="preserve"> por Rubro</w:t>
      </w:r>
    </w:p>
    <w:p w:rsidR="00FA3B81" w:rsidRDefault="00FA3B81" w:rsidP="00FA3B81">
      <w:pPr>
        <w:pStyle w:val="Sinespaciado"/>
        <w:jc w:val="center"/>
        <w:rPr>
          <w:rFonts w:ascii="Times New Roman" w:hAnsi="Times New Roman" w:cs="Times New Roman"/>
          <w:lang w:val="es-MX"/>
        </w:rPr>
      </w:pPr>
      <w:r w:rsidRPr="009D459C">
        <w:rPr>
          <w:rFonts w:ascii="Times New Roman" w:hAnsi="Times New Roman" w:cs="Times New Roman"/>
          <w:sz w:val="18"/>
          <w:lang w:val="es-MX"/>
        </w:rPr>
        <w:t>Variación Interanual</w:t>
      </w:r>
    </w:p>
    <w:p w:rsidR="00FA3B81" w:rsidRDefault="00FA3B81" w:rsidP="00FA3B81">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1C29685B" wp14:editId="7B952AF8">
            <wp:extent cx="2657475" cy="22002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5066" cy="2206560"/>
                    </a:xfrm>
                    <a:prstGeom prst="rect">
                      <a:avLst/>
                    </a:prstGeom>
                    <a:noFill/>
                  </pic:spPr>
                </pic:pic>
              </a:graphicData>
            </a:graphic>
          </wp:inline>
        </w:drawing>
      </w:r>
    </w:p>
    <w:p w:rsidR="00FA3B81" w:rsidRPr="00F76491" w:rsidRDefault="00FA3B81" w:rsidP="00FA3B81">
      <w:pPr>
        <w:pStyle w:val="Sinespaciado"/>
        <w:jc w:val="both"/>
        <w:rPr>
          <w:rFonts w:ascii="Times New Roman" w:hAnsi="Times New Roman" w:cs="Times New Roman"/>
          <w:sz w:val="14"/>
        </w:rPr>
      </w:pPr>
      <w:r w:rsidRPr="00F76491">
        <w:rPr>
          <w:rFonts w:ascii="Times New Roman" w:hAnsi="Times New Roman" w:cs="Times New Roman"/>
          <w:sz w:val="14"/>
        </w:rPr>
        <w:t>Fuente: Dirección de Análisis y Política fiscal</w:t>
      </w:r>
    </w:p>
    <w:p w:rsidR="00FA3B81" w:rsidRDefault="00FA3B81" w:rsidP="00FA3B81">
      <w:pPr>
        <w:pStyle w:val="Sinespaciado"/>
        <w:jc w:val="both"/>
        <w:rPr>
          <w:rFonts w:ascii="Times New Roman" w:hAnsi="Times New Roman" w:cs="Times New Roman"/>
          <w:lang w:val="es-MX"/>
        </w:rPr>
      </w:pPr>
    </w:p>
    <w:p w:rsidR="00FA3B81" w:rsidRPr="00EA3E71" w:rsidRDefault="00FA3B81" w:rsidP="00FA3B81">
      <w:pPr>
        <w:pStyle w:val="Sinespaciado"/>
        <w:jc w:val="both"/>
        <w:rPr>
          <w:rFonts w:ascii="Times New Roman" w:hAnsi="Times New Roman" w:cs="Times New Roman"/>
        </w:rPr>
      </w:pPr>
      <w:r>
        <w:rPr>
          <w:rFonts w:ascii="Times New Roman" w:hAnsi="Times New Roman" w:cs="Times New Roman"/>
        </w:rPr>
        <w:t>A tenor de este desempeño, es importante indicar, que el gasto considerado como superfluo</w:t>
      </w:r>
      <w:r>
        <w:rPr>
          <w:rStyle w:val="Refdenotaalpie"/>
          <w:rFonts w:ascii="Times New Roman" w:hAnsi="Times New Roman" w:cs="Times New Roman"/>
        </w:rPr>
        <w:footnoteReference w:id="1"/>
      </w:r>
      <w:r>
        <w:rPr>
          <w:rFonts w:ascii="Times New Roman" w:hAnsi="Times New Roman" w:cs="Times New Roman"/>
        </w:rPr>
        <w:t xml:space="preserve"> muestra un nivel de Q</w:t>
      </w:r>
      <w:r w:rsidR="00F76491">
        <w:rPr>
          <w:rFonts w:ascii="Times New Roman" w:hAnsi="Times New Roman" w:cs="Times New Roman"/>
        </w:rPr>
        <w:t xml:space="preserve"> </w:t>
      </w:r>
      <w:r>
        <w:rPr>
          <w:rFonts w:ascii="Times New Roman" w:hAnsi="Times New Roman" w:cs="Times New Roman"/>
        </w:rPr>
        <w:t xml:space="preserve">39.9 millones, el cual tiene una contracción importante de 52.1% con respecto al nivel observado en igual fecha del año anterior, es </w:t>
      </w:r>
      <w:r>
        <w:rPr>
          <w:rFonts w:ascii="Times New Roman" w:hAnsi="Times New Roman" w:cs="Times New Roman"/>
        </w:rPr>
        <w:lastRenderedPageBreak/>
        <w:t xml:space="preserve">decir, una reducción de gasto cercana a los </w:t>
      </w:r>
      <w:r w:rsidR="00AD5EA1">
        <w:rPr>
          <w:rFonts w:ascii="Times New Roman" w:hAnsi="Times New Roman" w:cs="Times New Roman"/>
        </w:rPr>
        <w:t xml:space="preserve">   </w:t>
      </w:r>
      <w:r>
        <w:rPr>
          <w:rFonts w:ascii="Times New Roman" w:hAnsi="Times New Roman" w:cs="Times New Roman"/>
        </w:rPr>
        <w:t xml:space="preserve">Q 44 millones.   Dicha disminución, a la fecha, afecta prácticamente a todos los rubros que componen este gasto.  </w:t>
      </w:r>
      <w:r w:rsidRPr="00EA3E71">
        <w:rPr>
          <w:rFonts w:ascii="Times New Roman" w:hAnsi="Times New Roman" w:cs="Times New Roman"/>
        </w:rPr>
        <w:t>Sin embargo, es importante separar de estos renglones los gastos que de ellos hacen algunas instituciones, ya que puede ser  fundamental en el desarrollo diario de sus actividades como es el caso de:</w:t>
      </w:r>
    </w:p>
    <w:p w:rsidR="00FA3B81" w:rsidRPr="00EA3E71" w:rsidRDefault="00FA3B81" w:rsidP="00FA3B81">
      <w:pPr>
        <w:pStyle w:val="Sinespaciado"/>
        <w:jc w:val="both"/>
        <w:rPr>
          <w:rFonts w:ascii="Times New Roman" w:hAnsi="Times New Roman" w:cs="Times New Roman"/>
        </w:rPr>
      </w:pPr>
    </w:p>
    <w:p w:rsidR="00FA3B81" w:rsidRPr="00EA3E71" w:rsidRDefault="00FA3B81" w:rsidP="00FA3B81">
      <w:pPr>
        <w:pStyle w:val="Sinespaciado"/>
        <w:numPr>
          <w:ilvl w:val="0"/>
          <w:numId w:val="1"/>
        </w:numPr>
        <w:jc w:val="both"/>
        <w:rPr>
          <w:rFonts w:ascii="Times New Roman" w:hAnsi="Times New Roman" w:cs="Times New Roman"/>
          <w:lang w:val="es-MX"/>
        </w:rPr>
      </w:pPr>
      <w:r w:rsidRPr="00EA3E71">
        <w:rPr>
          <w:rFonts w:ascii="Times New Roman" w:hAnsi="Times New Roman" w:cs="Times New Roman"/>
        </w:rPr>
        <w:t>Gobernación (</w:t>
      </w:r>
      <w:r w:rsidRPr="00EA3E71">
        <w:rPr>
          <w:rFonts w:ascii="Times New Roman" w:hAnsi="Times New Roman" w:cs="Times New Roman"/>
          <w:lang w:val="es-MX"/>
        </w:rPr>
        <w:t>Transporte de personas, Combustibles y lubricantes, Alimentos para personas, Equipo de transporte) para seguridad ciudadana radio patrullas, traslado de reos, alimentación de policías y privados de libertad</w:t>
      </w:r>
    </w:p>
    <w:p w:rsidR="00FA3B81" w:rsidRPr="00EA3E71" w:rsidRDefault="00FA3B81" w:rsidP="00FA3B81">
      <w:pPr>
        <w:pStyle w:val="Sinespaciado"/>
        <w:numPr>
          <w:ilvl w:val="0"/>
          <w:numId w:val="1"/>
        </w:numPr>
        <w:jc w:val="both"/>
        <w:rPr>
          <w:rFonts w:ascii="Times New Roman" w:hAnsi="Times New Roman" w:cs="Times New Roman"/>
          <w:lang w:val="es-MX"/>
        </w:rPr>
      </w:pPr>
      <w:r w:rsidRPr="00EA3E71">
        <w:rPr>
          <w:rFonts w:ascii="Times New Roman" w:hAnsi="Times New Roman" w:cs="Times New Roman"/>
          <w:lang w:val="es-MX"/>
        </w:rPr>
        <w:t>Salud Pública (Transporte de personas, Combustibles y lubricantes, Alimentos para personas y Equipo de Transporte) transporte de pacientes, alimentación de paciente en hospitales y de personal en horarios especiales</w:t>
      </w:r>
    </w:p>
    <w:p w:rsidR="00FA3B81" w:rsidRPr="00EA3E71" w:rsidRDefault="00FA3B81" w:rsidP="00FA3B81">
      <w:pPr>
        <w:pStyle w:val="Sinespaciado"/>
        <w:numPr>
          <w:ilvl w:val="0"/>
          <w:numId w:val="1"/>
        </w:numPr>
        <w:jc w:val="both"/>
        <w:rPr>
          <w:rFonts w:ascii="Times New Roman" w:hAnsi="Times New Roman" w:cs="Times New Roman"/>
          <w:lang w:val="es-MX"/>
        </w:rPr>
      </w:pPr>
      <w:r w:rsidRPr="00EA3E71">
        <w:rPr>
          <w:rFonts w:ascii="Times New Roman" w:hAnsi="Times New Roman" w:cs="Times New Roman"/>
          <w:lang w:val="es-MX"/>
        </w:rPr>
        <w:t>Educación (Alimentos para Personas)  alimentación escolar</w:t>
      </w:r>
    </w:p>
    <w:p w:rsidR="00FA3B81" w:rsidRPr="00EA3E71" w:rsidRDefault="00FA3B81" w:rsidP="00FA3B81">
      <w:pPr>
        <w:pStyle w:val="Sinespaciado"/>
        <w:numPr>
          <w:ilvl w:val="0"/>
          <w:numId w:val="1"/>
        </w:numPr>
        <w:jc w:val="both"/>
        <w:rPr>
          <w:rFonts w:ascii="Times New Roman" w:hAnsi="Times New Roman" w:cs="Times New Roman"/>
        </w:rPr>
      </w:pPr>
      <w:r>
        <w:rPr>
          <w:rFonts w:ascii="Times New Roman" w:hAnsi="Times New Roman" w:cs="Times New Roman"/>
          <w:lang w:val="es-MX"/>
        </w:rPr>
        <w:t>Desarrollo Social (A</w:t>
      </w:r>
      <w:r w:rsidRPr="00EA3E71">
        <w:rPr>
          <w:rFonts w:ascii="Times New Roman" w:hAnsi="Times New Roman" w:cs="Times New Roman"/>
          <w:lang w:val="es-MX"/>
        </w:rPr>
        <w:t xml:space="preserve">limentos para personas) </w:t>
      </w:r>
      <w:r>
        <w:rPr>
          <w:rFonts w:ascii="Times New Roman" w:hAnsi="Times New Roman" w:cs="Times New Roman"/>
          <w:lang w:val="es-MX"/>
        </w:rPr>
        <w:t>para</w:t>
      </w:r>
      <w:r w:rsidRPr="00EA3E71">
        <w:rPr>
          <w:rFonts w:ascii="Times New Roman" w:hAnsi="Times New Roman" w:cs="Times New Roman"/>
          <w:lang w:val="es-MX"/>
        </w:rPr>
        <w:t xml:space="preserve"> asistencia alimentaria</w:t>
      </w:r>
    </w:p>
    <w:p w:rsidR="00FA3B81" w:rsidRPr="00D71CBB" w:rsidRDefault="00FA3B81" w:rsidP="00FA3B81">
      <w:pPr>
        <w:pStyle w:val="Sinespaciado"/>
        <w:numPr>
          <w:ilvl w:val="0"/>
          <w:numId w:val="1"/>
        </w:numPr>
        <w:jc w:val="both"/>
        <w:rPr>
          <w:rFonts w:ascii="Times New Roman" w:hAnsi="Times New Roman" w:cs="Times New Roman"/>
        </w:rPr>
      </w:pPr>
      <w:r w:rsidRPr="00EA3E71">
        <w:rPr>
          <w:rFonts w:ascii="Times New Roman" w:hAnsi="Times New Roman" w:cs="Times New Roman"/>
          <w:lang w:val="es-MX"/>
        </w:rPr>
        <w:t>Agricultura (Alimentos para personas) programas de asistencia alimentaria</w:t>
      </w:r>
    </w:p>
    <w:p w:rsidR="00FA3B81" w:rsidRPr="00F76491" w:rsidRDefault="00FA3B81" w:rsidP="00FA3B81">
      <w:pPr>
        <w:pStyle w:val="Sinespaciado"/>
        <w:jc w:val="both"/>
        <w:rPr>
          <w:rFonts w:ascii="Times New Roman" w:hAnsi="Times New Roman" w:cs="Times New Roman"/>
          <w:sz w:val="20"/>
          <w:lang w:val="es-MX"/>
        </w:rPr>
      </w:pPr>
    </w:p>
    <w:p w:rsidR="00FA3B81" w:rsidRDefault="00FA3B81" w:rsidP="00FA3B81">
      <w:pPr>
        <w:pStyle w:val="Sinespaciado"/>
        <w:jc w:val="center"/>
        <w:rPr>
          <w:rFonts w:ascii="Times New Roman" w:hAnsi="Times New Roman" w:cs="Times New Roman"/>
          <w:b/>
        </w:rPr>
      </w:pPr>
      <w:r>
        <w:rPr>
          <w:rFonts w:ascii="Times New Roman" w:hAnsi="Times New Roman" w:cs="Times New Roman"/>
          <w:b/>
        </w:rPr>
        <w:t>Gasto S</w:t>
      </w:r>
      <w:r w:rsidRPr="00017CB5">
        <w:rPr>
          <w:rFonts w:ascii="Times New Roman" w:hAnsi="Times New Roman" w:cs="Times New Roman"/>
          <w:b/>
        </w:rPr>
        <w:t>uperfluo</w:t>
      </w:r>
    </w:p>
    <w:p w:rsidR="00FA3B81" w:rsidRPr="00890632" w:rsidRDefault="00FA3B81" w:rsidP="00FA3B81">
      <w:pPr>
        <w:pStyle w:val="Sinespaciado"/>
        <w:jc w:val="center"/>
        <w:rPr>
          <w:rFonts w:ascii="Times New Roman" w:hAnsi="Times New Roman" w:cs="Times New Roman"/>
          <w:b/>
        </w:rPr>
      </w:pPr>
      <w:r>
        <w:rPr>
          <w:rFonts w:ascii="Times New Roman" w:hAnsi="Times New Roman" w:cs="Times New Roman"/>
          <w:sz w:val="18"/>
        </w:rPr>
        <w:t>Millones de q</w:t>
      </w:r>
      <w:r w:rsidRPr="00890632">
        <w:rPr>
          <w:rFonts w:ascii="Times New Roman" w:hAnsi="Times New Roman" w:cs="Times New Roman"/>
          <w:sz w:val="18"/>
        </w:rPr>
        <w:t>uetzales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2"/>
        <w:gridCol w:w="2169"/>
      </w:tblGrid>
      <w:tr w:rsidR="00FA3B81" w:rsidTr="00E7399C">
        <w:trPr>
          <w:trHeight w:val="620"/>
        </w:trPr>
        <w:tc>
          <w:tcPr>
            <w:tcW w:w="2097" w:type="dxa"/>
          </w:tcPr>
          <w:p w:rsidR="00FA3B81" w:rsidRDefault="00FA3B81" w:rsidP="00E7399C">
            <w:pPr>
              <w:pStyle w:val="Sinespaciado"/>
              <w:jc w:val="both"/>
              <w:rPr>
                <w:rFonts w:ascii="Times New Roman" w:hAnsi="Times New Roman" w:cs="Times New Roman"/>
              </w:rPr>
            </w:pPr>
            <w:r w:rsidRPr="00D71CBB">
              <w:rPr>
                <w:rFonts w:ascii="Times New Roman" w:hAnsi="Times New Roman" w:cs="Times New Roman"/>
                <w:sz w:val="14"/>
              </w:rPr>
              <w:t>Acumulado a febrero de cada año</w:t>
            </w:r>
          </w:p>
        </w:tc>
        <w:tc>
          <w:tcPr>
            <w:tcW w:w="2154" w:type="dxa"/>
          </w:tcPr>
          <w:p w:rsidR="00FA3B81" w:rsidRPr="00D71CBB" w:rsidRDefault="00FA3B81" w:rsidP="00E7399C">
            <w:pPr>
              <w:pStyle w:val="Sinespaciado"/>
              <w:jc w:val="center"/>
              <w:rPr>
                <w:rFonts w:ascii="Times New Roman" w:hAnsi="Times New Roman" w:cs="Times New Roman"/>
                <w:sz w:val="14"/>
              </w:rPr>
            </w:pPr>
            <w:r w:rsidRPr="00D71CBB">
              <w:rPr>
                <w:rFonts w:ascii="Times New Roman" w:hAnsi="Times New Roman" w:cs="Times New Roman"/>
                <w:sz w:val="14"/>
              </w:rPr>
              <w:t>Variación por rubro a Febrero 2015 -201</w:t>
            </w:r>
            <w:r>
              <w:rPr>
                <w:rFonts w:ascii="Times New Roman" w:hAnsi="Times New Roman" w:cs="Times New Roman"/>
                <w:sz w:val="14"/>
              </w:rPr>
              <w:t>6</w:t>
            </w:r>
          </w:p>
          <w:p w:rsidR="00FA3B81" w:rsidRDefault="00FA3B81" w:rsidP="00E7399C">
            <w:pPr>
              <w:pStyle w:val="Sinespaciado"/>
              <w:jc w:val="both"/>
              <w:rPr>
                <w:rFonts w:ascii="Times New Roman" w:hAnsi="Times New Roman" w:cs="Times New Roman"/>
              </w:rPr>
            </w:pPr>
          </w:p>
        </w:tc>
      </w:tr>
      <w:tr w:rsidR="00FA3B81" w:rsidTr="00F76491">
        <w:trPr>
          <w:trHeight w:val="2548"/>
        </w:trPr>
        <w:tc>
          <w:tcPr>
            <w:tcW w:w="2097" w:type="dxa"/>
          </w:tcPr>
          <w:p w:rsidR="00FA3B81" w:rsidRDefault="00FA3B81" w:rsidP="00E7399C">
            <w:pPr>
              <w:pStyle w:val="Sinespaciado"/>
              <w:jc w:val="both"/>
              <w:rPr>
                <w:rFonts w:ascii="Times New Roman" w:hAnsi="Times New Roman" w:cs="Times New Roman"/>
              </w:rPr>
            </w:pPr>
            <w:r>
              <w:rPr>
                <w:rFonts w:ascii="Times New Roman" w:hAnsi="Times New Roman" w:cs="Times New Roman"/>
                <w:noProof/>
                <w:lang w:eastAsia="es-GT"/>
              </w:rPr>
              <w:drawing>
                <wp:inline distT="0" distB="0" distL="0" distR="0" wp14:anchorId="4A2A36A7" wp14:editId="507F72D1">
                  <wp:extent cx="1276350" cy="14859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7093" cy="1486765"/>
                          </a:xfrm>
                          <a:prstGeom prst="rect">
                            <a:avLst/>
                          </a:prstGeom>
                          <a:noFill/>
                        </pic:spPr>
                      </pic:pic>
                    </a:graphicData>
                  </a:graphic>
                </wp:inline>
              </w:drawing>
            </w:r>
          </w:p>
        </w:tc>
        <w:tc>
          <w:tcPr>
            <w:tcW w:w="2154" w:type="dxa"/>
          </w:tcPr>
          <w:p w:rsidR="00FA3B81" w:rsidRDefault="00FA3B81" w:rsidP="00E7399C">
            <w:pPr>
              <w:pStyle w:val="Sinespaciado"/>
              <w:jc w:val="both"/>
              <w:rPr>
                <w:rFonts w:ascii="Times New Roman" w:hAnsi="Times New Roman" w:cs="Times New Roman"/>
              </w:rPr>
            </w:pPr>
            <w:r>
              <w:rPr>
                <w:rFonts w:ascii="Times New Roman" w:hAnsi="Times New Roman" w:cs="Times New Roman"/>
                <w:noProof/>
                <w:lang w:eastAsia="es-GT"/>
              </w:rPr>
              <w:drawing>
                <wp:inline distT="0" distB="0" distL="0" distR="0" wp14:anchorId="4464A713" wp14:editId="646A5400">
                  <wp:extent cx="1304925" cy="161925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9402" cy="1624805"/>
                          </a:xfrm>
                          <a:prstGeom prst="rect">
                            <a:avLst/>
                          </a:prstGeom>
                          <a:noFill/>
                        </pic:spPr>
                      </pic:pic>
                    </a:graphicData>
                  </a:graphic>
                </wp:inline>
              </w:drawing>
            </w:r>
          </w:p>
        </w:tc>
      </w:tr>
    </w:tbl>
    <w:p w:rsidR="00FA3B81" w:rsidRPr="00F76491" w:rsidRDefault="00FA3B81" w:rsidP="00FA3B81">
      <w:pPr>
        <w:pStyle w:val="Sinespaciado"/>
        <w:jc w:val="both"/>
        <w:rPr>
          <w:rFonts w:ascii="Times New Roman" w:hAnsi="Times New Roman" w:cs="Times New Roman"/>
          <w:sz w:val="14"/>
        </w:rPr>
      </w:pPr>
      <w:r w:rsidRPr="00F76491">
        <w:rPr>
          <w:rFonts w:ascii="Times New Roman" w:hAnsi="Times New Roman" w:cs="Times New Roman"/>
          <w:sz w:val="14"/>
        </w:rPr>
        <w:t>Fuente: Dirección de Análisis y Política fiscal</w:t>
      </w:r>
    </w:p>
    <w:p w:rsidR="00FA3B81" w:rsidRDefault="00FA3B81" w:rsidP="00FA3B81">
      <w:pPr>
        <w:pStyle w:val="Sinespaciado"/>
        <w:jc w:val="both"/>
        <w:rPr>
          <w:rFonts w:ascii="Times New Roman" w:hAnsi="Times New Roman" w:cs="Times New Roman"/>
          <w:lang w:val="es-MX"/>
        </w:rPr>
      </w:pPr>
    </w:p>
    <w:p w:rsidR="00FA3B81" w:rsidRDefault="00FA3B81" w:rsidP="00FA3B81">
      <w:pPr>
        <w:pStyle w:val="Sinespaciado"/>
        <w:jc w:val="both"/>
        <w:rPr>
          <w:rFonts w:ascii="Times New Roman" w:hAnsi="Times New Roman" w:cs="Times New Roman"/>
        </w:rPr>
      </w:pPr>
      <w:r>
        <w:rPr>
          <w:rFonts w:ascii="Times New Roman" w:hAnsi="Times New Roman" w:cs="Times New Roman"/>
        </w:rPr>
        <w:t>En cuanto a la cuota financiera de febrero con todas las fuentes de financiamiento, esta se ubicó en Q</w:t>
      </w:r>
      <w:r w:rsidR="00F76491">
        <w:rPr>
          <w:rFonts w:ascii="Times New Roman" w:hAnsi="Times New Roman" w:cs="Times New Roman"/>
        </w:rPr>
        <w:t xml:space="preserve"> </w:t>
      </w:r>
      <w:r>
        <w:rPr>
          <w:rFonts w:ascii="Times New Roman" w:hAnsi="Times New Roman" w:cs="Times New Roman"/>
        </w:rPr>
        <w:t>5,095.2 millones (incluyendo cuota normal y regularización), de los cuales se ejecutaron Q</w:t>
      </w:r>
      <w:r w:rsidR="00F76491">
        <w:rPr>
          <w:rFonts w:ascii="Times New Roman" w:hAnsi="Times New Roman" w:cs="Times New Roman"/>
        </w:rPr>
        <w:t xml:space="preserve"> </w:t>
      </w:r>
      <w:r>
        <w:rPr>
          <w:rFonts w:ascii="Times New Roman" w:hAnsi="Times New Roman" w:cs="Times New Roman"/>
        </w:rPr>
        <w:t>4,702.8 millones, equivalente al 92.3% de la cuota.  Del total ejecutado el 91.7% se financió con fuentes de origen tributario (fuentes 11,</w:t>
      </w:r>
      <w:r w:rsidR="00F76491">
        <w:rPr>
          <w:rFonts w:ascii="Times New Roman" w:hAnsi="Times New Roman" w:cs="Times New Roman"/>
        </w:rPr>
        <w:t xml:space="preserve"> </w:t>
      </w:r>
      <w:r>
        <w:rPr>
          <w:rFonts w:ascii="Times New Roman" w:hAnsi="Times New Roman" w:cs="Times New Roman"/>
        </w:rPr>
        <w:t>21,</w:t>
      </w:r>
      <w:r w:rsidR="00F76491">
        <w:rPr>
          <w:rFonts w:ascii="Times New Roman" w:hAnsi="Times New Roman" w:cs="Times New Roman"/>
        </w:rPr>
        <w:t xml:space="preserve"> </w:t>
      </w:r>
      <w:r>
        <w:rPr>
          <w:rFonts w:ascii="Times New Roman" w:hAnsi="Times New Roman" w:cs="Times New Roman"/>
        </w:rPr>
        <w:t xml:space="preserve">22 y 29).  </w:t>
      </w:r>
    </w:p>
    <w:p w:rsidR="00FA3B81" w:rsidRDefault="00FA3B81" w:rsidP="00FA3B81">
      <w:pPr>
        <w:pStyle w:val="Sinespaciado"/>
        <w:jc w:val="both"/>
        <w:rPr>
          <w:rFonts w:ascii="Times New Roman" w:hAnsi="Times New Roman" w:cs="Times New Roman"/>
        </w:rPr>
      </w:pPr>
    </w:p>
    <w:p w:rsidR="00FA3B81" w:rsidRDefault="00FA3B81" w:rsidP="00FA3B81">
      <w:pPr>
        <w:pStyle w:val="Sinespaciado"/>
        <w:jc w:val="both"/>
        <w:rPr>
          <w:rFonts w:ascii="Times New Roman" w:hAnsi="Times New Roman" w:cs="Times New Roman"/>
        </w:rPr>
      </w:pPr>
      <w:r>
        <w:rPr>
          <w:rFonts w:ascii="Times New Roman" w:hAnsi="Times New Roman" w:cs="Times New Roman"/>
        </w:rPr>
        <w:t>Asimismo, es importante indicar que buena parte del componente no ejecutado de la cuota de febrero es por regularización de anticipos principalmente en el Ministerio de Comunicaciones, por lo que se esperaría que en los próximos meses el gasto aumente al momento de liquidar dichos anticipos.</w:t>
      </w:r>
    </w:p>
    <w:p w:rsidR="00FA3B81" w:rsidRDefault="00FA3B81" w:rsidP="00FA3B81">
      <w:pPr>
        <w:pStyle w:val="Sinespaciado"/>
        <w:jc w:val="both"/>
        <w:rPr>
          <w:rFonts w:ascii="Times New Roman" w:hAnsi="Times New Roman" w:cs="Times New Roman"/>
        </w:rPr>
      </w:pPr>
    </w:p>
    <w:p w:rsidR="00FA3B81" w:rsidRDefault="00FA3B81" w:rsidP="00FA3B81">
      <w:pPr>
        <w:pStyle w:val="Sinespaciado"/>
        <w:jc w:val="center"/>
        <w:rPr>
          <w:rFonts w:ascii="Times New Roman" w:hAnsi="Times New Roman" w:cs="Times New Roman"/>
          <w:b/>
        </w:rPr>
      </w:pPr>
      <w:r w:rsidRPr="00902EDC">
        <w:rPr>
          <w:rFonts w:ascii="Times New Roman" w:hAnsi="Times New Roman" w:cs="Times New Roman"/>
          <w:b/>
        </w:rPr>
        <w:t xml:space="preserve">Ejecución de la Cuota financiera </w:t>
      </w:r>
    </w:p>
    <w:p w:rsidR="00FA3B81" w:rsidRPr="00902EDC" w:rsidRDefault="00FA3B81" w:rsidP="00FA3B81">
      <w:pPr>
        <w:pStyle w:val="Sinespaciado"/>
        <w:jc w:val="center"/>
        <w:rPr>
          <w:rFonts w:ascii="Times New Roman" w:hAnsi="Times New Roman" w:cs="Times New Roman"/>
          <w:b/>
        </w:rPr>
      </w:pPr>
      <w:r w:rsidRPr="00902EDC">
        <w:rPr>
          <w:rFonts w:ascii="Times New Roman" w:hAnsi="Times New Roman" w:cs="Times New Roman"/>
          <w:b/>
        </w:rPr>
        <w:t>Febrero</w:t>
      </w:r>
      <w:r>
        <w:rPr>
          <w:rFonts w:ascii="Times New Roman" w:hAnsi="Times New Roman" w:cs="Times New Roman"/>
          <w:b/>
        </w:rPr>
        <w:t xml:space="preserve"> 2016</w:t>
      </w:r>
    </w:p>
    <w:p w:rsidR="00FA3B81" w:rsidRPr="00902EDC" w:rsidRDefault="00FA3B81" w:rsidP="00FA3B81">
      <w:pPr>
        <w:pStyle w:val="Sinespaciado"/>
        <w:jc w:val="center"/>
        <w:rPr>
          <w:rFonts w:ascii="Times New Roman" w:hAnsi="Times New Roman" w:cs="Times New Roman"/>
          <w:sz w:val="18"/>
        </w:rPr>
      </w:pPr>
      <w:r w:rsidRPr="00902EDC">
        <w:rPr>
          <w:rFonts w:ascii="Times New Roman" w:hAnsi="Times New Roman" w:cs="Times New Roman"/>
          <w:sz w:val="18"/>
        </w:rPr>
        <w:t>Millones de quetzales</w:t>
      </w:r>
    </w:p>
    <w:p w:rsidR="00FA3B81" w:rsidRDefault="00FA3B81" w:rsidP="00FA3B81">
      <w:pPr>
        <w:pStyle w:val="Sinespaciado"/>
        <w:jc w:val="both"/>
        <w:rPr>
          <w:rFonts w:ascii="Times New Roman" w:hAnsi="Times New Roman" w:cs="Times New Roman"/>
        </w:rPr>
      </w:pPr>
      <w:r>
        <w:rPr>
          <w:rFonts w:ascii="Times New Roman" w:hAnsi="Times New Roman" w:cs="Times New Roman"/>
          <w:noProof/>
          <w:lang w:eastAsia="es-GT"/>
        </w:rPr>
        <w:drawing>
          <wp:inline distT="0" distB="0" distL="0" distR="0" wp14:anchorId="55569F35" wp14:editId="77268AB8">
            <wp:extent cx="2667000" cy="2095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359" cy="2095782"/>
                    </a:xfrm>
                    <a:prstGeom prst="rect">
                      <a:avLst/>
                    </a:prstGeom>
                    <a:noFill/>
                  </pic:spPr>
                </pic:pic>
              </a:graphicData>
            </a:graphic>
          </wp:inline>
        </w:drawing>
      </w:r>
    </w:p>
    <w:p w:rsidR="00FA3B81" w:rsidRPr="00F76491" w:rsidRDefault="00FA3B81" w:rsidP="00FA3B81">
      <w:pPr>
        <w:pStyle w:val="Sinespaciado"/>
        <w:jc w:val="both"/>
        <w:rPr>
          <w:rFonts w:ascii="Times New Roman" w:hAnsi="Times New Roman" w:cs="Times New Roman"/>
          <w:sz w:val="14"/>
        </w:rPr>
      </w:pPr>
      <w:r w:rsidRPr="00F76491">
        <w:rPr>
          <w:rFonts w:ascii="Times New Roman" w:hAnsi="Times New Roman" w:cs="Times New Roman"/>
          <w:sz w:val="14"/>
        </w:rPr>
        <w:t>Fuente: Dirección de Análisis y Política fiscal</w:t>
      </w:r>
    </w:p>
    <w:p w:rsidR="00FA3B81" w:rsidRDefault="00FA3B81" w:rsidP="00FA3B81">
      <w:pPr>
        <w:pStyle w:val="Sinespaciado"/>
        <w:jc w:val="both"/>
        <w:rPr>
          <w:rFonts w:ascii="Times New Roman" w:hAnsi="Times New Roman" w:cs="Times New Roman"/>
        </w:rPr>
      </w:pPr>
    </w:p>
    <w:p w:rsidR="00F76491" w:rsidRDefault="00FA3B81" w:rsidP="00F76491">
      <w:pPr>
        <w:spacing w:line="240" w:lineRule="auto"/>
        <w:jc w:val="both"/>
        <w:rPr>
          <w:rFonts w:ascii="Times New Roman" w:hAnsi="Times New Roman" w:cs="Times New Roman"/>
          <w:szCs w:val="24"/>
          <w:lang w:val="es-MX"/>
        </w:rPr>
      </w:pPr>
      <w:r>
        <w:rPr>
          <w:rFonts w:ascii="Times New Roman" w:hAnsi="Times New Roman" w:cs="Times New Roman"/>
          <w:lang w:val="es-MX"/>
        </w:rPr>
        <w:t>Por último, dado el comportamiento del gasto realizado, el grado de ejecución presupuestaria de la Administración Central, se ubica al cierre de febrero de 2016 en 12.7%,  por debajo de lo obtenido en igual período de 2015 (13.2%) y por arriba del promedio de los años (2008-2015) que fue de 12.0%.</w:t>
      </w:r>
    </w:p>
    <w:p w:rsidR="00F76491" w:rsidRDefault="00F76491" w:rsidP="00F76491">
      <w:pPr>
        <w:jc w:val="both"/>
        <w:rPr>
          <w:rFonts w:ascii="Times New Roman" w:hAnsi="Times New Roman" w:cs="Times New Roman"/>
          <w:szCs w:val="24"/>
          <w:lang w:val="es-MX"/>
        </w:rPr>
        <w:sectPr w:rsidR="00F76491" w:rsidSect="00BC7539">
          <w:type w:val="continuous"/>
          <w:pgSz w:w="12240" w:h="15840"/>
          <w:pgMar w:top="1417" w:right="1701" w:bottom="1417" w:left="1701" w:header="708" w:footer="708" w:gutter="0"/>
          <w:cols w:num="2" w:space="708"/>
          <w:docGrid w:linePitch="360"/>
        </w:sectPr>
      </w:pPr>
    </w:p>
    <w:p w:rsidR="00E16925" w:rsidRDefault="00E16925" w:rsidP="00BC7539">
      <w:pPr>
        <w:pStyle w:val="Sinespaciado"/>
        <w:jc w:val="both"/>
        <w:rPr>
          <w:rFonts w:ascii="Times New Roman" w:hAnsi="Times New Roman" w:cs="Times New Roman"/>
          <w:lang w:val="es-MX"/>
        </w:rPr>
      </w:pPr>
    </w:p>
    <w:p w:rsidR="00F76491" w:rsidRPr="00E16925" w:rsidRDefault="00F76491" w:rsidP="00F7649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pPr>
      <w:r>
        <w:rPr>
          <w:rFonts w:ascii="Times New Roman" w:hAnsi="Times New Roman" w:cs="Times New Roman"/>
          <w:b/>
          <w:lang w:val="es-MX"/>
        </w:rPr>
        <w:lastRenderedPageBreak/>
        <w:t>Se mantiene buen ritmo en la colocación de Bonos del Tesoro</w:t>
      </w:r>
    </w:p>
    <w:p w:rsidR="00F76491" w:rsidRPr="00E16925" w:rsidRDefault="00F76491" w:rsidP="00F76491">
      <w:pPr>
        <w:rPr>
          <w:rFonts w:ascii="Times New Roman" w:hAnsi="Times New Roman" w:cs="Times New Roman"/>
          <w:b/>
          <w:lang w:val="es-MX"/>
        </w:rPr>
        <w:sectPr w:rsidR="00F76491" w:rsidRPr="00E16925" w:rsidSect="00FA3B81">
          <w:headerReference w:type="default" r:id="rId21"/>
          <w:footerReference w:type="default" r:id="rId22"/>
          <w:type w:val="continuous"/>
          <w:pgSz w:w="12240" w:h="15840" w:code="1"/>
          <w:pgMar w:top="1418" w:right="1418" w:bottom="1418" w:left="1418" w:header="709" w:footer="709" w:gutter="0"/>
          <w:cols w:space="708"/>
          <w:docGrid w:linePitch="360"/>
        </w:sectPr>
      </w:pPr>
    </w:p>
    <w:p w:rsidR="00F76491" w:rsidRPr="00BC7539" w:rsidRDefault="00F76491" w:rsidP="00F76491">
      <w:pPr>
        <w:pStyle w:val="Sinespaciado"/>
        <w:rPr>
          <w:rFonts w:ascii="Times New Roman" w:hAnsi="Times New Roman" w:cs="Times New Roman"/>
          <w:b/>
          <w:sz w:val="18"/>
          <w:lang w:val="es-MX"/>
        </w:rPr>
      </w:pPr>
    </w:p>
    <w:p w:rsidR="00F76491" w:rsidRDefault="00F76491" w:rsidP="00F76491">
      <w:pPr>
        <w:pStyle w:val="Sinespaciado"/>
        <w:rPr>
          <w:rFonts w:ascii="Times New Roman" w:hAnsi="Times New Roman" w:cs="Times New Roman"/>
          <w:b/>
          <w:lang w:val="es-MX"/>
        </w:rPr>
        <w:sectPr w:rsidR="00F76491" w:rsidSect="00213F7F">
          <w:type w:val="continuous"/>
          <w:pgSz w:w="12240" w:h="15840"/>
          <w:pgMar w:top="1417" w:right="1701" w:bottom="1417" w:left="1701" w:header="708" w:footer="708" w:gutter="0"/>
          <w:cols w:space="708"/>
          <w:docGrid w:linePitch="360"/>
        </w:sectPr>
      </w:pPr>
    </w:p>
    <w:p w:rsidR="00F76491" w:rsidRDefault="00F76491" w:rsidP="00F76491">
      <w:pPr>
        <w:pStyle w:val="Sinespaciado"/>
        <w:jc w:val="both"/>
        <w:rPr>
          <w:rFonts w:ascii="Times New Roman" w:hAnsi="Times New Roman" w:cs="Times New Roman"/>
        </w:rPr>
      </w:pPr>
      <w:r>
        <w:rPr>
          <w:rFonts w:ascii="Times New Roman" w:hAnsi="Times New Roman" w:cs="Times New Roman"/>
        </w:rPr>
        <w:lastRenderedPageBreak/>
        <w:t xml:space="preserve">En cuanto al financiamiento del déficit </w:t>
      </w:r>
      <w:r w:rsidR="00AD5EA1">
        <w:rPr>
          <w:rFonts w:ascii="Times New Roman" w:hAnsi="Times New Roman" w:cs="Times New Roman"/>
        </w:rPr>
        <w:t>presupuestario, al</w:t>
      </w:r>
      <w:r>
        <w:rPr>
          <w:rFonts w:ascii="Times New Roman" w:hAnsi="Times New Roman" w:cs="Times New Roman"/>
        </w:rPr>
        <w:t xml:space="preserve"> cierre de febrero se obtuvo un flujo negativo en el endeudamiento externo neto por el equivalente a Q 575.4 millones, debido a que </w:t>
      </w:r>
      <w:bookmarkStart w:id="0" w:name="_GoBack"/>
      <w:bookmarkEnd w:id="0"/>
      <w:r w:rsidR="00AD5EA1">
        <w:rPr>
          <w:rFonts w:ascii="Times New Roman" w:hAnsi="Times New Roman" w:cs="Times New Roman"/>
        </w:rPr>
        <w:t>la amortización de préstamos realizados fue</w:t>
      </w:r>
      <w:r>
        <w:rPr>
          <w:rFonts w:ascii="Times New Roman" w:hAnsi="Times New Roman" w:cs="Times New Roman"/>
        </w:rPr>
        <w:t xml:space="preserve"> mayor a los desembolsos que se captaron.  Situación que es contraria a lo ocurrido a febrero de 2015, en donde se obtuvo un flujo neto positivo de financiamiento de Q 2,155.0 millones, debido al desembolso de  préstamos de apoyo presupuestario del Banco Mundial y del BCIE, es importante mencionar que este tipo de préstamos no están programados en este año de acuerdo al financiamiento aprobado del presupuesto.</w:t>
      </w:r>
    </w:p>
    <w:p w:rsidR="00F76491" w:rsidRDefault="00F76491" w:rsidP="00F76491">
      <w:pPr>
        <w:pStyle w:val="Sinespaciado"/>
        <w:jc w:val="both"/>
        <w:rPr>
          <w:rFonts w:ascii="Times New Roman" w:hAnsi="Times New Roman" w:cs="Times New Roman"/>
        </w:rPr>
      </w:pPr>
      <w:r>
        <w:rPr>
          <w:rFonts w:ascii="Times New Roman" w:hAnsi="Times New Roman" w:cs="Times New Roman"/>
        </w:rPr>
        <w:t xml:space="preserve"> </w:t>
      </w:r>
    </w:p>
    <w:p w:rsidR="00F76491" w:rsidRDefault="00F76491" w:rsidP="00F76491">
      <w:pPr>
        <w:pStyle w:val="Sinespaciado"/>
        <w:jc w:val="both"/>
        <w:rPr>
          <w:rFonts w:ascii="Times New Roman" w:hAnsi="Times New Roman" w:cs="Times New Roman"/>
        </w:rPr>
      </w:pPr>
      <w:r>
        <w:rPr>
          <w:rFonts w:ascii="Times New Roman" w:hAnsi="Times New Roman" w:cs="Times New Roman"/>
        </w:rPr>
        <w:t xml:space="preserve">En lo que respecta a </w:t>
      </w:r>
      <w:r w:rsidRPr="001A16F1">
        <w:rPr>
          <w:rFonts w:ascii="Times New Roman" w:hAnsi="Times New Roman" w:cs="Times New Roman"/>
        </w:rPr>
        <w:t>la colocación de Bonos del Tesoro</w:t>
      </w:r>
      <w:r>
        <w:rPr>
          <w:rFonts w:ascii="Times New Roman" w:hAnsi="Times New Roman" w:cs="Times New Roman"/>
        </w:rPr>
        <w:t xml:space="preserve">, entre enero y febrero, se han </w:t>
      </w:r>
      <w:r>
        <w:rPr>
          <w:rFonts w:ascii="Times New Roman" w:hAnsi="Times New Roman" w:cs="Times New Roman"/>
        </w:rPr>
        <w:lastRenderedPageBreak/>
        <w:t>realizado 5 eventos de subasta y licitación de los cuales se ha recibido una demanda acumulada de Q 7,716 millones. De los cuales se ha adjudicado, conforme a las necesidades de caja, Q 3,036.9 millones, orientándose dichos recursos a roll over       (Q 2,546 millones) y Q 490.9 millones a financiar el presupuesto de este año.</w:t>
      </w:r>
    </w:p>
    <w:p w:rsidR="00F76491" w:rsidRDefault="00F76491" w:rsidP="00F76491">
      <w:pPr>
        <w:pStyle w:val="Sinespaciado"/>
        <w:jc w:val="both"/>
        <w:rPr>
          <w:rFonts w:ascii="Times New Roman" w:hAnsi="Times New Roman" w:cs="Times New Roman"/>
        </w:rPr>
      </w:pPr>
    </w:p>
    <w:p w:rsidR="00F76491" w:rsidRDefault="00F76491" w:rsidP="00F76491">
      <w:pPr>
        <w:pStyle w:val="Sinespaciado"/>
        <w:jc w:val="both"/>
        <w:rPr>
          <w:rFonts w:ascii="Times New Roman" w:hAnsi="Times New Roman" w:cs="Times New Roman"/>
        </w:rPr>
      </w:pPr>
      <w:r>
        <w:rPr>
          <w:rFonts w:ascii="Times New Roman" w:hAnsi="Times New Roman" w:cs="Times New Roman"/>
        </w:rPr>
        <w:t xml:space="preserve">Por último, merece especial atención  las condiciones a las que fueron colocados los títulos del gobierno, las cuales fueron bastante favorables ya que en términos generales se mantuvo el costo financiero  promedio en 7.5% y el plazo  fue de 15 años.  Además el monto colocado a la fecha se adjudicó con prima. </w:t>
      </w:r>
    </w:p>
    <w:p w:rsidR="00F76491" w:rsidRDefault="00F76491" w:rsidP="00F76491">
      <w:pPr>
        <w:pStyle w:val="Sinespaciado"/>
        <w:ind w:left="360"/>
        <w:jc w:val="both"/>
        <w:rPr>
          <w:rFonts w:ascii="Times New Roman" w:hAnsi="Times New Roman" w:cs="Times New Roman"/>
          <w:lang w:val="es-MX"/>
        </w:rPr>
      </w:pPr>
    </w:p>
    <w:p w:rsidR="00F76491" w:rsidRDefault="00F76491" w:rsidP="00F76491">
      <w:pPr>
        <w:rPr>
          <w:lang w:val="es-MX"/>
        </w:rPr>
        <w:sectPr w:rsidR="00F76491" w:rsidSect="00516433">
          <w:type w:val="continuous"/>
          <w:pgSz w:w="12240" w:h="15840"/>
          <w:pgMar w:top="1417" w:right="1701" w:bottom="1417" w:left="1701" w:header="708" w:footer="708" w:gutter="0"/>
          <w:cols w:num="2" w:space="708"/>
          <w:docGrid w:linePitch="360"/>
        </w:sectPr>
      </w:pPr>
    </w:p>
    <w:p w:rsidR="00F76491" w:rsidRPr="007D4651" w:rsidRDefault="00F76491" w:rsidP="00F76491">
      <w:pPr>
        <w:pStyle w:val="Sinespaciado"/>
        <w:jc w:val="both"/>
        <w:rPr>
          <w:rFonts w:ascii="Times New Roman" w:hAnsi="Times New Roman" w:cs="Times New Roman"/>
          <w:lang w:val="es-MX"/>
        </w:rPr>
      </w:pPr>
    </w:p>
    <w:p w:rsidR="00494D1D" w:rsidRPr="00E16925" w:rsidRDefault="0042387A" w:rsidP="004238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E16925" w:rsidSect="00FA3B81">
          <w:headerReference w:type="default" r:id="rId23"/>
          <w:footerReference w:type="default" r:id="rId24"/>
          <w:type w:val="continuous"/>
          <w:pgSz w:w="12240" w:h="15840" w:code="1"/>
          <w:pgMar w:top="1418" w:right="1418" w:bottom="1418" w:left="1418" w:header="709" w:footer="709" w:gutter="0"/>
          <w:cols w:space="708"/>
          <w:docGrid w:linePitch="360"/>
        </w:sectPr>
      </w:pPr>
      <w:r>
        <w:rPr>
          <w:rFonts w:ascii="Times New Roman" w:hAnsi="Times New Roman" w:cs="Times New Roman"/>
          <w:b/>
          <w:lang w:val="es-MX"/>
        </w:rPr>
        <w:t>Ambientes macroeconómicos (externo e interno)</w:t>
      </w:r>
    </w:p>
    <w:p w:rsidR="00494D1D" w:rsidRPr="00BC7539" w:rsidRDefault="00494D1D" w:rsidP="00494D1D">
      <w:pPr>
        <w:pStyle w:val="Sinespaciado"/>
        <w:rPr>
          <w:rFonts w:ascii="Times New Roman" w:hAnsi="Times New Roman" w:cs="Times New Roman"/>
          <w:b/>
          <w:sz w:val="18"/>
          <w:lang w:val="es-MX"/>
        </w:rPr>
      </w:pPr>
    </w:p>
    <w:p w:rsidR="00494D1D" w:rsidRDefault="00494D1D" w:rsidP="00494D1D">
      <w:pPr>
        <w:pStyle w:val="Sinespaciado"/>
        <w:rPr>
          <w:rFonts w:ascii="Times New Roman" w:hAnsi="Times New Roman" w:cs="Times New Roman"/>
          <w:b/>
          <w:lang w:val="es-MX"/>
        </w:rPr>
        <w:sectPr w:rsidR="00494D1D" w:rsidSect="00213F7F">
          <w:type w:val="continuous"/>
          <w:pgSz w:w="12240" w:h="15840"/>
          <w:pgMar w:top="1417" w:right="1701" w:bottom="1417" w:left="1701" w:header="708" w:footer="708" w:gutter="0"/>
          <w:cols w:space="708"/>
          <w:docGrid w:linePitch="360"/>
        </w:sectPr>
      </w:pPr>
    </w:p>
    <w:p w:rsidR="0042387A" w:rsidRPr="003C3B80" w:rsidRDefault="0042387A" w:rsidP="0042387A">
      <w:pPr>
        <w:pStyle w:val="Sinespaciado"/>
        <w:jc w:val="both"/>
        <w:rPr>
          <w:rFonts w:ascii="Times New Roman" w:hAnsi="Times New Roman" w:cs="Times New Roman"/>
          <w:color w:val="FF0000"/>
          <w:lang w:val="es-MX"/>
        </w:rPr>
      </w:pPr>
      <w:r>
        <w:rPr>
          <w:rFonts w:ascii="Times New Roman" w:hAnsi="Times New Roman" w:cs="Times New Roman"/>
          <w:lang w:val="es-MX"/>
        </w:rPr>
        <w:lastRenderedPageBreak/>
        <w:t>Este mes fueron publicados los resultados de l</w:t>
      </w:r>
      <w:r>
        <w:rPr>
          <w:rFonts w:ascii="Times New Roman" w:hAnsi="Times New Roman" w:cs="Times New Roman"/>
        </w:rPr>
        <w:t xml:space="preserve">a revisión intermedia del informe semestral de Perspectivas de la OCDE, que indica un crecimiento económico global en 2016 en torno al 3%, con una ralentización en muchos países emergentes y una modesta recuperación en los avanzados, al tiempo que caen las materias primas, el comercio, los salarios y los precios, en una coyuntura de inestabilidad financiera.  La organización recomendó revitalizar las reformas estructurales, actualmente relajadas y por alejarse de las políticas fiscales contractivas presentes en la mayoría de economías avanzadas, con reducciones del gasto público y aumento en la presión fiscal.  La disminución de las previsiones es generalizada y refleja varios datos decepcionantes del cuarto trimestre de 2015 y la reciente debilidad y volatilidad de los mercados financieros globales.  En su </w:t>
      </w:r>
      <w:r>
        <w:rPr>
          <w:rFonts w:ascii="Times New Roman" w:hAnsi="Times New Roman" w:cs="Times New Roman"/>
        </w:rPr>
        <w:lastRenderedPageBreak/>
        <w:t>desglose, Estados Unidos crecerá en 2016 un 2% (-0.5 puntos respecto de las anteriores perspectivas) y un 2.2% en 2017; Japón se fortalecerá un 0.8% en 2016 y 0.6% en 2017, es decir -0.2 y -0.1 respectivamente; el conjunto de la Unión Europea se incrementará en 2016 un 1.4%, 0.4 puntos menos que la estimación previa y crecerá 1.7% en 2017.  China y la India se comportarán mejor, según la OCDE, dejando las proyecciones tal como la estimación anterior, 6.5% en 2016 y 6.2% en 2017 para China y 7.4% en 2016 y 7.3% en 2017 para Nueva Delhi.</w:t>
      </w:r>
    </w:p>
    <w:p w:rsidR="0042387A" w:rsidRPr="003C3B80" w:rsidRDefault="0042387A" w:rsidP="0042387A">
      <w:pPr>
        <w:pStyle w:val="Sinespaciado"/>
        <w:jc w:val="both"/>
        <w:rPr>
          <w:rFonts w:ascii="Times New Roman" w:hAnsi="Times New Roman" w:cs="Times New Roman"/>
          <w:color w:val="FF0000"/>
          <w:lang w:val="es-MX"/>
        </w:rPr>
      </w:pPr>
    </w:p>
    <w:p w:rsidR="0042387A" w:rsidRPr="009D1475" w:rsidRDefault="0042387A" w:rsidP="0042387A">
      <w:pPr>
        <w:pStyle w:val="Sinespaciado"/>
        <w:jc w:val="both"/>
        <w:rPr>
          <w:rFonts w:ascii="Times New Roman" w:hAnsi="Times New Roman" w:cs="Times New Roman"/>
          <w:lang w:val="es-MX"/>
        </w:rPr>
      </w:pPr>
      <w:r w:rsidRPr="009D1475">
        <w:rPr>
          <w:rFonts w:ascii="Times New Roman" w:hAnsi="Times New Roman" w:cs="Times New Roman"/>
          <w:lang w:val="es-MX"/>
        </w:rPr>
        <w:t xml:space="preserve">En Estados Unidos, </w:t>
      </w:r>
      <w:r>
        <w:rPr>
          <w:rFonts w:ascii="Times New Roman" w:hAnsi="Times New Roman" w:cs="Times New Roman"/>
          <w:lang w:val="es-MX"/>
        </w:rPr>
        <w:t xml:space="preserve">existe evidencia de que los empleadores intensificaron las contrataciones en febrero, las nóminas no agrícolas aumentaron 190,000 puestos de trabajo y la tasa de desempleo se mantuvo en 4.9%, generando una señal de fortaleza en el </w:t>
      </w:r>
      <w:r>
        <w:rPr>
          <w:rFonts w:ascii="Times New Roman" w:hAnsi="Times New Roman" w:cs="Times New Roman"/>
          <w:lang w:val="es-MX"/>
        </w:rPr>
        <w:lastRenderedPageBreak/>
        <w:t>mercado laboral que podría reducir el temor de que la economía se orienta a una recesión y los datos sirven de argumento para la Fed en su análisis para elevar gradualmente las tasas de interés este año.</w:t>
      </w:r>
    </w:p>
    <w:p w:rsidR="0042387A" w:rsidRDefault="0042387A" w:rsidP="0042387A">
      <w:pPr>
        <w:pStyle w:val="Sinespaciado"/>
        <w:jc w:val="both"/>
        <w:rPr>
          <w:rFonts w:ascii="Times New Roman" w:hAnsi="Times New Roman" w:cs="Times New Roman"/>
          <w:color w:val="FF0000"/>
          <w:lang w:val="es-MX"/>
        </w:rPr>
      </w:pPr>
    </w:p>
    <w:p w:rsidR="0042387A" w:rsidRPr="00787E94" w:rsidRDefault="0042387A" w:rsidP="0042387A">
      <w:pPr>
        <w:pStyle w:val="Sinespaciado"/>
        <w:jc w:val="center"/>
        <w:rPr>
          <w:rFonts w:ascii="Times New Roman" w:hAnsi="Times New Roman" w:cs="Times New Roman"/>
          <w:b/>
          <w:lang w:val="es-MX"/>
        </w:rPr>
      </w:pPr>
      <w:r w:rsidRPr="00787E94">
        <w:rPr>
          <w:rFonts w:ascii="Times New Roman" w:hAnsi="Times New Roman" w:cs="Times New Roman"/>
          <w:b/>
          <w:lang w:val="es-MX"/>
        </w:rPr>
        <w:t>Tasa de desempleo Estados Unidos</w:t>
      </w:r>
    </w:p>
    <w:p w:rsidR="0042387A" w:rsidRPr="00787E94" w:rsidRDefault="0042387A" w:rsidP="0042387A">
      <w:pPr>
        <w:pStyle w:val="Sinespaciado"/>
        <w:jc w:val="center"/>
        <w:rPr>
          <w:rFonts w:ascii="Times New Roman" w:hAnsi="Times New Roman" w:cs="Times New Roman"/>
          <w:sz w:val="18"/>
          <w:lang w:val="es-MX"/>
        </w:rPr>
      </w:pPr>
      <w:r w:rsidRPr="00787E94">
        <w:rPr>
          <w:rFonts w:ascii="Times New Roman" w:hAnsi="Times New Roman" w:cs="Times New Roman"/>
          <w:sz w:val="18"/>
          <w:lang w:val="es-MX"/>
        </w:rPr>
        <w:t>Marzo 2015 – febrero 2016</w:t>
      </w:r>
    </w:p>
    <w:p w:rsidR="0042387A" w:rsidRPr="00787E94" w:rsidRDefault="0042387A" w:rsidP="0042387A">
      <w:pPr>
        <w:pStyle w:val="Sinespaciado"/>
        <w:jc w:val="center"/>
        <w:rPr>
          <w:rFonts w:ascii="Times New Roman" w:hAnsi="Times New Roman" w:cs="Times New Roman"/>
          <w:sz w:val="18"/>
          <w:lang w:val="es-MX"/>
        </w:rPr>
      </w:pPr>
      <w:r w:rsidRPr="00787E94">
        <w:rPr>
          <w:rFonts w:ascii="Times New Roman" w:hAnsi="Times New Roman" w:cs="Times New Roman"/>
          <w:sz w:val="18"/>
          <w:lang w:val="es-MX"/>
        </w:rPr>
        <w:t>Porcentaje</w:t>
      </w:r>
    </w:p>
    <w:p w:rsidR="0042387A" w:rsidRDefault="0042387A" w:rsidP="0042387A">
      <w:pPr>
        <w:pStyle w:val="Sinespaciado"/>
        <w:jc w:val="both"/>
        <w:rPr>
          <w:rFonts w:ascii="Times New Roman" w:hAnsi="Times New Roman" w:cs="Times New Roman"/>
          <w:color w:val="FF0000"/>
          <w:lang w:val="es-MX"/>
        </w:rPr>
      </w:pPr>
      <w:r>
        <w:rPr>
          <w:noProof/>
          <w:lang w:eastAsia="es-GT"/>
        </w:rPr>
        <w:drawing>
          <wp:inline distT="0" distB="0" distL="0" distR="0" wp14:anchorId="46873D9D" wp14:editId="4D538348">
            <wp:extent cx="2584174" cy="1441174"/>
            <wp:effectExtent l="0" t="0" r="6985" b="6985"/>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2387A" w:rsidRDefault="0042387A" w:rsidP="0042387A">
      <w:pPr>
        <w:pStyle w:val="Sinespaciado"/>
        <w:jc w:val="both"/>
        <w:rPr>
          <w:rFonts w:ascii="Times New Roman" w:hAnsi="Times New Roman" w:cs="Times New Roman"/>
          <w:sz w:val="16"/>
          <w:szCs w:val="12"/>
          <w:lang w:val="es-MX"/>
        </w:rPr>
      </w:pPr>
      <w:r>
        <w:rPr>
          <w:rFonts w:ascii="Times New Roman" w:hAnsi="Times New Roman" w:cs="Times New Roman"/>
          <w:sz w:val="16"/>
          <w:szCs w:val="12"/>
          <w:lang w:val="es-MX"/>
        </w:rPr>
        <w:t xml:space="preserve">Fuente: Trading </w:t>
      </w:r>
      <w:r w:rsidRPr="00F1356C">
        <w:rPr>
          <w:rFonts w:ascii="Times New Roman" w:hAnsi="Times New Roman" w:cs="Times New Roman"/>
          <w:sz w:val="16"/>
          <w:szCs w:val="12"/>
        </w:rPr>
        <w:t>economics</w:t>
      </w:r>
      <w:r>
        <w:rPr>
          <w:rFonts w:ascii="Times New Roman" w:hAnsi="Times New Roman" w:cs="Times New Roman"/>
          <w:sz w:val="16"/>
          <w:szCs w:val="12"/>
          <w:lang w:val="es-MX"/>
        </w:rPr>
        <w:t>.</w:t>
      </w:r>
    </w:p>
    <w:p w:rsidR="00495F43" w:rsidRPr="00A124B9" w:rsidRDefault="00495F43" w:rsidP="0042387A">
      <w:pPr>
        <w:pStyle w:val="Sinespaciado"/>
        <w:jc w:val="both"/>
        <w:rPr>
          <w:rFonts w:ascii="Times New Roman" w:hAnsi="Times New Roman" w:cs="Times New Roman"/>
        </w:rPr>
      </w:pPr>
    </w:p>
    <w:p w:rsidR="0042387A" w:rsidRDefault="0042387A" w:rsidP="0042387A">
      <w:pPr>
        <w:pStyle w:val="Sinespaciado"/>
        <w:jc w:val="both"/>
        <w:rPr>
          <w:rFonts w:ascii="Times New Roman" w:hAnsi="Times New Roman" w:cs="Times New Roman"/>
        </w:rPr>
      </w:pPr>
      <w:r>
        <w:rPr>
          <w:rFonts w:ascii="Times New Roman" w:hAnsi="Times New Roman" w:cs="Times New Roman"/>
          <w:lang w:val="es-MX"/>
        </w:rPr>
        <w:t>Las</w:t>
      </w:r>
      <w:r>
        <w:rPr>
          <w:rFonts w:ascii="Times New Roman" w:hAnsi="Times New Roman" w:cs="Times New Roman"/>
        </w:rPr>
        <w:t xml:space="preserve"> actas de la más reciente reunión del Comité Federal de Mercado Abierto divulgadas este mes, dan cuenta que se considera mayor incertidumbre sobre las perspectivas económicas debido a la ralentización mayor de lo esperado en China y la caída de los precios de la energía; los participantes encontraron que las implicaciones generales de dichos acontecimientos sobre las perspectivas de la actividad económica doméstica son inciertas, pero coincidieron en que la incertidumbre se ha incrementado, siendo ya motivo de preocupación por el potencial freno sobre la economía de Estados Unidos.  Así mismo, reconocieron que una mayor caída en los precios de la energía y una adicional apreciación del dólar, probablemente implicaría que la inflación llevara más tiempo que el previamente anticipado para elevarse a la meta de la Fed del 2%.</w:t>
      </w:r>
    </w:p>
    <w:p w:rsidR="0042387A" w:rsidRPr="003C3B80" w:rsidRDefault="0042387A" w:rsidP="0042387A">
      <w:pPr>
        <w:pStyle w:val="Sinespaciado"/>
        <w:jc w:val="both"/>
        <w:rPr>
          <w:rFonts w:ascii="Times New Roman" w:hAnsi="Times New Roman" w:cs="Times New Roman"/>
          <w:color w:val="FF0000"/>
          <w:lang w:val="es-MX"/>
        </w:rPr>
      </w:pPr>
    </w:p>
    <w:p w:rsidR="0042387A" w:rsidRPr="006208A9" w:rsidRDefault="0042387A" w:rsidP="0042387A">
      <w:pPr>
        <w:pStyle w:val="Sinespaciado"/>
        <w:jc w:val="both"/>
        <w:rPr>
          <w:rFonts w:ascii="Times New Roman" w:hAnsi="Times New Roman" w:cs="Times New Roman"/>
        </w:rPr>
      </w:pPr>
      <w:r w:rsidRPr="006208A9">
        <w:rPr>
          <w:rFonts w:ascii="Times New Roman" w:hAnsi="Times New Roman" w:cs="Times New Roman"/>
          <w:lang w:val="es-MX"/>
        </w:rPr>
        <w:t xml:space="preserve">En la Zona Euro, </w:t>
      </w:r>
      <w:r w:rsidRPr="006208A9">
        <w:rPr>
          <w:rFonts w:ascii="Times New Roman" w:hAnsi="Times New Roman" w:cs="Times New Roman"/>
        </w:rPr>
        <w:t xml:space="preserve">la Comisión Europea en su informe de las previsiones globales de crecimiento presentado esta semana, explicó sobre algunos riesgos para la economía de la </w:t>
      </w:r>
      <w:r w:rsidRPr="006208A9">
        <w:rPr>
          <w:rFonts w:ascii="Times New Roman" w:hAnsi="Times New Roman" w:cs="Times New Roman"/>
        </w:rPr>
        <w:lastRenderedPageBreak/>
        <w:t>zona euro, entre ellos, el crecimiento más lento en China y la incertidumbre geopolítica; de ahí, la comisión estimó un crecimiento cercano al 1.7% para este año.  En cuanto al desempleo, prevé que la tasa de paro continúe disminuyendo, aunque a un ritmo menor que el observado el año anterior, pasando de 11% en 2015 a 10.5% este año y 10.2% en el 2017, resaltando que la disminución del desempleo será mayor en aquellos países miembros que implementaron reformas del mercado de trabajo.</w:t>
      </w:r>
    </w:p>
    <w:p w:rsidR="0042387A" w:rsidRPr="00F908AC" w:rsidRDefault="0042387A" w:rsidP="0042387A">
      <w:pPr>
        <w:pStyle w:val="Sinespaciado"/>
        <w:jc w:val="both"/>
        <w:rPr>
          <w:rFonts w:ascii="Times New Roman" w:hAnsi="Times New Roman" w:cs="Times New Roman"/>
        </w:rPr>
      </w:pPr>
    </w:p>
    <w:p w:rsidR="0042387A" w:rsidRPr="00F908AC" w:rsidRDefault="0042387A" w:rsidP="0042387A">
      <w:pPr>
        <w:pStyle w:val="Sinespaciado"/>
        <w:jc w:val="both"/>
        <w:rPr>
          <w:rFonts w:ascii="Times New Roman" w:hAnsi="Times New Roman" w:cs="Times New Roman"/>
        </w:rPr>
      </w:pPr>
      <w:r w:rsidRPr="00F908AC">
        <w:rPr>
          <w:rFonts w:ascii="Times New Roman" w:hAnsi="Times New Roman" w:cs="Times New Roman"/>
        </w:rPr>
        <w:t>El BCE con las masivas inyecciones de liquidez a la banca y la abrupta reducción de los tipos de interés que ha promovido, han llevado a la disminución generalizada del coste del crédito en toda Europa, reduciendo también la prima de riesgo y los intereses que aplica la banca; el Euribor a varios plazos (hasta los 12 meses) usado como referencia en los tipos variables está en tasas negativas.</w:t>
      </w:r>
    </w:p>
    <w:p w:rsidR="007D4651" w:rsidRDefault="007D4651" w:rsidP="00494D1D">
      <w:pPr>
        <w:spacing w:after="0" w:line="240" w:lineRule="auto"/>
        <w:rPr>
          <w:rFonts w:ascii="Times New Roman" w:hAnsi="Times New Roman" w:cs="Times New Roman"/>
        </w:rPr>
      </w:pPr>
    </w:p>
    <w:p w:rsidR="0042387A" w:rsidRDefault="0042387A" w:rsidP="0042387A">
      <w:pPr>
        <w:pStyle w:val="Sinespaciado"/>
        <w:jc w:val="both"/>
        <w:rPr>
          <w:rFonts w:ascii="Times New Roman" w:hAnsi="Times New Roman" w:cs="Times New Roman"/>
        </w:rPr>
      </w:pPr>
      <w:r>
        <w:rPr>
          <w:rFonts w:ascii="Times New Roman" w:hAnsi="Times New Roman" w:cs="Times New Roman"/>
        </w:rPr>
        <w:t>El indicador de confianza económica de la zona euro disminuyó a 103.8 puntos en febrero, desde el resultado revisado de 105.1 del mes anterior, atribuyéndose desde la perspectiva de la Comisión Europea a un mayor pesimismo en el sector industrial, minorista y de servicios entre consu</w:t>
      </w:r>
      <w:r w:rsidR="00495F43">
        <w:rPr>
          <w:rFonts w:ascii="Times New Roman" w:hAnsi="Times New Roman" w:cs="Times New Roman"/>
        </w:rPr>
        <w:t xml:space="preserve">midores y servicios financieros. </w:t>
      </w:r>
      <w:r>
        <w:rPr>
          <w:rFonts w:ascii="Times New Roman" w:hAnsi="Times New Roman" w:cs="Times New Roman"/>
        </w:rPr>
        <w:t xml:space="preserve"> El índice de gerentes de compra PMI compuesto disminuyó a 52.7 puntos desde los 53.6 puntos de enero, después de una desaceleración de los negocios en Alemania y una contracción en Francia, según la consultora Markit</w:t>
      </w:r>
    </w:p>
    <w:p w:rsidR="0042387A" w:rsidRDefault="0042387A" w:rsidP="0042387A">
      <w:pPr>
        <w:spacing w:after="0" w:line="240" w:lineRule="auto"/>
        <w:jc w:val="both"/>
        <w:rPr>
          <w:rFonts w:ascii="Times New Roman" w:hAnsi="Times New Roman" w:cs="Times New Roman"/>
          <w:color w:val="FF0000"/>
          <w:lang w:val="es-MX"/>
        </w:rPr>
      </w:pPr>
    </w:p>
    <w:p w:rsidR="0042387A" w:rsidRPr="00AA2B9A" w:rsidRDefault="0042387A" w:rsidP="0042387A">
      <w:pPr>
        <w:spacing w:after="0" w:line="240" w:lineRule="auto"/>
        <w:jc w:val="both"/>
        <w:rPr>
          <w:rFonts w:ascii="Times New Roman" w:hAnsi="Times New Roman" w:cs="Times New Roman"/>
          <w:lang w:val="es-MX"/>
        </w:rPr>
      </w:pPr>
      <w:r w:rsidRPr="00AA2B9A">
        <w:rPr>
          <w:rFonts w:ascii="Times New Roman" w:hAnsi="Times New Roman" w:cs="Times New Roman"/>
          <w:lang w:val="es-MX"/>
        </w:rPr>
        <w:t xml:space="preserve">En el ámbito interno, el nivel del Índice de Confianza de la Actividad Económica se situó en 60.65 puntos, inferior en 9.44% con el registrado el mes anterior.  El 57.1% de los analistas económicos entrevistados para la elaboración del indicador, consideran una evolución positiva en el clima de los negocios para las actividades productivas del sector </w:t>
      </w:r>
      <w:r w:rsidRPr="00AA2B9A">
        <w:rPr>
          <w:rFonts w:ascii="Times New Roman" w:hAnsi="Times New Roman" w:cs="Times New Roman"/>
          <w:lang w:val="es-MX"/>
        </w:rPr>
        <w:lastRenderedPageBreak/>
        <w:t>privado en los próximos seis meses; el 53.8% considera que la economía no está mejor que hace un año y el 57.1% espera que la evolución económica del país mejore durante el primer semestre del año.</w:t>
      </w:r>
    </w:p>
    <w:p w:rsidR="0042387A" w:rsidRDefault="0042387A" w:rsidP="0042387A">
      <w:pPr>
        <w:spacing w:after="0" w:line="240" w:lineRule="auto"/>
        <w:jc w:val="both"/>
        <w:rPr>
          <w:rFonts w:ascii="Times New Roman" w:hAnsi="Times New Roman" w:cs="Times New Roman"/>
          <w:color w:val="FF0000"/>
          <w:lang w:val="es-MX"/>
        </w:rPr>
      </w:pPr>
    </w:p>
    <w:p w:rsidR="0042387A" w:rsidRPr="00A124B9" w:rsidRDefault="0042387A" w:rsidP="0042387A">
      <w:pPr>
        <w:spacing w:after="0" w:line="240" w:lineRule="auto"/>
        <w:jc w:val="center"/>
        <w:rPr>
          <w:rFonts w:ascii="Times New Roman" w:hAnsi="Times New Roman" w:cs="Times New Roman"/>
          <w:b/>
          <w:sz w:val="24"/>
          <w:szCs w:val="24"/>
        </w:rPr>
      </w:pPr>
      <w:r w:rsidRPr="00A124B9">
        <w:rPr>
          <w:rFonts w:ascii="Times New Roman" w:hAnsi="Times New Roman" w:cs="Times New Roman"/>
          <w:b/>
          <w:sz w:val="24"/>
          <w:szCs w:val="24"/>
        </w:rPr>
        <w:t>Índice de confianza de la actividad económica</w:t>
      </w:r>
    </w:p>
    <w:p w:rsidR="0042387A" w:rsidRPr="00A124B9" w:rsidRDefault="0042387A" w:rsidP="0042387A">
      <w:pPr>
        <w:spacing w:after="0" w:line="240" w:lineRule="auto"/>
        <w:jc w:val="center"/>
        <w:rPr>
          <w:rFonts w:ascii="Times New Roman" w:hAnsi="Times New Roman" w:cs="Times New Roman"/>
          <w:sz w:val="18"/>
        </w:rPr>
      </w:pPr>
      <w:r w:rsidRPr="00A124B9">
        <w:rPr>
          <w:rFonts w:ascii="Times New Roman" w:hAnsi="Times New Roman" w:cs="Times New Roman"/>
          <w:sz w:val="18"/>
        </w:rPr>
        <w:t>Febrero 2014 – 2016</w:t>
      </w:r>
    </w:p>
    <w:p w:rsidR="0042387A" w:rsidRDefault="0042387A" w:rsidP="0042387A">
      <w:pPr>
        <w:spacing w:after="0" w:line="240" w:lineRule="auto"/>
        <w:jc w:val="both"/>
        <w:rPr>
          <w:rFonts w:ascii="Times New Roman" w:hAnsi="Times New Roman" w:cs="Times New Roman"/>
          <w:color w:val="FF0000"/>
          <w:lang w:val="es-MX"/>
        </w:rPr>
      </w:pPr>
      <w:r>
        <w:rPr>
          <w:noProof/>
          <w:lang w:eastAsia="es-GT"/>
        </w:rPr>
        <w:drawing>
          <wp:inline distT="0" distB="0" distL="0" distR="0" wp14:anchorId="72B0E34C" wp14:editId="070CE0CF">
            <wp:extent cx="2581275" cy="1550919"/>
            <wp:effectExtent l="0" t="0" r="0" b="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2387A" w:rsidRPr="00495F43" w:rsidRDefault="0042387A" w:rsidP="0042387A">
      <w:pPr>
        <w:pStyle w:val="Sinespaciado"/>
        <w:jc w:val="both"/>
        <w:rPr>
          <w:rFonts w:ascii="Times New Roman" w:hAnsi="Times New Roman" w:cs="Times New Roman"/>
          <w:sz w:val="20"/>
        </w:rPr>
      </w:pPr>
      <w:r w:rsidRPr="00495F43">
        <w:rPr>
          <w:rFonts w:ascii="Times New Roman" w:hAnsi="Times New Roman" w:cs="Times New Roman"/>
          <w:sz w:val="14"/>
          <w:szCs w:val="12"/>
          <w:lang w:val="es-MX"/>
        </w:rPr>
        <w:t xml:space="preserve">Fuente: Banco de Guatemala </w:t>
      </w:r>
    </w:p>
    <w:p w:rsidR="0042387A" w:rsidRDefault="0042387A" w:rsidP="0042387A">
      <w:pPr>
        <w:spacing w:after="0" w:line="240" w:lineRule="auto"/>
        <w:jc w:val="both"/>
        <w:rPr>
          <w:rFonts w:ascii="Times New Roman" w:hAnsi="Times New Roman" w:cs="Times New Roman"/>
          <w:color w:val="FF0000"/>
          <w:lang w:val="es-MX"/>
        </w:rPr>
      </w:pPr>
    </w:p>
    <w:p w:rsidR="0042387A" w:rsidRPr="00390C17" w:rsidRDefault="0042387A" w:rsidP="0042387A">
      <w:pPr>
        <w:spacing w:after="0" w:line="240" w:lineRule="auto"/>
        <w:jc w:val="both"/>
        <w:rPr>
          <w:rFonts w:ascii="Times New Roman" w:hAnsi="Times New Roman" w:cs="Times New Roman"/>
          <w:lang w:val="es-MX"/>
        </w:rPr>
      </w:pPr>
      <w:r w:rsidRPr="00390C17">
        <w:rPr>
          <w:rFonts w:ascii="Times New Roman" w:hAnsi="Times New Roman" w:cs="Times New Roman"/>
          <w:lang w:val="es-MX"/>
        </w:rPr>
        <w:lastRenderedPageBreak/>
        <w:t xml:space="preserve">Se espera un ritmo inflacionario de 3.89% en febrero, 3.88% para marzo y 3.97% para abril 2016; en un horizonte de 12 y 24 meses se esperaría un ritmo de 3.94% y 4.09% respectivamente.  </w:t>
      </w:r>
    </w:p>
    <w:p w:rsidR="0042387A" w:rsidRDefault="0042387A" w:rsidP="0042387A">
      <w:pPr>
        <w:spacing w:after="0" w:line="240" w:lineRule="auto"/>
        <w:jc w:val="both"/>
        <w:rPr>
          <w:rFonts w:ascii="Times New Roman" w:hAnsi="Times New Roman" w:cs="Times New Roman"/>
          <w:color w:val="FF0000"/>
          <w:lang w:val="es-MX"/>
        </w:rPr>
      </w:pPr>
    </w:p>
    <w:p w:rsidR="0042387A" w:rsidRDefault="0042387A" w:rsidP="00495F43">
      <w:pPr>
        <w:pStyle w:val="Sinespaciado"/>
        <w:jc w:val="both"/>
        <w:rPr>
          <w:rFonts w:ascii="Times New Roman" w:hAnsi="Times New Roman" w:cs="Times New Roman"/>
          <w:lang w:val="es-MX"/>
        </w:rPr>
      </w:pPr>
      <w:r>
        <w:rPr>
          <w:rFonts w:ascii="Times New Roman" w:hAnsi="Times New Roman" w:cs="Times New Roman"/>
          <w:lang w:val="es-MX"/>
        </w:rPr>
        <w:t>Este mes, la Junta Monetaria decidió mantener el nivel de la tasa de interés líder de política monetaria en 3.0%, en base a su análisis interno y externo, debido a factores como la recuperación del crecimiento moderado económico mundial y de los principales socios comerciales, los precios internacionales de las materias primas, especialmente el petróleo y la tendencia general de los precios que se mantienen dentro de la meta de inflación de 4.0% +/- 1 punto porcentual.</w:t>
      </w:r>
      <w:r w:rsidRPr="0042387A">
        <w:rPr>
          <w:rFonts w:ascii="Times New Roman" w:hAnsi="Times New Roman" w:cs="Times New Roman"/>
          <w:lang w:val="es-MX"/>
        </w:rPr>
        <w:t xml:space="preserve"> </w:t>
      </w:r>
    </w:p>
    <w:p w:rsidR="0042387A" w:rsidRDefault="0042387A" w:rsidP="0042387A">
      <w:pPr>
        <w:rPr>
          <w:lang w:val="es-MX"/>
        </w:rPr>
        <w:sectPr w:rsidR="0042387A" w:rsidSect="00516433">
          <w:type w:val="continuous"/>
          <w:pgSz w:w="12240" w:h="15840"/>
          <w:pgMar w:top="1417" w:right="1701" w:bottom="1417" w:left="1701" w:header="708" w:footer="708" w:gutter="0"/>
          <w:cols w:num="2" w:space="708"/>
          <w:docGrid w:linePitch="360"/>
        </w:sectPr>
      </w:pPr>
    </w:p>
    <w:p w:rsidR="0042387A" w:rsidRPr="0042387A" w:rsidRDefault="0042387A" w:rsidP="0042387A">
      <w:pPr>
        <w:spacing w:after="0" w:line="240" w:lineRule="auto"/>
        <w:rPr>
          <w:rFonts w:ascii="Times New Roman" w:hAnsi="Times New Roman" w:cs="Times New Roman"/>
          <w:lang w:val="es-MX"/>
        </w:rPr>
      </w:pPr>
    </w:p>
    <w:sectPr w:rsidR="0042387A" w:rsidRPr="0042387A" w:rsidSect="007D4651">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791" w:rsidRDefault="008D3791" w:rsidP="007D4651">
      <w:pPr>
        <w:spacing w:after="0" w:line="240" w:lineRule="auto"/>
      </w:pPr>
      <w:r>
        <w:separator/>
      </w:r>
    </w:p>
  </w:endnote>
  <w:endnote w:type="continuationSeparator" w:id="0">
    <w:p w:rsidR="008D3791" w:rsidRDefault="008D3791"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89789790"/>
      <w:docPartObj>
        <w:docPartGallery w:val="Page Numbers (Bottom of Page)"/>
        <w:docPartUnique/>
      </w:docPartObj>
    </w:sdtPr>
    <w:sdtEndPr/>
    <w:sdtContent>
      <w:p w:rsidR="007D4651" w:rsidRDefault="007D4651">
        <w:pPr>
          <w:pStyle w:val="Piedepgina"/>
          <w:jc w:val="right"/>
          <w:rPr>
            <w:lang w:val="es-ES"/>
          </w:rPr>
        </w:pPr>
      </w:p>
      <w:p w:rsidR="007D4651" w:rsidRDefault="007D465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33122131" wp14:editId="59902B31">
                  <wp:simplePos x="0" y="0"/>
                  <wp:positionH relativeFrom="column">
                    <wp:posOffset>1776669</wp:posOffset>
                  </wp:positionH>
                  <wp:positionV relativeFrom="paragraph">
                    <wp:posOffset>70516</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D370A4" id="3 Rectángulo" o:spid="_x0000_s1026" style="position:absolute;margin-left:139.9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Dziu1g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7D4651" w:rsidRDefault="007D465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D5EA1" w:rsidRPr="00AD5EA1">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7D4651" w:rsidRDefault="007D4651" w:rsidP="007D4651">
    <w:pPr>
      <w:pStyle w:val="Piedepgina"/>
      <w:tabs>
        <w:tab w:val="clear" w:pos="4419"/>
        <w:tab w:val="clear" w:pos="8838"/>
        <w:tab w:val="left" w:pos="5777"/>
      </w:tabs>
    </w:pPr>
  </w:p>
  <w:p w:rsidR="00EC1416" w:rsidRDefault="00EC141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9405431"/>
      <w:docPartObj>
        <w:docPartGallery w:val="Page Numbers (Bottom of Page)"/>
        <w:docPartUnique/>
      </w:docPartObj>
    </w:sdtPr>
    <w:sdtEndPr/>
    <w:sdtContent>
      <w:p w:rsidR="00E16925" w:rsidRDefault="00E16925">
        <w:pPr>
          <w:pStyle w:val="Piedepgina"/>
          <w:jc w:val="right"/>
          <w:rPr>
            <w:lang w:val="es-ES"/>
          </w:rPr>
        </w:pPr>
      </w:p>
      <w:p w:rsidR="00E16925" w:rsidRDefault="00E1692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16C38C84" wp14:editId="66F2733A">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C3C325"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16925" w:rsidRDefault="00E1692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D5EA1" w:rsidRPr="00AD5EA1">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E16925" w:rsidRDefault="00E16925" w:rsidP="007D4651">
    <w:pPr>
      <w:pStyle w:val="Piedepgina"/>
      <w:tabs>
        <w:tab w:val="clear" w:pos="4419"/>
        <w:tab w:val="clear" w:pos="8838"/>
        <w:tab w:val="left" w:pos="5777"/>
      </w:tabs>
    </w:pPr>
  </w:p>
  <w:p w:rsidR="00E16925" w:rsidRDefault="00E1692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458232133"/>
      <w:docPartObj>
        <w:docPartGallery w:val="Page Numbers (Bottom of Page)"/>
        <w:docPartUnique/>
      </w:docPartObj>
    </w:sdtPr>
    <w:sdtEndPr/>
    <w:sdtContent>
      <w:p w:rsidR="00FA3B81" w:rsidRDefault="00FA3B81">
        <w:pPr>
          <w:pStyle w:val="Piedepgina"/>
          <w:jc w:val="right"/>
          <w:rPr>
            <w:lang w:val="es-ES"/>
          </w:rPr>
        </w:pPr>
      </w:p>
      <w:p w:rsidR="00FA3B81" w:rsidRDefault="00FA3B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0747FD3D" wp14:editId="6FCACA86">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AEAB76"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A3B81" w:rsidRDefault="00FA3B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D5EA1" w:rsidRPr="00AD5EA1">
          <w:rPr>
            <w:rFonts w:ascii="Times New Roman" w:hAnsi="Times New Roman" w:cs="Times New Roman"/>
            <w:b/>
            <w:noProof/>
            <w:color w:val="1F497D" w:themeColor="text2"/>
            <w:lang w:val="es-ES"/>
          </w:rPr>
          <w:t>4</w:t>
        </w:r>
        <w:r w:rsidRPr="007D4651">
          <w:rPr>
            <w:rFonts w:ascii="Times New Roman" w:hAnsi="Times New Roman" w:cs="Times New Roman"/>
            <w:b/>
            <w:color w:val="1F497D" w:themeColor="text2"/>
          </w:rPr>
          <w:fldChar w:fldCharType="end"/>
        </w:r>
        <w:r>
          <w:rPr>
            <w:lang w:val="es-ES"/>
          </w:rPr>
          <w:t xml:space="preserve"> </w:t>
        </w:r>
      </w:p>
    </w:sdtContent>
  </w:sdt>
  <w:p w:rsidR="00FA3B81" w:rsidRDefault="00FA3B81" w:rsidP="007D4651">
    <w:pPr>
      <w:pStyle w:val="Piedepgina"/>
      <w:tabs>
        <w:tab w:val="clear" w:pos="4419"/>
        <w:tab w:val="clear" w:pos="8838"/>
        <w:tab w:val="left" w:pos="5777"/>
      </w:tabs>
    </w:pPr>
  </w:p>
  <w:p w:rsidR="00FA3B81" w:rsidRDefault="00FA3B8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520901799"/>
      <w:docPartObj>
        <w:docPartGallery w:val="Page Numbers (Bottom of Page)"/>
        <w:docPartUnique/>
      </w:docPartObj>
    </w:sdtPr>
    <w:sdtEndPr/>
    <w:sdtContent>
      <w:p w:rsidR="00F76491" w:rsidRDefault="00F76491">
        <w:pPr>
          <w:pStyle w:val="Piedepgina"/>
          <w:jc w:val="right"/>
          <w:rPr>
            <w:lang w:val="es-ES"/>
          </w:rPr>
        </w:pPr>
      </w:p>
      <w:p w:rsidR="00F76491" w:rsidRDefault="00F7649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35CBFEC8" wp14:editId="6DFA1067">
                  <wp:simplePos x="0" y="0"/>
                  <wp:positionH relativeFrom="column">
                    <wp:posOffset>1776669</wp:posOffset>
                  </wp:positionH>
                  <wp:positionV relativeFrom="paragraph">
                    <wp:posOffset>70516</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76D617" id="23 Rectángulo" o:spid="_x0000_s1026" style="position:absolute;margin-left:139.9pt;margin-top:5.55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YItCnj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76491" w:rsidRDefault="00F7649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D5EA1" w:rsidRPr="00AD5EA1">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F76491" w:rsidRDefault="00F76491" w:rsidP="007D4651">
    <w:pPr>
      <w:pStyle w:val="Piedepgina"/>
      <w:tabs>
        <w:tab w:val="clear" w:pos="4419"/>
        <w:tab w:val="clear" w:pos="8838"/>
        <w:tab w:val="left" w:pos="5777"/>
      </w:tabs>
    </w:pPr>
  </w:p>
  <w:p w:rsidR="00F76491" w:rsidRDefault="00F7649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650588095"/>
      <w:docPartObj>
        <w:docPartGallery w:val="Page Numbers (Bottom of Page)"/>
        <w:docPartUnique/>
      </w:docPartObj>
    </w:sdtPr>
    <w:sdtEndPr/>
    <w:sdtContent>
      <w:p w:rsidR="00494D1D" w:rsidRDefault="00494D1D">
        <w:pPr>
          <w:pStyle w:val="Piedepgina"/>
          <w:jc w:val="right"/>
          <w:rPr>
            <w:lang w:val="es-ES"/>
          </w:rPr>
        </w:pPr>
      </w:p>
      <w:p w:rsidR="00494D1D" w:rsidRDefault="00494D1D"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7FE6604F" wp14:editId="4409C2AA">
                  <wp:simplePos x="0" y="0"/>
                  <wp:positionH relativeFrom="column">
                    <wp:posOffset>1776669</wp:posOffset>
                  </wp:positionH>
                  <wp:positionV relativeFrom="paragraph">
                    <wp:posOffset>70516</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0491ED" id="26 Rectángulo" o:spid="_x0000_s1026" style="position:absolute;margin-left:139.9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LgM0AD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494D1D" w:rsidRDefault="00494D1D">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D5EA1" w:rsidRPr="00AD5EA1">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494D1D" w:rsidRDefault="00494D1D" w:rsidP="007D4651">
    <w:pPr>
      <w:pStyle w:val="Piedepgina"/>
      <w:tabs>
        <w:tab w:val="clear" w:pos="4419"/>
        <w:tab w:val="clear" w:pos="8838"/>
        <w:tab w:val="left" w:pos="5777"/>
      </w:tabs>
    </w:pPr>
  </w:p>
  <w:p w:rsidR="00494D1D" w:rsidRDefault="00494D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791" w:rsidRDefault="008D3791" w:rsidP="007D4651">
      <w:pPr>
        <w:spacing w:after="0" w:line="240" w:lineRule="auto"/>
      </w:pPr>
      <w:r>
        <w:separator/>
      </w:r>
    </w:p>
  </w:footnote>
  <w:footnote w:type="continuationSeparator" w:id="0">
    <w:p w:rsidR="008D3791" w:rsidRDefault="008D3791" w:rsidP="007D4651">
      <w:pPr>
        <w:spacing w:after="0" w:line="240" w:lineRule="auto"/>
      </w:pPr>
      <w:r>
        <w:continuationSeparator/>
      </w:r>
    </w:p>
  </w:footnote>
  <w:footnote w:id="1">
    <w:p w:rsidR="00FA3B81" w:rsidRPr="00782B4D" w:rsidRDefault="00FA3B81" w:rsidP="00FA3B81">
      <w:pPr>
        <w:pStyle w:val="Sinespaciado"/>
        <w:jc w:val="both"/>
        <w:rPr>
          <w:rFonts w:ascii="Times New Roman" w:hAnsi="Times New Roman" w:cs="Times New Roman"/>
          <w:sz w:val="18"/>
          <w:szCs w:val="16"/>
          <w:lang w:val="es-MX"/>
        </w:rPr>
      </w:pPr>
      <w:r>
        <w:rPr>
          <w:rStyle w:val="Refdenotaalpie"/>
        </w:rPr>
        <w:footnoteRef/>
      </w:r>
      <w:r>
        <w:t xml:space="preserve"> </w:t>
      </w:r>
      <w:r w:rsidRPr="00782B4D">
        <w:rPr>
          <w:rFonts w:ascii="Times New Roman" w:hAnsi="Times New Roman" w:cs="Times New Roman"/>
          <w:sz w:val="18"/>
          <w:szCs w:val="16"/>
        </w:rPr>
        <w:t xml:space="preserve">Los renglones de gasto que integran este componente considerado como superfluo son: </w:t>
      </w:r>
      <w:r w:rsidRPr="00782B4D">
        <w:rPr>
          <w:rFonts w:ascii="Times New Roman" w:hAnsi="Times New Roman" w:cs="Times New Roman"/>
          <w:sz w:val="18"/>
          <w:szCs w:val="16"/>
          <w:lang w:val="es-MX"/>
        </w:rPr>
        <w:t>Divulgación de información (121), Viáticos (131,132,133,134 y 135), Transporte de personas (141), Combustibles y lubricantes (262),Útiles de oficina (291),Otros materiales y suministros (299), Equipo de oficina (322), Equipo de transporte (325), Equipo de cómputo (328), Alimentos para personas (211)</w:t>
      </w:r>
    </w:p>
    <w:p w:rsidR="00FA3B81" w:rsidRDefault="00FA3B81" w:rsidP="00FA3B81">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51" w:rsidRPr="007D4651" w:rsidRDefault="007D465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61312" behindDoc="1" locked="0" layoutInCell="1" allowOverlap="1" wp14:anchorId="2E7A9466" wp14:editId="2F9BD5BD">
          <wp:simplePos x="0" y="0"/>
          <wp:positionH relativeFrom="column">
            <wp:posOffset>-89849</wp:posOffset>
          </wp:positionH>
          <wp:positionV relativeFrom="paragraph">
            <wp:posOffset>-163027</wp:posOffset>
          </wp:positionV>
          <wp:extent cx="1697990" cy="914400"/>
          <wp:effectExtent l="0" t="0" r="0" b="0"/>
          <wp:wrapNone/>
          <wp:docPr id="5" name="Imagen 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7D4651" w:rsidRPr="007D4651" w:rsidRDefault="007D4651" w:rsidP="007D4651">
    <w:pPr>
      <w:pStyle w:val="Encabezado"/>
      <w:jc w:val="right"/>
      <w:rPr>
        <w:rFonts w:ascii="Times New Roman" w:hAnsi="Times New Roman" w:cs="Times New Roman"/>
        <w:color w:val="1F497D" w:themeColor="text2"/>
        <w:lang w:val="es-MX"/>
      </w:rPr>
    </w:pPr>
    <w:r w:rsidRPr="007D4651">
      <w:rPr>
        <w:rFonts w:ascii="Times New Roman" w:hAnsi="Times New Roman" w:cs="Times New Roman"/>
        <w:color w:val="1F497D" w:themeColor="text2"/>
        <w:lang w:val="es-MX"/>
      </w:rPr>
      <w:t>Febrero 2016</w:t>
    </w:r>
  </w:p>
  <w:p w:rsidR="007D4651" w:rsidRDefault="007D465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59264" behindDoc="0" locked="0" layoutInCell="1" allowOverlap="1" wp14:anchorId="08636E7C" wp14:editId="69922EB6">
              <wp:simplePos x="0" y="0"/>
              <wp:positionH relativeFrom="column">
                <wp:posOffset>1710568</wp:posOffset>
              </wp:positionH>
              <wp:positionV relativeFrom="paragraph">
                <wp:posOffset>29118</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E83E7D" id="1 Rectángulo" o:spid="_x0000_s1026" style="position:absolute;margin-left:134.7pt;margin-top:2.3pt;width:40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3RGbA9AwAApQ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C1416" w:rsidRDefault="007D465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E16925" w:rsidRPr="00E16925" w:rsidRDefault="00E16925"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25" w:rsidRPr="007D4651" w:rsidRDefault="00E16925"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66432" behindDoc="1" locked="0" layoutInCell="1" allowOverlap="1" wp14:anchorId="6B394E0B" wp14:editId="1073FCF3">
          <wp:simplePos x="0" y="0"/>
          <wp:positionH relativeFrom="column">
            <wp:posOffset>-89849</wp:posOffset>
          </wp:positionH>
          <wp:positionV relativeFrom="paragraph">
            <wp:posOffset>-163027</wp:posOffset>
          </wp:positionV>
          <wp:extent cx="1697990" cy="914400"/>
          <wp:effectExtent l="0" t="0" r="0" b="0"/>
          <wp:wrapNone/>
          <wp:docPr id="9" name="Imagen 9"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16925" w:rsidRPr="007D4651" w:rsidRDefault="00E16925" w:rsidP="007D4651">
    <w:pPr>
      <w:pStyle w:val="Encabezado"/>
      <w:jc w:val="right"/>
      <w:rPr>
        <w:rFonts w:ascii="Times New Roman" w:hAnsi="Times New Roman" w:cs="Times New Roman"/>
        <w:color w:val="1F497D" w:themeColor="text2"/>
        <w:lang w:val="es-MX"/>
      </w:rPr>
    </w:pPr>
    <w:r w:rsidRPr="007D4651">
      <w:rPr>
        <w:rFonts w:ascii="Times New Roman" w:hAnsi="Times New Roman" w:cs="Times New Roman"/>
        <w:color w:val="1F497D" w:themeColor="text2"/>
        <w:lang w:val="es-MX"/>
      </w:rPr>
      <w:t>Febrero 2016</w:t>
    </w:r>
  </w:p>
  <w:p w:rsidR="00E16925" w:rsidRDefault="00E16925"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65408" behindDoc="0" locked="0" layoutInCell="1" allowOverlap="1" wp14:anchorId="4CBBC0FB" wp14:editId="59E73AB1">
              <wp:simplePos x="0" y="0"/>
              <wp:positionH relativeFrom="column">
                <wp:posOffset>1710568</wp:posOffset>
              </wp:positionH>
              <wp:positionV relativeFrom="paragraph">
                <wp:posOffset>29118</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085EE" id="6 Rectángulo" o:spid="_x0000_s1026" style="position:absolute;margin-left:134.7pt;margin-top:2.3pt;width:406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FTgscI9AwAApQ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16925" w:rsidRDefault="00E16925"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E16925" w:rsidRPr="00E16925" w:rsidRDefault="00E16925"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81" w:rsidRPr="007D4651" w:rsidRDefault="00FA3B8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0528" behindDoc="1" locked="0" layoutInCell="1" allowOverlap="1" wp14:anchorId="5218CD55" wp14:editId="1C8A10D8">
          <wp:simplePos x="0" y="0"/>
          <wp:positionH relativeFrom="column">
            <wp:posOffset>-89849</wp:posOffset>
          </wp:positionH>
          <wp:positionV relativeFrom="paragraph">
            <wp:posOffset>-163027</wp:posOffset>
          </wp:positionV>
          <wp:extent cx="1697990" cy="914400"/>
          <wp:effectExtent l="0" t="0" r="0" b="0"/>
          <wp:wrapNone/>
          <wp:docPr id="17" name="Imagen 1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FA3B81" w:rsidRPr="007D4651" w:rsidRDefault="00FA3B81" w:rsidP="007D4651">
    <w:pPr>
      <w:pStyle w:val="Encabezado"/>
      <w:jc w:val="right"/>
      <w:rPr>
        <w:rFonts w:ascii="Times New Roman" w:hAnsi="Times New Roman" w:cs="Times New Roman"/>
        <w:color w:val="1F497D" w:themeColor="text2"/>
        <w:lang w:val="es-MX"/>
      </w:rPr>
    </w:pPr>
    <w:r w:rsidRPr="007D4651">
      <w:rPr>
        <w:rFonts w:ascii="Times New Roman" w:hAnsi="Times New Roman" w:cs="Times New Roman"/>
        <w:color w:val="1F497D" w:themeColor="text2"/>
        <w:lang w:val="es-MX"/>
      </w:rPr>
      <w:t>Febrero 2016</w:t>
    </w:r>
  </w:p>
  <w:p w:rsidR="00FA3B81" w:rsidRDefault="00FA3B8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69504" behindDoc="0" locked="0" layoutInCell="1" allowOverlap="1" wp14:anchorId="77B4F593" wp14:editId="743DF0B3">
              <wp:simplePos x="0" y="0"/>
              <wp:positionH relativeFrom="column">
                <wp:posOffset>1710568</wp:posOffset>
              </wp:positionH>
              <wp:positionV relativeFrom="paragraph">
                <wp:posOffset>29118</wp:posOffset>
              </wp:positionV>
              <wp:extent cx="5155894" cy="45719"/>
              <wp:effectExtent l="38100" t="38100" r="64135" b="88265"/>
              <wp:wrapNone/>
              <wp:docPr id="15" name="15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56B09F" id="15 Rectángulo" o:spid="_x0000_s1026" style="position:absolute;margin-left:134.7pt;margin-top:2.3pt;width:406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&#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J9X2/A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FA3B81" w:rsidRDefault="00FA3B8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FA3B81" w:rsidRPr="00E16925" w:rsidRDefault="00FA3B81"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91" w:rsidRPr="007D4651" w:rsidRDefault="00F7649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428558BB" wp14:editId="10A9CA97">
          <wp:simplePos x="0" y="0"/>
          <wp:positionH relativeFrom="column">
            <wp:posOffset>-89849</wp:posOffset>
          </wp:positionH>
          <wp:positionV relativeFrom="paragraph">
            <wp:posOffset>-163027</wp:posOffset>
          </wp:positionV>
          <wp:extent cx="1697990" cy="914400"/>
          <wp:effectExtent l="0" t="0" r="0" b="0"/>
          <wp:wrapNone/>
          <wp:docPr id="24" name="Imagen 24"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F76491" w:rsidRPr="007D4651" w:rsidRDefault="00F76491" w:rsidP="007D4651">
    <w:pPr>
      <w:pStyle w:val="Encabezado"/>
      <w:jc w:val="right"/>
      <w:rPr>
        <w:rFonts w:ascii="Times New Roman" w:hAnsi="Times New Roman" w:cs="Times New Roman"/>
        <w:color w:val="1F497D" w:themeColor="text2"/>
        <w:lang w:val="es-MX"/>
      </w:rPr>
    </w:pPr>
    <w:r w:rsidRPr="007D4651">
      <w:rPr>
        <w:rFonts w:ascii="Times New Roman" w:hAnsi="Times New Roman" w:cs="Times New Roman"/>
        <w:color w:val="1F497D" w:themeColor="text2"/>
        <w:lang w:val="es-MX"/>
      </w:rPr>
      <w:t>Febrero 2016</w:t>
    </w:r>
  </w:p>
  <w:p w:rsidR="00F76491" w:rsidRDefault="00F7649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5CCDAF5D" wp14:editId="59CD5894">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F3FF22"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F76491" w:rsidRDefault="00F7649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F76491" w:rsidRPr="00E16925" w:rsidRDefault="00F76491"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1D" w:rsidRPr="007D4651" w:rsidRDefault="00494D1D"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8720" behindDoc="1" locked="0" layoutInCell="1" allowOverlap="1" wp14:anchorId="3D0988C6" wp14:editId="31D0DEA2">
          <wp:simplePos x="0" y="0"/>
          <wp:positionH relativeFrom="column">
            <wp:posOffset>-89849</wp:posOffset>
          </wp:positionH>
          <wp:positionV relativeFrom="paragraph">
            <wp:posOffset>-163027</wp:posOffset>
          </wp:positionV>
          <wp:extent cx="1697990" cy="914400"/>
          <wp:effectExtent l="0" t="0" r="0" b="0"/>
          <wp:wrapNone/>
          <wp:docPr id="27"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494D1D" w:rsidRPr="007D4651" w:rsidRDefault="00494D1D" w:rsidP="007D4651">
    <w:pPr>
      <w:pStyle w:val="Encabezado"/>
      <w:jc w:val="right"/>
      <w:rPr>
        <w:rFonts w:ascii="Times New Roman" w:hAnsi="Times New Roman" w:cs="Times New Roman"/>
        <w:color w:val="1F497D" w:themeColor="text2"/>
        <w:lang w:val="es-MX"/>
      </w:rPr>
    </w:pPr>
    <w:r w:rsidRPr="007D4651">
      <w:rPr>
        <w:rFonts w:ascii="Times New Roman" w:hAnsi="Times New Roman" w:cs="Times New Roman"/>
        <w:color w:val="1F497D" w:themeColor="text2"/>
        <w:lang w:val="es-MX"/>
      </w:rPr>
      <w:t>Febrero 2016</w:t>
    </w:r>
  </w:p>
  <w:p w:rsidR="00494D1D" w:rsidRDefault="00494D1D"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7696" behindDoc="0" locked="0" layoutInCell="1" allowOverlap="1" wp14:anchorId="34F9CA5D" wp14:editId="6DD51FA2">
              <wp:simplePos x="0" y="0"/>
              <wp:positionH relativeFrom="column">
                <wp:posOffset>1710568</wp:posOffset>
              </wp:positionH>
              <wp:positionV relativeFrom="paragraph">
                <wp:posOffset>29118</wp:posOffset>
              </wp:positionV>
              <wp:extent cx="5155894" cy="45719"/>
              <wp:effectExtent l="38100" t="38100" r="64135" b="88265"/>
              <wp:wrapNone/>
              <wp:docPr id="25" name="25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8554E5" id="25 Rectángulo" o:spid="_x0000_s1026" style="position:absolute;margin-left:134.7pt;margin-top:2.3pt;width:406pt;height: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&#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BVXKI2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494D1D" w:rsidRDefault="00494D1D"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494D1D" w:rsidRPr="00E16925" w:rsidRDefault="00494D1D"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1"/>
    <w:rsid w:val="0042387A"/>
    <w:rsid w:val="00494D1D"/>
    <w:rsid w:val="00495F43"/>
    <w:rsid w:val="00741F6B"/>
    <w:rsid w:val="00754057"/>
    <w:rsid w:val="007D4651"/>
    <w:rsid w:val="00892DE1"/>
    <w:rsid w:val="008D3791"/>
    <w:rsid w:val="00AD5EA1"/>
    <w:rsid w:val="00BC7539"/>
    <w:rsid w:val="00D66D34"/>
    <w:rsid w:val="00E16925"/>
    <w:rsid w:val="00EC1416"/>
    <w:rsid w:val="00ED2C29"/>
    <w:rsid w:val="00F76491"/>
    <w:rsid w:val="00FA3B8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2F13F"/>
  <w15:docId w15:val="{AF950442-A6D0-4BF7-9D89-CDE1F9B7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image" Target="media/image5.png"/><Relationship Id="rId26"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edeleon.DC-DI01\Desktop\escritorio%2020%20marzo%202014\graficos%20de%20&#237;ndices%20burs&#225;tiles%20para%20informe%20sema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8298817830698"/>
          <c:y val="3.086114235720535E-2"/>
          <c:w val="0.76791231284768646"/>
          <c:h val="0.91486708846221276"/>
        </c:manualLayout>
      </c:layout>
      <c:barChart>
        <c:barDir val="bar"/>
        <c:grouping val="clustered"/>
        <c:varyColors val="0"/>
        <c:ser>
          <c:idx val="0"/>
          <c:order val="0"/>
          <c:tx>
            <c:strRef>
              <c:f>Hoja1!$B$1</c:f>
              <c:strCache>
                <c:ptCount val="1"/>
                <c:pt idx="0">
                  <c:v>2016-2015</c:v>
                </c:pt>
              </c:strCache>
            </c:strRef>
          </c:tx>
          <c:spPr>
            <a:solidFill>
              <a:srgbClr val="00B050"/>
            </a:solidFill>
          </c:spPr>
          <c:invertIfNegative val="0"/>
          <c:dPt>
            <c:idx val="0"/>
            <c:invertIfNegative val="0"/>
            <c:bubble3D val="0"/>
            <c:spPr>
              <a:solidFill>
                <a:schemeClr val="accent2"/>
              </a:solidFill>
            </c:spPr>
            <c:extLst>
              <c:ext xmlns:c16="http://schemas.microsoft.com/office/drawing/2014/chart" uri="{C3380CC4-5D6E-409C-BE32-E72D297353CC}">
                <c16:uniqueId val="{00000001-0E5C-4273-9B1A-B811FE1388CD}"/>
              </c:ext>
            </c:extLst>
          </c:dPt>
          <c:dPt>
            <c:idx val="1"/>
            <c:invertIfNegative val="0"/>
            <c:bubble3D val="0"/>
            <c:spPr>
              <a:solidFill>
                <a:schemeClr val="accent2"/>
              </a:solidFill>
            </c:spPr>
            <c:extLst>
              <c:ext xmlns:c16="http://schemas.microsoft.com/office/drawing/2014/chart" uri="{C3380CC4-5D6E-409C-BE32-E72D297353CC}">
                <c16:uniqueId val="{00000003-0E5C-4273-9B1A-B811FE1388CD}"/>
              </c:ext>
            </c:extLst>
          </c:dPt>
          <c:dPt>
            <c:idx val="2"/>
            <c:invertIfNegative val="0"/>
            <c:bubble3D val="0"/>
            <c:spPr>
              <a:solidFill>
                <a:schemeClr val="accent2"/>
              </a:solidFill>
            </c:spPr>
            <c:extLst>
              <c:ext xmlns:c16="http://schemas.microsoft.com/office/drawing/2014/chart" uri="{C3380CC4-5D6E-409C-BE32-E72D297353CC}">
                <c16:uniqueId val="{00000005-0E5C-4273-9B1A-B811FE1388CD}"/>
              </c:ext>
            </c:extLst>
          </c:dPt>
          <c:dPt>
            <c:idx val="3"/>
            <c:invertIfNegative val="0"/>
            <c:bubble3D val="0"/>
            <c:spPr>
              <a:solidFill>
                <a:schemeClr val="accent2"/>
              </a:solidFill>
            </c:spPr>
            <c:extLst>
              <c:ext xmlns:c16="http://schemas.microsoft.com/office/drawing/2014/chart" uri="{C3380CC4-5D6E-409C-BE32-E72D297353CC}">
                <c16:uniqueId val="{00000007-0E5C-4273-9B1A-B811FE1388CD}"/>
              </c:ext>
            </c:extLst>
          </c:dPt>
          <c:dLbls>
            <c:dLbl>
              <c:idx val="0"/>
              <c:spPr/>
              <c:txPr>
                <a:bodyPr/>
                <a:lstStyle/>
                <a:p>
                  <a:pPr>
                    <a:defRPr sz="600" b="1">
                      <a:solidFill>
                        <a:srgbClr val="C00000"/>
                      </a:solidFill>
                    </a:defRPr>
                  </a:pPr>
                  <a:endParaRPr lang="es-GT"/>
                </a:p>
              </c:txPr>
              <c:showLegendKey val="0"/>
              <c:showVal val="1"/>
              <c:showCatName val="0"/>
              <c:showSerName val="0"/>
              <c:showPercent val="0"/>
              <c:showBubbleSize val="0"/>
              <c:extLst>
                <c:ext xmlns:c16="http://schemas.microsoft.com/office/drawing/2014/chart" uri="{C3380CC4-5D6E-409C-BE32-E72D297353CC}">
                  <c16:uniqueId val="{00000001-0E5C-4273-9B1A-B811FE1388CD}"/>
                </c:ext>
              </c:extLst>
            </c:dLbl>
            <c:dLbl>
              <c:idx val="1"/>
              <c:spPr/>
              <c:txPr>
                <a:bodyPr/>
                <a:lstStyle/>
                <a:p>
                  <a:pPr>
                    <a:defRPr sz="600" b="1">
                      <a:solidFill>
                        <a:srgbClr val="C00000"/>
                      </a:solidFill>
                    </a:defRPr>
                  </a:pPr>
                  <a:endParaRPr lang="es-GT"/>
                </a:p>
              </c:txPr>
              <c:showLegendKey val="0"/>
              <c:showVal val="1"/>
              <c:showCatName val="0"/>
              <c:showSerName val="0"/>
              <c:showPercent val="0"/>
              <c:showBubbleSize val="0"/>
              <c:extLst>
                <c:ext xmlns:c16="http://schemas.microsoft.com/office/drawing/2014/chart" uri="{C3380CC4-5D6E-409C-BE32-E72D297353CC}">
                  <c16:uniqueId val="{00000003-0E5C-4273-9B1A-B811FE1388CD}"/>
                </c:ext>
              </c:extLst>
            </c:dLbl>
            <c:dLbl>
              <c:idx val="2"/>
              <c:spPr/>
              <c:txPr>
                <a:bodyPr/>
                <a:lstStyle/>
                <a:p>
                  <a:pPr>
                    <a:defRPr sz="600" b="1">
                      <a:solidFill>
                        <a:srgbClr val="C00000"/>
                      </a:solidFill>
                    </a:defRPr>
                  </a:pPr>
                  <a:endParaRPr lang="es-GT"/>
                </a:p>
              </c:txPr>
              <c:showLegendKey val="0"/>
              <c:showVal val="1"/>
              <c:showCatName val="0"/>
              <c:showSerName val="0"/>
              <c:showPercent val="0"/>
              <c:showBubbleSize val="0"/>
              <c:extLst>
                <c:ext xmlns:c16="http://schemas.microsoft.com/office/drawing/2014/chart" uri="{C3380CC4-5D6E-409C-BE32-E72D297353CC}">
                  <c16:uniqueId val="{00000005-0E5C-4273-9B1A-B811FE1388CD}"/>
                </c:ext>
              </c:extLst>
            </c:dLbl>
            <c:dLbl>
              <c:idx val="3"/>
              <c:spPr/>
              <c:txPr>
                <a:bodyPr/>
                <a:lstStyle/>
                <a:p>
                  <a:pPr>
                    <a:defRPr sz="600" b="1">
                      <a:solidFill>
                        <a:srgbClr val="C00000"/>
                      </a:solidFill>
                    </a:defRPr>
                  </a:pPr>
                  <a:endParaRPr lang="es-GT"/>
                </a:p>
              </c:txPr>
              <c:showLegendKey val="0"/>
              <c:showVal val="1"/>
              <c:showCatName val="0"/>
              <c:showSerName val="0"/>
              <c:showPercent val="0"/>
              <c:showBubbleSize val="0"/>
              <c:extLst>
                <c:ext xmlns:c16="http://schemas.microsoft.com/office/drawing/2014/chart" uri="{C3380CC4-5D6E-409C-BE32-E72D297353CC}">
                  <c16:uniqueId val="{00000007-0E5C-4273-9B1A-B811FE1388CD}"/>
                </c:ext>
              </c:extLst>
            </c:dLbl>
            <c:spPr>
              <a:noFill/>
              <a:ln>
                <a:noFill/>
              </a:ln>
              <a:effectLst/>
            </c:spPr>
            <c:txPr>
              <a:bodyPr/>
              <a:lstStyle/>
              <a:p>
                <a:pPr>
                  <a:defRPr sz="600" b="1">
                    <a:solidFill>
                      <a:srgbClr val="00B05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Hoja1!$A$2:$A$19</c:f>
              <c:strCache>
                <c:ptCount val="16"/>
                <c:pt idx="0">
                  <c:v>ISR</c:v>
                </c:pt>
                <c:pt idx="1">
                  <c:v>IVA imp</c:v>
                </c:pt>
                <c:pt idx="2">
                  <c:v>Cemento</c:v>
                </c:pt>
                <c:pt idx="3">
                  <c:v>Regalías</c:v>
                </c:pt>
                <c:pt idx="4">
                  <c:v>Otros</c:v>
                </c:pt>
                <c:pt idx="5">
                  <c:v>Propiedad</c:v>
                </c:pt>
                <c:pt idx="6">
                  <c:v>Timbres</c:v>
                </c:pt>
                <c:pt idx="7">
                  <c:v>Salidas</c:v>
                </c:pt>
                <c:pt idx="8">
                  <c:v>IPRIMA</c:v>
                </c:pt>
                <c:pt idx="9">
                  <c:v>Bebidas</c:v>
                </c:pt>
                <c:pt idx="10">
                  <c:v>Tabacos</c:v>
                </c:pt>
                <c:pt idx="11">
                  <c:v>Vehículos</c:v>
                </c:pt>
                <c:pt idx="12">
                  <c:v>Petróleo</c:v>
                </c:pt>
                <c:pt idx="13">
                  <c:v>DAI</c:v>
                </c:pt>
                <c:pt idx="14">
                  <c:v>IVA dom</c:v>
                </c:pt>
                <c:pt idx="15">
                  <c:v>ISO</c:v>
                </c:pt>
              </c:strCache>
            </c:strRef>
          </c:cat>
          <c:val>
            <c:numRef>
              <c:f>Hoja1!$B$2:$B$19</c:f>
              <c:numCache>
                <c:formatCode>0.0</c:formatCode>
                <c:ptCount val="16"/>
                <c:pt idx="0">
                  <c:v>-90.273952820000204</c:v>
                </c:pt>
                <c:pt idx="1">
                  <c:v>-70.434795859999667</c:v>
                </c:pt>
                <c:pt idx="2">
                  <c:v>-19.633143669999995</c:v>
                </c:pt>
                <c:pt idx="3">
                  <c:v>-7.5617317399999919</c:v>
                </c:pt>
                <c:pt idx="4">
                  <c:v>0.27652843000000005</c:v>
                </c:pt>
                <c:pt idx="5">
                  <c:v>0.87452718000000029</c:v>
                </c:pt>
                <c:pt idx="6">
                  <c:v>3.8168282999999903</c:v>
                </c:pt>
                <c:pt idx="7">
                  <c:v>3.8617147900000006</c:v>
                </c:pt>
                <c:pt idx="8">
                  <c:v>4.9193254299999865</c:v>
                </c:pt>
                <c:pt idx="9">
                  <c:v>8.6551352200000053</c:v>
                </c:pt>
                <c:pt idx="10">
                  <c:v>12.138186730000001</c:v>
                </c:pt>
                <c:pt idx="11">
                  <c:v>16.168416350000001</c:v>
                </c:pt>
                <c:pt idx="12">
                  <c:v>36.89697362000004</c:v>
                </c:pt>
                <c:pt idx="13">
                  <c:v>52.226780959999928</c:v>
                </c:pt>
                <c:pt idx="14">
                  <c:v>87.077868809999927</c:v>
                </c:pt>
                <c:pt idx="15">
                  <c:v>96.759562699999947</c:v>
                </c:pt>
              </c:numCache>
            </c:numRef>
          </c:val>
          <c:extLst>
            <c:ext xmlns:c16="http://schemas.microsoft.com/office/drawing/2014/chart" uri="{C3380CC4-5D6E-409C-BE32-E72D297353CC}">
              <c16:uniqueId val="{00000008-0E5C-4273-9B1A-B811FE1388CD}"/>
            </c:ext>
          </c:extLst>
        </c:ser>
        <c:dLbls>
          <c:showLegendKey val="0"/>
          <c:showVal val="0"/>
          <c:showCatName val="0"/>
          <c:showSerName val="0"/>
          <c:showPercent val="0"/>
          <c:showBubbleSize val="0"/>
        </c:dLbls>
        <c:gapWidth val="61"/>
        <c:axId val="188523648"/>
        <c:axId val="188525184"/>
      </c:barChart>
      <c:catAx>
        <c:axId val="188523648"/>
        <c:scaling>
          <c:orientation val="minMax"/>
        </c:scaling>
        <c:delete val="0"/>
        <c:axPos val="l"/>
        <c:majorGridlines>
          <c:spPr>
            <a:ln>
              <a:solidFill>
                <a:schemeClr val="accent1">
                  <a:shade val="95000"/>
                  <a:satMod val="105000"/>
                  <a:alpha val="15000"/>
                </a:schemeClr>
              </a:solidFill>
            </a:ln>
          </c:spPr>
        </c:majorGridlines>
        <c:numFmt formatCode="General" sourceLinked="0"/>
        <c:majorTickMark val="out"/>
        <c:minorTickMark val="none"/>
        <c:tickLblPos val="low"/>
        <c:txPr>
          <a:bodyPr/>
          <a:lstStyle/>
          <a:p>
            <a:pPr>
              <a:defRPr sz="700" b="1"/>
            </a:pPr>
            <a:endParaRPr lang="es-GT"/>
          </a:p>
        </c:txPr>
        <c:crossAx val="188525184"/>
        <c:crosses val="autoZero"/>
        <c:auto val="1"/>
        <c:lblAlgn val="ctr"/>
        <c:lblOffset val="100"/>
        <c:noMultiLvlLbl val="0"/>
      </c:catAx>
      <c:valAx>
        <c:axId val="188525184"/>
        <c:scaling>
          <c:orientation val="minMax"/>
          <c:max val="150"/>
          <c:min val="-125"/>
        </c:scaling>
        <c:delete val="0"/>
        <c:axPos val="b"/>
        <c:majorGridlines>
          <c:spPr>
            <a:ln>
              <a:solidFill>
                <a:schemeClr val="accent1">
                  <a:shade val="95000"/>
                  <a:satMod val="105000"/>
                  <a:alpha val="15000"/>
                </a:schemeClr>
              </a:solidFill>
            </a:ln>
          </c:spPr>
        </c:majorGridlines>
        <c:numFmt formatCode="0" sourceLinked="0"/>
        <c:majorTickMark val="out"/>
        <c:minorTickMark val="none"/>
        <c:tickLblPos val="nextTo"/>
        <c:txPr>
          <a:bodyPr/>
          <a:lstStyle/>
          <a:p>
            <a:pPr>
              <a:defRPr sz="700" b="1"/>
            </a:pPr>
            <a:endParaRPr lang="es-GT"/>
          </a:p>
        </c:txPr>
        <c:crossAx val="188523648"/>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50669790843618"/>
          <c:y val="8.9685139167490005E-2"/>
          <c:w val="0.84749330209156382"/>
          <c:h val="0.71533666656686912"/>
        </c:manualLayout>
      </c:layout>
      <c:barChart>
        <c:barDir val="col"/>
        <c:grouping val="clustered"/>
        <c:varyColors val="0"/>
        <c:ser>
          <c:idx val="0"/>
          <c:order val="0"/>
          <c:tx>
            <c:strRef>
              <c:f>Hoja1!$B$1</c:f>
              <c:strCache>
                <c:ptCount val="1"/>
                <c:pt idx="0">
                  <c:v>2015</c:v>
                </c:pt>
              </c:strCache>
            </c:strRef>
          </c:tx>
          <c:spPr>
            <a:solidFill>
              <a:schemeClr val="accent6">
                <a:lumMod val="75000"/>
              </a:schemeClr>
            </a:solidFill>
          </c:spPr>
          <c:invertIfNegative val="0"/>
          <c:dLbls>
            <c:numFmt formatCode="#,##0.0" sourceLinked="0"/>
            <c:spPr>
              <a:noFill/>
              <a:ln>
                <a:noFill/>
              </a:ln>
              <a:effectLst/>
            </c:spPr>
            <c:txPr>
              <a:bodyPr/>
              <a:lstStyle/>
              <a:p>
                <a:pPr>
                  <a:defRPr b="1">
                    <a:solidFill>
                      <a:schemeClr val="accent6">
                        <a:lumMod val="75000"/>
                      </a:schemeClr>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Enero</c:v>
                </c:pt>
                <c:pt idx="1">
                  <c:v>Febrero</c:v>
                </c:pt>
              </c:strCache>
            </c:strRef>
          </c:cat>
          <c:val>
            <c:numRef>
              <c:f>Hoja1!$B$2:$B$3</c:f>
              <c:numCache>
                <c:formatCode>General</c:formatCode>
                <c:ptCount val="2"/>
                <c:pt idx="0">
                  <c:v>1110.5704849000001</c:v>
                </c:pt>
                <c:pt idx="1">
                  <c:v>896.07514461000005</c:v>
                </c:pt>
              </c:numCache>
            </c:numRef>
          </c:val>
          <c:extLst>
            <c:ext xmlns:c16="http://schemas.microsoft.com/office/drawing/2014/chart" uri="{C3380CC4-5D6E-409C-BE32-E72D297353CC}">
              <c16:uniqueId val="{00000000-409C-4010-9CE3-D59C746C683A}"/>
            </c:ext>
          </c:extLst>
        </c:ser>
        <c:ser>
          <c:idx val="1"/>
          <c:order val="1"/>
          <c:tx>
            <c:strRef>
              <c:f>Hoja1!$C$1</c:f>
              <c:strCache>
                <c:ptCount val="1"/>
                <c:pt idx="0">
                  <c:v>2016</c:v>
                </c:pt>
              </c:strCache>
            </c:strRef>
          </c:tx>
          <c:spPr>
            <a:solidFill>
              <a:srgbClr val="0070C0"/>
            </a:solidFill>
          </c:spPr>
          <c:invertIfNegative val="0"/>
          <c:dLbls>
            <c:numFmt formatCode="#,##0.0" sourceLinked="0"/>
            <c:spPr>
              <a:noFill/>
              <a:ln>
                <a:noFill/>
              </a:ln>
              <a:effectLst/>
            </c:spPr>
            <c:txPr>
              <a:bodyPr/>
              <a:lstStyle/>
              <a:p>
                <a:pPr>
                  <a:defRPr b="1">
                    <a:solidFill>
                      <a:srgbClr val="0070C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Enero</c:v>
                </c:pt>
                <c:pt idx="1">
                  <c:v>Febrero</c:v>
                </c:pt>
              </c:strCache>
            </c:strRef>
          </c:cat>
          <c:val>
            <c:numRef>
              <c:f>Hoja1!$C$2:$C$3</c:f>
              <c:numCache>
                <c:formatCode>General</c:formatCode>
                <c:ptCount val="2"/>
                <c:pt idx="0">
                  <c:v>1139.41660215</c:v>
                </c:pt>
                <c:pt idx="1">
                  <c:v>776.95507453999994</c:v>
                </c:pt>
              </c:numCache>
            </c:numRef>
          </c:val>
          <c:extLst>
            <c:ext xmlns:c16="http://schemas.microsoft.com/office/drawing/2014/chart" uri="{C3380CC4-5D6E-409C-BE32-E72D297353CC}">
              <c16:uniqueId val="{00000001-409C-4010-9CE3-D59C746C683A}"/>
            </c:ext>
          </c:extLst>
        </c:ser>
        <c:dLbls>
          <c:showLegendKey val="0"/>
          <c:showVal val="0"/>
          <c:showCatName val="0"/>
          <c:showSerName val="0"/>
          <c:showPercent val="0"/>
          <c:showBubbleSize val="0"/>
        </c:dLbls>
        <c:gapWidth val="67"/>
        <c:axId val="192257408"/>
        <c:axId val="194446464"/>
      </c:barChart>
      <c:catAx>
        <c:axId val="192257408"/>
        <c:scaling>
          <c:orientation val="minMax"/>
        </c:scaling>
        <c:delete val="0"/>
        <c:axPos val="b"/>
        <c:numFmt formatCode="General" sourceLinked="0"/>
        <c:majorTickMark val="out"/>
        <c:minorTickMark val="none"/>
        <c:tickLblPos val="nextTo"/>
        <c:txPr>
          <a:bodyPr/>
          <a:lstStyle/>
          <a:p>
            <a:pPr>
              <a:defRPr b="1"/>
            </a:pPr>
            <a:endParaRPr lang="es-GT"/>
          </a:p>
        </c:txPr>
        <c:crossAx val="194446464"/>
        <c:crosses val="autoZero"/>
        <c:auto val="1"/>
        <c:lblAlgn val="ctr"/>
        <c:lblOffset val="100"/>
        <c:noMultiLvlLbl val="0"/>
      </c:catAx>
      <c:valAx>
        <c:axId val="194446464"/>
        <c:scaling>
          <c:orientation val="minMax"/>
        </c:scaling>
        <c:delete val="0"/>
        <c:axPos val="l"/>
        <c:numFmt formatCode="General" sourceLinked="1"/>
        <c:majorTickMark val="out"/>
        <c:minorTickMark val="none"/>
        <c:tickLblPos val="nextTo"/>
        <c:crossAx val="192257408"/>
        <c:crosses val="autoZero"/>
        <c:crossBetween val="between"/>
      </c:valAx>
    </c:plotArea>
    <c:legend>
      <c:legendPos val="b"/>
      <c:layout>
        <c:manualLayout>
          <c:xMode val="edge"/>
          <c:yMode val="edge"/>
          <c:x val="0.39406697000245211"/>
          <c:y val="0.89330708661417324"/>
          <c:w val="0.33181956061720663"/>
          <c:h val="0.10669291338582677"/>
        </c:manualLayout>
      </c:layout>
      <c:overlay val="0"/>
      <c:txPr>
        <a:bodyPr/>
        <a:lstStyle/>
        <a:p>
          <a:pPr>
            <a:defRPr b="1"/>
          </a:pPr>
          <a:endParaRPr lang="es-GT"/>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968399960683759E-2"/>
          <c:y val="3.6326363263632637E-2"/>
          <c:w val="0.90993055757329222"/>
          <c:h val="0.71958601848173243"/>
        </c:manualLayout>
      </c:layout>
      <c:barChart>
        <c:barDir val="col"/>
        <c:grouping val="clustered"/>
        <c:varyColors val="0"/>
        <c:ser>
          <c:idx val="0"/>
          <c:order val="0"/>
          <c:spPr>
            <a:effectLst>
              <a:outerShdw blurRad="50800" dist="38100" dir="2700000" algn="tl" rotWithShape="0">
                <a:prstClr val="black">
                  <a:alpha val="40000"/>
                </a:prstClr>
              </a:outerShdw>
            </a:effectLst>
            <a:scene3d>
              <a:camera prst="orthographicFront"/>
              <a:lightRig rig="threePt" dir="t"/>
            </a:scene3d>
            <a:sp3d>
              <a:bevelT/>
            </a:sp3d>
          </c:spPr>
          <c:invertIfNegative val="0"/>
          <c:dLbls>
            <c:dLbl>
              <c:idx val="11"/>
              <c:spPr/>
              <c:txPr>
                <a:bodyPr/>
                <a:lstStyle/>
                <a:p>
                  <a:pPr>
                    <a:defRPr sz="800" b="1"/>
                  </a:pPr>
                  <a:endParaRPr lang="es-GT"/>
                </a:p>
              </c:txPr>
              <c:showLegendKey val="0"/>
              <c:showVal val="1"/>
              <c:showCatName val="0"/>
              <c:showSerName val="0"/>
              <c:showPercent val="0"/>
              <c:showBubbleSize val="0"/>
              <c:extLst>
                <c:ext xmlns:c16="http://schemas.microsoft.com/office/drawing/2014/chart" uri="{C3380CC4-5D6E-409C-BE32-E72D297353CC}">
                  <c16:uniqueId val="{00000000-7123-4403-A6C9-0D10435A4DC4}"/>
                </c:ext>
              </c:extLst>
            </c:dLbl>
            <c:spPr>
              <a:noFill/>
              <a:ln>
                <a:noFill/>
              </a:ln>
              <a:effectLst/>
            </c:spPr>
            <c:txPr>
              <a:bodyPr/>
              <a:lstStyle/>
              <a:p>
                <a:pPr>
                  <a:defRPr sz="8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Hoja1!$D$4:$D$15</c:f>
              <c:numCache>
                <c:formatCode>mmm\-yy</c:formatCode>
                <c:ptCount val="12"/>
                <c:pt idx="0">
                  <c:v>42064</c:v>
                </c:pt>
                <c:pt idx="1">
                  <c:v>42095</c:v>
                </c:pt>
                <c:pt idx="2">
                  <c:v>42125</c:v>
                </c:pt>
                <c:pt idx="3">
                  <c:v>42156</c:v>
                </c:pt>
                <c:pt idx="4">
                  <c:v>42186</c:v>
                </c:pt>
                <c:pt idx="5">
                  <c:v>42217</c:v>
                </c:pt>
                <c:pt idx="6">
                  <c:v>42248</c:v>
                </c:pt>
                <c:pt idx="7">
                  <c:v>42278</c:v>
                </c:pt>
                <c:pt idx="8">
                  <c:v>42309</c:v>
                </c:pt>
                <c:pt idx="9">
                  <c:v>42339</c:v>
                </c:pt>
                <c:pt idx="10">
                  <c:v>42370</c:v>
                </c:pt>
                <c:pt idx="11">
                  <c:v>42401</c:v>
                </c:pt>
              </c:numCache>
            </c:numRef>
          </c:cat>
          <c:val>
            <c:numRef>
              <c:f>Hoja1!$E$4:$E$15</c:f>
              <c:numCache>
                <c:formatCode>General</c:formatCode>
                <c:ptCount val="12"/>
                <c:pt idx="0">
                  <c:v>5.5</c:v>
                </c:pt>
                <c:pt idx="1">
                  <c:v>5.4</c:v>
                </c:pt>
                <c:pt idx="2">
                  <c:v>5.5</c:v>
                </c:pt>
                <c:pt idx="3">
                  <c:v>5.3</c:v>
                </c:pt>
                <c:pt idx="4">
                  <c:v>5.3</c:v>
                </c:pt>
                <c:pt idx="5">
                  <c:v>5.0999999999999996</c:v>
                </c:pt>
                <c:pt idx="6">
                  <c:v>5.0999999999999996</c:v>
                </c:pt>
                <c:pt idx="7">
                  <c:v>5</c:v>
                </c:pt>
                <c:pt idx="8">
                  <c:v>5</c:v>
                </c:pt>
                <c:pt idx="9">
                  <c:v>5</c:v>
                </c:pt>
                <c:pt idx="10">
                  <c:v>4.9000000000000004</c:v>
                </c:pt>
                <c:pt idx="11">
                  <c:v>4.9000000000000004</c:v>
                </c:pt>
              </c:numCache>
            </c:numRef>
          </c:val>
          <c:extLst>
            <c:ext xmlns:c16="http://schemas.microsoft.com/office/drawing/2014/chart" uri="{C3380CC4-5D6E-409C-BE32-E72D297353CC}">
              <c16:uniqueId val="{00000001-7123-4403-A6C9-0D10435A4DC4}"/>
            </c:ext>
          </c:extLst>
        </c:ser>
        <c:dLbls>
          <c:showLegendKey val="0"/>
          <c:showVal val="0"/>
          <c:showCatName val="0"/>
          <c:showSerName val="0"/>
          <c:showPercent val="0"/>
          <c:showBubbleSize val="0"/>
        </c:dLbls>
        <c:gapWidth val="40"/>
        <c:axId val="194491904"/>
        <c:axId val="194493440"/>
      </c:barChart>
      <c:dateAx>
        <c:axId val="194491904"/>
        <c:scaling>
          <c:orientation val="minMax"/>
        </c:scaling>
        <c:delete val="0"/>
        <c:axPos val="b"/>
        <c:numFmt formatCode="mmm\-yy" sourceLinked="1"/>
        <c:majorTickMark val="out"/>
        <c:minorTickMark val="none"/>
        <c:tickLblPos val="nextTo"/>
        <c:txPr>
          <a:bodyPr/>
          <a:lstStyle/>
          <a:p>
            <a:pPr>
              <a:defRPr sz="800"/>
            </a:pPr>
            <a:endParaRPr lang="es-GT"/>
          </a:p>
        </c:txPr>
        <c:crossAx val="194493440"/>
        <c:crosses val="autoZero"/>
        <c:auto val="1"/>
        <c:lblOffset val="100"/>
        <c:baseTimeUnit val="months"/>
      </c:dateAx>
      <c:valAx>
        <c:axId val="194493440"/>
        <c:scaling>
          <c:orientation val="minMax"/>
        </c:scaling>
        <c:delete val="0"/>
        <c:axPos val="l"/>
        <c:numFmt formatCode="General" sourceLinked="1"/>
        <c:majorTickMark val="out"/>
        <c:minorTickMark val="none"/>
        <c:tickLblPos val="nextTo"/>
        <c:txPr>
          <a:bodyPr/>
          <a:lstStyle/>
          <a:p>
            <a:pPr>
              <a:defRPr sz="800"/>
            </a:pPr>
            <a:endParaRPr lang="es-GT"/>
          </a:p>
        </c:txPr>
        <c:crossAx val="194491904"/>
        <c:crosses val="autoZero"/>
        <c:crossBetween val="between"/>
      </c:valAx>
      <c:spPr>
        <a:ln>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s-GT"/>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51376742113877"/>
          <c:y val="9.0090090090090086E-2"/>
          <c:w val="0.82236569137344917"/>
          <c:h val="0.56104071143441225"/>
        </c:manualLayout>
      </c:layout>
      <c:lineChart>
        <c:grouping val="standard"/>
        <c:varyColors val="0"/>
        <c:ser>
          <c:idx val="0"/>
          <c:order val="0"/>
          <c:spPr>
            <a:ln w="6350">
              <a:solidFill>
                <a:srgbClr val="FF0000"/>
              </a:solidFill>
            </a:ln>
            <a:effectLst>
              <a:outerShdw blurRad="50800" dist="38100" dir="2700000" algn="tl" rotWithShape="0">
                <a:prstClr val="black">
                  <a:alpha val="40000"/>
                </a:prstClr>
              </a:outerShdw>
            </a:effectLst>
          </c:spPr>
          <c:marker>
            <c:symbol val="square"/>
            <c:size val="2"/>
            <c:spPr>
              <a:solidFill>
                <a:srgbClr val="FF0000"/>
              </a:solidFill>
              <a:ln>
                <a:solidFill>
                  <a:srgbClr val="FF0000"/>
                </a:solidFill>
              </a:ln>
              <a:effectLst>
                <a:outerShdw blurRad="50800" dist="38100" dir="2700000" algn="tl" rotWithShape="0">
                  <a:prstClr val="black">
                    <a:alpha val="40000"/>
                  </a:prstClr>
                </a:outerShdw>
              </a:effectLst>
            </c:spPr>
          </c:marker>
          <c:dLbls>
            <c:dLbl>
              <c:idx val="0"/>
              <c:layout>
                <c:manualLayout>
                  <c:x val="-3.938356960890875E-2"/>
                  <c:y val="-7.3717965255168647E-2"/>
                </c:manualLayout>
              </c:layout>
              <c:spPr/>
              <c:txPr>
                <a:bodyPr/>
                <a:lstStyle/>
                <a:p>
                  <a:pPr>
                    <a:defRPr sz="700" b="0"/>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18-46E7-91AF-A088BEF16418}"/>
                </c:ext>
              </c:extLst>
            </c:dLbl>
            <c:dLbl>
              <c:idx val="12"/>
              <c:layout>
                <c:manualLayout>
                  <c:x val="-4.9173459960800622E-2"/>
                  <c:y val="-4.9111829957056152E-2"/>
                </c:manualLayout>
              </c:layout>
              <c:numFmt formatCode="#,##0.00" sourceLinked="0"/>
              <c:spPr/>
              <c:txPr>
                <a:bodyPr/>
                <a:lstStyle/>
                <a:p>
                  <a:pPr>
                    <a:defRPr sz="700" b="0"/>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18-46E7-91AF-A088BEF16418}"/>
                </c:ext>
              </c:extLst>
            </c:dLbl>
            <c:dLbl>
              <c:idx val="24"/>
              <c:layout>
                <c:manualLayout>
                  <c:x val="0"/>
                  <c:y val="5.7522601024205297E-2"/>
                </c:manualLayout>
              </c:layout>
              <c:spPr/>
              <c:txPr>
                <a:bodyPr/>
                <a:lstStyle/>
                <a:p>
                  <a:pPr>
                    <a:defRPr sz="700" b="1"/>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18-46E7-91AF-A088BEF16418}"/>
                </c:ext>
              </c:extLst>
            </c:dLbl>
            <c:spPr>
              <a:noFill/>
              <a:ln>
                <a:noFill/>
              </a:ln>
              <a:effectLst/>
            </c:spPr>
            <c:txPr>
              <a:bodyPr/>
              <a:lstStyle/>
              <a:p>
                <a:pPr>
                  <a:defRPr sz="800" b="1"/>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Hoja2!$E$148:$F$172</c:f>
              <c:multiLvlStrCache>
                <c:ptCount val="25"/>
                <c:lvl>
                  <c:pt idx="0">
                    <c:v>Febrero</c:v>
                  </c:pt>
                  <c:pt idx="1">
                    <c:v>Marzo</c:v>
                  </c:pt>
                  <c:pt idx="2">
                    <c:v>Abril</c:v>
                  </c:pt>
                  <c:pt idx="3">
                    <c:v>Mayo</c:v>
                  </c:pt>
                  <c:pt idx="4">
                    <c:v>Junio</c:v>
                  </c:pt>
                  <c:pt idx="5">
                    <c:v>Julio</c:v>
                  </c:pt>
                  <c:pt idx="6">
                    <c:v>Agosto</c:v>
                  </c:pt>
                  <c:pt idx="7">
                    <c:v>Septiembre</c:v>
                  </c:pt>
                  <c:pt idx="8">
                    <c:v>Octubre</c:v>
                  </c:pt>
                  <c:pt idx="9">
                    <c:v>Noviembre</c:v>
                  </c:pt>
                  <c:pt idx="10">
                    <c:v>Diciembre</c:v>
                  </c:pt>
                  <c:pt idx="11">
                    <c:v>Enero</c:v>
                  </c:pt>
                  <c:pt idx="12">
                    <c:v>Febrero</c:v>
                  </c:pt>
                  <c:pt idx="13">
                    <c:v>Marzo</c:v>
                  </c:pt>
                  <c:pt idx="14">
                    <c:v>Abril</c:v>
                  </c:pt>
                  <c:pt idx="15">
                    <c:v>Mayo</c:v>
                  </c:pt>
                  <c:pt idx="16">
                    <c:v>Junio</c:v>
                  </c:pt>
                  <c:pt idx="17">
                    <c:v>Julio</c:v>
                  </c:pt>
                  <c:pt idx="18">
                    <c:v>Agosto</c:v>
                  </c:pt>
                  <c:pt idx="19">
                    <c:v>Septiembre</c:v>
                  </c:pt>
                  <c:pt idx="20">
                    <c:v>Octubre</c:v>
                  </c:pt>
                  <c:pt idx="21">
                    <c:v>Noviembre</c:v>
                  </c:pt>
                  <c:pt idx="22">
                    <c:v>Diciembre</c:v>
                  </c:pt>
                  <c:pt idx="23">
                    <c:v>Enero</c:v>
                  </c:pt>
                  <c:pt idx="24">
                    <c:v>Febrero</c:v>
                  </c:pt>
                </c:lvl>
                <c:lvl>
                  <c:pt idx="0">
                    <c:v>2014</c:v>
                  </c:pt>
                  <c:pt idx="11">
                    <c:v>2015</c:v>
                  </c:pt>
                  <c:pt idx="23">
                    <c:v>2016</c:v>
                  </c:pt>
                </c:lvl>
              </c:multiLvlStrCache>
            </c:multiLvlStrRef>
          </c:cat>
          <c:val>
            <c:numRef>
              <c:f>Hoja2!$G$148:$G$172</c:f>
              <c:numCache>
                <c:formatCode>General</c:formatCode>
                <c:ptCount val="25"/>
                <c:pt idx="0">
                  <c:v>59.73</c:v>
                </c:pt>
                <c:pt idx="1">
                  <c:v>59.73</c:v>
                </c:pt>
                <c:pt idx="2">
                  <c:v>62.5</c:v>
                </c:pt>
                <c:pt idx="3">
                  <c:v>52.78</c:v>
                </c:pt>
                <c:pt idx="4">
                  <c:v>64.290000000000006</c:v>
                </c:pt>
                <c:pt idx="5">
                  <c:v>53.75</c:v>
                </c:pt>
                <c:pt idx="6">
                  <c:v>39.31</c:v>
                </c:pt>
                <c:pt idx="7">
                  <c:v>42.71</c:v>
                </c:pt>
                <c:pt idx="8">
                  <c:v>48.86</c:v>
                </c:pt>
                <c:pt idx="9">
                  <c:v>51.25</c:v>
                </c:pt>
                <c:pt idx="10">
                  <c:v>52.28</c:v>
                </c:pt>
                <c:pt idx="11">
                  <c:v>43.89</c:v>
                </c:pt>
                <c:pt idx="12">
                  <c:v>60</c:v>
                </c:pt>
                <c:pt idx="13">
                  <c:v>57.82</c:v>
                </c:pt>
                <c:pt idx="14">
                  <c:v>51.14</c:v>
                </c:pt>
                <c:pt idx="15">
                  <c:v>41.67</c:v>
                </c:pt>
                <c:pt idx="16">
                  <c:v>33.04</c:v>
                </c:pt>
                <c:pt idx="17">
                  <c:v>28.68</c:v>
                </c:pt>
                <c:pt idx="18">
                  <c:v>21.67</c:v>
                </c:pt>
                <c:pt idx="19">
                  <c:v>46.67</c:v>
                </c:pt>
                <c:pt idx="20">
                  <c:v>47.12</c:v>
                </c:pt>
                <c:pt idx="21">
                  <c:v>64.319999999999993</c:v>
                </c:pt>
                <c:pt idx="22">
                  <c:v>54.97</c:v>
                </c:pt>
                <c:pt idx="23">
                  <c:v>66.97</c:v>
                </c:pt>
                <c:pt idx="24">
                  <c:v>60.65</c:v>
                </c:pt>
              </c:numCache>
            </c:numRef>
          </c:val>
          <c:smooth val="1"/>
          <c:extLst>
            <c:ext xmlns:c16="http://schemas.microsoft.com/office/drawing/2014/chart" uri="{C3380CC4-5D6E-409C-BE32-E72D297353CC}">
              <c16:uniqueId val="{00000003-AF18-46E7-91AF-A088BEF16418}"/>
            </c:ext>
          </c:extLst>
        </c:ser>
        <c:ser>
          <c:idx val="1"/>
          <c:order val="1"/>
          <c:spPr>
            <a:ln w="25400">
              <a:solidFill>
                <a:schemeClr val="tx1"/>
              </a:solidFill>
            </a:ln>
          </c:spPr>
          <c:marker>
            <c:symbol val="none"/>
          </c:marker>
          <c:cat>
            <c:multiLvlStrRef>
              <c:f>Hoja2!$E$148:$F$172</c:f>
              <c:multiLvlStrCache>
                <c:ptCount val="25"/>
                <c:lvl>
                  <c:pt idx="0">
                    <c:v>Febrero</c:v>
                  </c:pt>
                  <c:pt idx="1">
                    <c:v>Marzo</c:v>
                  </c:pt>
                  <c:pt idx="2">
                    <c:v>Abril</c:v>
                  </c:pt>
                  <c:pt idx="3">
                    <c:v>Mayo</c:v>
                  </c:pt>
                  <c:pt idx="4">
                    <c:v>Junio</c:v>
                  </c:pt>
                  <c:pt idx="5">
                    <c:v>Julio</c:v>
                  </c:pt>
                  <c:pt idx="6">
                    <c:v>Agosto</c:v>
                  </c:pt>
                  <c:pt idx="7">
                    <c:v>Septiembre</c:v>
                  </c:pt>
                  <c:pt idx="8">
                    <c:v>Octubre</c:v>
                  </c:pt>
                  <c:pt idx="9">
                    <c:v>Noviembre</c:v>
                  </c:pt>
                  <c:pt idx="10">
                    <c:v>Diciembre</c:v>
                  </c:pt>
                  <c:pt idx="11">
                    <c:v>Enero</c:v>
                  </c:pt>
                  <c:pt idx="12">
                    <c:v>Febrero</c:v>
                  </c:pt>
                  <c:pt idx="13">
                    <c:v>Marzo</c:v>
                  </c:pt>
                  <c:pt idx="14">
                    <c:v>Abril</c:v>
                  </c:pt>
                  <c:pt idx="15">
                    <c:v>Mayo</c:v>
                  </c:pt>
                  <c:pt idx="16">
                    <c:v>Junio</c:v>
                  </c:pt>
                  <c:pt idx="17">
                    <c:v>Julio</c:v>
                  </c:pt>
                  <c:pt idx="18">
                    <c:v>Agosto</c:v>
                  </c:pt>
                  <c:pt idx="19">
                    <c:v>Septiembre</c:v>
                  </c:pt>
                  <c:pt idx="20">
                    <c:v>Octubre</c:v>
                  </c:pt>
                  <c:pt idx="21">
                    <c:v>Noviembre</c:v>
                  </c:pt>
                  <c:pt idx="22">
                    <c:v>Diciembre</c:v>
                  </c:pt>
                  <c:pt idx="23">
                    <c:v>Enero</c:v>
                  </c:pt>
                  <c:pt idx="24">
                    <c:v>Febrero</c:v>
                  </c:pt>
                </c:lvl>
                <c:lvl>
                  <c:pt idx="0">
                    <c:v>2014</c:v>
                  </c:pt>
                  <c:pt idx="11">
                    <c:v>2015</c:v>
                  </c:pt>
                  <c:pt idx="23">
                    <c:v>2016</c:v>
                  </c:pt>
                </c:lvl>
              </c:multiLvlStrCache>
            </c:multiLvlStrRef>
          </c:cat>
          <c:val>
            <c:numRef>
              <c:f>Hoja2!$H$148:$H$172</c:f>
              <c:numCache>
                <c:formatCode>General</c:formatCode>
                <c:ptCount val="25"/>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numCache>
            </c:numRef>
          </c:val>
          <c:smooth val="0"/>
          <c:extLst>
            <c:ext xmlns:c16="http://schemas.microsoft.com/office/drawing/2014/chart" uri="{C3380CC4-5D6E-409C-BE32-E72D297353CC}">
              <c16:uniqueId val="{00000004-AF18-46E7-91AF-A088BEF16418}"/>
            </c:ext>
          </c:extLst>
        </c:ser>
        <c:dLbls>
          <c:showLegendKey val="0"/>
          <c:showVal val="0"/>
          <c:showCatName val="0"/>
          <c:showSerName val="0"/>
          <c:showPercent val="0"/>
          <c:showBubbleSize val="0"/>
        </c:dLbls>
        <c:marker val="1"/>
        <c:smooth val="0"/>
        <c:axId val="194778624"/>
        <c:axId val="194780160"/>
      </c:lineChart>
      <c:catAx>
        <c:axId val="194778624"/>
        <c:scaling>
          <c:orientation val="minMax"/>
        </c:scaling>
        <c:delete val="0"/>
        <c:axPos val="b"/>
        <c:numFmt formatCode="General" sourceLinked="0"/>
        <c:majorTickMark val="out"/>
        <c:minorTickMark val="none"/>
        <c:tickLblPos val="nextTo"/>
        <c:txPr>
          <a:bodyPr/>
          <a:lstStyle/>
          <a:p>
            <a:pPr>
              <a:defRPr sz="600"/>
            </a:pPr>
            <a:endParaRPr lang="es-GT"/>
          </a:p>
        </c:txPr>
        <c:crossAx val="194780160"/>
        <c:crosses val="autoZero"/>
        <c:auto val="1"/>
        <c:lblAlgn val="ctr"/>
        <c:lblOffset val="100"/>
        <c:noMultiLvlLbl val="0"/>
      </c:catAx>
      <c:valAx>
        <c:axId val="194780160"/>
        <c:scaling>
          <c:orientation val="minMax"/>
          <c:min val="20"/>
        </c:scaling>
        <c:delete val="0"/>
        <c:axPos val="l"/>
        <c:numFmt formatCode="#,##0.00" sourceLinked="0"/>
        <c:majorTickMark val="out"/>
        <c:minorTickMark val="none"/>
        <c:tickLblPos val="nextTo"/>
        <c:txPr>
          <a:bodyPr/>
          <a:lstStyle/>
          <a:p>
            <a:pPr>
              <a:defRPr sz="600"/>
            </a:pPr>
            <a:endParaRPr lang="es-GT"/>
          </a:p>
        </c:txPr>
        <c:crossAx val="194778624"/>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s-GT"/>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0.91256</cdr:x>
      <cdr:y>0.06417</cdr:y>
    </cdr:from>
    <cdr:to>
      <cdr:x>0.97802</cdr:x>
      <cdr:y>0.78293</cdr:y>
    </cdr:to>
    <cdr:sp macro="" textlink="">
      <cdr:nvSpPr>
        <cdr:cNvPr id="2" name="1 Rectángulo"/>
        <cdr:cNvSpPr/>
      </cdr:nvSpPr>
      <cdr:spPr>
        <a:xfrm xmlns:a="http://schemas.openxmlformats.org/drawingml/2006/main">
          <a:off x="2355574" y="99391"/>
          <a:ext cx="168965" cy="1113183"/>
        </a:xfrm>
        <a:prstGeom xmlns:a="http://schemas.openxmlformats.org/drawingml/2006/main" prst="rect">
          <a:avLst/>
        </a:prstGeom>
        <a:solidFill xmlns:a="http://schemas.openxmlformats.org/drawingml/2006/main">
          <a:schemeClr val="accent6">
            <a:lumMod val="20000"/>
            <a:lumOff val="80000"/>
            <a:alpha val="10000"/>
          </a:schemeClr>
        </a:solidFill>
        <a:ln xmlns:a="http://schemas.openxmlformats.org/drawingml/2006/main" w="6350">
          <a:solidFill>
            <a:schemeClr val="accent6"/>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GT"/>
        </a:p>
      </cdr:txBody>
    </cdr:sp>
  </cdr:relSizeAnchor>
</c:userShapes>
</file>

<file path=word/drawings/drawing2.xml><?xml version="1.0" encoding="utf-8"?>
<c:userShapes xmlns:c="http://schemas.openxmlformats.org/drawingml/2006/chart">
  <cdr:relSizeAnchor xmlns:cdr="http://schemas.openxmlformats.org/drawingml/2006/chartDrawing">
    <cdr:from>
      <cdr:x>0.88155</cdr:x>
      <cdr:y>0</cdr:y>
    </cdr:from>
    <cdr:to>
      <cdr:x>0.88183</cdr:x>
      <cdr:y>0.6527</cdr:y>
    </cdr:to>
    <cdr:cxnSp macro="">
      <cdr:nvCxnSpPr>
        <cdr:cNvPr id="3" name="2 Conector recto"/>
        <cdr:cNvCxnSpPr/>
      </cdr:nvCxnSpPr>
      <cdr:spPr>
        <a:xfrm xmlns:a="http://schemas.openxmlformats.org/drawingml/2006/main" flipV="1">
          <a:off x="2275529" y="0"/>
          <a:ext cx="705" cy="1012122"/>
        </a:xfrm>
        <a:prstGeom xmlns:a="http://schemas.openxmlformats.org/drawingml/2006/main" prst="line">
          <a:avLst/>
        </a:prstGeom>
        <a:ln xmlns:a="http://schemas.openxmlformats.org/drawingml/2006/main">
          <a:solidFill>
            <a:schemeClr val="bg1">
              <a:lumMod val="6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2350</Words>
  <Characters>12925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Saul Enrique De León Meneses</cp:lastModifiedBy>
  <cp:revision>2</cp:revision>
  <dcterms:created xsi:type="dcterms:W3CDTF">2018-05-14T22:08:00Z</dcterms:created>
  <dcterms:modified xsi:type="dcterms:W3CDTF">2018-05-14T22:08:00Z</dcterms:modified>
</cp:coreProperties>
</file>