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651" w:rsidRPr="00BC79C1" w:rsidRDefault="007D4651" w:rsidP="007D465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pPr>
      <w:r w:rsidRPr="00BC79C1">
        <w:rPr>
          <w:rFonts w:ascii="Times New Roman" w:hAnsi="Times New Roman" w:cs="Times New Roman"/>
          <w:b/>
          <w:lang w:val="es-MX"/>
        </w:rPr>
        <w:t xml:space="preserve">Contención de gasto </w:t>
      </w:r>
      <w:r w:rsidR="00D43052" w:rsidRPr="00BC79C1">
        <w:rPr>
          <w:rFonts w:ascii="Times New Roman" w:hAnsi="Times New Roman" w:cs="Times New Roman"/>
          <w:b/>
          <w:lang w:val="es-MX"/>
        </w:rPr>
        <w:t xml:space="preserve">mantiene el </w:t>
      </w:r>
      <w:r w:rsidRPr="00BC79C1">
        <w:rPr>
          <w:rFonts w:ascii="Times New Roman" w:hAnsi="Times New Roman" w:cs="Times New Roman"/>
          <w:b/>
          <w:lang w:val="es-MX"/>
        </w:rPr>
        <w:t>superávit fiscal</w:t>
      </w:r>
    </w:p>
    <w:p w:rsidR="007D4651" w:rsidRPr="00CD7760" w:rsidRDefault="007D4651" w:rsidP="007D4651">
      <w:pPr>
        <w:rPr>
          <w:rFonts w:ascii="Times New Roman" w:hAnsi="Times New Roman" w:cs="Times New Roman"/>
          <w:b/>
          <w:color w:val="FF0000"/>
          <w:lang w:val="es-MX"/>
        </w:rPr>
        <w:sectPr w:rsidR="007D4651" w:rsidRPr="00CD7760" w:rsidSect="00754057">
          <w:headerReference w:type="default" r:id="rId8"/>
          <w:footerReference w:type="default" r:id="rId9"/>
          <w:pgSz w:w="12240" w:h="15840" w:code="1"/>
          <w:pgMar w:top="1418" w:right="1418" w:bottom="1418" w:left="1418" w:header="709" w:footer="709" w:gutter="0"/>
          <w:cols w:space="708"/>
          <w:docGrid w:linePitch="360"/>
        </w:sectPr>
      </w:pPr>
    </w:p>
    <w:p w:rsidR="007D4651" w:rsidRPr="00CD7760" w:rsidRDefault="007D4651" w:rsidP="007D4651">
      <w:pPr>
        <w:pStyle w:val="Sinespaciado"/>
        <w:rPr>
          <w:rFonts w:ascii="Times New Roman" w:hAnsi="Times New Roman" w:cs="Times New Roman"/>
          <w:b/>
          <w:color w:val="FF0000"/>
          <w:sz w:val="18"/>
          <w:lang w:val="es-MX"/>
        </w:rPr>
      </w:pPr>
    </w:p>
    <w:p w:rsidR="007D4651" w:rsidRPr="00CD7760" w:rsidRDefault="007D4651" w:rsidP="007D4651">
      <w:pPr>
        <w:pStyle w:val="Sinespaciado"/>
        <w:jc w:val="center"/>
        <w:rPr>
          <w:rFonts w:ascii="Times New Roman" w:hAnsi="Times New Roman" w:cs="Times New Roman"/>
          <w:b/>
          <w:color w:val="FF0000"/>
          <w:lang w:val="es-MX"/>
        </w:rPr>
        <w:sectPr w:rsidR="007D4651" w:rsidRPr="00CD7760" w:rsidSect="001F5210">
          <w:type w:val="continuous"/>
          <w:pgSz w:w="12240" w:h="15840"/>
          <w:pgMar w:top="1417" w:right="1701" w:bottom="1417" w:left="1701" w:header="708" w:footer="708" w:gutter="0"/>
          <w:cols w:space="708"/>
          <w:docGrid w:linePitch="360"/>
        </w:sectPr>
      </w:pPr>
    </w:p>
    <w:p w:rsidR="00BC79C1" w:rsidRDefault="00BC79C1" w:rsidP="00BC79C1">
      <w:pPr>
        <w:pStyle w:val="Sinespaciado"/>
        <w:jc w:val="both"/>
        <w:rPr>
          <w:rFonts w:ascii="Times New Roman" w:hAnsi="Times New Roman" w:cs="Times New Roman"/>
          <w:color w:val="000000" w:themeColor="text1"/>
          <w:lang w:val="es-MX"/>
        </w:rPr>
      </w:pPr>
      <w:r w:rsidRPr="00A77A7C">
        <w:rPr>
          <w:rFonts w:ascii="Times New Roman" w:hAnsi="Times New Roman" w:cs="Times New Roman"/>
          <w:color w:val="000000" w:themeColor="text1"/>
          <w:lang w:val="es-MX"/>
        </w:rPr>
        <w:lastRenderedPageBreak/>
        <w:t xml:space="preserve">El resultado presupuestario del gobierno muestra un superávit fiscal que se sitúa al cierre del primer </w:t>
      </w:r>
      <w:r>
        <w:rPr>
          <w:rFonts w:ascii="Times New Roman" w:hAnsi="Times New Roman" w:cs="Times New Roman"/>
          <w:color w:val="000000" w:themeColor="text1"/>
          <w:lang w:val="es-MX"/>
        </w:rPr>
        <w:t>cuatrime</w:t>
      </w:r>
      <w:r w:rsidRPr="00A77A7C">
        <w:rPr>
          <w:rFonts w:ascii="Times New Roman" w:hAnsi="Times New Roman" w:cs="Times New Roman"/>
          <w:color w:val="000000" w:themeColor="text1"/>
          <w:lang w:val="es-MX"/>
        </w:rPr>
        <w:t xml:space="preserve">stre del año en </w:t>
      </w:r>
      <w:r>
        <w:rPr>
          <w:rFonts w:ascii="Times New Roman" w:hAnsi="Times New Roman" w:cs="Times New Roman"/>
          <w:color w:val="000000" w:themeColor="text1"/>
          <w:lang w:val="es-MX"/>
        </w:rPr>
        <w:t xml:space="preserve">      </w:t>
      </w:r>
      <w:r w:rsidRPr="00A77A7C">
        <w:rPr>
          <w:rFonts w:ascii="Times New Roman" w:hAnsi="Times New Roman" w:cs="Times New Roman"/>
          <w:color w:val="000000" w:themeColor="text1"/>
          <w:lang w:val="es-MX"/>
        </w:rPr>
        <w:t>Q</w:t>
      </w:r>
      <w:r w:rsidR="00A50D65">
        <w:rPr>
          <w:rFonts w:ascii="Times New Roman" w:hAnsi="Times New Roman" w:cs="Times New Roman"/>
          <w:color w:val="000000" w:themeColor="text1"/>
          <w:lang w:val="es-MX"/>
        </w:rPr>
        <w:t xml:space="preserve"> 1,347.9</w:t>
      </w:r>
      <w:r w:rsidRPr="00A77A7C">
        <w:rPr>
          <w:rFonts w:ascii="Times New Roman" w:hAnsi="Times New Roman" w:cs="Times New Roman"/>
          <w:color w:val="000000" w:themeColor="text1"/>
          <w:lang w:val="es-MX"/>
        </w:rPr>
        <w:t xml:space="preserve"> millones, en igual fecha del año anterior se obtuvo un déficit de </w:t>
      </w:r>
      <w:r>
        <w:rPr>
          <w:rFonts w:ascii="Times New Roman" w:hAnsi="Times New Roman" w:cs="Times New Roman"/>
          <w:color w:val="000000" w:themeColor="text1"/>
          <w:lang w:val="es-MX"/>
        </w:rPr>
        <w:t>Q 1,529.5 millones, si el nivel de gasto mostrará el comportamiento estacional de los últimos años el déficit fiscal se hubiera situado en cerca de Q 1,220</w:t>
      </w:r>
      <w:r w:rsidR="00A50D65">
        <w:rPr>
          <w:rFonts w:ascii="Times New Roman" w:hAnsi="Times New Roman" w:cs="Times New Roman"/>
          <w:color w:val="000000" w:themeColor="text1"/>
          <w:lang w:val="es-MX"/>
        </w:rPr>
        <w:t>.7</w:t>
      </w:r>
      <w:r>
        <w:rPr>
          <w:rFonts w:ascii="Times New Roman" w:hAnsi="Times New Roman" w:cs="Times New Roman"/>
          <w:color w:val="000000" w:themeColor="text1"/>
          <w:lang w:val="es-MX"/>
        </w:rPr>
        <w:t xml:space="preserve"> millones.</w:t>
      </w:r>
    </w:p>
    <w:p w:rsidR="00BC79C1" w:rsidRDefault="00BC79C1" w:rsidP="00BC79C1">
      <w:pPr>
        <w:pStyle w:val="Sinespaciado"/>
        <w:jc w:val="both"/>
        <w:rPr>
          <w:rFonts w:ascii="Times New Roman" w:hAnsi="Times New Roman" w:cs="Times New Roman"/>
          <w:color w:val="000000" w:themeColor="text1"/>
          <w:lang w:val="es-MX"/>
        </w:rPr>
      </w:pPr>
    </w:p>
    <w:p w:rsidR="00BC79C1" w:rsidRPr="00A77A7C" w:rsidRDefault="00BC79C1" w:rsidP="00BC79C1">
      <w:pPr>
        <w:pStyle w:val="Sinespaciado"/>
        <w:jc w:val="both"/>
        <w:rPr>
          <w:rFonts w:ascii="Times New Roman" w:hAnsi="Times New Roman" w:cs="Times New Roman"/>
          <w:color w:val="000000" w:themeColor="text1"/>
          <w:lang w:val="es-MX"/>
        </w:rPr>
      </w:pPr>
      <w:r>
        <w:rPr>
          <w:rFonts w:ascii="Times New Roman" w:hAnsi="Times New Roman" w:cs="Times New Roman"/>
          <w:color w:val="000000" w:themeColor="text1"/>
          <w:lang w:val="es-MX"/>
        </w:rPr>
        <w:t xml:space="preserve">La política de contención ha permitido obtener este nivel de superávit, ya que la ejecución de gasto </w:t>
      </w:r>
      <w:r w:rsidRPr="00A77A7C">
        <w:rPr>
          <w:rFonts w:ascii="Times New Roman" w:hAnsi="Times New Roman" w:cs="Times New Roman"/>
          <w:color w:val="000000" w:themeColor="text1"/>
          <w:lang w:val="es-MX"/>
        </w:rPr>
        <w:t xml:space="preserve">a la fecha refleja una contracción, </w:t>
      </w:r>
      <w:r>
        <w:rPr>
          <w:rFonts w:ascii="Times New Roman" w:hAnsi="Times New Roman" w:cs="Times New Roman"/>
          <w:color w:val="000000" w:themeColor="text1"/>
          <w:lang w:val="es-MX"/>
        </w:rPr>
        <w:t>es decir, un crecimiento inter anual negativo de 11.9</w:t>
      </w:r>
      <w:r w:rsidRPr="00A77A7C">
        <w:rPr>
          <w:rFonts w:ascii="Times New Roman" w:hAnsi="Times New Roman" w:cs="Times New Roman"/>
          <w:color w:val="000000" w:themeColor="text1"/>
          <w:lang w:val="es-MX"/>
        </w:rPr>
        <w:t>%, la cual ha afectado a todas las entidades de gobierno</w:t>
      </w:r>
      <w:r>
        <w:rPr>
          <w:rFonts w:ascii="Times New Roman" w:hAnsi="Times New Roman" w:cs="Times New Roman"/>
          <w:color w:val="000000" w:themeColor="text1"/>
          <w:lang w:val="es-MX"/>
        </w:rPr>
        <w:t xml:space="preserve">.  </w:t>
      </w:r>
      <w:r w:rsidRPr="00A77A7C">
        <w:rPr>
          <w:rFonts w:ascii="Times New Roman" w:hAnsi="Times New Roman" w:cs="Times New Roman"/>
          <w:color w:val="000000" w:themeColor="text1"/>
          <w:lang w:val="es-MX"/>
        </w:rPr>
        <w:t xml:space="preserve"> </w:t>
      </w:r>
      <w:r w:rsidR="00A50D65">
        <w:rPr>
          <w:rFonts w:ascii="Times New Roman" w:hAnsi="Times New Roman" w:cs="Times New Roman"/>
          <w:color w:val="000000" w:themeColor="text1"/>
          <w:lang w:val="es-MX"/>
        </w:rPr>
        <w:t xml:space="preserve">Este comportamiento </w:t>
      </w:r>
      <w:r>
        <w:rPr>
          <w:rFonts w:ascii="Times New Roman" w:hAnsi="Times New Roman" w:cs="Times New Roman"/>
          <w:color w:val="000000" w:themeColor="text1"/>
          <w:lang w:val="es-MX"/>
        </w:rPr>
        <w:t>e</w:t>
      </w:r>
      <w:r w:rsidR="00A50D65">
        <w:rPr>
          <w:rFonts w:ascii="Times New Roman" w:hAnsi="Times New Roman" w:cs="Times New Roman"/>
          <w:color w:val="000000" w:themeColor="text1"/>
          <w:lang w:val="es-MX"/>
        </w:rPr>
        <w:t>n el</w:t>
      </w:r>
      <w:r>
        <w:rPr>
          <w:rFonts w:ascii="Times New Roman" w:hAnsi="Times New Roman" w:cs="Times New Roman"/>
          <w:color w:val="000000" w:themeColor="text1"/>
          <w:lang w:val="es-MX"/>
        </w:rPr>
        <w:t xml:space="preserve"> gasto, es resultado de la incertidumbre en cuanto al nivel de recaudación tributaria que </w:t>
      </w:r>
      <w:r>
        <w:rPr>
          <w:rFonts w:ascii="Times New Roman" w:hAnsi="Times New Roman" w:cs="Times New Roman"/>
          <w:color w:val="000000" w:themeColor="text1"/>
          <w:lang w:val="es-MX"/>
        </w:rPr>
        <w:lastRenderedPageBreak/>
        <w:t>pueda obtenerse a lo largo del año que a la fecha muestra un crecimiento interanual bastante moderado de 2.2</w:t>
      </w:r>
      <w:r w:rsidRPr="00A77A7C">
        <w:rPr>
          <w:rFonts w:ascii="Times New Roman" w:hAnsi="Times New Roman" w:cs="Times New Roman"/>
          <w:color w:val="000000" w:themeColor="text1"/>
          <w:lang w:val="es-MX"/>
        </w:rPr>
        <w:t>%</w:t>
      </w:r>
      <w:r>
        <w:rPr>
          <w:rFonts w:ascii="Times New Roman" w:hAnsi="Times New Roman" w:cs="Times New Roman"/>
          <w:color w:val="000000" w:themeColor="text1"/>
          <w:lang w:val="es-MX"/>
        </w:rPr>
        <w:t xml:space="preserve">.  Asimismo, esta contención obedece </w:t>
      </w:r>
      <w:r w:rsidRPr="00A77A7C">
        <w:rPr>
          <w:rFonts w:ascii="Times New Roman" w:hAnsi="Times New Roman" w:cs="Times New Roman"/>
          <w:color w:val="000000" w:themeColor="text1"/>
          <w:lang w:val="es-MX"/>
        </w:rPr>
        <w:t>a la necesidad del gobierno por atender los compromisos de pago que no fueron cubie</w:t>
      </w:r>
      <w:r>
        <w:rPr>
          <w:rFonts w:ascii="Times New Roman" w:hAnsi="Times New Roman" w:cs="Times New Roman"/>
          <w:color w:val="000000" w:themeColor="text1"/>
          <w:lang w:val="es-MX"/>
        </w:rPr>
        <w:t>rtos al cierre del año anterior, dichos pagos han erosionado las disponibilidades de caja y la posibilidad de financiar el presupuesto de este año.</w:t>
      </w:r>
      <w:r w:rsidRPr="00A77A7C">
        <w:rPr>
          <w:rFonts w:ascii="Times New Roman" w:hAnsi="Times New Roman" w:cs="Times New Roman"/>
          <w:color w:val="000000" w:themeColor="text1"/>
          <w:lang w:val="es-MX"/>
        </w:rPr>
        <w:t xml:space="preserve">     </w:t>
      </w:r>
    </w:p>
    <w:p w:rsidR="00BC79C1" w:rsidRPr="00A77A7C" w:rsidRDefault="00BC79C1" w:rsidP="00BC79C1">
      <w:pPr>
        <w:pStyle w:val="Sinespaciado"/>
        <w:jc w:val="both"/>
        <w:rPr>
          <w:rFonts w:ascii="Times New Roman" w:hAnsi="Times New Roman" w:cs="Times New Roman"/>
          <w:color w:val="000000" w:themeColor="text1"/>
          <w:lang w:val="es-MX"/>
        </w:rPr>
      </w:pPr>
    </w:p>
    <w:p w:rsidR="007D4651" w:rsidRPr="00CD7760" w:rsidRDefault="00A50D65" w:rsidP="00BC79C1">
      <w:pPr>
        <w:pStyle w:val="Sinespaciado"/>
        <w:jc w:val="both"/>
        <w:rPr>
          <w:rFonts w:ascii="Times New Roman" w:hAnsi="Times New Roman" w:cs="Times New Roman"/>
          <w:color w:val="FF0000"/>
          <w:lang w:val="es-MX"/>
        </w:rPr>
      </w:pPr>
      <w:r>
        <w:rPr>
          <w:rFonts w:ascii="Times New Roman" w:hAnsi="Times New Roman" w:cs="Times New Roman"/>
          <w:color w:val="000000" w:themeColor="text1"/>
          <w:lang w:val="es-MX"/>
        </w:rPr>
        <w:t xml:space="preserve">Las expectativas indican </w:t>
      </w:r>
      <w:r w:rsidR="00BC79C1">
        <w:rPr>
          <w:rFonts w:ascii="Times New Roman" w:hAnsi="Times New Roman" w:cs="Times New Roman"/>
          <w:color w:val="000000" w:themeColor="text1"/>
          <w:lang w:val="es-MX"/>
        </w:rPr>
        <w:t>que, en los próximos meses aumentará la presión por parte de las entidades por más recursos y esto podría elevar el nivel de ejecución de gasto, lo que</w:t>
      </w:r>
      <w:r>
        <w:rPr>
          <w:rFonts w:ascii="Times New Roman" w:hAnsi="Times New Roman" w:cs="Times New Roman"/>
          <w:color w:val="000000" w:themeColor="text1"/>
          <w:lang w:val="es-MX"/>
        </w:rPr>
        <w:t xml:space="preserve"> puede conducir a que entre junio</w:t>
      </w:r>
      <w:r w:rsidR="00BC79C1">
        <w:rPr>
          <w:rFonts w:ascii="Times New Roman" w:hAnsi="Times New Roman" w:cs="Times New Roman"/>
          <w:color w:val="000000" w:themeColor="text1"/>
          <w:lang w:val="es-MX"/>
        </w:rPr>
        <w:t xml:space="preserve"> y julio el resultado fiscal empiece a mostrar un menor superávit y posiblemente se torne negativo.</w:t>
      </w:r>
      <w:r w:rsidR="007D4651" w:rsidRPr="00CD7760">
        <w:rPr>
          <w:rFonts w:ascii="Times New Roman" w:hAnsi="Times New Roman" w:cs="Times New Roman"/>
          <w:color w:val="FF0000"/>
          <w:lang w:val="es-MX"/>
        </w:rPr>
        <w:t xml:space="preserve"> </w:t>
      </w:r>
    </w:p>
    <w:p w:rsidR="007D4651" w:rsidRPr="00CD7760" w:rsidRDefault="007D4651" w:rsidP="007D4651">
      <w:pPr>
        <w:pStyle w:val="Sinespaciado"/>
        <w:jc w:val="both"/>
        <w:rPr>
          <w:rFonts w:ascii="Times New Roman" w:hAnsi="Times New Roman" w:cs="Times New Roman"/>
          <w:color w:val="FF0000"/>
          <w:lang w:val="es-MX"/>
        </w:rPr>
      </w:pPr>
    </w:p>
    <w:p w:rsidR="007D4651" w:rsidRPr="00CD7760" w:rsidRDefault="007D4651" w:rsidP="007D4651">
      <w:pPr>
        <w:pStyle w:val="Sinespaciado"/>
        <w:jc w:val="center"/>
        <w:rPr>
          <w:rFonts w:ascii="Times New Roman" w:hAnsi="Times New Roman" w:cs="Times New Roman"/>
          <w:b/>
          <w:color w:val="FF0000"/>
          <w:lang w:val="es-MX"/>
        </w:rPr>
        <w:sectPr w:rsidR="007D4651" w:rsidRPr="00CD7760" w:rsidSect="001F5210">
          <w:type w:val="continuous"/>
          <w:pgSz w:w="12240" w:h="15840"/>
          <w:pgMar w:top="1417" w:right="1701" w:bottom="1417" w:left="1701" w:header="708" w:footer="708" w:gutter="0"/>
          <w:cols w:num="2" w:space="708"/>
          <w:docGrid w:linePitch="360"/>
        </w:sectPr>
      </w:pPr>
    </w:p>
    <w:p w:rsidR="007D4651" w:rsidRPr="00CD7760" w:rsidRDefault="007D4651" w:rsidP="007D4651">
      <w:pPr>
        <w:pStyle w:val="Sinespaciado"/>
        <w:jc w:val="center"/>
        <w:rPr>
          <w:rFonts w:ascii="Times New Roman" w:hAnsi="Times New Roman" w:cs="Times New Roman"/>
          <w:b/>
          <w:color w:val="FF0000"/>
          <w:lang w:val="es-MX"/>
        </w:rPr>
      </w:pPr>
    </w:p>
    <w:p w:rsidR="007D4651" w:rsidRPr="00CD7760" w:rsidRDefault="007D4651" w:rsidP="007D4651">
      <w:pPr>
        <w:pStyle w:val="Sinespaciado"/>
        <w:jc w:val="center"/>
        <w:rPr>
          <w:rFonts w:ascii="Times New Roman" w:hAnsi="Times New Roman" w:cs="Times New Roman"/>
          <w:b/>
          <w:color w:val="FF0000"/>
          <w:lang w:val="es-MX"/>
        </w:rPr>
        <w:sectPr w:rsidR="007D4651" w:rsidRPr="00CD7760" w:rsidSect="007D4651">
          <w:type w:val="continuous"/>
          <w:pgSz w:w="12240" w:h="15840" w:code="1"/>
          <w:pgMar w:top="1418" w:right="1418" w:bottom="1418" w:left="1418" w:header="709" w:footer="709" w:gutter="0"/>
          <w:cols w:num="2" w:space="708"/>
          <w:docGrid w:linePitch="360"/>
        </w:sectPr>
      </w:pPr>
    </w:p>
    <w:p w:rsidR="007D4651" w:rsidRPr="00BC79C1" w:rsidRDefault="007D4651" w:rsidP="00910163">
      <w:pPr>
        <w:pStyle w:val="Sinespaciado"/>
        <w:jc w:val="center"/>
        <w:rPr>
          <w:rFonts w:ascii="Times New Roman" w:hAnsi="Times New Roman" w:cs="Times New Roman"/>
          <w:b/>
          <w:lang w:val="es-MX"/>
        </w:rPr>
      </w:pPr>
      <w:r w:rsidRPr="00BC79C1">
        <w:rPr>
          <w:rFonts w:ascii="Times New Roman" w:hAnsi="Times New Roman" w:cs="Times New Roman"/>
          <w:b/>
          <w:lang w:val="es-MX"/>
        </w:rPr>
        <w:lastRenderedPageBreak/>
        <w:t>Resultado Presupuestario</w:t>
      </w:r>
    </w:p>
    <w:p w:rsidR="00BC79C1" w:rsidRPr="00C1022E" w:rsidRDefault="00BC79C1" w:rsidP="00BC79C1">
      <w:pPr>
        <w:pStyle w:val="Sinespaciado"/>
        <w:jc w:val="center"/>
        <w:rPr>
          <w:rFonts w:ascii="Times New Roman" w:hAnsi="Times New Roman" w:cs="Times New Roman"/>
          <w:b/>
          <w:lang w:val="es-MX"/>
        </w:rPr>
      </w:pPr>
      <w:r>
        <w:rPr>
          <w:rFonts w:ascii="Times New Roman" w:hAnsi="Times New Roman" w:cs="Times New Roman"/>
          <w:b/>
          <w:lang w:val="es-MX"/>
        </w:rPr>
        <w:t>Al 30 de abril de cada año</w:t>
      </w:r>
    </w:p>
    <w:p w:rsidR="00BC79C1" w:rsidRDefault="00BC79C1" w:rsidP="00BC79C1">
      <w:pPr>
        <w:pStyle w:val="Sinespaciado"/>
        <w:jc w:val="center"/>
        <w:rPr>
          <w:rFonts w:ascii="Times New Roman" w:hAnsi="Times New Roman" w:cs="Times New Roman"/>
          <w:sz w:val="18"/>
          <w:lang w:val="es-MX"/>
        </w:rPr>
      </w:pPr>
      <w:r>
        <w:rPr>
          <w:rFonts w:ascii="Times New Roman" w:hAnsi="Times New Roman" w:cs="Times New Roman"/>
          <w:sz w:val="18"/>
          <w:lang w:val="es-MX"/>
        </w:rPr>
        <w:t>Millones de quetzales</w:t>
      </w:r>
    </w:p>
    <w:p w:rsidR="000143E0" w:rsidRDefault="000143E0" w:rsidP="00BC79C1">
      <w:pPr>
        <w:pStyle w:val="Sinespaciado"/>
        <w:jc w:val="center"/>
        <w:rPr>
          <w:rFonts w:ascii="Times New Roman" w:hAnsi="Times New Roman" w:cs="Times New Roman"/>
          <w:sz w:val="18"/>
          <w:lang w:val="es-MX"/>
        </w:rPr>
      </w:pPr>
      <w:r>
        <w:rPr>
          <w:rFonts w:ascii="Times New Roman" w:hAnsi="Times New Roman" w:cs="Times New Roman"/>
          <w:noProof/>
          <w:color w:val="FF0000"/>
          <w:lang w:eastAsia="es-GT"/>
        </w:rPr>
        <w:drawing>
          <wp:anchor distT="0" distB="0" distL="114300" distR="114300" simplePos="0" relativeHeight="251670528" behindDoc="0" locked="0" layoutInCell="1" allowOverlap="1" wp14:anchorId="3CA51E89" wp14:editId="25913AA6">
            <wp:simplePos x="0" y="0"/>
            <wp:positionH relativeFrom="column">
              <wp:posOffset>753110</wp:posOffset>
            </wp:positionH>
            <wp:positionV relativeFrom="paragraph">
              <wp:posOffset>70625</wp:posOffset>
            </wp:positionV>
            <wp:extent cx="4717647" cy="2830195"/>
            <wp:effectExtent l="0" t="0" r="6985" b="825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7647" cy="2830195"/>
                    </a:xfrm>
                    <a:prstGeom prst="rect">
                      <a:avLst/>
                    </a:prstGeom>
                    <a:noFill/>
                  </pic:spPr>
                </pic:pic>
              </a:graphicData>
            </a:graphic>
            <wp14:sizeRelH relativeFrom="page">
              <wp14:pctWidth>0</wp14:pctWidth>
            </wp14:sizeRelH>
            <wp14:sizeRelV relativeFrom="page">
              <wp14:pctHeight>0</wp14:pctHeight>
            </wp14:sizeRelV>
          </wp:anchor>
        </w:drawing>
      </w:r>
    </w:p>
    <w:p w:rsidR="000143E0" w:rsidRDefault="000143E0" w:rsidP="00BC79C1">
      <w:pPr>
        <w:pStyle w:val="Sinespaciado"/>
        <w:jc w:val="center"/>
        <w:rPr>
          <w:rFonts w:ascii="Times New Roman" w:hAnsi="Times New Roman" w:cs="Times New Roman"/>
          <w:sz w:val="18"/>
          <w:lang w:val="es-MX"/>
        </w:rPr>
      </w:pPr>
    </w:p>
    <w:p w:rsidR="000143E0" w:rsidRDefault="000143E0" w:rsidP="00BC79C1">
      <w:pPr>
        <w:pStyle w:val="Sinespaciado"/>
        <w:jc w:val="center"/>
        <w:rPr>
          <w:rFonts w:ascii="Times New Roman" w:hAnsi="Times New Roman" w:cs="Times New Roman"/>
          <w:sz w:val="18"/>
          <w:lang w:val="es-MX"/>
        </w:rPr>
      </w:pPr>
    </w:p>
    <w:p w:rsidR="000143E0" w:rsidRDefault="000143E0" w:rsidP="00BC79C1">
      <w:pPr>
        <w:pStyle w:val="Sinespaciado"/>
        <w:jc w:val="center"/>
        <w:rPr>
          <w:rFonts w:ascii="Times New Roman" w:hAnsi="Times New Roman" w:cs="Times New Roman"/>
          <w:sz w:val="18"/>
          <w:lang w:val="es-MX"/>
        </w:rPr>
      </w:pPr>
    </w:p>
    <w:p w:rsidR="000143E0" w:rsidRDefault="000143E0" w:rsidP="00BC79C1">
      <w:pPr>
        <w:pStyle w:val="Sinespaciado"/>
        <w:jc w:val="center"/>
        <w:rPr>
          <w:rFonts w:ascii="Times New Roman" w:hAnsi="Times New Roman" w:cs="Times New Roman"/>
          <w:sz w:val="18"/>
          <w:lang w:val="es-MX"/>
        </w:rPr>
      </w:pPr>
    </w:p>
    <w:p w:rsidR="000143E0" w:rsidRDefault="000143E0" w:rsidP="00BC79C1">
      <w:pPr>
        <w:pStyle w:val="Sinespaciado"/>
        <w:jc w:val="center"/>
        <w:rPr>
          <w:rFonts w:ascii="Times New Roman" w:hAnsi="Times New Roman" w:cs="Times New Roman"/>
          <w:sz w:val="18"/>
          <w:lang w:val="es-MX"/>
        </w:rPr>
      </w:pPr>
    </w:p>
    <w:p w:rsidR="000143E0" w:rsidRDefault="000143E0" w:rsidP="00BC79C1">
      <w:pPr>
        <w:pStyle w:val="Sinespaciado"/>
        <w:jc w:val="center"/>
        <w:rPr>
          <w:rFonts w:ascii="Times New Roman" w:hAnsi="Times New Roman" w:cs="Times New Roman"/>
          <w:sz w:val="18"/>
          <w:lang w:val="es-MX"/>
        </w:rPr>
      </w:pPr>
    </w:p>
    <w:p w:rsidR="000143E0" w:rsidRDefault="000143E0" w:rsidP="00BC79C1">
      <w:pPr>
        <w:pStyle w:val="Sinespaciado"/>
        <w:jc w:val="center"/>
        <w:rPr>
          <w:rFonts w:ascii="Times New Roman" w:hAnsi="Times New Roman" w:cs="Times New Roman"/>
          <w:sz w:val="18"/>
          <w:lang w:val="es-MX"/>
        </w:rPr>
      </w:pPr>
    </w:p>
    <w:p w:rsidR="000143E0" w:rsidRDefault="000143E0" w:rsidP="00BC79C1">
      <w:pPr>
        <w:pStyle w:val="Sinespaciado"/>
        <w:jc w:val="center"/>
        <w:rPr>
          <w:rFonts w:ascii="Times New Roman" w:hAnsi="Times New Roman" w:cs="Times New Roman"/>
          <w:sz w:val="18"/>
          <w:lang w:val="es-MX"/>
        </w:rPr>
      </w:pPr>
    </w:p>
    <w:p w:rsidR="000143E0" w:rsidRDefault="000143E0" w:rsidP="00BC79C1">
      <w:pPr>
        <w:pStyle w:val="Sinespaciado"/>
        <w:jc w:val="center"/>
        <w:rPr>
          <w:rFonts w:ascii="Times New Roman" w:hAnsi="Times New Roman" w:cs="Times New Roman"/>
          <w:sz w:val="18"/>
          <w:lang w:val="es-MX"/>
        </w:rPr>
      </w:pPr>
    </w:p>
    <w:p w:rsidR="000143E0" w:rsidRDefault="000143E0" w:rsidP="00BC79C1">
      <w:pPr>
        <w:pStyle w:val="Sinespaciado"/>
        <w:jc w:val="center"/>
        <w:rPr>
          <w:rFonts w:ascii="Times New Roman" w:hAnsi="Times New Roman" w:cs="Times New Roman"/>
          <w:sz w:val="18"/>
          <w:lang w:val="es-MX"/>
        </w:rPr>
      </w:pPr>
    </w:p>
    <w:p w:rsidR="000143E0" w:rsidRDefault="000143E0" w:rsidP="00BC79C1">
      <w:pPr>
        <w:pStyle w:val="Sinespaciado"/>
        <w:jc w:val="center"/>
        <w:rPr>
          <w:rFonts w:ascii="Times New Roman" w:hAnsi="Times New Roman" w:cs="Times New Roman"/>
          <w:sz w:val="18"/>
          <w:lang w:val="es-MX"/>
        </w:rPr>
      </w:pPr>
    </w:p>
    <w:p w:rsidR="000143E0" w:rsidRDefault="000143E0" w:rsidP="00BC79C1">
      <w:pPr>
        <w:pStyle w:val="Sinespaciado"/>
        <w:jc w:val="center"/>
        <w:rPr>
          <w:rFonts w:ascii="Times New Roman" w:hAnsi="Times New Roman" w:cs="Times New Roman"/>
          <w:sz w:val="18"/>
          <w:lang w:val="es-MX"/>
        </w:rPr>
      </w:pPr>
    </w:p>
    <w:p w:rsidR="000143E0" w:rsidRDefault="000143E0" w:rsidP="00BC79C1">
      <w:pPr>
        <w:pStyle w:val="Sinespaciado"/>
        <w:jc w:val="center"/>
        <w:rPr>
          <w:rFonts w:ascii="Times New Roman" w:hAnsi="Times New Roman" w:cs="Times New Roman"/>
          <w:sz w:val="18"/>
          <w:lang w:val="es-MX"/>
        </w:rPr>
      </w:pPr>
    </w:p>
    <w:p w:rsidR="000143E0" w:rsidRDefault="000143E0" w:rsidP="00BC79C1">
      <w:pPr>
        <w:pStyle w:val="Sinespaciado"/>
        <w:jc w:val="center"/>
        <w:rPr>
          <w:rFonts w:ascii="Times New Roman" w:hAnsi="Times New Roman" w:cs="Times New Roman"/>
          <w:sz w:val="18"/>
          <w:lang w:val="es-MX"/>
        </w:rPr>
      </w:pPr>
    </w:p>
    <w:p w:rsidR="000143E0" w:rsidRDefault="000143E0" w:rsidP="00BC79C1">
      <w:pPr>
        <w:pStyle w:val="Sinespaciado"/>
        <w:jc w:val="center"/>
        <w:rPr>
          <w:rFonts w:ascii="Times New Roman" w:hAnsi="Times New Roman" w:cs="Times New Roman"/>
          <w:sz w:val="18"/>
          <w:lang w:val="es-MX"/>
        </w:rPr>
      </w:pPr>
    </w:p>
    <w:p w:rsidR="000143E0" w:rsidRDefault="000143E0" w:rsidP="00BC79C1">
      <w:pPr>
        <w:pStyle w:val="Sinespaciado"/>
        <w:jc w:val="center"/>
        <w:rPr>
          <w:rFonts w:ascii="Times New Roman" w:hAnsi="Times New Roman" w:cs="Times New Roman"/>
          <w:sz w:val="18"/>
          <w:lang w:val="es-MX"/>
        </w:rPr>
      </w:pPr>
    </w:p>
    <w:p w:rsidR="000143E0" w:rsidRDefault="000143E0" w:rsidP="00BC79C1">
      <w:pPr>
        <w:pStyle w:val="Sinespaciado"/>
        <w:jc w:val="center"/>
        <w:rPr>
          <w:rFonts w:ascii="Times New Roman" w:hAnsi="Times New Roman" w:cs="Times New Roman"/>
          <w:sz w:val="18"/>
          <w:lang w:val="es-MX"/>
        </w:rPr>
      </w:pPr>
    </w:p>
    <w:p w:rsidR="000143E0" w:rsidRDefault="000143E0" w:rsidP="00BC79C1">
      <w:pPr>
        <w:pStyle w:val="Sinespaciado"/>
        <w:jc w:val="center"/>
        <w:rPr>
          <w:rFonts w:ascii="Times New Roman" w:hAnsi="Times New Roman" w:cs="Times New Roman"/>
          <w:sz w:val="18"/>
          <w:lang w:val="es-MX"/>
        </w:rPr>
      </w:pPr>
    </w:p>
    <w:p w:rsidR="000143E0" w:rsidRDefault="000143E0" w:rsidP="00BC79C1">
      <w:pPr>
        <w:pStyle w:val="Sinespaciado"/>
        <w:jc w:val="center"/>
        <w:rPr>
          <w:rFonts w:ascii="Times New Roman" w:hAnsi="Times New Roman" w:cs="Times New Roman"/>
          <w:sz w:val="18"/>
          <w:lang w:val="es-MX"/>
        </w:rPr>
      </w:pPr>
    </w:p>
    <w:p w:rsidR="000143E0" w:rsidRPr="00C1022E" w:rsidRDefault="000143E0" w:rsidP="00BC79C1">
      <w:pPr>
        <w:pStyle w:val="Sinespaciado"/>
        <w:jc w:val="center"/>
        <w:rPr>
          <w:rFonts w:ascii="Times New Roman" w:hAnsi="Times New Roman" w:cs="Times New Roman"/>
          <w:sz w:val="18"/>
          <w:lang w:val="es-MX"/>
        </w:rPr>
      </w:pPr>
    </w:p>
    <w:p w:rsidR="007D4651" w:rsidRPr="00CD7760" w:rsidRDefault="007D4651" w:rsidP="007D4651">
      <w:pPr>
        <w:pStyle w:val="Sinespaciado"/>
        <w:jc w:val="center"/>
        <w:rPr>
          <w:rFonts w:ascii="Times New Roman" w:hAnsi="Times New Roman" w:cs="Times New Roman"/>
          <w:color w:val="FF0000"/>
          <w:lang w:val="es-MX"/>
        </w:rPr>
      </w:pPr>
    </w:p>
    <w:p w:rsidR="007D4651" w:rsidRPr="00CC3420" w:rsidRDefault="007D4651" w:rsidP="00CC3420">
      <w:pPr>
        <w:pStyle w:val="Sinespaciado"/>
        <w:ind w:left="1416" w:firstLine="708"/>
        <w:jc w:val="both"/>
        <w:rPr>
          <w:rFonts w:ascii="Times New Roman" w:hAnsi="Times New Roman" w:cs="Times New Roman"/>
          <w:color w:val="FF0000"/>
          <w:sz w:val="16"/>
        </w:rPr>
      </w:pPr>
      <w:r w:rsidRPr="00F20D0D">
        <w:rPr>
          <w:rFonts w:ascii="Times New Roman" w:hAnsi="Times New Roman" w:cs="Times New Roman"/>
          <w:sz w:val="16"/>
        </w:rPr>
        <w:t>Fuente: Dirección de Análisis y Política fiscal</w:t>
      </w:r>
    </w:p>
    <w:p w:rsidR="00DF71A8" w:rsidRPr="00CD7760" w:rsidRDefault="00DF71A8" w:rsidP="007D4651">
      <w:pPr>
        <w:spacing w:after="0" w:line="240" w:lineRule="auto"/>
        <w:rPr>
          <w:rFonts w:ascii="Times New Roman" w:hAnsi="Times New Roman" w:cs="Times New Roman"/>
          <w:color w:val="FF0000"/>
          <w:lang w:val="es-MX"/>
        </w:rPr>
      </w:pPr>
    </w:p>
    <w:p w:rsidR="00DF71A8" w:rsidRPr="00CD7760" w:rsidRDefault="00DF71A8" w:rsidP="007D4651">
      <w:pPr>
        <w:spacing w:after="0" w:line="240" w:lineRule="auto"/>
        <w:rPr>
          <w:rFonts w:ascii="Times New Roman" w:hAnsi="Times New Roman" w:cs="Times New Roman"/>
          <w:color w:val="FF0000"/>
          <w:lang w:val="es-MX"/>
        </w:rPr>
        <w:sectPr w:rsidR="00DF71A8" w:rsidRPr="00CD7760" w:rsidSect="007D4651">
          <w:type w:val="continuous"/>
          <w:pgSz w:w="12240" w:h="15840" w:code="1"/>
          <w:pgMar w:top="1418" w:right="1418" w:bottom="1418" w:left="1418" w:header="709" w:footer="709" w:gutter="0"/>
          <w:cols w:space="708"/>
          <w:docGrid w:linePitch="360"/>
        </w:sectPr>
      </w:pPr>
    </w:p>
    <w:p w:rsidR="00E16925" w:rsidRPr="00CC3420" w:rsidRDefault="00A26C76" w:rsidP="00CC3420">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pPr>
      <w:r w:rsidRPr="00CC3420">
        <w:rPr>
          <w:rFonts w:ascii="Times New Roman" w:hAnsi="Times New Roman" w:cs="Times New Roman"/>
          <w:b/>
          <w:lang w:val="es-MX"/>
        </w:rPr>
        <w:lastRenderedPageBreak/>
        <w:t>La brecha fiscal respecto a presupuesto</w:t>
      </w:r>
      <w:r w:rsidR="00CC3420" w:rsidRPr="00CC3420">
        <w:rPr>
          <w:rFonts w:ascii="Times New Roman" w:hAnsi="Times New Roman" w:cs="Times New Roman"/>
          <w:b/>
          <w:lang w:val="es-MX"/>
        </w:rPr>
        <w:t xml:space="preserve"> en abril se amplía</w:t>
      </w:r>
    </w:p>
    <w:p w:rsidR="00E16925" w:rsidRPr="00CD7760" w:rsidRDefault="00E16925" w:rsidP="00E16925">
      <w:pPr>
        <w:rPr>
          <w:rFonts w:ascii="Times New Roman" w:hAnsi="Times New Roman" w:cs="Times New Roman"/>
          <w:b/>
          <w:color w:val="FF0000"/>
          <w:lang w:val="es-MX"/>
        </w:rPr>
        <w:sectPr w:rsidR="00E16925" w:rsidRPr="00CD7760" w:rsidSect="00E16925">
          <w:headerReference w:type="default" r:id="rId11"/>
          <w:footerReference w:type="default" r:id="rId12"/>
          <w:type w:val="continuous"/>
          <w:pgSz w:w="12240" w:h="15840" w:code="1"/>
          <w:pgMar w:top="1418" w:right="1418" w:bottom="1418" w:left="1418" w:header="709" w:footer="709" w:gutter="0"/>
          <w:cols w:space="708"/>
          <w:docGrid w:linePitch="360"/>
        </w:sectPr>
      </w:pPr>
    </w:p>
    <w:p w:rsidR="00E16925" w:rsidRPr="00CD7760" w:rsidRDefault="00E16925" w:rsidP="00E16925">
      <w:pPr>
        <w:pStyle w:val="Sinespaciado"/>
        <w:rPr>
          <w:rFonts w:ascii="Times New Roman" w:hAnsi="Times New Roman" w:cs="Times New Roman"/>
          <w:b/>
          <w:color w:val="FF0000"/>
          <w:sz w:val="18"/>
          <w:lang w:val="es-MX"/>
        </w:rPr>
      </w:pPr>
    </w:p>
    <w:p w:rsidR="00E16925" w:rsidRPr="00CD7760" w:rsidRDefault="00E16925" w:rsidP="00E16925">
      <w:pPr>
        <w:pStyle w:val="Sinespaciado"/>
        <w:jc w:val="center"/>
        <w:rPr>
          <w:rFonts w:ascii="Times New Roman" w:hAnsi="Times New Roman" w:cs="Times New Roman"/>
          <w:b/>
          <w:color w:val="FF0000"/>
          <w:lang w:val="es-MX"/>
        </w:rPr>
        <w:sectPr w:rsidR="00E16925" w:rsidRPr="00CD7760" w:rsidSect="001F5210">
          <w:type w:val="continuous"/>
          <w:pgSz w:w="12240" w:h="15840"/>
          <w:pgMar w:top="1417" w:right="1701" w:bottom="1417" w:left="1701" w:header="708" w:footer="708" w:gutter="0"/>
          <w:cols w:space="708"/>
          <w:docGrid w:linePitch="360"/>
        </w:sectPr>
      </w:pPr>
    </w:p>
    <w:p w:rsidR="00CC3420" w:rsidRPr="005A694E" w:rsidRDefault="00CC3420" w:rsidP="00CC3420">
      <w:pPr>
        <w:spacing w:after="0" w:line="240" w:lineRule="auto"/>
        <w:jc w:val="both"/>
        <w:rPr>
          <w:rFonts w:ascii="Times New Roman" w:hAnsi="Times New Roman" w:cs="Times New Roman"/>
          <w:lang w:val="es-MX"/>
        </w:rPr>
      </w:pPr>
      <w:r w:rsidRPr="005A694E">
        <w:rPr>
          <w:rFonts w:ascii="Times New Roman" w:hAnsi="Times New Roman" w:cs="Times New Roman"/>
          <w:lang w:val="es-MX"/>
        </w:rPr>
        <w:lastRenderedPageBreak/>
        <w:t xml:space="preserve">Cifras preliminares de recaudación </w:t>
      </w:r>
      <w:r>
        <w:rPr>
          <w:rFonts w:ascii="Times New Roman" w:hAnsi="Times New Roman" w:cs="Times New Roman"/>
          <w:lang w:val="es-MX"/>
        </w:rPr>
        <w:t xml:space="preserve">acumulada </w:t>
      </w:r>
      <w:r w:rsidRPr="005A694E">
        <w:rPr>
          <w:rFonts w:ascii="Times New Roman" w:hAnsi="Times New Roman" w:cs="Times New Roman"/>
          <w:lang w:val="es-MX"/>
        </w:rPr>
        <w:t xml:space="preserve">ubican la brecha fiscal negativa </w:t>
      </w:r>
      <w:r>
        <w:rPr>
          <w:rFonts w:ascii="Times New Roman" w:hAnsi="Times New Roman" w:cs="Times New Roman"/>
          <w:lang w:val="es-MX"/>
        </w:rPr>
        <w:t xml:space="preserve">en </w:t>
      </w:r>
      <w:r w:rsidRPr="005A694E">
        <w:rPr>
          <w:rFonts w:ascii="Times New Roman" w:hAnsi="Times New Roman" w:cs="Times New Roman"/>
          <w:lang w:val="es-MX"/>
        </w:rPr>
        <w:t xml:space="preserve">Q </w:t>
      </w:r>
      <w:r>
        <w:rPr>
          <w:rFonts w:ascii="Times New Roman" w:hAnsi="Times New Roman" w:cs="Times New Roman"/>
          <w:lang w:val="es-MX"/>
        </w:rPr>
        <w:t>754.4</w:t>
      </w:r>
      <w:r w:rsidRPr="005A694E">
        <w:rPr>
          <w:rFonts w:ascii="Times New Roman" w:hAnsi="Times New Roman" w:cs="Times New Roman"/>
          <w:lang w:val="es-MX"/>
        </w:rPr>
        <w:t xml:space="preserve"> millones respecto a la meta programada en presupuesto (Q 1</w:t>
      </w:r>
      <w:r>
        <w:rPr>
          <w:rFonts w:ascii="Times New Roman" w:hAnsi="Times New Roman" w:cs="Times New Roman"/>
          <w:lang w:val="es-MX"/>
        </w:rPr>
        <w:t>8</w:t>
      </w:r>
      <w:r w:rsidRPr="005A694E">
        <w:rPr>
          <w:rFonts w:ascii="Times New Roman" w:hAnsi="Times New Roman" w:cs="Times New Roman"/>
          <w:lang w:val="es-MX"/>
        </w:rPr>
        <w:t>,</w:t>
      </w:r>
      <w:r>
        <w:rPr>
          <w:rFonts w:ascii="Times New Roman" w:hAnsi="Times New Roman" w:cs="Times New Roman"/>
          <w:lang w:val="es-MX"/>
        </w:rPr>
        <w:t xml:space="preserve">582.7 </w:t>
      </w:r>
      <w:r w:rsidRPr="005A694E">
        <w:rPr>
          <w:rFonts w:ascii="Times New Roman" w:hAnsi="Times New Roman" w:cs="Times New Roman"/>
          <w:lang w:val="es-MX"/>
        </w:rPr>
        <w:t xml:space="preserve">millones), dicha brecha está influenciada principalmente por problemas en la recaudación del Impuesto sobre la renta </w:t>
      </w:r>
      <w:r>
        <w:rPr>
          <w:rFonts w:ascii="Times New Roman" w:hAnsi="Times New Roman" w:cs="Times New Roman"/>
          <w:lang w:val="es-MX"/>
        </w:rPr>
        <w:t xml:space="preserve">el cual dejo de percibir </w:t>
      </w:r>
      <w:r w:rsidRPr="005A694E">
        <w:rPr>
          <w:rFonts w:ascii="Times New Roman" w:hAnsi="Times New Roman" w:cs="Times New Roman"/>
          <w:lang w:val="es-MX"/>
        </w:rPr>
        <w:t xml:space="preserve">Q </w:t>
      </w:r>
      <w:r>
        <w:rPr>
          <w:rFonts w:ascii="Times New Roman" w:hAnsi="Times New Roman" w:cs="Times New Roman"/>
          <w:lang w:val="es-MX"/>
        </w:rPr>
        <w:t>331.2</w:t>
      </w:r>
      <w:r w:rsidRPr="005A694E">
        <w:rPr>
          <w:rFonts w:ascii="Times New Roman" w:hAnsi="Times New Roman" w:cs="Times New Roman"/>
          <w:lang w:val="es-MX"/>
        </w:rPr>
        <w:t xml:space="preserve"> millones</w:t>
      </w:r>
      <w:r>
        <w:rPr>
          <w:rFonts w:ascii="Times New Roman" w:hAnsi="Times New Roman" w:cs="Times New Roman"/>
          <w:lang w:val="es-MX"/>
        </w:rPr>
        <w:t xml:space="preserve"> y el </w:t>
      </w:r>
      <w:r w:rsidRPr="005A694E">
        <w:rPr>
          <w:rFonts w:ascii="Times New Roman" w:hAnsi="Times New Roman" w:cs="Times New Roman"/>
          <w:lang w:val="es-MX"/>
        </w:rPr>
        <w:t xml:space="preserve">IVA total que a la fecha tiene un faltante de </w:t>
      </w:r>
      <w:r>
        <w:rPr>
          <w:rFonts w:ascii="Times New Roman" w:hAnsi="Times New Roman" w:cs="Times New Roman"/>
          <w:lang w:val="es-MX"/>
        </w:rPr>
        <w:t xml:space="preserve"> </w:t>
      </w:r>
      <w:r w:rsidRPr="005A694E">
        <w:rPr>
          <w:rFonts w:ascii="Times New Roman" w:hAnsi="Times New Roman" w:cs="Times New Roman"/>
          <w:lang w:val="es-MX"/>
        </w:rPr>
        <w:t xml:space="preserve">Q </w:t>
      </w:r>
      <w:r>
        <w:rPr>
          <w:rFonts w:ascii="Times New Roman" w:hAnsi="Times New Roman" w:cs="Times New Roman"/>
          <w:lang w:val="es-MX"/>
        </w:rPr>
        <w:t>634.1</w:t>
      </w:r>
      <w:r w:rsidRPr="005A694E">
        <w:rPr>
          <w:rFonts w:ascii="Times New Roman" w:hAnsi="Times New Roman" w:cs="Times New Roman"/>
          <w:lang w:val="es-MX"/>
        </w:rPr>
        <w:t xml:space="preserve"> millones.</w:t>
      </w:r>
    </w:p>
    <w:p w:rsidR="00CC3420" w:rsidRPr="005A694E" w:rsidRDefault="00CC3420" w:rsidP="00CC3420">
      <w:pPr>
        <w:spacing w:after="0" w:line="240" w:lineRule="auto"/>
        <w:jc w:val="both"/>
        <w:rPr>
          <w:rFonts w:ascii="Times New Roman" w:hAnsi="Times New Roman" w:cs="Times New Roman"/>
          <w:lang w:val="es-MX"/>
        </w:rPr>
      </w:pPr>
    </w:p>
    <w:p w:rsidR="00CC3420" w:rsidRPr="005A694E" w:rsidRDefault="00CC3420" w:rsidP="00CC3420">
      <w:pPr>
        <w:spacing w:after="0" w:line="240" w:lineRule="auto"/>
        <w:jc w:val="both"/>
        <w:rPr>
          <w:rFonts w:ascii="Times New Roman" w:hAnsi="Times New Roman" w:cs="Times New Roman"/>
          <w:lang w:val="es-MX"/>
        </w:rPr>
      </w:pPr>
      <w:r w:rsidRPr="005A694E">
        <w:rPr>
          <w:rFonts w:ascii="Times New Roman" w:hAnsi="Times New Roman" w:cs="Times New Roman"/>
          <w:lang w:val="es-MX"/>
        </w:rPr>
        <w:t xml:space="preserve">Con relación al año anterior se observa un crecimiento de </w:t>
      </w:r>
      <w:r>
        <w:rPr>
          <w:rFonts w:ascii="Times New Roman" w:hAnsi="Times New Roman" w:cs="Times New Roman"/>
          <w:lang w:val="es-MX"/>
        </w:rPr>
        <w:t>2.2</w:t>
      </w:r>
      <w:r w:rsidRPr="005A694E">
        <w:rPr>
          <w:rFonts w:ascii="Times New Roman" w:hAnsi="Times New Roman" w:cs="Times New Roman"/>
          <w:lang w:val="es-MX"/>
        </w:rPr>
        <w:t xml:space="preserve">% (Q </w:t>
      </w:r>
      <w:r>
        <w:rPr>
          <w:rFonts w:ascii="Times New Roman" w:hAnsi="Times New Roman" w:cs="Times New Roman"/>
          <w:lang w:val="es-MX"/>
        </w:rPr>
        <w:t xml:space="preserve">384.4 </w:t>
      </w:r>
      <w:r w:rsidRPr="005A694E">
        <w:rPr>
          <w:rFonts w:ascii="Times New Roman" w:hAnsi="Times New Roman" w:cs="Times New Roman"/>
          <w:lang w:val="es-MX"/>
        </w:rPr>
        <w:t xml:space="preserve">millones) dicho crecimiento es inferior al crecimiento de la economía doméstica el cual según cifras de Banguat a través del índice mensual de la actividad económica </w:t>
      </w:r>
      <w:r>
        <w:rPr>
          <w:rFonts w:ascii="Times New Roman" w:hAnsi="Times New Roman" w:cs="Times New Roman"/>
          <w:lang w:val="es-MX"/>
        </w:rPr>
        <w:t>a</w:t>
      </w:r>
      <w:r w:rsidRPr="005A694E">
        <w:rPr>
          <w:rFonts w:ascii="Times New Roman" w:hAnsi="Times New Roman" w:cs="Times New Roman"/>
          <w:lang w:val="es-MX"/>
        </w:rPr>
        <w:t xml:space="preserve"> </w:t>
      </w:r>
      <w:r>
        <w:rPr>
          <w:rFonts w:ascii="Times New Roman" w:hAnsi="Times New Roman" w:cs="Times New Roman"/>
          <w:lang w:val="es-MX"/>
        </w:rPr>
        <w:t xml:space="preserve">marzo </w:t>
      </w:r>
      <w:r w:rsidRPr="005A694E">
        <w:rPr>
          <w:rFonts w:ascii="Times New Roman" w:hAnsi="Times New Roman" w:cs="Times New Roman"/>
          <w:lang w:val="es-MX"/>
        </w:rPr>
        <w:t>se ubicaba en 3.</w:t>
      </w:r>
      <w:r>
        <w:rPr>
          <w:rFonts w:ascii="Times New Roman" w:hAnsi="Times New Roman" w:cs="Times New Roman"/>
          <w:lang w:val="es-MX"/>
        </w:rPr>
        <w:t>1</w:t>
      </w:r>
      <w:r w:rsidRPr="005A694E">
        <w:rPr>
          <w:rFonts w:ascii="Times New Roman" w:hAnsi="Times New Roman" w:cs="Times New Roman"/>
          <w:lang w:val="es-MX"/>
        </w:rPr>
        <w:t>%.</w:t>
      </w:r>
    </w:p>
    <w:p w:rsidR="00CC3420" w:rsidRPr="005A694E" w:rsidRDefault="00CC3420" w:rsidP="00CC3420">
      <w:pPr>
        <w:spacing w:after="0" w:line="240" w:lineRule="auto"/>
        <w:jc w:val="both"/>
        <w:rPr>
          <w:rFonts w:ascii="Times New Roman" w:hAnsi="Times New Roman" w:cs="Times New Roman"/>
          <w:lang w:val="es-MX"/>
        </w:rPr>
      </w:pPr>
    </w:p>
    <w:p w:rsidR="00CC3420" w:rsidRPr="005A694E" w:rsidRDefault="00CC3420" w:rsidP="00CC3420">
      <w:pPr>
        <w:spacing w:after="0" w:line="240" w:lineRule="auto"/>
        <w:jc w:val="center"/>
        <w:rPr>
          <w:rFonts w:ascii="Times New Roman" w:hAnsi="Times New Roman" w:cs="Times New Roman"/>
          <w:b/>
          <w:lang w:val="es-MX"/>
        </w:rPr>
      </w:pPr>
      <w:r w:rsidRPr="005A694E">
        <w:rPr>
          <w:rFonts w:ascii="Times New Roman" w:hAnsi="Times New Roman" w:cs="Times New Roman"/>
          <w:b/>
          <w:lang w:val="es-MX"/>
        </w:rPr>
        <w:t>Variación de la recaudación tributaria</w:t>
      </w:r>
    </w:p>
    <w:p w:rsidR="00CC3420" w:rsidRDefault="00FF1BA8" w:rsidP="00CC3420">
      <w:pPr>
        <w:spacing w:after="0" w:line="240" w:lineRule="auto"/>
        <w:jc w:val="center"/>
        <w:rPr>
          <w:rFonts w:ascii="Times New Roman" w:hAnsi="Times New Roman" w:cs="Times New Roman"/>
          <w:sz w:val="18"/>
          <w:lang w:val="es-MX"/>
        </w:rPr>
      </w:pPr>
      <w:r>
        <w:rPr>
          <w:noProof/>
          <w:lang w:eastAsia="es-GT"/>
        </w:rPr>
        <w:drawing>
          <wp:anchor distT="0" distB="0" distL="114300" distR="114300" simplePos="0" relativeHeight="251672576" behindDoc="0" locked="0" layoutInCell="1" allowOverlap="1" wp14:anchorId="6867FDE6" wp14:editId="7884434F">
            <wp:simplePos x="0" y="0"/>
            <wp:positionH relativeFrom="column">
              <wp:posOffset>-5080</wp:posOffset>
            </wp:positionH>
            <wp:positionV relativeFrom="paragraph">
              <wp:posOffset>120015</wp:posOffset>
            </wp:positionV>
            <wp:extent cx="2667000" cy="3105150"/>
            <wp:effectExtent l="0" t="0" r="0" b="0"/>
            <wp:wrapNone/>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CC3420" w:rsidRPr="00CC3420">
        <w:rPr>
          <w:rFonts w:ascii="Times New Roman" w:hAnsi="Times New Roman" w:cs="Times New Roman"/>
          <w:sz w:val="18"/>
          <w:lang w:val="es-MX"/>
        </w:rPr>
        <w:t>Millones de quetzales</w:t>
      </w:r>
    </w:p>
    <w:p w:rsidR="00FF1BA8" w:rsidRDefault="00FF1BA8" w:rsidP="00CC3420">
      <w:pPr>
        <w:spacing w:after="0" w:line="240" w:lineRule="auto"/>
        <w:jc w:val="center"/>
        <w:rPr>
          <w:rFonts w:ascii="Times New Roman" w:hAnsi="Times New Roman" w:cs="Times New Roman"/>
          <w:sz w:val="18"/>
          <w:lang w:val="es-MX"/>
        </w:rPr>
      </w:pPr>
    </w:p>
    <w:p w:rsidR="00FF1BA8" w:rsidRDefault="00FF1BA8" w:rsidP="00CC3420">
      <w:pPr>
        <w:spacing w:after="0" w:line="240" w:lineRule="auto"/>
        <w:jc w:val="center"/>
        <w:rPr>
          <w:rFonts w:ascii="Times New Roman" w:hAnsi="Times New Roman" w:cs="Times New Roman"/>
          <w:sz w:val="18"/>
          <w:lang w:val="es-MX"/>
        </w:rPr>
      </w:pPr>
    </w:p>
    <w:p w:rsidR="00FF1BA8" w:rsidRDefault="00FF1BA8" w:rsidP="00CC3420">
      <w:pPr>
        <w:spacing w:after="0" w:line="240" w:lineRule="auto"/>
        <w:jc w:val="center"/>
        <w:rPr>
          <w:rFonts w:ascii="Times New Roman" w:hAnsi="Times New Roman" w:cs="Times New Roman"/>
          <w:sz w:val="18"/>
          <w:lang w:val="es-MX"/>
        </w:rPr>
      </w:pPr>
    </w:p>
    <w:p w:rsidR="00FF1BA8" w:rsidRDefault="00FF1BA8" w:rsidP="00CC3420">
      <w:pPr>
        <w:spacing w:after="0" w:line="240" w:lineRule="auto"/>
        <w:jc w:val="center"/>
        <w:rPr>
          <w:rFonts w:ascii="Times New Roman" w:hAnsi="Times New Roman" w:cs="Times New Roman"/>
          <w:sz w:val="18"/>
          <w:lang w:val="es-MX"/>
        </w:rPr>
      </w:pPr>
    </w:p>
    <w:p w:rsidR="00FF1BA8" w:rsidRDefault="00FF1BA8" w:rsidP="00CC3420">
      <w:pPr>
        <w:spacing w:after="0" w:line="240" w:lineRule="auto"/>
        <w:jc w:val="center"/>
        <w:rPr>
          <w:rFonts w:ascii="Times New Roman" w:hAnsi="Times New Roman" w:cs="Times New Roman"/>
          <w:sz w:val="18"/>
          <w:lang w:val="es-MX"/>
        </w:rPr>
      </w:pPr>
    </w:p>
    <w:p w:rsidR="00FF1BA8" w:rsidRDefault="00FF1BA8" w:rsidP="00CC3420">
      <w:pPr>
        <w:spacing w:after="0" w:line="240" w:lineRule="auto"/>
        <w:jc w:val="center"/>
        <w:rPr>
          <w:rFonts w:ascii="Times New Roman" w:hAnsi="Times New Roman" w:cs="Times New Roman"/>
          <w:sz w:val="18"/>
          <w:lang w:val="es-MX"/>
        </w:rPr>
      </w:pPr>
    </w:p>
    <w:p w:rsidR="00FF1BA8" w:rsidRDefault="00FF1BA8" w:rsidP="00CC3420">
      <w:pPr>
        <w:spacing w:after="0" w:line="240" w:lineRule="auto"/>
        <w:jc w:val="center"/>
        <w:rPr>
          <w:rFonts w:ascii="Times New Roman" w:hAnsi="Times New Roman" w:cs="Times New Roman"/>
          <w:sz w:val="18"/>
          <w:lang w:val="es-MX"/>
        </w:rPr>
      </w:pPr>
    </w:p>
    <w:p w:rsidR="00FF1BA8" w:rsidRDefault="00FF1BA8" w:rsidP="00CC3420">
      <w:pPr>
        <w:spacing w:after="0" w:line="240" w:lineRule="auto"/>
        <w:jc w:val="center"/>
        <w:rPr>
          <w:rFonts w:ascii="Times New Roman" w:hAnsi="Times New Roman" w:cs="Times New Roman"/>
          <w:sz w:val="18"/>
          <w:lang w:val="es-MX"/>
        </w:rPr>
      </w:pPr>
    </w:p>
    <w:p w:rsidR="00FF1BA8" w:rsidRDefault="00FF1BA8" w:rsidP="00CC3420">
      <w:pPr>
        <w:spacing w:after="0" w:line="240" w:lineRule="auto"/>
        <w:jc w:val="center"/>
        <w:rPr>
          <w:rFonts w:ascii="Times New Roman" w:hAnsi="Times New Roman" w:cs="Times New Roman"/>
          <w:sz w:val="18"/>
          <w:lang w:val="es-MX"/>
        </w:rPr>
      </w:pPr>
    </w:p>
    <w:p w:rsidR="00FF1BA8" w:rsidRDefault="00FF1BA8" w:rsidP="00CC3420">
      <w:pPr>
        <w:spacing w:after="0" w:line="240" w:lineRule="auto"/>
        <w:jc w:val="center"/>
        <w:rPr>
          <w:rFonts w:ascii="Times New Roman" w:hAnsi="Times New Roman" w:cs="Times New Roman"/>
          <w:sz w:val="18"/>
          <w:lang w:val="es-MX"/>
        </w:rPr>
      </w:pPr>
    </w:p>
    <w:p w:rsidR="00FF1BA8" w:rsidRDefault="00FF1BA8" w:rsidP="00CC3420">
      <w:pPr>
        <w:spacing w:after="0" w:line="240" w:lineRule="auto"/>
        <w:jc w:val="center"/>
        <w:rPr>
          <w:rFonts w:ascii="Times New Roman" w:hAnsi="Times New Roman" w:cs="Times New Roman"/>
          <w:sz w:val="18"/>
          <w:lang w:val="es-MX"/>
        </w:rPr>
      </w:pPr>
    </w:p>
    <w:p w:rsidR="00FF1BA8" w:rsidRDefault="00FF1BA8" w:rsidP="00CC3420">
      <w:pPr>
        <w:spacing w:after="0" w:line="240" w:lineRule="auto"/>
        <w:jc w:val="center"/>
        <w:rPr>
          <w:rFonts w:ascii="Times New Roman" w:hAnsi="Times New Roman" w:cs="Times New Roman"/>
          <w:sz w:val="18"/>
          <w:lang w:val="es-MX"/>
        </w:rPr>
      </w:pPr>
    </w:p>
    <w:p w:rsidR="00FF1BA8" w:rsidRDefault="00FF1BA8" w:rsidP="00CC3420">
      <w:pPr>
        <w:spacing w:after="0" w:line="240" w:lineRule="auto"/>
        <w:jc w:val="center"/>
        <w:rPr>
          <w:rFonts w:ascii="Times New Roman" w:hAnsi="Times New Roman" w:cs="Times New Roman"/>
          <w:sz w:val="18"/>
          <w:lang w:val="es-MX"/>
        </w:rPr>
      </w:pPr>
    </w:p>
    <w:p w:rsidR="00FF1BA8" w:rsidRDefault="00FF1BA8" w:rsidP="00CC3420">
      <w:pPr>
        <w:spacing w:after="0" w:line="240" w:lineRule="auto"/>
        <w:jc w:val="center"/>
        <w:rPr>
          <w:rFonts w:ascii="Times New Roman" w:hAnsi="Times New Roman" w:cs="Times New Roman"/>
          <w:sz w:val="18"/>
          <w:lang w:val="es-MX"/>
        </w:rPr>
      </w:pPr>
    </w:p>
    <w:p w:rsidR="00FF1BA8" w:rsidRDefault="00FF1BA8" w:rsidP="00CC3420">
      <w:pPr>
        <w:spacing w:after="0" w:line="240" w:lineRule="auto"/>
        <w:jc w:val="center"/>
        <w:rPr>
          <w:rFonts w:ascii="Times New Roman" w:hAnsi="Times New Roman" w:cs="Times New Roman"/>
          <w:sz w:val="18"/>
          <w:lang w:val="es-MX"/>
        </w:rPr>
      </w:pPr>
    </w:p>
    <w:p w:rsidR="00FF1BA8" w:rsidRDefault="00FF1BA8" w:rsidP="00CC3420">
      <w:pPr>
        <w:spacing w:after="0" w:line="240" w:lineRule="auto"/>
        <w:jc w:val="center"/>
        <w:rPr>
          <w:rFonts w:ascii="Times New Roman" w:hAnsi="Times New Roman" w:cs="Times New Roman"/>
          <w:sz w:val="18"/>
          <w:lang w:val="es-MX"/>
        </w:rPr>
      </w:pPr>
    </w:p>
    <w:p w:rsidR="00FF1BA8" w:rsidRDefault="00FF1BA8" w:rsidP="00CC3420">
      <w:pPr>
        <w:spacing w:after="0" w:line="240" w:lineRule="auto"/>
        <w:jc w:val="center"/>
        <w:rPr>
          <w:rFonts w:ascii="Times New Roman" w:hAnsi="Times New Roman" w:cs="Times New Roman"/>
          <w:sz w:val="18"/>
          <w:lang w:val="es-MX"/>
        </w:rPr>
      </w:pPr>
    </w:p>
    <w:p w:rsidR="00FF1BA8" w:rsidRDefault="00FF1BA8" w:rsidP="00CC3420">
      <w:pPr>
        <w:spacing w:after="0" w:line="240" w:lineRule="auto"/>
        <w:jc w:val="center"/>
        <w:rPr>
          <w:rFonts w:ascii="Times New Roman" w:hAnsi="Times New Roman" w:cs="Times New Roman"/>
          <w:sz w:val="18"/>
          <w:lang w:val="es-MX"/>
        </w:rPr>
      </w:pPr>
    </w:p>
    <w:p w:rsidR="00FF1BA8" w:rsidRDefault="00FF1BA8" w:rsidP="00CC3420">
      <w:pPr>
        <w:spacing w:after="0" w:line="240" w:lineRule="auto"/>
        <w:jc w:val="center"/>
        <w:rPr>
          <w:rFonts w:ascii="Times New Roman" w:hAnsi="Times New Roman" w:cs="Times New Roman"/>
          <w:sz w:val="18"/>
          <w:lang w:val="es-MX"/>
        </w:rPr>
      </w:pPr>
    </w:p>
    <w:p w:rsidR="00FF1BA8" w:rsidRPr="00CC3420" w:rsidRDefault="00FF1BA8" w:rsidP="00CC3420">
      <w:pPr>
        <w:spacing w:after="0" w:line="240" w:lineRule="auto"/>
        <w:jc w:val="center"/>
        <w:rPr>
          <w:rFonts w:ascii="Times New Roman" w:hAnsi="Times New Roman" w:cs="Times New Roman"/>
          <w:sz w:val="18"/>
          <w:lang w:val="es-MX"/>
        </w:rPr>
      </w:pPr>
    </w:p>
    <w:p w:rsidR="00CC3420" w:rsidRDefault="00CC3420" w:rsidP="00CC3420">
      <w:pPr>
        <w:spacing w:after="0" w:line="240" w:lineRule="auto"/>
        <w:jc w:val="both"/>
        <w:rPr>
          <w:rFonts w:ascii="Times New Roman" w:hAnsi="Times New Roman" w:cs="Times New Roman"/>
          <w:lang w:val="es-MX"/>
        </w:rPr>
      </w:pPr>
    </w:p>
    <w:p w:rsidR="00495A77" w:rsidRDefault="00495A77" w:rsidP="00CC3420">
      <w:pPr>
        <w:spacing w:after="0" w:line="240" w:lineRule="auto"/>
        <w:jc w:val="both"/>
        <w:rPr>
          <w:rFonts w:ascii="Times New Roman" w:hAnsi="Times New Roman" w:cs="Times New Roman"/>
          <w:lang w:val="es-MX"/>
        </w:rPr>
      </w:pPr>
    </w:p>
    <w:p w:rsidR="00495A77" w:rsidRPr="005A694E" w:rsidRDefault="00495A77" w:rsidP="00CC3420">
      <w:pPr>
        <w:spacing w:after="0" w:line="240" w:lineRule="auto"/>
        <w:jc w:val="both"/>
        <w:rPr>
          <w:rFonts w:ascii="Times New Roman" w:hAnsi="Times New Roman" w:cs="Times New Roman"/>
          <w:lang w:val="es-MX"/>
        </w:rPr>
      </w:pPr>
    </w:p>
    <w:p w:rsidR="00CC3420" w:rsidRPr="00CC3420" w:rsidRDefault="00CC3420" w:rsidP="00CC3420">
      <w:pPr>
        <w:spacing w:after="0" w:line="240" w:lineRule="auto"/>
        <w:jc w:val="both"/>
        <w:rPr>
          <w:rFonts w:ascii="Times New Roman" w:hAnsi="Times New Roman" w:cs="Times New Roman"/>
          <w:sz w:val="16"/>
          <w:lang w:val="es-MX"/>
        </w:rPr>
      </w:pPr>
      <w:r w:rsidRPr="00CC3420">
        <w:rPr>
          <w:rFonts w:ascii="Times New Roman" w:hAnsi="Times New Roman" w:cs="Times New Roman"/>
          <w:sz w:val="16"/>
          <w:lang w:val="es-MX"/>
        </w:rPr>
        <w:t>Fuente: Dirección de análisis y política fiscal</w:t>
      </w:r>
    </w:p>
    <w:p w:rsidR="00CC3420" w:rsidRPr="005A694E" w:rsidRDefault="00CC3420" w:rsidP="00CC3420">
      <w:pPr>
        <w:spacing w:after="0" w:line="240" w:lineRule="auto"/>
        <w:jc w:val="both"/>
        <w:rPr>
          <w:rFonts w:ascii="Times New Roman" w:hAnsi="Times New Roman" w:cs="Times New Roman"/>
          <w:lang w:val="es-MX"/>
        </w:rPr>
      </w:pPr>
    </w:p>
    <w:p w:rsidR="00FF1BA8" w:rsidRDefault="00FF1BA8" w:rsidP="00CC3420">
      <w:pPr>
        <w:spacing w:after="0" w:line="240" w:lineRule="auto"/>
        <w:jc w:val="both"/>
        <w:rPr>
          <w:rFonts w:ascii="Times New Roman" w:hAnsi="Times New Roman" w:cs="Times New Roman"/>
          <w:lang w:val="es-MX"/>
        </w:rPr>
      </w:pPr>
      <w:r>
        <w:rPr>
          <w:rFonts w:ascii="Times New Roman" w:hAnsi="Times New Roman" w:cs="Times New Roman"/>
          <w:lang w:val="es-MX"/>
        </w:rPr>
        <w:t>El impuesto sobre la renta, a abril logró superar lo observado en año anterior por Q64 millones del total de la recaudación observada.</w:t>
      </w:r>
    </w:p>
    <w:p w:rsidR="00FF1BA8" w:rsidRDefault="00FF1BA8" w:rsidP="00CC3420">
      <w:pPr>
        <w:spacing w:after="0" w:line="240" w:lineRule="auto"/>
        <w:jc w:val="both"/>
        <w:rPr>
          <w:rFonts w:ascii="Times New Roman" w:hAnsi="Times New Roman" w:cs="Times New Roman"/>
          <w:lang w:val="es-MX"/>
        </w:rPr>
      </w:pPr>
    </w:p>
    <w:p w:rsidR="00FF1BA8" w:rsidRDefault="00FF1BA8" w:rsidP="00FF1BA8">
      <w:pPr>
        <w:spacing w:after="0" w:line="240" w:lineRule="auto"/>
        <w:jc w:val="center"/>
        <w:rPr>
          <w:rFonts w:ascii="Times New Roman" w:hAnsi="Times New Roman" w:cs="Times New Roman"/>
          <w:lang w:val="es-MX"/>
        </w:rPr>
      </w:pPr>
      <w:r>
        <w:rPr>
          <w:rFonts w:ascii="Times New Roman" w:hAnsi="Times New Roman" w:cs="Times New Roman"/>
          <w:b/>
          <w:lang w:val="es-MX"/>
        </w:rPr>
        <w:t>Impuesto sobre la renta</w:t>
      </w:r>
    </w:p>
    <w:p w:rsidR="00FF1BA8" w:rsidRPr="00FF1BA8" w:rsidRDefault="00FF1BA8" w:rsidP="00FF1BA8">
      <w:pPr>
        <w:spacing w:after="0" w:line="240" w:lineRule="auto"/>
        <w:jc w:val="center"/>
        <w:rPr>
          <w:rFonts w:ascii="Times New Roman" w:hAnsi="Times New Roman" w:cs="Times New Roman"/>
          <w:sz w:val="18"/>
          <w:lang w:val="es-MX"/>
        </w:rPr>
      </w:pPr>
      <w:r w:rsidRPr="00FF1BA8">
        <w:rPr>
          <w:rFonts w:ascii="Times New Roman" w:hAnsi="Times New Roman" w:cs="Times New Roman"/>
          <w:sz w:val="18"/>
          <w:lang w:val="es-MX"/>
        </w:rPr>
        <w:t>Mensual 2015 – 2016</w:t>
      </w:r>
    </w:p>
    <w:p w:rsidR="00FF1BA8" w:rsidRPr="00FF1BA8" w:rsidRDefault="00FF1BA8" w:rsidP="00FF1BA8">
      <w:pPr>
        <w:spacing w:after="0" w:line="240" w:lineRule="auto"/>
        <w:jc w:val="center"/>
        <w:rPr>
          <w:rFonts w:ascii="Times New Roman" w:hAnsi="Times New Roman" w:cs="Times New Roman"/>
          <w:sz w:val="18"/>
          <w:lang w:val="es-MX"/>
        </w:rPr>
      </w:pPr>
      <w:r w:rsidRPr="00FF1BA8">
        <w:rPr>
          <w:rFonts w:ascii="Times New Roman" w:hAnsi="Times New Roman" w:cs="Times New Roman"/>
          <w:sz w:val="18"/>
          <w:lang w:val="es-MX"/>
        </w:rPr>
        <w:t>Millones de quetzales</w:t>
      </w:r>
    </w:p>
    <w:p w:rsidR="00FF1BA8" w:rsidRDefault="00495A77" w:rsidP="00CC3420">
      <w:pPr>
        <w:spacing w:after="0" w:line="240" w:lineRule="auto"/>
        <w:jc w:val="both"/>
        <w:rPr>
          <w:rFonts w:ascii="Times New Roman" w:hAnsi="Times New Roman" w:cs="Times New Roman"/>
          <w:lang w:val="es-MX"/>
        </w:rPr>
      </w:pPr>
      <w:r>
        <w:rPr>
          <w:noProof/>
          <w:lang w:eastAsia="es-GT"/>
        </w:rPr>
        <w:drawing>
          <wp:anchor distT="0" distB="0" distL="114300" distR="114300" simplePos="0" relativeHeight="251674624" behindDoc="0" locked="0" layoutInCell="1" allowOverlap="1" wp14:anchorId="4E4E710F" wp14:editId="32543905">
            <wp:simplePos x="0" y="0"/>
            <wp:positionH relativeFrom="column">
              <wp:posOffset>3810</wp:posOffset>
            </wp:positionH>
            <wp:positionV relativeFrom="paragraph">
              <wp:posOffset>6350</wp:posOffset>
            </wp:positionV>
            <wp:extent cx="2714625" cy="1885950"/>
            <wp:effectExtent l="0" t="0" r="0" b="0"/>
            <wp:wrapNone/>
            <wp:docPr id="31" name="Grá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FF1BA8" w:rsidRDefault="00FF1BA8" w:rsidP="00CC3420">
      <w:pPr>
        <w:spacing w:after="0" w:line="240" w:lineRule="auto"/>
        <w:jc w:val="both"/>
        <w:rPr>
          <w:rFonts w:ascii="Times New Roman" w:hAnsi="Times New Roman" w:cs="Times New Roman"/>
          <w:lang w:val="es-MX"/>
        </w:rPr>
      </w:pPr>
    </w:p>
    <w:p w:rsidR="00FF1BA8" w:rsidRDefault="00FF1BA8" w:rsidP="00CC3420">
      <w:pPr>
        <w:spacing w:after="0" w:line="240" w:lineRule="auto"/>
        <w:jc w:val="both"/>
        <w:rPr>
          <w:rFonts w:ascii="Times New Roman" w:hAnsi="Times New Roman" w:cs="Times New Roman"/>
          <w:lang w:val="es-MX"/>
        </w:rPr>
      </w:pPr>
    </w:p>
    <w:p w:rsidR="00FF1BA8" w:rsidRDefault="00FF1BA8" w:rsidP="00CC3420">
      <w:pPr>
        <w:spacing w:after="0" w:line="240" w:lineRule="auto"/>
        <w:jc w:val="both"/>
        <w:rPr>
          <w:rFonts w:ascii="Times New Roman" w:hAnsi="Times New Roman" w:cs="Times New Roman"/>
          <w:lang w:val="es-MX"/>
        </w:rPr>
      </w:pPr>
    </w:p>
    <w:p w:rsidR="00FF1BA8" w:rsidRDefault="00FF1BA8" w:rsidP="00CC3420">
      <w:pPr>
        <w:spacing w:after="0" w:line="240" w:lineRule="auto"/>
        <w:jc w:val="both"/>
        <w:rPr>
          <w:rFonts w:ascii="Times New Roman" w:hAnsi="Times New Roman" w:cs="Times New Roman"/>
          <w:lang w:val="es-MX"/>
        </w:rPr>
      </w:pPr>
    </w:p>
    <w:p w:rsidR="00FF1BA8" w:rsidRDefault="00FF1BA8" w:rsidP="00CC3420">
      <w:pPr>
        <w:spacing w:after="0" w:line="240" w:lineRule="auto"/>
        <w:jc w:val="both"/>
        <w:rPr>
          <w:rFonts w:ascii="Times New Roman" w:hAnsi="Times New Roman" w:cs="Times New Roman"/>
          <w:lang w:val="es-MX"/>
        </w:rPr>
      </w:pPr>
    </w:p>
    <w:p w:rsidR="00FF1BA8" w:rsidRDefault="00FF1BA8" w:rsidP="00CC3420">
      <w:pPr>
        <w:spacing w:after="0" w:line="240" w:lineRule="auto"/>
        <w:jc w:val="both"/>
        <w:rPr>
          <w:rFonts w:ascii="Times New Roman" w:hAnsi="Times New Roman" w:cs="Times New Roman"/>
          <w:lang w:val="es-MX"/>
        </w:rPr>
      </w:pPr>
    </w:p>
    <w:p w:rsidR="00FF1BA8" w:rsidRDefault="00FF1BA8" w:rsidP="00CC3420">
      <w:pPr>
        <w:spacing w:after="0" w:line="240" w:lineRule="auto"/>
        <w:jc w:val="both"/>
        <w:rPr>
          <w:rFonts w:ascii="Times New Roman" w:hAnsi="Times New Roman" w:cs="Times New Roman"/>
          <w:lang w:val="es-MX"/>
        </w:rPr>
      </w:pPr>
    </w:p>
    <w:p w:rsidR="00FF1BA8" w:rsidRDefault="00FF1BA8" w:rsidP="00CC3420">
      <w:pPr>
        <w:spacing w:after="0" w:line="240" w:lineRule="auto"/>
        <w:jc w:val="both"/>
        <w:rPr>
          <w:rFonts w:ascii="Times New Roman" w:hAnsi="Times New Roman" w:cs="Times New Roman"/>
          <w:lang w:val="es-MX"/>
        </w:rPr>
      </w:pPr>
    </w:p>
    <w:p w:rsidR="00FF1BA8" w:rsidRDefault="00FF1BA8" w:rsidP="00CC3420">
      <w:pPr>
        <w:spacing w:after="0" w:line="240" w:lineRule="auto"/>
        <w:jc w:val="both"/>
        <w:rPr>
          <w:rFonts w:ascii="Times New Roman" w:hAnsi="Times New Roman" w:cs="Times New Roman"/>
          <w:lang w:val="es-MX"/>
        </w:rPr>
      </w:pPr>
    </w:p>
    <w:p w:rsidR="00FF1BA8" w:rsidRDefault="00FF1BA8" w:rsidP="00CC3420">
      <w:pPr>
        <w:spacing w:after="0" w:line="240" w:lineRule="auto"/>
        <w:jc w:val="both"/>
        <w:rPr>
          <w:rFonts w:ascii="Times New Roman" w:hAnsi="Times New Roman" w:cs="Times New Roman"/>
          <w:lang w:val="es-MX"/>
        </w:rPr>
      </w:pPr>
    </w:p>
    <w:p w:rsidR="00FF1BA8" w:rsidRDefault="00FF1BA8" w:rsidP="00CC3420">
      <w:pPr>
        <w:spacing w:after="0" w:line="240" w:lineRule="auto"/>
        <w:jc w:val="both"/>
        <w:rPr>
          <w:rFonts w:ascii="Times New Roman" w:hAnsi="Times New Roman" w:cs="Times New Roman"/>
          <w:lang w:val="es-MX"/>
        </w:rPr>
      </w:pPr>
    </w:p>
    <w:p w:rsidR="00495A77" w:rsidRPr="00CC3420" w:rsidRDefault="00495A77" w:rsidP="00495A77">
      <w:pPr>
        <w:spacing w:after="0" w:line="240" w:lineRule="auto"/>
        <w:jc w:val="both"/>
        <w:rPr>
          <w:rFonts w:ascii="Times New Roman" w:hAnsi="Times New Roman" w:cs="Times New Roman"/>
          <w:sz w:val="16"/>
          <w:lang w:val="es-MX"/>
        </w:rPr>
      </w:pPr>
      <w:r w:rsidRPr="00CC3420">
        <w:rPr>
          <w:rFonts w:ascii="Times New Roman" w:hAnsi="Times New Roman" w:cs="Times New Roman"/>
          <w:sz w:val="16"/>
          <w:lang w:val="es-MX"/>
        </w:rPr>
        <w:t>Fuente: Dirección de análisis y política fiscal</w:t>
      </w:r>
    </w:p>
    <w:p w:rsidR="00495A77" w:rsidRDefault="00495A77" w:rsidP="00495A77">
      <w:pPr>
        <w:spacing w:after="0" w:line="240" w:lineRule="auto"/>
        <w:jc w:val="both"/>
        <w:rPr>
          <w:rFonts w:ascii="Times New Roman" w:hAnsi="Times New Roman" w:cs="Times New Roman"/>
          <w:lang w:val="es-MX"/>
        </w:rPr>
      </w:pPr>
    </w:p>
    <w:p w:rsidR="00495A77" w:rsidRDefault="00495A77" w:rsidP="00495A77">
      <w:pPr>
        <w:spacing w:after="0" w:line="240" w:lineRule="auto"/>
        <w:jc w:val="both"/>
        <w:rPr>
          <w:rFonts w:ascii="Times New Roman" w:hAnsi="Times New Roman" w:cs="Times New Roman"/>
          <w:lang w:val="es-MX"/>
        </w:rPr>
      </w:pPr>
      <w:r w:rsidRPr="00495A77">
        <w:rPr>
          <w:rFonts w:ascii="Times New Roman" w:hAnsi="Times New Roman" w:cs="Times New Roman"/>
          <w:lang w:val="es-MX"/>
        </w:rPr>
        <w:t>El impuesto a</w:t>
      </w:r>
      <w:r>
        <w:rPr>
          <w:rFonts w:ascii="Times New Roman" w:hAnsi="Times New Roman" w:cs="Times New Roman"/>
          <w:lang w:val="es-MX"/>
        </w:rPr>
        <w:t xml:space="preserve">l valor agregado, por su parte, </w:t>
      </w:r>
      <w:r w:rsidRPr="00495A77">
        <w:rPr>
          <w:rFonts w:ascii="Times New Roman" w:hAnsi="Times New Roman" w:cs="Times New Roman"/>
          <w:lang w:val="es-MX"/>
        </w:rPr>
        <w:t>mostr</w:t>
      </w:r>
      <w:r>
        <w:rPr>
          <w:rFonts w:ascii="Times New Roman" w:hAnsi="Times New Roman" w:cs="Times New Roman"/>
          <w:lang w:val="es-MX"/>
        </w:rPr>
        <w:t xml:space="preserve">ó una recaudación acumulada que </w:t>
      </w:r>
      <w:r w:rsidRPr="00495A77">
        <w:rPr>
          <w:rFonts w:ascii="Times New Roman" w:hAnsi="Times New Roman" w:cs="Times New Roman"/>
          <w:lang w:val="es-MX"/>
        </w:rPr>
        <w:t xml:space="preserve">superó lo </w:t>
      </w:r>
      <w:r>
        <w:rPr>
          <w:rFonts w:ascii="Times New Roman" w:hAnsi="Times New Roman" w:cs="Times New Roman"/>
          <w:lang w:val="es-MX"/>
        </w:rPr>
        <w:t xml:space="preserve">observado en 2015 generando una </w:t>
      </w:r>
      <w:r w:rsidRPr="00495A77">
        <w:rPr>
          <w:rFonts w:ascii="Times New Roman" w:hAnsi="Times New Roman" w:cs="Times New Roman"/>
          <w:lang w:val="es-MX"/>
        </w:rPr>
        <w:t xml:space="preserve">brecha </w:t>
      </w:r>
      <w:r>
        <w:rPr>
          <w:rFonts w:ascii="Times New Roman" w:hAnsi="Times New Roman" w:cs="Times New Roman"/>
          <w:lang w:val="es-MX"/>
        </w:rPr>
        <w:t xml:space="preserve">positiva de Q14.9 millones. Sin </w:t>
      </w:r>
      <w:r w:rsidRPr="00495A77">
        <w:rPr>
          <w:rFonts w:ascii="Times New Roman" w:hAnsi="Times New Roman" w:cs="Times New Roman"/>
          <w:lang w:val="es-MX"/>
        </w:rPr>
        <w:t>embargo, di</w:t>
      </w:r>
      <w:r>
        <w:rPr>
          <w:rFonts w:ascii="Times New Roman" w:hAnsi="Times New Roman" w:cs="Times New Roman"/>
          <w:lang w:val="es-MX"/>
        </w:rPr>
        <w:t xml:space="preserve">cho crecimiento se vio afectado </w:t>
      </w:r>
      <w:r w:rsidRPr="00495A77">
        <w:rPr>
          <w:rFonts w:ascii="Times New Roman" w:hAnsi="Times New Roman" w:cs="Times New Roman"/>
          <w:lang w:val="es-MX"/>
        </w:rPr>
        <w:t>por el bajo re</w:t>
      </w:r>
      <w:r>
        <w:rPr>
          <w:rFonts w:ascii="Times New Roman" w:hAnsi="Times New Roman" w:cs="Times New Roman"/>
          <w:lang w:val="es-MX"/>
        </w:rPr>
        <w:t xml:space="preserve">ndimiento en la recaudación del </w:t>
      </w:r>
      <w:r w:rsidRPr="00495A77">
        <w:rPr>
          <w:rFonts w:ascii="Times New Roman" w:hAnsi="Times New Roman" w:cs="Times New Roman"/>
          <w:lang w:val="es-MX"/>
        </w:rPr>
        <w:t>IVA asocia</w:t>
      </w:r>
      <w:r>
        <w:rPr>
          <w:rFonts w:ascii="Times New Roman" w:hAnsi="Times New Roman" w:cs="Times New Roman"/>
          <w:lang w:val="es-MX"/>
        </w:rPr>
        <w:t xml:space="preserve">do a las importaciones, el cual </w:t>
      </w:r>
      <w:r w:rsidRPr="00495A77">
        <w:rPr>
          <w:rFonts w:ascii="Times New Roman" w:hAnsi="Times New Roman" w:cs="Times New Roman"/>
          <w:lang w:val="es-MX"/>
        </w:rPr>
        <w:t>dejó de perci</w:t>
      </w:r>
      <w:r>
        <w:rPr>
          <w:rFonts w:ascii="Times New Roman" w:hAnsi="Times New Roman" w:cs="Times New Roman"/>
          <w:lang w:val="es-MX"/>
        </w:rPr>
        <w:t xml:space="preserve">bir Q126.6 millones, respecto a </w:t>
      </w:r>
      <w:r w:rsidRPr="00495A77">
        <w:rPr>
          <w:rFonts w:ascii="Times New Roman" w:hAnsi="Times New Roman" w:cs="Times New Roman"/>
          <w:lang w:val="es-MX"/>
        </w:rPr>
        <w:t>lo obs</w:t>
      </w:r>
      <w:r>
        <w:rPr>
          <w:rFonts w:ascii="Times New Roman" w:hAnsi="Times New Roman" w:cs="Times New Roman"/>
          <w:lang w:val="es-MX"/>
        </w:rPr>
        <w:t xml:space="preserve">ervado a la misma fecha del año </w:t>
      </w:r>
      <w:r w:rsidRPr="00495A77">
        <w:rPr>
          <w:rFonts w:ascii="Times New Roman" w:hAnsi="Times New Roman" w:cs="Times New Roman"/>
          <w:lang w:val="es-MX"/>
        </w:rPr>
        <w:t>anterior, las</w:t>
      </w:r>
      <w:r>
        <w:rPr>
          <w:rFonts w:ascii="Times New Roman" w:hAnsi="Times New Roman" w:cs="Times New Roman"/>
          <w:lang w:val="es-MX"/>
        </w:rPr>
        <w:t xml:space="preserve"> razones de esta caída obedecen </w:t>
      </w:r>
      <w:r w:rsidRPr="00495A77">
        <w:rPr>
          <w:rFonts w:ascii="Times New Roman" w:hAnsi="Times New Roman" w:cs="Times New Roman"/>
          <w:lang w:val="es-MX"/>
        </w:rPr>
        <w:t>principalmente a la baja en el precio de</w:t>
      </w:r>
      <w:r>
        <w:rPr>
          <w:rFonts w:ascii="Times New Roman" w:hAnsi="Times New Roman" w:cs="Times New Roman"/>
          <w:lang w:val="es-MX"/>
        </w:rPr>
        <w:t xml:space="preserve"> las </w:t>
      </w:r>
      <w:r w:rsidRPr="00495A77">
        <w:rPr>
          <w:rFonts w:ascii="Times New Roman" w:hAnsi="Times New Roman" w:cs="Times New Roman"/>
          <w:lang w:val="es-MX"/>
        </w:rPr>
        <w:t>importaciones petroleras.</w:t>
      </w:r>
    </w:p>
    <w:p w:rsidR="00495A77" w:rsidRDefault="00495A77" w:rsidP="00495A77">
      <w:pPr>
        <w:spacing w:after="0" w:line="240" w:lineRule="auto"/>
        <w:jc w:val="both"/>
        <w:rPr>
          <w:rFonts w:ascii="Times New Roman" w:hAnsi="Times New Roman" w:cs="Times New Roman"/>
          <w:lang w:val="es-MX"/>
        </w:rPr>
      </w:pPr>
    </w:p>
    <w:p w:rsidR="00495A77" w:rsidRDefault="00495A77" w:rsidP="00495A77">
      <w:pPr>
        <w:spacing w:after="0" w:line="240" w:lineRule="auto"/>
        <w:jc w:val="both"/>
        <w:rPr>
          <w:rFonts w:ascii="Times New Roman" w:hAnsi="Times New Roman" w:cs="Times New Roman"/>
          <w:lang w:val="es-MX"/>
        </w:rPr>
      </w:pPr>
      <w:r w:rsidRPr="00495A77">
        <w:rPr>
          <w:rFonts w:ascii="Times New Roman" w:hAnsi="Times New Roman" w:cs="Times New Roman"/>
          <w:lang w:val="es-MX"/>
        </w:rPr>
        <w:t>El rest</w:t>
      </w:r>
      <w:r>
        <w:rPr>
          <w:rFonts w:ascii="Times New Roman" w:hAnsi="Times New Roman" w:cs="Times New Roman"/>
          <w:lang w:val="es-MX"/>
        </w:rPr>
        <w:t xml:space="preserve">o de los impuestos presentan un </w:t>
      </w:r>
      <w:r w:rsidRPr="00495A77">
        <w:rPr>
          <w:rFonts w:ascii="Times New Roman" w:hAnsi="Times New Roman" w:cs="Times New Roman"/>
          <w:lang w:val="es-MX"/>
        </w:rPr>
        <w:t>comportam</w:t>
      </w:r>
      <w:r>
        <w:rPr>
          <w:rFonts w:ascii="Times New Roman" w:hAnsi="Times New Roman" w:cs="Times New Roman"/>
          <w:lang w:val="es-MX"/>
        </w:rPr>
        <w:t xml:space="preserve">iento normal, incluso superando </w:t>
      </w:r>
      <w:r w:rsidRPr="00495A77">
        <w:rPr>
          <w:rFonts w:ascii="Times New Roman" w:hAnsi="Times New Roman" w:cs="Times New Roman"/>
          <w:lang w:val="es-MX"/>
        </w:rPr>
        <w:t>las expect</w:t>
      </w:r>
      <w:r>
        <w:rPr>
          <w:rFonts w:ascii="Times New Roman" w:hAnsi="Times New Roman" w:cs="Times New Roman"/>
          <w:lang w:val="es-MX"/>
        </w:rPr>
        <w:t xml:space="preserve">ativas planteadas en la meta de </w:t>
      </w:r>
      <w:r w:rsidRPr="00495A77">
        <w:rPr>
          <w:rFonts w:ascii="Times New Roman" w:hAnsi="Times New Roman" w:cs="Times New Roman"/>
          <w:lang w:val="es-MX"/>
        </w:rPr>
        <w:t>presupuesto,</w:t>
      </w:r>
      <w:r>
        <w:rPr>
          <w:rFonts w:ascii="Times New Roman" w:hAnsi="Times New Roman" w:cs="Times New Roman"/>
          <w:lang w:val="es-MX"/>
        </w:rPr>
        <w:t xml:space="preserve"> tal el caso del impuesto a los </w:t>
      </w:r>
      <w:r w:rsidRPr="00495A77">
        <w:rPr>
          <w:rFonts w:ascii="Times New Roman" w:hAnsi="Times New Roman" w:cs="Times New Roman"/>
          <w:lang w:val="es-MX"/>
        </w:rPr>
        <w:t>deriv</w:t>
      </w:r>
      <w:r>
        <w:rPr>
          <w:rFonts w:ascii="Times New Roman" w:hAnsi="Times New Roman" w:cs="Times New Roman"/>
          <w:lang w:val="es-MX"/>
        </w:rPr>
        <w:t xml:space="preserve">ados del petróleo que supera la </w:t>
      </w:r>
      <w:r w:rsidRPr="00495A77">
        <w:rPr>
          <w:rFonts w:ascii="Times New Roman" w:hAnsi="Times New Roman" w:cs="Times New Roman"/>
          <w:lang w:val="es-MX"/>
        </w:rPr>
        <w:t>recaudación del año ant</w:t>
      </w:r>
      <w:r>
        <w:rPr>
          <w:rFonts w:ascii="Times New Roman" w:hAnsi="Times New Roman" w:cs="Times New Roman"/>
          <w:lang w:val="es-MX"/>
        </w:rPr>
        <w:t xml:space="preserve">erior en Q87.5 </w:t>
      </w:r>
      <w:r w:rsidRPr="00495A77">
        <w:rPr>
          <w:rFonts w:ascii="Times New Roman" w:hAnsi="Times New Roman" w:cs="Times New Roman"/>
          <w:lang w:val="es-MX"/>
        </w:rPr>
        <w:t>millon</w:t>
      </w:r>
      <w:r>
        <w:rPr>
          <w:rFonts w:ascii="Times New Roman" w:hAnsi="Times New Roman" w:cs="Times New Roman"/>
          <w:lang w:val="es-MX"/>
        </w:rPr>
        <w:t xml:space="preserve">es. Para el caso del cemento es </w:t>
      </w:r>
      <w:r w:rsidRPr="00495A77">
        <w:rPr>
          <w:rFonts w:ascii="Times New Roman" w:hAnsi="Times New Roman" w:cs="Times New Roman"/>
          <w:lang w:val="es-MX"/>
        </w:rPr>
        <w:t>preciso record</w:t>
      </w:r>
      <w:r>
        <w:rPr>
          <w:rFonts w:ascii="Times New Roman" w:hAnsi="Times New Roman" w:cs="Times New Roman"/>
          <w:lang w:val="es-MX"/>
        </w:rPr>
        <w:t xml:space="preserve">ar que este impuesto en 2015 se </w:t>
      </w:r>
      <w:r w:rsidRPr="00495A77">
        <w:rPr>
          <w:rFonts w:ascii="Times New Roman" w:hAnsi="Times New Roman" w:cs="Times New Roman"/>
          <w:lang w:val="es-MX"/>
        </w:rPr>
        <w:t>gravaba con</w:t>
      </w:r>
      <w:r>
        <w:rPr>
          <w:rFonts w:ascii="Times New Roman" w:hAnsi="Times New Roman" w:cs="Times New Roman"/>
          <w:lang w:val="es-MX"/>
        </w:rPr>
        <w:t xml:space="preserve"> una tasa de Q 5.00 por saco de </w:t>
      </w:r>
      <w:r w:rsidRPr="00495A77">
        <w:rPr>
          <w:rFonts w:ascii="Times New Roman" w:hAnsi="Times New Roman" w:cs="Times New Roman"/>
          <w:lang w:val="es-MX"/>
        </w:rPr>
        <w:t xml:space="preserve">cemento, </w:t>
      </w:r>
      <w:r>
        <w:rPr>
          <w:rFonts w:ascii="Times New Roman" w:hAnsi="Times New Roman" w:cs="Times New Roman"/>
          <w:lang w:val="es-MX"/>
        </w:rPr>
        <w:t xml:space="preserve">mientras que ahora es de Q 1.50 </w:t>
      </w:r>
      <w:r w:rsidRPr="00495A77">
        <w:rPr>
          <w:rFonts w:ascii="Times New Roman" w:hAnsi="Times New Roman" w:cs="Times New Roman"/>
          <w:lang w:val="es-MX"/>
        </w:rPr>
        <w:t>razón por la cual se observa una caída del</w:t>
      </w:r>
      <w:r>
        <w:rPr>
          <w:rFonts w:ascii="Times New Roman" w:hAnsi="Times New Roman" w:cs="Times New Roman"/>
          <w:lang w:val="es-MX"/>
        </w:rPr>
        <w:t xml:space="preserve"> 64.5%, con relación a las regalías e hidrocarburos compartibles estos continúan siendo afectados por la variación que existe en el precio internacional del petróleo.</w:t>
      </w:r>
    </w:p>
    <w:p w:rsidR="00495A77" w:rsidRDefault="00495A77" w:rsidP="00495A77">
      <w:pPr>
        <w:spacing w:after="0" w:line="240" w:lineRule="auto"/>
        <w:jc w:val="both"/>
        <w:rPr>
          <w:rFonts w:ascii="Times New Roman" w:hAnsi="Times New Roman" w:cs="Times New Roman"/>
          <w:lang w:val="es-MX"/>
        </w:rPr>
        <w:sectPr w:rsidR="00495A77" w:rsidSect="00495A77">
          <w:headerReference w:type="default" r:id="rId15"/>
          <w:footerReference w:type="default" r:id="rId16"/>
          <w:type w:val="continuous"/>
          <w:pgSz w:w="12240" w:h="15840" w:code="1"/>
          <w:pgMar w:top="1418" w:right="1418" w:bottom="1418" w:left="1418" w:header="709" w:footer="709" w:gutter="0"/>
          <w:cols w:num="2" w:space="708"/>
          <w:docGrid w:linePitch="360"/>
        </w:sectPr>
      </w:pPr>
    </w:p>
    <w:p w:rsidR="00495A77" w:rsidRDefault="00495A77" w:rsidP="00495A77">
      <w:pPr>
        <w:spacing w:after="0" w:line="240" w:lineRule="auto"/>
        <w:jc w:val="both"/>
        <w:rPr>
          <w:rFonts w:ascii="Times New Roman" w:hAnsi="Times New Roman" w:cs="Times New Roman"/>
          <w:lang w:val="es-MX"/>
        </w:rPr>
      </w:pPr>
    </w:p>
    <w:p w:rsidR="00495A77" w:rsidRDefault="00495A77" w:rsidP="00495A77">
      <w:pPr>
        <w:spacing w:after="0" w:line="240" w:lineRule="auto"/>
        <w:jc w:val="both"/>
        <w:rPr>
          <w:rFonts w:ascii="Times New Roman" w:hAnsi="Times New Roman" w:cs="Times New Roman"/>
          <w:lang w:val="es-MX"/>
        </w:rPr>
      </w:pPr>
    </w:p>
    <w:p w:rsidR="00FA3B81" w:rsidRPr="002E3F4C" w:rsidRDefault="002E3F4C" w:rsidP="00FA3B8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pPr>
      <w:r w:rsidRPr="002E3F4C">
        <w:rPr>
          <w:rFonts w:ascii="Times New Roman" w:hAnsi="Times New Roman" w:cs="Times New Roman"/>
          <w:b/>
          <w:lang w:val="es-MX"/>
        </w:rPr>
        <w:t xml:space="preserve">Primer cuatrimestre cierra con contracción de </w:t>
      </w:r>
      <w:r w:rsidR="00FA3B81" w:rsidRPr="002E3F4C">
        <w:rPr>
          <w:rFonts w:ascii="Times New Roman" w:hAnsi="Times New Roman" w:cs="Times New Roman"/>
          <w:b/>
          <w:lang w:val="es-MX"/>
        </w:rPr>
        <w:t>gasto</w:t>
      </w:r>
    </w:p>
    <w:p w:rsidR="00FA3B81" w:rsidRPr="002E3F4C" w:rsidRDefault="00FA3B81" w:rsidP="00FA3B81">
      <w:pPr>
        <w:rPr>
          <w:rFonts w:ascii="Times New Roman" w:hAnsi="Times New Roman" w:cs="Times New Roman"/>
          <w:b/>
          <w:lang w:val="es-MX"/>
        </w:rPr>
        <w:sectPr w:rsidR="00FA3B81" w:rsidRPr="002E3F4C" w:rsidSect="00FA3B81">
          <w:type w:val="continuous"/>
          <w:pgSz w:w="12240" w:h="15840" w:code="1"/>
          <w:pgMar w:top="1418" w:right="1418" w:bottom="1418" w:left="1418" w:header="709" w:footer="709" w:gutter="0"/>
          <w:cols w:space="708"/>
          <w:docGrid w:linePitch="360"/>
        </w:sectPr>
      </w:pPr>
    </w:p>
    <w:p w:rsidR="00FA3B81" w:rsidRPr="00CD7760" w:rsidRDefault="00FA3B81" w:rsidP="00FA3B81">
      <w:pPr>
        <w:pStyle w:val="Sinespaciado"/>
        <w:rPr>
          <w:rFonts w:ascii="Times New Roman" w:hAnsi="Times New Roman" w:cs="Times New Roman"/>
          <w:b/>
          <w:color w:val="FF0000"/>
          <w:sz w:val="18"/>
          <w:lang w:val="es-MX"/>
        </w:rPr>
      </w:pPr>
    </w:p>
    <w:p w:rsidR="00FA3B81" w:rsidRPr="00CD7760" w:rsidRDefault="00FA3B81" w:rsidP="00FA3B81">
      <w:pPr>
        <w:pStyle w:val="Sinespaciado"/>
        <w:jc w:val="center"/>
        <w:rPr>
          <w:rFonts w:ascii="Times New Roman" w:hAnsi="Times New Roman" w:cs="Times New Roman"/>
          <w:b/>
          <w:color w:val="FF0000"/>
          <w:lang w:val="es-MX"/>
        </w:rPr>
        <w:sectPr w:rsidR="00FA3B81" w:rsidRPr="00CD7760" w:rsidSect="001F5210">
          <w:type w:val="continuous"/>
          <w:pgSz w:w="12240" w:h="15840"/>
          <w:pgMar w:top="1417" w:right="1701" w:bottom="1417" w:left="1701" w:header="708" w:footer="708" w:gutter="0"/>
          <w:cols w:space="708"/>
          <w:docGrid w:linePitch="360"/>
        </w:sectPr>
      </w:pPr>
    </w:p>
    <w:p w:rsidR="00C33674" w:rsidRPr="00E07C63" w:rsidRDefault="00C33674" w:rsidP="00C33674">
      <w:pPr>
        <w:pStyle w:val="Sinespaciado"/>
        <w:jc w:val="both"/>
        <w:rPr>
          <w:rFonts w:ascii="Times New Roman" w:hAnsi="Times New Roman" w:cs="Times New Roman"/>
          <w:lang w:val="es-MX"/>
        </w:rPr>
      </w:pPr>
      <w:r>
        <w:rPr>
          <w:rFonts w:ascii="Times New Roman" w:hAnsi="Times New Roman" w:cs="Times New Roman"/>
        </w:rPr>
        <w:lastRenderedPageBreak/>
        <w:t>El manejo prudente en la programación de</w:t>
      </w:r>
      <w:r w:rsidR="00E07C63">
        <w:rPr>
          <w:rFonts w:ascii="Times New Roman" w:hAnsi="Times New Roman" w:cs="Times New Roman"/>
        </w:rPr>
        <w:t xml:space="preserve"> cuotas financieras, así como el cumplimiento por parte de las entidades</w:t>
      </w:r>
      <w:r>
        <w:rPr>
          <w:rFonts w:ascii="Times New Roman" w:hAnsi="Times New Roman" w:cs="Times New Roman"/>
        </w:rPr>
        <w:t xml:space="preserve"> del oficio circular de contención de gasto, ha permitido que </w:t>
      </w:r>
      <w:r w:rsidR="00E07C63">
        <w:rPr>
          <w:rFonts w:ascii="Times New Roman" w:hAnsi="Times New Roman" w:cs="Times New Roman"/>
        </w:rPr>
        <w:t xml:space="preserve">la ejecución muestre una contracción en varios rubros </w:t>
      </w:r>
      <w:r>
        <w:rPr>
          <w:rFonts w:ascii="Times New Roman" w:hAnsi="Times New Roman" w:cs="Times New Roman"/>
        </w:rPr>
        <w:t xml:space="preserve">de gasto público.  En efecto, </w:t>
      </w:r>
      <w:r>
        <w:rPr>
          <w:rFonts w:ascii="Times New Roman" w:hAnsi="Times New Roman" w:cs="Times New Roman"/>
          <w:lang w:val="es-MX"/>
        </w:rPr>
        <w:t xml:space="preserve">el nivel de ejecución de gasto observado al 30 de abril se ubicó en Q 17,643.8 </w:t>
      </w:r>
      <w:r w:rsidRPr="00F92177">
        <w:rPr>
          <w:rFonts w:ascii="Times New Roman" w:hAnsi="Times New Roman" w:cs="Times New Roman"/>
          <w:lang w:val="es-MX"/>
        </w:rPr>
        <w:t xml:space="preserve">millones, </w:t>
      </w:r>
      <w:r>
        <w:rPr>
          <w:rFonts w:ascii="Times New Roman" w:hAnsi="Times New Roman" w:cs="Times New Roman"/>
          <w:lang w:val="es-MX"/>
        </w:rPr>
        <w:t xml:space="preserve">el cual muestra una </w:t>
      </w:r>
      <w:r w:rsidR="00E07C63">
        <w:rPr>
          <w:rFonts w:ascii="Times New Roman" w:hAnsi="Times New Roman" w:cs="Times New Roman"/>
          <w:lang w:val="es-MX"/>
        </w:rPr>
        <w:t xml:space="preserve">variación interanual negativa </w:t>
      </w:r>
      <w:r>
        <w:rPr>
          <w:rFonts w:ascii="Times New Roman" w:hAnsi="Times New Roman" w:cs="Times New Roman"/>
          <w:lang w:val="es-MX"/>
        </w:rPr>
        <w:t xml:space="preserve">de 11.9%, </w:t>
      </w:r>
      <w:r w:rsidR="00E07C63">
        <w:rPr>
          <w:rFonts w:ascii="Times New Roman" w:hAnsi="Times New Roman" w:cs="Times New Roman"/>
          <w:lang w:val="es-MX"/>
        </w:rPr>
        <w:t xml:space="preserve">con respecto a lo observado en igual fecha del año anterior, </w:t>
      </w:r>
      <w:r>
        <w:rPr>
          <w:rFonts w:ascii="Times New Roman" w:hAnsi="Times New Roman" w:cs="Times New Roman"/>
          <w:lang w:val="es-MX"/>
        </w:rPr>
        <w:t>situación que sigue contrastando con el alto dinamismo que se observó en abril de 2015 cuya ejecución tuvo un crecimiento interanual de 14.6%</w:t>
      </w:r>
      <w:r w:rsidR="00E07C63">
        <w:rPr>
          <w:rFonts w:ascii="Times New Roman" w:hAnsi="Times New Roman" w:cs="Times New Roman"/>
          <w:lang w:val="es-MX"/>
        </w:rPr>
        <w:t>, asociado al aporte extraordinario al TSE para las elecciones generales y el incremento salarial al Magisterio Nacional que se dio desde inicios el año anterior</w:t>
      </w:r>
      <w:r>
        <w:rPr>
          <w:rFonts w:ascii="Times New Roman" w:hAnsi="Times New Roman" w:cs="Times New Roman"/>
          <w:lang w:val="es-MX"/>
        </w:rPr>
        <w:t xml:space="preserve">.  </w:t>
      </w:r>
      <w:r w:rsidRPr="00F92177">
        <w:rPr>
          <w:rFonts w:ascii="Times New Roman" w:hAnsi="Times New Roman" w:cs="Times New Roman"/>
          <w:lang w:val="es-MX"/>
        </w:rPr>
        <w:t xml:space="preserve"> </w:t>
      </w:r>
    </w:p>
    <w:p w:rsidR="00C33674" w:rsidRDefault="00C33674" w:rsidP="00C33674">
      <w:pPr>
        <w:pStyle w:val="Sinespaciado"/>
        <w:jc w:val="both"/>
        <w:rPr>
          <w:rFonts w:ascii="Times New Roman" w:hAnsi="Times New Roman" w:cs="Times New Roman"/>
          <w:lang w:val="es-MX"/>
        </w:rPr>
      </w:pPr>
    </w:p>
    <w:p w:rsidR="00C33674" w:rsidRPr="00C27D73" w:rsidRDefault="00C33674" w:rsidP="00C33674">
      <w:pPr>
        <w:pStyle w:val="Sinespaciado"/>
        <w:jc w:val="center"/>
        <w:rPr>
          <w:rFonts w:ascii="Times New Roman" w:hAnsi="Times New Roman" w:cs="Times New Roman"/>
          <w:b/>
          <w:lang w:val="es-MX"/>
        </w:rPr>
      </w:pPr>
      <w:r w:rsidRPr="00C27D73">
        <w:rPr>
          <w:rFonts w:ascii="Times New Roman" w:hAnsi="Times New Roman" w:cs="Times New Roman"/>
          <w:b/>
          <w:lang w:val="es-MX"/>
        </w:rPr>
        <w:t>Ritmo de Ejecución del Gasto</w:t>
      </w:r>
    </w:p>
    <w:p w:rsidR="00C33674" w:rsidRPr="00C27D73" w:rsidRDefault="00C33674" w:rsidP="00C33674">
      <w:pPr>
        <w:pStyle w:val="Sinespaciado"/>
        <w:jc w:val="center"/>
        <w:rPr>
          <w:rFonts w:ascii="Times New Roman" w:hAnsi="Times New Roman" w:cs="Times New Roman"/>
          <w:sz w:val="18"/>
          <w:lang w:val="es-MX"/>
        </w:rPr>
      </w:pPr>
      <w:r w:rsidRPr="00C27D73">
        <w:rPr>
          <w:rFonts w:ascii="Times New Roman" w:hAnsi="Times New Roman" w:cs="Times New Roman"/>
          <w:sz w:val="18"/>
          <w:lang w:val="es-MX"/>
        </w:rPr>
        <w:t>Variación Interanual</w:t>
      </w:r>
    </w:p>
    <w:p w:rsidR="00C33674" w:rsidRPr="00C27D73" w:rsidRDefault="00C33674" w:rsidP="00C33674">
      <w:pPr>
        <w:pStyle w:val="Sinespaciado"/>
        <w:jc w:val="both"/>
        <w:rPr>
          <w:rFonts w:ascii="Times New Roman" w:hAnsi="Times New Roman" w:cs="Times New Roman"/>
          <w:i/>
          <w:lang w:val="es-MX"/>
        </w:rPr>
      </w:pPr>
      <w:r>
        <w:rPr>
          <w:rFonts w:ascii="Times New Roman" w:hAnsi="Times New Roman" w:cs="Times New Roman"/>
          <w:i/>
          <w:noProof/>
          <w:lang w:eastAsia="es-GT"/>
        </w:rPr>
        <w:drawing>
          <wp:inline distT="0" distB="0" distL="0" distR="0" wp14:anchorId="0C59EC03" wp14:editId="70BFDBF8">
            <wp:extent cx="2563906" cy="2187388"/>
            <wp:effectExtent l="0" t="0" r="8255"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894" cy="2194203"/>
                    </a:xfrm>
                    <a:prstGeom prst="rect">
                      <a:avLst/>
                    </a:prstGeom>
                    <a:noFill/>
                  </pic:spPr>
                </pic:pic>
              </a:graphicData>
            </a:graphic>
          </wp:inline>
        </w:drawing>
      </w:r>
    </w:p>
    <w:p w:rsidR="00C33674" w:rsidRPr="00C27D73" w:rsidRDefault="00C33674" w:rsidP="00C33674">
      <w:pPr>
        <w:pStyle w:val="Sinespaciado"/>
        <w:rPr>
          <w:rFonts w:ascii="Times New Roman" w:hAnsi="Times New Roman" w:cs="Times New Roman"/>
          <w:sz w:val="16"/>
        </w:rPr>
      </w:pPr>
      <w:r w:rsidRPr="00C27D73">
        <w:rPr>
          <w:rFonts w:ascii="Times New Roman" w:hAnsi="Times New Roman" w:cs="Times New Roman"/>
          <w:sz w:val="16"/>
        </w:rPr>
        <w:t>Fuente: Dirección de Análisis y Política fiscal</w:t>
      </w:r>
    </w:p>
    <w:p w:rsidR="00C33674" w:rsidRPr="009D459C" w:rsidRDefault="00C33674" w:rsidP="00C33674">
      <w:pPr>
        <w:pStyle w:val="Sinespaciado"/>
        <w:jc w:val="both"/>
        <w:rPr>
          <w:rFonts w:ascii="Times New Roman" w:hAnsi="Times New Roman" w:cs="Times New Roman"/>
        </w:rPr>
      </w:pPr>
    </w:p>
    <w:p w:rsidR="002E3F4C" w:rsidRDefault="00C33674" w:rsidP="00C33674">
      <w:pPr>
        <w:pStyle w:val="Sinespaciado"/>
        <w:jc w:val="both"/>
        <w:rPr>
          <w:rFonts w:ascii="Times New Roman" w:hAnsi="Times New Roman" w:cs="Times New Roman"/>
          <w:color w:val="000000" w:themeColor="text1"/>
          <w:lang w:val="es-MX"/>
        </w:rPr>
      </w:pPr>
      <w:r>
        <w:rPr>
          <w:rFonts w:ascii="Times New Roman" w:hAnsi="Times New Roman" w:cs="Times New Roman"/>
          <w:color w:val="000000" w:themeColor="text1"/>
          <w:lang w:val="es-MX"/>
        </w:rPr>
        <w:t>Únicamente en los rubros de remuneraciones y prestaciones a la seguridad social muestran variaciones positivas en su ejecución, los demás rubros de gasto se han contraído, principalmente en los bienes y servicios y la inversión real directa.</w:t>
      </w:r>
    </w:p>
    <w:p w:rsidR="00C33674" w:rsidRPr="009D459C" w:rsidRDefault="00C33674" w:rsidP="00C33674">
      <w:pPr>
        <w:pStyle w:val="Sinespaciado"/>
        <w:jc w:val="center"/>
        <w:rPr>
          <w:rFonts w:ascii="Times New Roman" w:hAnsi="Times New Roman" w:cs="Times New Roman"/>
          <w:b/>
          <w:lang w:val="es-MX"/>
        </w:rPr>
      </w:pPr>
      <w:r w:rsidRPr="009D459C">
        <w:rPr>
          <w:rFonts w:ascii="Times New Roman" w:hAnsi="Times New Roman" w:cs="Times New Roman"/>
          <w:b/>
          <w:lang w:val="es-MX"/>
        </w:rPr>
        <w:lastRenderedPageBreak/>
        <w:t>Ejecución del Gasto</w:t>
      </w:r>
      <w:r>
        <w:rPr>
          <w:rFonts w:ascii="Times New Roman" w:hAnsi="Times New Roman" w:cs="Times New Roman"/>
          <w:b/>
          <w:lang w:val="es-MX"/>
        </w:rPr>
        <w:t xml:space="preserve"> por Rubro</w:t>
      </w:r>
    </w:p>
    <w:p w:rsidR="00C33674" w:rsidRDefault="00C33674" w:rsidP="00C33674">
      <w:pPr>
        <w:pStyle w:val="Sinespaciado"/>
        <w:jc w:val="center"/>
        <w:rPr>
          <w:rFonts w:ascii="Times New Roman" w:hAnsi="Times New Roman" w:cs="Times New Roman"/>
          <w:sz w:val="18"/>
          <w:lang w:val="es-MX"/>
        </w:rPr>
      </w:pPr>
      <w:r w:rsidRPr="009D459C">
        <w:rPr>
          <w:rFonts w:ascii="Times New Roman" w:hAnsi="Times New Roman" w:cs="Times New Roman"/>
          <w:sz w:val="18"/>
          <w:lang w:val="es-MX"/>
        </w:rPr>
        <w:t>Variación Interanual</w:t>
      </w:r>
    </w:p>
    <w:p w:rsidR="00C33674" w:rsidRDefault="002E3F4C" w:rsidP="00C33674">
      <w:pPr>
        <w:pStyle w:val="Sinespaciado"/>
        <w:rPr>
          <w:rFonts w:ascii="Times New Roman" w:hAnsi="Times New Roman" w:cs="Times New Roman"/>
          <w:sz w:val="16"/>
        </w:rPr>
      </w:pPr>
      <w:r>
        <w:rPr>
          <w:rFonts w:ascii="Times New Roman" w:hAnsi="Times New Roman" w:cs="Times New Roman"/>
          <w:noProof/>
          <w:lang w:eastAsia="es-GT"/>
        </w:rPr>
        <w:drawing>
          <wp:anchor distT="0" distB="0" distL="114300" distR="114300" simplePos="0" relativeHeight="251667456" behindDoc="0" locked="0" layoutInCell="1" allowOverlap="1" wp14:anchorId="0B1336CC" wp14:editId="7B29E528">
            <wp:simplePos x="0" y="0"/>
            <wp:positionH relativeFrom="column">
              <wp:posOffset>0</wp:posOffset>
            </wp:positionH>
            <wp:positionV relativeFrom="paragraph">
              <wp:posOffset>89535</wp:posOffset>
            </wp:positionV>
            <wp:extent cx="2482850" cy="1798320"/>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82850" cy="1798320"/>
                    </a:xfrm>
                    <a:prstGeom prst="rect">
                      <a:avLst/>
                    </a:prstGeom>
                    <a:noFill/>
                  </pic:spPr>
                </pic:pic>
              </a:graphicData>
            </a:graphic>
            <wp14:sizeRelH relativeFrom="page">
              <wp14:pctWidth>0</wp14:pctWidth>
            </wp14:sizeRelH>
            <wp14:sizeRelV relativeFrom="page">
              <wp14:pctHeight>0</wp14:pctHeight>
            </wp14:sizeRelV>
          </wp:anchor>
        </w:drawing>
      </w:r>
      <w:r w:rsidR="00C33674">
        <w:rPr>
          <w:rFonts w:ascii="Times New Roman" w:hAnsi="Times New Roman" w:cs="Times New Roman"/>
          <w:sz w:val="16"/>
        </w:rPr>
        <w:t xml:space="preserve">Fuente: </w:t>
      </w:r>
      <w:r w:rsidR="00C33674" w:rsidRPr="006F1F3C">
        <w:rPr>
          <w:rFonts w:ascii="Times New Roman" w:hAnsi="Times New Roman" w:cs="Times New Roman"/>
          <w:sz w:val="16"/>
        </w:rPr>
        <w:t xml:space="preserve">Dirección de Análisis </w:t>
      </w:r>
      <w:r w:rsidR="00C33674">
        <w:rPr>
          <w:rFonts w:ascii="Times New Roman" w:hAnsi="Times New Roman" w:cs="Times New Roman"/>
          <w:sz w:val="16"/>
        </w:rPr>
        <w:t>y Política fiscal</w:t>
      </w:r>
    </w:p>
    <w:p w:rsidR="00C33674" w:rsidRDefault="00C33674" w:rsidP="00C33674">
      <w:pPr>
        <w:pStyle w:val="Sinespaciado"/>
        <w:jc w:val="both"/>
        <w:rPr>
          <w:rFonts w:ascii="Times New Roman" w:hAnsi="Times New Roman" w:cs="Times New Roman"/>
          <w:color w:val="FF0000"/>
        </w:rPr>
      </w:pPr>
    </w:p>
    <w:p w:rsidR="00C33674" w:rsidRPr="00022903" w:rsidRDefault="00C33674" w:rsidP="00C33674">
      <w:pPr>
        <w:pStyle w:val="Sinespaciado"/>
        <w:jc w:val="both"/>
        <w:rPr>
          <w:rFonts w:ascii="Times New Roman" w:hAnsi="Times New Roman" w:cs="Times New Roman"/>
          <w:color w:val="000000" w:themeColor="text1"/>
          <w:lang w:val="es-MX"/>
        </w:rPr>
      </w:pPr>
      <w:r>
        <w:rPr>
          <w:rFonts w:ascii="Times New Roman" w:hAnsi="Times New Roman" w:cs="Times New Roman"/>
          <w:color w:val="000000" w:themeColor="text1"/>
          <w:lang w:val="es-MX"/>
        </w:rPr>
        <w:t>Los intereses de la deuda pública muestran una leve reducción, como resultado de que una parte de los pagos que normalmente se realizan a finales de abril, se pagarán a principios de mayo, derivado de los problemas de liquidez que afronta el gobierno, sin que esto afecte el record crediticio que tiene el país ya que estos pagos se efectuaran dentro del margen previsto por los organismos financieros internacionales.</w:t>
      </w:r>
    </w:p>
    <w:p w:rsidR="00C33674" w:rsidRPr="00030C2A" w:rsidRDefault="00C33674" w:rsidP="00C33674">
      <w:pPr>
        <w:pStyle w:val="Sinespaciado"/>
        <w:jc w:val="both"/>
        <w:rPr>
          <w:rFonts w:ascii="Times New Roman" w:hAnsi="Times New Roman" w:cs="Times New Roman"/>
          <w:color w:val="FF0000"/>
          <w:lang w:val="es-MX"/>
        </w:rPr>
      </w:pPr>
      <w:r w:rsidRPr="00030C2A">
        <w:rPr>
          <w:rFonts w:ascii="Times New Roman" w:hAnsi="Times New Roman" w:cs="Times New Roman"/>
          <w:color w:val="FF0000"/>
          <w:lang w:val="es-MX"/>
        </w:rPr>
        <w:t xml:space="preserve"> </w:t>
      </w:r>
    </w:p>
    <w:p w:rsidR="00C33674" w:rsidRDefault="00C33674" w:rsidP="00C33674">
      <w:pPr>
        <w:pStyle w:val="Sinespaciado"/>
        <w:jc w:val="both"/>
        <w:rPr>
          <w:rFonts w:ascii="Times New Roman" w:hAnsi="Times New Roman" w:cs="Times New Roman"/>
          <w:lang w:val="es-MX"/>
        </w:rPr>
      </w:pPr>
      <w:r>
        <w:rPr>
          <w:rFonts w:ascii="Times New Roman" w:hAnsi="Times New Roman" w:cs="Times New Roman"/>
          <w:lang w:val="es-MX"/>
        </w:rPr>
        <w:t>Asimismo, la inversión  real directa sigue mostrando una fuerte reducción, principalmente los ejecutados por el Ministerio de Comunicaciones, situación que se debe a la limitada disponibilidad de recursos y al bajo nivel de desembolsos de préstamos externos.</w:t>
      </w:r>
    </w:p>
    <w:p w:rsidR="00C33674" w:rsidRDefault="00C33674" w:rsidP="00C33674">
      <w:pPr>
        <w:pStyle w:val="Sinespaciado"/>
        <w:jc w:val="both"/>
        <w:rPr>
          <w:rFonts w:ascii="Times New Roman" w:hAnsi="Times New Roman" w:cs="Times New Roman"/>
          <w:lang w:val="es-MX"/>
        </w:rPr>
      </w:pPr>
    </w:p>
    <w:p w:rsidR="00C33674" w:rsidRDefault="00C33674" w:rsidP="00C33674">
      <w:pPr>
        <w:pStyle w:val="Sinespaciado"/>
        <w:jc w:val="both"/>
        <w:rPr>
          <w:rFonts w:ascii="Times New Roman" w:hAnsi="Times New Roman" w:cs="Times New Roman"/>
          <w:lang w:val="es-MX"/>
        </w:rPr>
      </w:pPr>
      <w:r>
        <w:rPr>
          <w:rFonts w:ascii="Times New Roman" w:hAnsi="Times New Roman" w:cs="Times New Roman"/>
          <w:lang w:val="es-MX"/>
        </w:rPr>
        <w:t>Por otro lado, las remuneraciones han aumentado principalmente por el escalafón del Ministerio de Educación, el bono de antigüedad del Ministerio de Salud que es de aproximadamente Q</w:t>
      </w:r>
      <w:r w:rsidR="00CC3420">
        <w:rPr>
          <w:rFonts w:ascii="Times New Roman" w:hAnsi="Times New Roman" w:cs="Times New Roman"/>
          <w:lang w:val="es-MX"/>
        </w:rPr>
        <w:t xml:space="preserve"> </w:t>
      </w:r>
      <w:r>
        <w:rPr>
          <w:rFonts w:ascii="Times New Roman" w:hAnsi="Times New Roman" w:cs="Times New Roman"/>
          <w:lang w:val="es-MX"/>
        </w:rPr>
        <w:t xml:space="preserve">40 millones mensuales y por un aumento moderado en la nómina del Ministerio de Gobernación debido </w:t>
      </w:r>
      <w:r>
        <w:rPr>
          <w:rFonts w:ascii="Times New Roman" w:hAnsi="Times New Roman" w:cs="Times New Roman"/>
          <w:lang w:val="es-MX"/>
        </w:rPr>
        <w:lastRenderedPageBreak/>
        <w:t xml:space="preserve">probablemente al incremento en el número de personal.  </w:t>
      </w:r>
    </w:p>
    <w:p w:rsidR="00C33674" w:rsidRDefault="00C33674" w:rsidP="00C33674">
      <w:pPr>
        <w:pStyle w:val="Sinespaciado"/>
        <w:jc w:val="center"/>
        <w:rPr>
          <w:rFonts w:ascii="Times New Roman" w:hAnsi="Times New Roman" w:cs="Times New Roman"/>
          <w:lang w:val="es-MX"/>
        </w:rPr>
      </w:pPr>
      <w:r>
        <w:rPr>
          <w:rFonts w:ascii="Times New Roman" w:hAnsi="Times New Roman" w:cs="Times New Roman"/>
          <w:lang w:val="es-MX"/>
        </w:rPr>
        <w:t xml:space="preserve"> </w:t>
      </w:r>
    </w:p>
    <w:p w:rsidR="00C33674" w:rsidRDefault="00C33674" w:rsidP="00C33674">
      <w:pPr>
        <w:pStyle w:val="Sinespaciado"/>
        <w:jc w:val="both"/>
        <w:rPr>
          <w:rFonts w:ascii="Times New Roman" w:hAnsi="Times New Roman" w:cs="Times New Roman"/>
          <w:color w:val="000000" w:themeColor="text1"/>
        </w:rPr>
      </w:pPr>
      <w:r>
        <w:rPr>
          <w:rFonts w:ascii="Times New Roman" w:hAnsi="Times New Roman" w:cs="Times New Roman"/>
          <w:color w:val="000000" w:themeColor="text1"/>
          <w:lang w:val="es-MX"/>
        </w:rPr>
        <w:t>Además de la contención se observa que la austeridad ha sido otro elemento importante en la política de gasto ya que al evaluar la ejecución d</w:t>
      </w:r>
      <w:r w:rsidRPr="00022903">
        <w:rPr>
          <w:rFonts w:ascii="Times New Roman" w:hAnsi="Times New Roman" w:cs="Times New Roman"/>
          <w:color w:val="000000" w:themeColor="text1"/>
          <w:lang w:val="es-MX"/>
        </w:rPr>
        <w:t xml:space="preserve">el </w:t>
      </w:r>
      <w:r w:rsidRPr="00022903">
        <w:rPr>
          <w:rFonts w:ascii="Times New Roman" w:hAnsi="Times New Roman" w:cs="Times New Roman"/>
          <w:color w:val="000000" w:themeColor="text1"/>
        </w:rPr>
        <w:t>gasto considerado como superfluo</w:t>
      </w:r>
      <w:r w:rsidRPr="00022903">
        <w:rPr>
          <w:rStyle w:val="Refdenotaalpie"/>
          <w:rFonts w:ascii="Times New Roman" w:hAnsi="Times New Roman" w:cs="Times New Roman"/>
          <w:color w:val="000000" w:themeColor="text1"/>
        </w:rPr>
        <w:footnoteReference w:id="1"/>
      </w:r>
      <w:r w:rsidRPr="00022903">
        <w:rPr>
          <w:rFonts w:ascii="Times New Roman" w:hAnsi="Times New Roman" w:cs="Times New Roman"/>
          <w:color w:val="000000" w:themeColor="text1"/>
        </w:rPr>
        <w:t xml:space="preserve"> muestra un nivel de Q</w:t>
      </w:r>
      <w:r w:rsidR="002E3F4C">
        <w:rPr>
          <w:rFonts w:ascii="Times New Roman" w:hAnsi="Times New Roman" w:cs="Times New Roman"/>
          <w:color w:val="000000" w:themeColor="text1"/>
        </w:rPr>
        <w:t xml:space="preserve"> </w:t>
      </w:r>
      <w:r>
        <w:rPr>
          <w:rFonts w:ascii="Times New Roman" w:hAnsi="Times New Roman" w:cs="Times New Roman"/>
          <w:color w:val="000000" w:themeColor="text1"/>
        </w:rPr>
        <w:t>138.5</w:t>
      </w:r>
      <w:r w:rsidRPr="00022903">
        <w:rPr>
          <w:rFonts w:ascii="Times New Roman" w:hAnsi="Times New Roman" w:cs="Times New Roman"/>
          <w:color w:val="000000" w:themeColor="text1"/>
        </w:rPr>
        <w:t xml:space="preserve"> millones, </w:t>
      </w:r>
      <w:r>
        <w:rPr>
          <w:rFonts w:ascii="Times New Roman" w:hAnsi="Times New Roman" w:cs="Times New Roman"/>
          <w:color w:val="000000" w:themeColor="text1"/>
        </w:rPr>
        <w:t>mostrando una contracción importante de 39.5</w:t>
      </w:r>
      <w:r w:rsidRPr="00022903">
        <w:rPr>
          <w:rFonts w:ascii="Times New Roman" w:hAnsi="Times New Roman" w:cs="Times New Roman"/>
          <w:color w:val="000000" w:themeColor="text1"/>
        </w:rPr>
        <w:t xml:space="preserve">% con respecto al nivel observado en </w:t>
      </w:r>
      <w:r>
        <w:rPr>
          <w:rFonts w:ascii="Times New Roman" w:hAnsi="Times New Roman" w:cs="Times New Roman"/>
          <w:color w:val="000000" w:themeColor="text1"/>
        </w:rPr>
        <w:t>abril</w:t>
      </w:r>
      <w:r w:rsidRPr="00022903">
        <w:rPr>
          <w:rFonts w:ascii="Times New Roman" w:hAnsi="Times New Roman" w:cs="Times New Roman"/>
          <w:color w:val="000000" w:themeColor="text1"/>
        </w:rPr>
        <w:t xml:space="preserve"> del año anterior, es decir, una reducción de gasto superfluo de Q</w:t>
      </w:r>
      <w:r w:rsidR="002E3F4C">
        <w:rPr>
          <w:rFonts w:ascii="Times New Roman" w:hAnsi="Times New Roman" w:cs="Times New Roman"/>
          <w:color w:val="000000" w:themeColor="text1"/>
        </w:rPr>
        <w:t xml:space="preserve"> </w:t>
      </w:r>
      <w:r>
        <w:rPr>
          <w:rFonts w:ascii="Times New Roman" w:hAnsi="Times New Roman" w:cs="Times New Roman"/>
          <w:color w:val="000000" w:themeColor="text1"/>
        </w:rPr>
        <w:t>90.5</w:t>
      </w:r>
      <w:r w:rsidRPr="00022903">
        <w:rPr>
          <w:rFonts w:ascii="Times New Roman" w:hAnsi="Times New Roman" w:cs="Times New Roman"/>
          <w:color w:val="000000" w:themeColor="text1"/>
        </w:rPr>
        <w:t xml:space="preserve"> millones. Dicha disminución, a la fecha, afecta a </w:t>
      </w:r>
      <w:r>
        <w:rPr>
          <w:rFonts w:ascii="Times New Roman" w:hAnsi="Times New Roman" w:cs="Times New Roman"/>
          <w:color w:val="000000" w:themeColor="text1"/>
        </w:rPr>
        <w:t xml:space="preserve">todos </w:t>
      </w:r>
      <w:r w:rsidRPr="00022903">
        <w:rPr>
          <w:rFonts w:ascii="Times New Roman" w:hAnsi="Times New Roman" w:cs="Times New Roman"/>
          <w:color w:val="000000" w:themeColor="text1"/>
        </w:rPr>
        <w:t>los renglones que componen este gasto superfluo.</w:t>
      </w:r>
    </w:p>
    <w:p w:rsidR="00C33674" w:rsidRPr="00022903" w:rsidRDefault="00C33674" w:rsidP="00C33674">
      <w:pPr>
        <w:pStyle w:val="Sinespaciado"/>
        <w:jc w:val="both"/>
        <w:rPr>
          <w:rFonts w:ascii="Times New Roman" w:hAnsi="Times New Roman" w:cs="Times New Roman"/>
          <w:color w:val="000000" w:themeColor="text1"/>
        </w:rPr>
      </w:pPr>
    </w:p>
    <w:p w:rsidR="00C33674" w:rsidRDefault="00C33674" w:rsidP="00C33674">
      <w:pPr>
        <w:pStyle w:val="Sinespaciado"/>
        <w:jc w:val="center"/>
        <w:rPr>
          <w:rFonts w:ascii="Times New Roman" w:hAnsi="Times New Roman" w:cs="Times New Roman"/>
          <w:b/>
        </w:rPr>
      </w:pPr>
      <w:r>
        <w:rPr>
          <w:rFonts w:ascii="Times New Roman" w:hAnsi="Times New Roman" w:cs="Times New Roman"/>
          <w:b/>
        </w:rPr>
        <w:t>Gasto S</w:t>
      </w:r>
      <w:r w:rsidRPr="00017CB5">
        <w:rPr>
          <w:rFonts w:ascii="Times New Roman" w:hAnsi="Times New Roman" w:cs="Times New Roman"/>
          <w:b/>
        </w:rPr>
        <w:t>uperfluo</w:t>
      </w:r>
    </w:p>
    <w:p w:rsidR="00C33674" w:rsidRDefault="00C33674" w:rsidP="00C33674">
      <w:pPr>
        <w:pStyle w:val="Sinespaciado"/>
        <w:jc w:val="center"/>
        <w:rPr>
          <w:rFonts w:ascii="Times New Roman" w:hAnsi="Times New Roman" w:cs="Times New Roman"/>
          <w:sz w:val="18"/>
        </w:rPr>
      </w:pPr>
      <w:r>
        <w:rPr>
          <w:rFonts w:ascii="Times New Roman" w:hAnsi="Times New Roman" w:cs="Times New Roman"/>
          <w:sz w:val="18"/>
        </w:rPr>
        <w:t>Millones de q</w:t>
      </w:r>
      <w:r w:rsidRPr="00890632">
        <w:rPr>
          <w:rFonts w:ascii="Times New Roman" w:hAnsi="Times New Roman" w:cs="Times New Roman"/>
          <w:sz w:val="18"/>
        </w:rPr>
        <w:t>uetzales</w:t>
      </w:r>
    </w:p>
    <w:p w:rsidR="00C33674" w:rsidRDefault="00C33674" w:rsidP="00C33674">
      <w:pPr>
        <w:pStyle w:val="Sinespaciado"/>
        <w:jc w:val="both"/>
        <w:rPr>
          <w:rFonts w:ascii="Times New Roman" w:hAnsi="Times New Roman" w:cs="Times New Roman"/>
          <w:sz w:val="14"/>
        </w:rPr>
      </w:pPr>
      <w:r>
        <w:rPr>
          <w:rFonts w:ascii="Times New Roman" w:hAnsi="Times New Roman" w:cs="Times New Roman"/>
          <w:sz w:val="14"/>
        </w:rPr>
        <w:t>Acumulado a abril</w:t>
      </w:r>
      <w:r w:rsidRPr="00784F3C">
        <w:rPr>
          <w:rFonts w:ascii="Times New Roman" w:hAnsi="Times New Roman" w:cs="Times New Roman"/>
          <w:sz w:val="14"/>
        </w:rPr>
        <w:t xml:space="preserve"> de cada año                  Variación por</w:t>
      </w:r>
      <w:r>
        <w:rPr>
          <w:rFonts w:ascii="Times New Roman" w:hAnsi="Times New Roman" w:cs="Times New Roman"/>
          <w:sz w:val="14"/>
        </w:rPr>
        <w:t xml:space="preserve"> rubro a abril                  </w:t>
      </w:r>
    </w:p>
    <w:p w:rsidR="00C33674" w:rsidRPr="00784F3C" w:rsidRDefault="00C33674" w:rsidP="00C33674">
      <w:pPr>
        <w:pStyle w:val="Sinespaciado"/>
        <w:jc w:val="both"/>
        <w:rPr>
          <w:rFonts w:ascii="Times New Roman" w:hAnsi="Times New Roman" w:cs="Times New Roman"/>
          <w:sz w:val="14"/>
        </w:rPr>
      </w:pPr>
      <w:r>
        <w:rPr>
          <w:rFonts w:ascii="Times New Roman" w:hAnsi="Times New Roman" w:cs="Times New Roman"/>
          <w:sz w:val="14"/>
        </w:rPr>
        <w:t xml:space="preserve">                                                                            2015-2016</w:t>
      </w:r>
    </w:p>
    <w:p w:rsidR="00C33674" w:rsidRDefault="00C33674" w:rsidP="00C33674">
      <w:pPr>
        <w:pStyle w:val="Sinespaciado"/>
        <w:jc w:val="both"/>
        <w:rPr>
          <w:rFonts w:ascii="Times New Roman" w:hAnsi="Times New Roman" w:cs="Times New Roman"/>
          <w:sz w:val="16"/>
        </w:rPr>
      </w:pPr>
      <w:r>
        <w:rPr>
          <w:rFonts w:ascii="Times New Roman" w:hAnsi="Times New Roman" w:cs="Times New Roman"/>
          <w:noProof/>
          <w:sz w:val="16"/>
          <w:lang w:eastAsia="es-GT"/>
        </w:rPr>
        <w:drawing>
          <wp:inline distT="0" distB="0" distL="0" distR="0" wp14:anchorId="15CA317B" wp14:editId="08D8EAD1">
            <wp:extent cx="2657475" cy="1514475"/>
            <wp:effectExtent l="0" t="0" r="9525"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56743" cy="1514058"/>
                    </a:xfrm>
                    <a:prstGeom prst="rect">
                      <a:avLst/>
                    </a:prstGeom>
                    <a:noFill/>
                  </pic:spPr>
                </pic:pic>
              </a:graphicData>
            </a:graphic>
          </wp:inline>
        </w:drawing>
      </w:r>
    </w:p>
    <w:p w:rsidR="00C33674" w:rsidRDefault="00C33674" w:rsidP="00C33674">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C33674" w:rsidRDefault="00C33674" w:rsidP="00C33674">
      <w:pPr>
        <w:pStyle w:val="Sinespaciado"/>
        <w:jc w:val="both"/>
        <w:rPr>
          <w:rFonts w:ascii="Times New Roman" w:hAnsi="Times New Roman" w:cs="Times New Roman"/>
          <w:color w:val="FF0000"/>
        </w:rPr>
      </w:pPr>
    </w:p>
    <w:p w:rsidR="00606772" w:rsidRDefault="00606772" w:rsidP="00C33674">
      <w:pPr>
        <w:pStyle w:val="Sinespaciado"/>
        <w:jc w:val="both"/>
        <w:rPr>
          <w:rFonts w:ascii="Times New Roman" w:hAnsi="Times New Roman" w:cs="Times New Roman"/>
          <w:color w:val="000000" w:themeColor="text1"/>
          <w:lang w:val="es-MX"/>
        </w:rPr>
      </w:pPr>
      <w:r>
        <w:rPr>
          <w:rFonts w:ascii="Times New Roman" w:hAnsi="Times New Roman" w:cs="Times New Roman"/>
          <w:color w:val="000000" w:themeColor="text1"/>
          <w:lang w:val="es-MX"/>
        </w:rPr>
        <w:t>Dado el comportamiento del gasto realizado, el grado de ejecución presupuestaria de la Administración Central, se ubica al cierre de abril del 2016 en 26.2%, por debajo de lo obtenido en igual período de 2015 (29.8%) e igual al promedio de los años 2008-2015 (27.1%).</w:t>
      </w:r>
    </w:p>
    <w:p w:rsidR="00606772" w:rsidRDefault="00606772" w:rsidP="00C33674">
      <w:pPr>
        <w:pStyle w:val="Sinespaciado"/>
        <w:jc w:val="both"/>
        <w:rPr>
          <w:rFonts w:ascii="Times New Roman" w:hAnsi="Times New Roman" w:cs="Times New Roman"/>
          <w:color w:val="000000" w:themeColor="text1"/>
          <w:lang w:val="es-MX"/>
        </w:rPr>
      </w:pPr>
    </w:p>
    <w:p w:rsidR="00C33674" w:rsidRDefault="00C33674" w:rsidP="00C33674">
      <w:pPr>
        <w:pStyle w:val="Sinespaciado"/>
        <w:jc w:val="both"/>
        <w:rPr>
          <w:rFonts w:ascii="Times New Roman" w:hAnsi="Times New Roman" w:cs="Times New Roman"/>
          <w:color w:val="000000" w:themeColor="text1"/>
          <w:lang w:val="es-MX"/>
        </w:rPr>
      </w:pPr>
      <w:r>
        <w:rPr>
          <w:rFonts w:ascii="Times New Roman" w:hAnsi="Times New Roman" w:cs="Times New Roman"/>
          <w:color w:val="000000" w:themeColor="text1"/>
          <w:lang w:val="es-MX"/>
        </w:rPr>
        <w:lastRenderedPageBreak/>
        <w:t>A nivel institucional se observan también l</w:t>
      </w:r>
      <w:r w:rsidRPr="00022903">
        <w:rPr>
          <w:rFonts w:ascii="Times New Roman" w:hAnsi="Times New Roman" w:cs="Times New Roman"/>
          <w:color w:val="000000" w:themeColor="text1"/>
          <w:lang w:val="es-MX"/>
        </w:rPr>
        <w:t xml:space="preserve">os esfuerzos por contener la ejecución del gasto </w:t>
      </w:r>
      <w:r>
        <w:rPr>
          <w:rFonts w:ascii="Times New Roman" w:hAnsi="Times New Roman" w:cs="Times New Roman"/>
          <w:color w:val="000000" w:themeColor="text1"/>
          <w:lang w:val="es-MX"/>
        </w:rPr>
        <w:t>ya</w:t>
      </w:r>
      <w:r w:rsidRPr="00022903">
        <w:rPr>
          <w:rFonts w:ascii="Times New Roman" w:hAnsi="Times New Roman" w:cs="Times New Roman"/>
          <w:color w:val="000000" w:themeColor="text1"/>
          <w:lang w:val="es-MX"/>
        </w:rPr>
        <w:t xml:space="preserve"> que reportan una ejecución menor a lo observado al cierre de </w:t>
      </w:r>
      <w:r>
        <w:rPr>
          <w:rFonts w:ascii="Times New Roman" w:hAnsi="Times New Roman" w:cs="Times New Roman"/>
          <w:color w:val="000000" w:themeColor="text1"/>
          <w:lang w:val="es-MX"/>
        </w:rPr>
        <w:t>abril</w:t>
      </w:r>
      <w:r w:rsidRPr="00022903">
        <w:rPr>
          <w:rFonts w:ascii="Times New Roman" w:hAnsi="Times New Roman" w:cs="Times New Roman"/>
          <w:color w:val="000000" w:themeColor="text1"/>
          <w:lang w:val="es-MX"/>
        </w:rPr>
        <w:t xml:space="preserve"> del año anterior. Resalta el caso de ministerios prioritarios como Gobernación y Salud que han visto una merma en su ejecución</w:t>
      </w:r>
      <w:r>
        <w:rPr>
          <w:rFonts w:ascii="Times New Roman" w:hAnsi="Times New Roman" w:cs="Times New Roman"/>
          <w:color w:val="000000" w:themeColor="text1"/>
          <w:lang w:val="es-MX"/>
        </w:rPr>
        <w:t xml:space="preserve"> de Q</w:t>
      </w:r>
      <w:r w:rsidR="002E3F4C">
        <w:rPr>
          <w:rFonts w:ascii="Times New Roman" w:hAnsi="Times New Roman" w:cs="Times New Roman"/>
          <w:color w:val="000000" w:themeColor="text1"/>
          <w:lang w:val="es-MX"/>
        </w:rPr>
        <w:t xml:space="preserve"> </w:t>
      </w:r>
      <w:r>
        <w:rPr>
          <w:rFonts w:ascii="Times New Roman" w:hAnsi="Times New Roman" w:cs="Times New Roman"/>
          <w:color w:val="000000" w:themeColor="text1"/>
          <w:lang w:val="es-MX"/>
        </w:rPr>
        <w:t>271</w:t>
      </w:r>
      <w:r w:rsidRPr="00022903">
        <w:rPr>
          <w:rFonts w:ascii="Times New Roman" w:hAnsi="Times New Roman" w:cs="Times New Roman"/>
          <w:color w:val="000000" w:themeColor="text1"/>
          <w:lang w:val="es-MX"/>
        </w:rPr>
        <w:t xml:space="preserve"> y Q</w:t>
      </w:r>
      <w:r w:rsidR="002E3F4C">
        <w:rPr>
          <w:rFonts w:ascii="Times New Roman" w:hAnsi="Times New Roman" w:cs="Times New Roman"/>
          <w:color w:val="000000" w:themeColor="text1"/>
          <w:lang w:val="es-MX"/>
        </w:rPr>
        <w:t xml:space="preserve"> </w:t>
      </w:r>
      <w:r>
        <w:rPr>
          <w:rFonts w:ascii="Times New Roman" w:hAnsi="Times New Roman" w:cs="Times New Roman"/>
          <w:color w:val="000000" w:themeColor="text1"/>
          <w:lang w:val="es-MX"/>
        </w:rPr>
        <w:t>209</w:t>
      </w:r>
      <w:r w:rsidRPr="00022903">
        <w:rPr>
          <w:rFonts w:ascii="Times New Roman" w:hAnsi="Times New Roman" w:cs="Times New Roman"/>
          <w:color w:val="000000" w:themeColor="text1"/>
          <w:lang w:val="es-MX"/>
        </w:rPr>
        <w:t xml:space="preserve"> millones, respectivamente.</w:t>
      </w:r>
    </w:p>
    <w:p w:rsidR="00C33674" w:rsidRDefault="00C33674" w:rsidP="00C33674">
      <w:pPr>
        <w:pStyle w:val="Sinespaciado"/>
        <w:jc w:val="both"/>
        <w:rPr>
          <w:rFonts w:ascii="Times New Roman" w:hAnsi="Times New Roman" w:cs="Times New Roman"/>
          <w:color w:val="000000" w:themeColor="text1"/>
          <w:lang w:val="es-MX"/>
        </w:rPr>
      </w:pPr>
    </w:p>
    <w:p w:rsidR="00C33674" w:rsidRPr="00022903" w:rsidRDefault="00C33674" w:rsidP="00C33674">
      <w:pPr>
        <w:pStyle w:val="Sinespaciado"/>
        <w:jc w:val="both"/>
        <w:rPr>
          <w:rFonts w:ascii="Times New Roman" w:hAnsi="Times New Roman" w:cs="Times New Roman"/>
          <w:color w:val="000000" w:themeColor="text1"/>
          <w:lang w:val="es-MX"/>
        </w:rPr>
      </w:pPr>
      <w:proofErr w:type="gramStart"/>
      <w:r>
        <w:rPr>
          <w:rFonts w:ascii="Times New Roman" w:hAnsi="Times New Roman" w:cs="Times New Roman"/>
          <w:color w:val="000000" w:themeColor="text1"/>
          <w:lang w:val="es-MX"/>
        </w:rPr>
        <w:t>Asimismo</w:t>
      </w:r>
      <w:proofErr w:type="gramEnd"/>
      <w:r>
        <w:rPr>
          <w:rFonts w:ascii="Times New Roman" w:hAnsi="Times New Roman" w:cs="Times New Roman"/>
          <w:color w:val="000000" w:themeColor="text1"/>
          <w:lang w:val="es-MX"/>
        </w:rPr>
        <w:t xml:space="preserve"> las obligaciones del Estado a Cargo del Tesoro ha mostrado una fuerte disminución principalmente porque en este año no se incluye, dentro de la ejecución, el aporte extraordinario al Tribunal Supremo Electoral</w:t>
      </w:r>
      <w:r w:rsidRPr="00022903">
        <w:rPr>
          <w:rFonts w:ascii="Times New Roman" w:hAnsi="Times New Roman" w:cs="Times New Roman"/>
          <w:color w:val="000000" w:themeColor="text1"/>
          <w:lang w:val="es-MX"/>
        </w:rPr>
        <w:t xml:space="preserve"> </w:t>
      </w:r>
      <w:r>
        <w:rPr>
          <w:rFonts w:ascii="Times New Roman" w:hAnsi="Times New Roman" w:cs="Times New Roman"/>
          <w:color w:val="000000" w:themeColor="text1"/>
          <w:lang w:val="es-MX"/>
        </w:rPr>
        <w:t>(Q</w:t>
      </w:r>
      <w:r w:rsidR="002E3F4C">
        <w:rPr>
          <w:rFonts w:ascii="Times New Roman" w:hAnsi="Times New Roman" w:cs="Times New Roman"/>
          <w:color w:val="000000" w:themeColor="text1"/>
          <w:lang w:val="es-MX"/>
        </w:rPr>
        <w:t xml:space="preserve"> </w:t>
      </w:r>
      <w:r>
        <w:rPr>
          <w:rFonts w:ascii="Times New Roman" w:hAnsi="Times New Roman" w:cs="Times New Roman"/>
          <w:color w:val="000000" w:themeColor="text1"/>
          <w:lang w:val="es-MX"/>
        </w:rPr>
        <w:t>500 millones) además de la reducción en el aporte a los consejos de desarrollo urbano y rural, entre otros aportes.</w:t>
      </w:r>
    </w:p>
    <w:p w:rsidR="00CC3420" w:rsidRDefault="00CC3420" w:rsidP="00C33674">
      <w:pPr>
        <w:pStyle w:val="Sinespaciado"/>
        <w:jc w:val="both"/>
        <w:rPr>
          <w:rFonts w:ascii="Times New Roman" w:hAnsi="Times New Roman" w:cs="Times New Roman"/>
          <w:color w:val="FF0000"/>
          <w:lang w:val="es-MX"/>
        </w:rPr>
      </w:pPr>
    </w:p>
    <w:p w:rsidR="00C33674" w:rsidRDefault="00C33674" w:rsidP="00C33674">
      <w:pPr>
        <w:pStyle w:val="Sinespaciado"/>
        <w:jc w:val="center"/>
        <w:rPr>
          <w:rFonts w:ascii="Times New Roman" w:hAnsi="Times New Roman" w:cs="Times New Roman"/>
          <w:b/>
        </w:rPr>
      </w:pPr>
      <w:r>
        <w:rPr>
          <w:rFonts w:ascii="Times New Roman" w:hAnsi="Times New Roman" w:cs="Times New Roman"/>
          <w:b/>
        </w:rPr>
        <w:t>Gasto Institucional</w:t>
      </w:r>
    </w:p>
    <w:p w:rsidR="00C33674" w:rsidRDefault="00C33674" w:rsidP="00C33674">
      <w:pPr>
        <w:pStyle w:val="Sinespaciado"/>
        <w:jc w:val="center"/>
        <w:rPr>
          <w:rFonts w:ascii="Times New Roman" w:hAnsi="Times New Roman" w:cs="Times New Roman"/>
          <w:sz w:val="18"/>
        </w:rPr>
      </w:pPr>
      <w:r>
        <w:rPr>
          <w:rFonts w:ascii="Times New Roman" w:hAnsi="Times New Roman" w:cs="Times New Roman"/>
          <w:sz w:val="18"/>
        </w:rPr>
        <w:t xml:space="preserve">Variación (2016-2015) </w:t>
      </w:r>
    </w:p>
    <w:p w:rsidR="00C33674" w:rsidRPr="00890632" w:rsidRDefault="00C33674" w:rsidP="00C33674">
      <w:pPr>
        <w:pStyle w:val="Sinespaciado"/>
        <w:jc w:val="center"/>
        <w:rPr>
          <w:rFonts w:ascii="Times New Roman" w:hAnsi="Times New Roman" w:cs="Times New Roman"/>
          <w:b/>
        </w:rPr>
      </w:pPr>
      <w:r>
        <w:rPr>
          <w:rFonts w:ascii="Times New Roman" w:hAnsi="Times New Roman" w:cs="Times New Roman"/>
          <w:sz w:val="18"/>
        </w:rPr>
        <w:t>Millones de quetzales</w:t>
      </w:r>
    </w:p>
    <w:p w:rsidR="00C33674" w:rsidRDefault="00C33674" w:rsidP="00C33674">
      <w:pPr>
        <w:pStyle w:val="Sinespaciado"/>
        <w:jc w:val="both"/>
        <w:rPr>
          <w:rFonts w:ascii="Times New Roman" w:hAnsi="Times New Roman" w:cs="Times New Roman"/>
          <w:noProof/>
          <w:lang w:eastAsia="es-GT"/>
        </w:rPr>
      </w:pPr>
      <w:r>
        <w:rPr>
          <w:rFonts w:ascii="Times New Roman" w:hAnsi="Times New Roman" w:cs="Times New Roman"/>
          <w:noProof/>
          <w:lang w:eastAsia="es-GT"/>
        </w:rPr>
        <w:drawing>
          <wp:inline distT="0" distB="0" distL="0" distR="0" wp14:anchorId="04B51112" wp14:editId="315C9B68">
            <wp:extent cx="2637790" cy="288607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39619" cy="2888076"/>
                    </a:xfrm>
                    <a:prstGeom prst="rect">
                      <a:avLst/>
                    </a:prstGeom>
                    <a:noFill/>
                  </pic:spPr>
                </pic:pic>
              </a:graphicData>
            </a:graphic>
          </wp:inline>
        </w:drawing>
      </w:r>
    </w:p>
    <w:p w:rsidR="00C33674" w:rsidRDefault="00C33674" w:rsidP="00C33674">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C33674" w:rsidRDefault="00C33674" w:rsidP="00C33674">
      <w:pPr>
        <w:pStyle w:val="Sinespaciado"/>
        <w:jc w:val="both"/>
        <w:rPr>
          <w:rFonts w:ascii="Times New Roman" w:hAnsi="Times New Roman" w:cs="Times New Roman"/>
          <w:color w:val="FF0000"/>
        </w:rPr>
      </w:pPr>
    </w:p>
    <w:p w:rsidR="00606772" w:rsidRDefault="00606772" w:rsidP="00C33674">
      <w:pPr>
        <w:pStyle w:val="Sinespaciado"/>
        <w:jc w:val="both"/>
        <w:rPr>
          <w:rFonts w:ascii="Times New Roman" w:hAnsi="Times New Roman" w:cs="Times New Roman"/>
          <w:color w:val="000000" w:themeColor="text1"/>
        </w:rPr>
      </w:pPr>
      <w:r>
        <w:rPr>
          <w:rFonts w:ascii="Times New Roman" w:hAnsi="Times New Roman" w:cs="Times New Roman"/>
          <w:color w:val="000000" w:themeColor="text1"/>
        </w:rPr>
        <w:t>Es importante indicar que en la medida en que aumentan los ingresos tributarios y se obtengan los recursos adicionales programados en concepto de colocación de Bonos del Tesoro y Préstamos externos, la ejecución de gasto público aumentará y mejorará la prestación de servicios por parte de las entidades.</w:t>
      </w:r>
    </w:p>
    <w:p w:rsidR="00606772" w:rsidRDefault="00606772" w:rsidP="00C33674">
      <w:pPr>
        <w:pStyle w:val="Sinespaciado"/>
        <w:jc w:val="both"/>
        <w:rPr>
          <w:rFonts w:ascii="Times New Roman" w:hAnsi="Times New Roman" w:cs="Times New Roman"/>
          <w:color w:val="000000" w:themeColor="text1"/>
        </w:rPr>
      </w:pPr>
    </w:p>
    <w:p w:rsidR="00606772" w:rsidRDefault="00606772" w:rsidP="00C33674">
      <w:pPr>
        <w:pStyle w:val="Sinespaciado"/>
        <w:jc w:val="both"/>
        <w:rPr>
          <w:rFonts w:ascii="Times New Roman" w:hAnsi="Times New Roman" w:cs="Times New Roman"/>
          <w:color w:val="000000" w:themeColor="text1"/>
        </w:rPr>
      </w:pPr>
      <w:r>
        <w:rPr>
          <w:rFonts w:ascii="Times New Roman" w:hAnsi="Times New Roman" w:cs="Times New Roman"/>
          <w:color w:val="000000" w:themeColor="text1"/>
        </w:rPr>
        <w:t xml:space="preserve">Aunque se ha aplicado una férrea política de contención, se ha privilegiado el gasto social y el destinado al fortalecimiento de la seguridad </w:t>
      </w:r>
      <w:r>
        <w:rPr>
          <w:rFonts w:ascii="Times New Roman" w:hAnsi="Times New Roman" w:cs="Times New Roman"/>
          <w:color w:val="000000" w:themeColor="text1"/>
        </w:rPr>
        <w:lastRenderedPageBreak/>
        <w:t>y justicia que en conjunto representan los compromisos de los Acuerdos de Paz.</w:t>
      </w:r>
    </w:p>
    <w:p w:rsidR="00606772" w:rsidRDefault="00606772" w:rsidP="00C33674">
      <w:pPr>
        <w:pStyle w:val="Sinespaciado"/>
        <w:jc w:val="both"/>
        <w:rPr>
          <w:rFonts w:ascii="Times New Roman" w:hAnsi="Times New Roman" w:cs="Times New Roman"/>
          <w:color w:val="000000" w:themeColor="text1"/>
        </w:rPr>
      </w:pPr>
    </w:p>
    <w:p w:rsidR="00606772" w:rsidRDefault="00606772" w:rsidP="00C33674">
      <w:pPr>
        <w:pStyle w:val="Sinespaciado"/>
        <w:jc w:val="both"/>
        <w:rPr>
          <w:rFonts w:ascii="Times New Roman" w:hAnsi="Times New Roman" w:cs="Times New Roman"/>
          <w:color w:val="000000" w:themeColor="text1"/>
        </w:rPr>
      </w:pPr>
      <w:r>
        <w:rPr>
          <w:rFonts w:ascii="Times New Roman" w:hAnsi="Times New Roman" w:cs="Times New Roman"/>
          <w:color w:val="000000" w:themeColor="text1"/>
        </w:rPr>
        <w:t>De esa cuenta, el gasto social en los rubros de salud, educación y vivienda, reporta una ejecución al cierre de abril de Q6,823.6 millones, al incorporar los otros compromisos con Seguridad Interna, así como los aportes al Organismo Judicial, Corte de Constitucionalidad y Ministerio Público, este alcanza una ejecución de Q9,049.5 millones, los cuales en conjunto representan el 51.3% de los gastos del gobierno.</w:t>
      </w:r>
    </w:p>
    <w:p w:rsidR="00F76491" w:rsidRPr="00CD7760" w:rsidRDefault="00F76491" w:rsidP="00F76491">
      <w:pPr>
        <w:spacing w:line="240" w:lineRule="auto"/>
        <w:jc w:val="both"/>
        <w:rPr>
          <w:rFonts w:ascii="Times New Roman" w:hAnsi="Times New Roman" w:cs="Times New Roman"/>
          <w:color w:val="FF0000"/>
          <w:szCs w:val="24"/>
          <w:lang w:val="es-MX"/>
        </w:rPr>
      </w:pPr>
    </w:p>
    <w:p w:rsidR="00F76491" w:rsidRPr="00CD7760" w:rsidRDefault="00F76491" w:rsidP="00F76491">
      <w:pPr>
        <w:jc w:val="both"/>
        <w:rPr>
          <w:rFonts w:ascii="Times New Roman" w:hAnsi="Times New Roman" w:cs="Times New Roman"/>
          <w:color w:val="FF0000"/>
          <w:szCs w:val="24"/>
          <w:lang w:val="es-MX"/>
        </w:rPr>
        <w:sectPr w:rsidR="00F76491" w:rsidRPr="00CD7760" w:rsidSect="00BC7539">
          <w:type w:val="continuous"/>
          <w:pgSz w:w="12240" w:h="15840"/>
          <w:pgMar w:top="1417" w:right="1701" w:bottom="1417" w:left="1701" w:header="708" w:footer="708" w:gutter="0"/>
          <w:cols w:num="2" w:space="708"/>
          <w:docGrid w:linePitch="360"/>
        </w:sectPr>
      </w:pPr>
    </w:p>
    <w:p w:rsidR="00E16925" w:rsidRPr="00964F7A" w:rsidRDefault="00E16925" w:rsidP="00BC7539">
      <w:pPr>
        <w:pStyle w:val="Sinespaciado"/>
        <w:jc w:val="both"/>
        <w:rPr>
          <w:rFonts w:ascii="Times New Roman" w:hAnsi="Times New Roman" w:cs="Times New Roman"/>
          <w:color w:val="FF0000"/>
          <w:sz w:val="8"/>
          <w:lang w:val="es-MX"/>
        </w:rPr>
      </w:pPr>
    </w:p>
    <w:p w:rsidR="00F76491" w:rsidRPr="002E3F4C" w:rsidRDefault="002E3F4C" w:rsidP="00F7649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pPr>
      <w:r w:rsidRPr="002E3F4C">
        <w:rPr>
          <w:rFonts w:ascii="Times New Roman" w:hAnsi="Times New Roman" w:cs="Times New Roman"/>
          <w:b/>
          <w:lang w:val="es-MX"/>
        </w:rPr>
        <w:t>Exitosa colocación de títulos del gobierno en el mercado internacional de capitales</w:t>
      </w:r>
    </w:p>
    <w:p w:rsidR="00F76491" w:rsidRPr="00CD7760" w:rsidRDefault="00F76491" w:rsidP="00F76491">
      <w:pPr>
        <w:rPr>
          <w:rFonts w:ascii="Times New Roman" w:hAnsi="Times New Roman" w:cs="Times New Roman"/>
          <w:b/>
          <w:color w:val="FF0000"/>
          <w:lang w:val="es-MX"/>
        </w:rPr>
        <w:sectPr w:rsidR="00F76491" w:rsidRPr="00CD7760" w:rsidSect="00FA3B81">
          <w:headerReference w:type="default" r:id="rId21"/>
          <w:footerReference w:type="default" r:id="rId22"/>
          <w:type w:val="continuous"/>
          <w:pgSz w:w="12240" w:h="15840" w:code="1"/>
          <w:pgMar w:top="1418" w:right="1418" w:bottom="1418" w:left="1418" w:header="709" w:footer="709" w:gutter="0"/>
          <w:cols w:space="708"/>
          <w:docGrid w:linePitch="360"/>
        </w:sectPr>
      </w:pPr>
    </w:p>
    <w:p w:rsidR="00F76491" w:rsidRPr="00CD7760" w:rsidRDefault="00F76491" w:rsidP="00F76491">
      <w:pPr>
        <w:pStyle w:val="Sinespaciado"/>
        <w:rPr>
          <w:rFonts w:ascii="Times New Roman" w:hAnsi="Times New Roman" w:cs="Times New Roman"/>
          <w:b/>
          <w:color w:val="FF0000"/>
          <w:sz w:val="18"/>
          <w:lang w:val="es-MX"/>
        </w:rPr>
      </w:pPr>
    </w:p>
    <w:p w:rsidR="00F76491" w:rsidRPr="00CD7760" w:rsidRDefault="00F76491" w:rsidP="00F76491">
      <w:pPr>
        <w:pStyle w:val="Sinespaciado"/>
        <w:rPr>
          <w:rFonts w:ascii="Times New Roman" w:hAnsi="Times New Roman" w:cs="Times New Roman"/>
          <w:b/>
          <w:color w:val="FF0000"/>
          <w:lang w:val="es-MX"/>
        </w:rPr>
        <w:sectPr w:rsidR="00F76491" w:rsidRPr="00CD7760" w:rsidSect="001F5210">
          <w:type w:val="continuous"/>
          <w:pgSz w:w="12240" w:h="15840"/>
          <w:pgMar w:top="1417" w:right="1701" w:bottom="1417" w:left="1701" w:header="708" w:footer="708" w:gutter="0"/>
          <w:cols w:space="708"/>
          <w:docGrid w:linePitch="360"/>
        </w:sectPr>
      </w:pPr>
    </w:p>
    <w:p w:rsidR="002E3F4C" w:rsidRDefault="002E3F4C" w:rsidP="002E3F4C">
      <w:pPr>
        <w:pStyle w:val="Sinespaciado"/>
        <w:jc w:val="both"/>
        <w:rPr>
          <w:rFonts w:ascii="Times New Roman" w:hAnsi="Times New Roman" w:cs="Times New Roman"/>
        </w:rPr>
      </w:pPr>
      <w:r>
        <w:rPr>
          <w:rFonts w:ascii="Times New Roman" w:hAnsi="Times New Roman" w:cs="Times New Roman"/>
        </w:rPr>
        <w:lastRenderedPageBreak/>
        <w:t>En cuanto al financiamiento del déficit presupuestario,  al cierre del primer cuatrimestre de 2016, se mantiene el bajo nivel de desembolsos de préstamos externos, inclusive excluyendo los de apoyo presupuestario, como los que se recibieron el año anterior, cuyo nivel está por debajo de lo observado en los últimos años.</w:t>
      </w:r>
    </w:p>
    <w:p w:rsidR="002E3F4C" w:rsidRDefault="002E3F4C" w:rsidP="002E3F4C">
      <w:pPr>
        <w:pStyle w:val="Sinespaciado"/>
        <w:jc w:val="both"/>
        <w:rPr>
          <w:rFonts w:ascii="Times New Roman" w:hAnsi="Times New Roman" w:cs="Times New Roman"/>
        </w:rPr>
      </w:pPr>
    </w:p>
    <w:p w:rsidR="002E3F4C" w:rsidRDefault="00322727" w:rsidP="002E3F4C">
      <w:pPr>
        <w:pStyle w:val="Sinespaciado"/>
        <w:jc w:val="both"/>
        <w:rPr>
          <w:rFonts w:ascii="Times New Roman" w:hAnsi="Times New Roman" w:cs="Times New Roman"/>
        </w:rPr>
      </w:pPr>
      <w:r>
        <w:rPr>
          <w:rFonts w:ascii="Times New Roman" w:hAnsi="Times New Roman" w:cs="Times New Roman"/>
        </w:rPr>
        <w:t>Además,</w:t>
      </w:r>
      <w:r w:rsidR="002E3F4C">
        <w:rPr>
          <w:rFonts w:ascii="Times New Roman" w:hAnsi="Times New Roman" w:cs="Times New Roman"/>
        </w:rPr>
        <w:t xml:space="preserve"> conforme al monto programado en el presupuesto aprobado para 2016, únicamente se ha recibido el 4.7%, lo que evidencia un problema en la gestión y ejecución de este tipo de operaciones, lo que retrasa la ejecución de gasto especialmente de inversión pública</w:t>
      </w:r>
      <w:r>
        <w:rPr>
          <w:rFonts w:ascii="Times New Roman" w:hAnsi="Times New Roman" w:cs="Times New Roman"/>
        </w:rPr>
        <w:t>.</w:t>
      </w:r>
    </w:p>
    <w:p w:rsidR="002E3F4C" w:rsidRDefault="002E3F4C" w:rsidP="002E3F4C">
      <w:pPr>
        <w:pStyle w:val="Sinespaciado"/>
        <w:jc w:val="both"/>
        <w:rPr>
          <w:rFonts w:ascii="Times New Roman" w:hAnsi="Times New Roman" w:cs="Times New Roman"/>
        </w:rPr>
      </w:pPr>
    </w:p>
    <w:p w:rsidR="002E3F4C" w:rsidRDefault="002E3F4C" w:rsidP="002E3F4C">
      <w:pPr>
        <w:pStyle w:val="Sinespaciado"/>
        <w:jc w:val="both"/>
        <w:rPr>
          <w:rFonts w:ascii="Times New Roman" w:hAnsi="Times New Roman" w:cs="Times New Roman"/>
        </w:rPr>
      </w:pPr>
      <w:r>
        <w:rPr>
          <w:rFonts w:ascii="Times New Roman" w:hAnsi="Times New Roman" w:cs="Times New Roman"/>
        </w:rPr>
        <w:t xml:space="preserve">Este bajo flujo de desembolsos reportados en lo que va del año, ha conducido a un financiamiento externo neto negativo de </w:t>
      </w:r>
      <w:r w:rsidR="00F20D0D">
        <w:rPr>
          <w:rFonts w:ascii="Times New Roman" w:hAnsi="Times New Roman" w:cs="Times New Roman"/>
        </w:rPr>
        <w:t xml:space="preserve">      </w:t>
      </w:r>
      <w:r w:rsidR="00322727">
        <w:rPr>
          <w:rFonts w:ascii="Times New Roman" w:hAnsi="Times New Roman" w:cs="Times New Roman"/>
        </w:rPr>
        <w:t xml:space="preserve">    </w:t>
      </w:r>
      <w:r w:rsidR="00F20D0D">
        <w:rPr>
          <w:rFonts w:ascii="Times New Roman" w:hAnsi="Times New Roman" w:cs="Times New Roman"/>
        </w:rPr>
        <w:t xml:space="preserve"> </w:t>
      </w:r>
      <w:r>
        <w:rPr>
          <w:rFonts w:ascii="Times New Roman" w:hAnsi="Times New Roman" w:cs="Times New Roman"/>
        </w:rPr>
        <w:t>Q</w:t>
      </w:r>
      <w:r w:rsidR="00F20D0D">
        <w:rPr>
          <w:rFonts w:ascii="Times New Roman" w:hAnsi="Times New Roman" w:cs="Times New Roman"/>
        </w:rPr>
        <w:t xml:space="preserve"> </w:t>
      </w:r>
      <w:r>
        <w:rPr>
          <w:rFonts w:ascii="Times New Roman" w:hAnsi="Times New Roman" w:cs="Times New Roman"/>
        </w:rPr>
        <w:t xml:space="preserve">842.7 millones, ya que las amortizaciones de deuda son mayores a los desembolsos captados.  </w:t>
      </w:r>
    </w:p>
    <w:p w:rsidR="002E3F4C" w:rsidRDefault="002E3F4C" w:rsidP="002E3F4C">
      <w:pPr>
        <w:pStyle w:val="Sinespaciado"/>
        <w:jc w:val="both"/>
        <w:rPr>
          <w:rFonts w:ascii="Times New Roman" w:hAnsi="Times New Roman" w:cs="Times New Roman"/>
        </w:rPr>
      </w:pPr>
    </w:p>
    <w:p w:rsidR="00322727" w:rsidRDefault="00322727" w:rsidP="002E3F4C">
      <w:pPr>
        <w:pStyle w:val="Sinespaciado"/>
        <w:jc w:val="both"/>
        <w:rPr>
          <w:rFonts w:ascii="Times New Roman" w:hAnsi="Times New Roman" w:cs="Times New Roman"/>
        </w:rPr>
      </w:pPr>
    </w:p>
    <w:p w:rsidR="00322727" w:rsidRDefault="00322727" w:rsidP="002E3F4C">
      <w:pPr>
        <w:pStyle w:val="Sinespaciado"/>
        <w:jc w:val="both"/>
        <w:rPr>
          <w:rFonts w:ascii="Times New Roman" w:hAnsi="Times New Roman" w:cs="Times New Roman"/>
        </w:rPr>
      </w:pPr>
    </w:p>
    <w:p w:rsidR="00322727" w:rsidRDefault="00322727" w:rsidP="002E3F4C">
      <w:pPr>
        <w:pStyle w:val="Sinespaciado"/>
        <w:jc w:val="both"/>
        <w:rPr>
          <w:rFonts w:ascii="Times New Roman" w:hAnsi="Times New Roman" w:cs="Times New Roman"/>
        </w:rPr>
      </w:pPr>
    </w:p>
    <w:p w:rsidR="00322727" w:rsidRDefault="00322727" w:rsidP="002E3F4C">
      <w:pPr>
        <w:pStyle w:val="Sinespaciado"/>
        <w:jc w:val="both"/>
        <w:rPr>
          <w:rFonts w:ascii="Times New Roman" w:hAnsi="Times New Roman" w:cs="Times New Roman"/>
        </w:rPr>
      </w:pPr>
    </w:p>
    <w:p w:rsidR="00322727" w:rsidRDefault="00322727" w:rsidP="002E3F4C">
      <w:pPr>
        <w:pStyle w:val="Sinespaciado"/>
        <w:jc w:val="both"/>
        <w:rPr>
          <w:rFonts w:ascii="Times New Roman" w:hAnsi="Times New Roman" w:cs="Times New Roman"/>
        </w:rPr>
      </w:pPr>
    </w:p>
    <w:p w:rsidR="002E3F4C" w:rsidRPr="00EC35C2" w:rsidRDefault="002E3F4C" w:rsidP="002E3F4C">
      <w:pPr>
        <w:pStyle w:val="Sinespaciado"/>
        <w:jc w:val="center"/>
        <w:rPr>
          <w:rFonts w:ascii="Times New Roman" w:hAnsi="Times New Roman" w:cs="Times New Roman"/>
          <w:b/>
          <w:color w:val="000000" w:themeColor="text1"/>
          <w:sz w:val="24"/>
        </w:rPr>
      </w:pPr>
      <w:r>
        <w:rPr>
          <w:rFonts w:ascii="Times New Roman" w:hAnsi="Times New Roman" w:cs="Times New Roman"/>
          <w:b/>
          <w:color w:val="000000" w:themeColor="text1"/>
        </w:rPr>
        <w:lastRenderedPageBreak/>
        <w:t>Desembolsos de Préstamos</w:t>
      </w:r>
    </w:p>
    <w:p w:rsidR="002E3F4C" w:rsidRDefault="002E3F4C" w:rsidP="002E3F4C">
      <w:pPr>
        <w:pStyle w:val="Sinespaciad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6"/>
          <w:szCs w:val="18"/>
        </w:rPr>
        <w:t xml:space="preserve">Acumulado a </w:t>
      </w:r>
      <w:r>
        <w:rPr>
          <w:rFonts w:ascii="Times New Roman" w:hAnsi="Times New Roman" w:cs="Times New Roman"/>
          <w:color w:val="000000" w:themeColor="text1"/>
          <w:sz w:val="18"/>
          <w:szCs w:val="18"/>
        </w:rPr>
        <w:t>abril</w:t>
      </w:r>
      <w:r w:rsidRPr="00EC35C2">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2014- </w:t>
      </w:r>
      <w:r w:rsidRPr="00EC35C2">
        <w:rPr>
          <w:rFonts w:ascii="Times New Roman" w:hAnsi="Times New Roman" w:cs="Times New Roman"/>
          <w:color w:val="000000" w:themeColor="text1"/>
          <w:sz w:val="18"/>
          <w:szCs w:val="18"/>
        </w:rPr>
        <w:t>2016</w:t>
      </w:r>
    </w:p>
    <w:p w:rsidR="002E3F4C" w:rsidRDefault="002E3F4C" w:rsidP="002E3F4C">
      <w:pPr>
        <w:pStyle w:val="Sinespaciado"/>
        <w:jc w:val="center"/>
        <w:rPr>
          <w:rFonts w:ascii="Times New Roman" w:hAnsi="Times New Roman" w:cs="Times New Roman"/>
        </w:rPr>
      </w:pPr>
      <w:r w:rsidRPr="00EC35C2">
        <w:rPr>
          <w:rFonts w:ascii="Times New Roman" w:hAnsi="Times New Roman" w:cs="Times New Roman"/>
          <w:color w:val="000000" w:themeColor="text1"/>
          <w:sz w:val="18"/>
          <w:szCs w:val="18"/>
        </w:rPr>
        <w:t>Millones de quetzales</w:t>
      </w:r>
    </w:p>
    <w:p w:rsidR="002E3F4C" w:rsidRPr="00F20D0D" w:rsidRDefault="002E3F4C" w:rsidP="002E3F4C">
      <w:pPr>
        <w:pStyle w:val="Sinespaciado"/>
        <w:rPr>
          <w:rFonts w:ascii="Times New Roman" w:hAnsi="Times New Roman" w:cs="Times New Roman"/>
          <w:sz w:val="18"/>
        </w:rPr>
      </w:pPr>
      <w:r>
        <w:rPr>
          <w:rFonts w:ascii="Times New Roman" w:hAnsi="Times New Roman" w:cs="Times New Roman"/>
          <w:noProof/>
          <w:sz w:val="14"/>
          <w:lang w:eastAsia="es-GT"/>
        </w:rPr>
        <w:drawing>
          <wp:anchor distT="0" distB="0" distL="114300" distR="114300" simplePos="0" relativeHeight="251669504" behindDoc="0" locked="0" layoutInCell="1" allowOverlap="1" wp14:anchorId="35D88BE8" wp14:editId="4F7C06B7">
            <wp:simplePos x="0" y="0"/>
            <wp:positionH relativeFrom="column">
              <wp:posOffset>100965</wp:posOffset>
            </wp:positionH>
            <wp:positionV relativeFrom="paragraph">
              <wp:posOffset>37465</wp:posOffset>
            </wp:positionV>
            <wp:extent cx="2600325" cy="1866900"/>
            <wp:effectExtent l="0" t="0" r="9525" b="0"/>
            <wp:wrapSquare wrapText="bothSides"/>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00325" cy="1866900"/>
                    </a:xfrm>
                    <a:prstGeom prst="rect">
                      <a:avLst/>
                    </a:prstGeom>
                    <a:noFill/>
                  </pic:spPr>
                </pic:pic>
              </a:graphicData>
            </a:graphic>
            <wp14:sizeRelH relativeFrom="page">
              <wp14:pctWidth>0</wp14:pctWidth>
            </wp14:sizeRelH>
            <wp14:sizeRelV relativeFrom="page">
              <wp14:pctHeight>0</wp14:pctHeight>
            </wp14:sizeRelV>
          </wp:anchor>
        </w:drawing>
      </w:r>
      <w:r w:rsidR="00F20D0D">
        <w:rPr>
          <w:rFonts w:ascii="Times New Roman" w:hAnsi="Times New Roman" w:cs="Times New Roman"/>
          <w:sz w:val="16"/>
        </w:rPr>
        <w:t>Fu</w:t>
      </w:r>
      <w:r w:rsidRPr="00F20D0D">
        <w:rPr>
          <w:rFonts w:ascii="Times New Roman" w:hAnsi="Times New Roman" w:cs="Times New Roman"/>
          <w:sz w:val="16"/>
        </w:rPr>
        <w:t>ente: Dirección de Análisis y Política fiscal</w:t>
      </w:r>
    </w:p>
    <w:p w:rsidR="002E3F4C" w:rsidRDefault="002E3F4C" w:rsidP="002E3F4C">
      <w:pPr>
        <w:pStyle w:val="Sinespaciado"/>
        <w:jc w:val="both"/>
        <w:rPr>
          <w:rFonts w:ascii="Times New Roman" w:hAnsi="Times New Roman" w:cs="Times New Roman"/>
          <w:color w:val="000000" w:themeColor="text1"/>
        </w:rPr>
      </w:pPr>
    </w:p>
    <w:p w:rsidR="002E3F4C" w:rsidRDefault="002E3F4C" w:rsidP="002E3F4C">
      <w:pPr>
        <w:pStyle w:val="Sinespaciado"/>
        <w:jc w:val="both"/>
        <w:rPr>
          <w:rFonts w:ascii="Times New Roman" w:hAnsi="Times New Roman" w:cs="Times New Roman"/>
          <w:color w:val="000000" w:themeColor="text1"/>
        </w:rPr>
      </w:pPr>
      <w:r w:rsidRPr="00995554">
        <w:rPr>
          <w:rFonts w:ascii="Times New Roman" w:hAnsi="Times New Roman" w:cs="Times New Roman"/>
          <w:color w:val="000000" w:themeColor="text1"/>
        </w:rPr>
        <w:t>En lo que respecta a la colocación de Bonos del Tesoro, entre enero y marzo, se han realizado 9 eventos de subasta y licitación de los cuales se ha recibido una demanda acumulada de Q</w:t>
      </w:r>
      <w:r>
        <w:rPr>
          <w:rFonts w:ascii="Times New Roman" w:hAnsi="Times New Roman" w:cs="Times New Roman"/>
          <w:color w:val="000000" w:themeColor="text1"/>
        </w:rPr>
        <w:t xml:space="preserve"> </w:t>
      </w:r>
      <w:r w:rsidRPr="00995554">
        <w:rPr>
          <w:rFonts w:ascii="Times New Roman" w:hAnsi="Times New Roman" w:cs="Times New Roman"/>
          <w:color w:val="000000" w:themeColor="text1"/>
        </w:rPr>
        <w:t>12,417.6 millones. De los cuales se ha adjudicado, conforme a las necesidades de caja, Q</w:t>
      </w:r>
      <w:r>
        <w:rPr>
          <w:rFonts w:ascii="Times New Roman" w:hAnsi="Times New Roman" w:cs="Times New Roman"/>
          <w:color w:val="000000" w:themeColor="text1"/>
        </w:rPr>
        <w:t xml:space="preserve"> </w:t>
      </w:r>
      <w:r w:rsidRPr="00995554">
        <w:rPr>
          <w:rFonts w:ascii="Times New Roman" w:hAnsi="Times New Roman" w:cs="Times New Roman"/>
          <w:color w:val="000000" w:themeColor="text1"/>
        </w:rPr>
        <w:t>4,792.</w:t>
      </w:r>
      <w:r>
        <w:rPr>
          <w:rFonts w:ascii="Times New Roman" w:hAnsi="Times New Roman" w:cs="Times New Roman"/>
          <w:color w:val="000000" w:themeColor="text1"/>
        </w:rPr>
        <w:t>6</w:t>
      </w:r>
      <w:r w:rsidRPr="00995554">
        <w:rPr>
          <w:rFonts w:ascii="Times New Roman" w:hAnsi="Times New Roman" w:cs="Times New Roman"/>
          <w:color w:val="000000" w:themeColor="text1"/>
        </w:rPr>
        <w:t xml:space="preserve"> millones, orientándose</w:t>
      </w:r>
      <w:r>
        <w:rPr>
          <w:rFonts w:ascii="Times New Roman" w:hAnsi="Times New Roman" w:cs="Times New Roman"/>
          <w:color w:val="000000" w:themeColor="text1"/>
        </w:rPr>
        <w:t xml:space="preserve"> dichos recursos a roll over       </w:t>
      </w:r>
      <w:r w:rsidR="00322727">
        <w:rPr>
          <w:rFonts w:ascii="Times New Roman" w:hAnsi="Times New Roman" w:cs="Times New Roman"/>
          <w:color w:val="000000" w:themeColor="text1"/>
        </w:rPr>
        <w:t xml:space="preserve"> </w:t>
      </w:r>
      <w:proofErr w:type="gramStart"/>
      <w:r w:rsidR="00322727">
        <w:rPr>
          <w:rFonts w:ascii="Times New Roman" w:hAnsi="Times New Roman" w:cs="Times New Roman"/>
          <w:color w:val="000000" w:themeColor="text1"/>
        </w:rPr>
        <w:t xml:space="preserve">   </w:t>
      </w:r>
      <w:r>
        <w:rPr>
          <w:rFonts w:ascii="Times New Roman" w:hAnsi="Times New Roman" w:cs="Times New Roman"/>
          <w:color w:val="000000" w:themeColor="text1"/>
        </w:rPr>
        <w:t>(</w:t>
      </w:r>
      <w:proofErr w:type="gramEnd"/>
      <w:r>
        <w:rPr>
          <w:rFonts w:ascii="Times New Roman" w:hAnsi="Times New Roman" w:cs="Times New Roman"/>
          <w:color w:val="000000" w:themeColor="text1"/>
        </w:rPr>
        <w:t>Q 3,419.5</w:t>
      </w:r>
      <w:r w:rsidRPr="00995554">
        <w:rPr>
          <w:rFonts w:ascii="Times New Roman" w:hAnsi="Times New Roman" w:cs="Times New Roman"/>
          <w:color w:val="000000" w:themeColor="text1"/>
        </w:rPr>
        <w:t xml:space="preserve"> millones) y Q</w:t>
      </w:r>
      <w:r>
        <w:rPr>
          <w:rFonts w:ascii="Times New Roman" w:hAnsi="Times New Roman" w:cs="Times New Roman"/>
          <w:color w:val="000000" w:themeColor="text1"/>
        </w:rPr>
        <w:t xml:space="preserve"> 1,373.1</w:t>
      </w:r>
      <w:r w:rsidRPr="00995554">
        <w:rPr>
          <w:rFonts w:ascii="Times New Roman" w:hAnsi="Times New Roman" w:cs="Times New Roman"/>
          <w:color w:val="000000" w:themeColor="text1"/>
        </w:rPr>
        <w:t xml:space="preserve"> millones a financiar el presupuesto de este año.</w:t>
      </w:r>
      <w:r>
        <w:rPr>
          <w:rFonts w:ascii="Times New Roman" w:hAnsi="Times New Roman" w:cs="Times New Roman"/>
          <w:color w:val="000000" w:themeColor="text1"/>
        </w:rPr>
        <w:t xml:space="preserve">  </w:t>
      </w:r>
    </w:p>
    <w:p w:rsidR="002E3F4C" w:rsidRDefault="002E3F4C" w:rsidP="002E3F4C">
      <w:pPr>
        <w:pStyle w:val="Sinespaciado"/>
        <w:jc w:val="both"/>
        <w:rPr>
          <w:rFonts w:ascii="Times New Roman" w:hAnsi="Times New Roman" w:cs="Times New Roman"/>
          <w:color w:val="000000" w:themeColor="text1"/>
        </w:rPr>
      </w:pPr>
    </w:p>
    <w:p w:rsidR="002E3F4C" w:rsidRDefault="002E3F4C" w:rsidP="002E3F4C">
      <w:pPr>
        <w:pStyle w:val="Sinespaciad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De esa cuenta la negociación neta de bonos (nueva emisión de títulos) se ubicó en            </w:t>
      </w:r>
      <w:r w:rsidR="00322727">
        <w:rPr>
          <w:rFonts w:ascii="Times New Roman" w:hAnsi="Times New Roman" w:cs="Times New Roman"/>
          <w:color w:val="000000" w:themeColor="text1"/>
        </w:rPr>
        <w:t xml:space="preserve">    </w:t>
      </w:r>
      <w:r>
        <w:rPr>
          <w:rFonts w:ascii="Times New Roman" w:hAnsi="Times New Roman" w:cs="Times New Roman"/>
          <w:color w:val="000000" w:themeColor="text1"/>
        </w:rPr>
        <w:t>Q 2,308.8 millones.</w:t>
      </w:r>
    </w:p>
    <w:p w:rsidR="002E3F4C" w:rsidRPr="00995554" w:rsidRDefault="002E3F4C" w:rsidP="002E3F4C">
      <w:pPr>
        <w:pStyle w:val="Sinespaciado"/>
        <w:jc w:val="both"/>
        <w:rPr>
          <w:rFonts w:ascii="Times New Roman" w:hAnsi="Times New Roman" w:cs="Times New Roman"/>
          <w:color w:val="000000" w:themeColor="text1"/>
        </w:rPr>
      </w:pPr>
    </w:p>
    <w:p w:rsidR="002E3F4C" w:rsidRDefault="002E3F4C" w:rsidP="002E3F4C">
      <w:pPr>
        <w:pStyle w:val="Sinespaciado"/>
        <w:jc w:val="both"/>
        <w:rPr>
          <w:rFonts w:ascii="Times New Roman" w:hAnsi="Times New Roman" w:cs="Times New Roman"/>
          <w:color w:val="000000" w:themeColor="text1"/>
        </w:rPr>
      </w:pPr>
      <w:r>
        <w:rPr>
          <w:rFonts w:ascii="Times New Roman" w:hAnsi="Times New Roman" w:cs="Times New Roman"/>
          <w:color w:val="000000" w:themeColor="text1"/>
        </w:rPr>
        <w:t>Además</w:t>
      </w:r>
      <w:r w:rsidRPr="00995554">
        <w:rPr>
          <w:rFonts w:ascii="Times New Roman" w:hAnsi="Times New Roman" w:cs="Times New Roman"/>
          <w:color w:val="000000" w:themeColor="text1"/>
        </w:rPr>
        <w:t xml:space="preserve">, siguen prevaleciendo las condiciones favorables a las que fueron colocados los títulos del gobierno, en términos generales se mantuvo el costo financiero  promedio en una tasa de 7.5% y el plazo de 15 años. </w:t>
      </w:r>
    </w:p>
    <w:p w:rsidR="002E3F4C" w:rsidRDefault="002E3F4C" w:rsidP="002E3F4C">
      <w:pPr>
        <w:pStyle w:val="Sinespaciado"/>
        <w:jc w:val="both"/>
        <w:rPr>
          <w:rFonts w:ascii="Times New Roman" w:hAnsi="Times New Roman" w:cs="Times New Roman"/>
          <w:color w:val="000000" w:themeColor="text1"/>
        </w:rPr>
      </w:pPr>
    </w:p>
    <w:p w:rsidR="002E3F4C" w:rsidRDefault="002E3F4C" w:rsidP="002E3F4C">
      <w:pPr>
        <w:pStyle w:val="Sinespaciado"/>
        <w:jc w:val="both"/>
        <w:rPr>
          <w:rFonts w:ascii="Times New Roman" w:hAnsi="Times New Roman" w:cs="Times New Roman"/>
          <w:lang w:val="es-MX"/>
        </w:rPr>
      </w:pPr>
      <w:r>
        <w:rPr>
          <w:rFonts w:ascii="Times New Roman" w:hAnsi="Times New Roman" w:cs="Times New Roman"/>
          <w:color w:val="000000" w:themeColor="text1"/>
        </w:rPr>
        <w:t xml:space="preserve">Asimismo, </w:t>
      </w:r>
      <w:r>
        <w:rPr>
          <w:rFonts w:ascii="Times New Roman" w:hAnsi="Times New Roman" w:cs="Times New Roman"/>
          <w:lang w:val="es-MX"/>
        </w:rPr>
        <w:t xml:space="preserve">es importante destacar que el 28 de abril, se logró realizar la séptima colocación de </w:t>
      </w:r>
      <w:r>
        <w:rPr>
          <w:rFonts w:ascii="Times New Roman" w:hAnsi="Times New Roman" w:cs="Times New Roman"/>
          <w:lang w:val="es-MX"/>
        </w:rPr>
        <w:lastRenderedPageBreak/>
        <w:t>Bonos del Tesoro, en el mercado internacional de capitales (Eurobonos) la demanda fue superior a los US$ 3,000 millones y se adjudicaron US$ 700 millones, la tasa cupón de dicha colocación fue de 4.5% a un precio de 99.206.  Se estima que dicha operación se liquidará el 3 de mayo, por lo que los registros contables de esta operación y el aumento de los depósitos del gobierno en el Banco de Guatemal</w:t>
      </w:r>
      <w:r w:rsidR="00322727">
        <w:rPr>
          <w:rFonts w:ascii="Times New Roman" w:hAnsi="Times New Roman" w:cs="Times New Roman"/>
          <w:lang w:val="es-MX"/>
        </w:rPr>
        <w:t>a se efectuaran en dicho mes</w:t>
      </w:r>
      <w:r>
        <w:rPr>
          <w:rFonts w:ascii="Times New Roman" w:hAnsi="Times New Roman" w:cs="Times New Roman"/>
          <w:lang w:val="es-MX"/>
        </w:rPr>
        <w:t>.</w:t>
      </w:r>
    </w:p>
    <w:p w:rsidR="00FA5DE4" w:rsidRPr="00CD7760" w:rsidRDefault="00FA5DE4" w:rsidP="00FA5DE4">
      <w:pPr>
        <w:pStyle w:val="Sinespaciado"/>
        <w:jc w:val="both"/>
        <w:rPr>
          <w:rFonts w:ascii="Times New Roman" w:hAnsi="Times New Roman" w:cs="Times New Roman"/>
          <w:color w:val="FF0000"/>
        </w:rPr>
        <w:sectPr w:rsidR="00FA5DE4" w:rsidRPr="00CD7760" w:rsidSect="001F5210">
          <w:type w:val="continuous"/>
          <w:pgSz w:w="12240" w:h="15840"/>
          <w:pgMar w:top="1417" w:right="1701" w:bottom="1417" w:left="1701" w:header="708" w:footer="708" w:gutter="0"/>
          <w:cols w:num="2" w:space="708"/>
          <w:docGrid w:linePitch="360"/>
        </w:sectPr>
      </w:pPr>
    </w:p>
    <w:p w:rsidR="00F76491" w:rsidRPr="00CD7760" w:rsidRDefault="00F76491" w:rsidP="00F76491">
      <w:pPr>
        <w:pStyle w:val="Sinespaciado"/>
        <w:jc w:val="both"/>
        <w:rPr>
          <w:rFonts w:ascii="Times New Roman" w:hAnsi="Times New Roman" w:cs="Times New Roman"/>
          <w:color w:val="FF0000"/>
        </w:rPr>
      </w:pPr>
    </w:p>
    <w:p w:rsidR="00F76491" w:rsidRPr="00322727" w:rsidRDefault="00F76491" w:rsidP="00F76491">
      <w:pPr>
        <w:rPr>
          <w:color w:val="FF0000"/>
        </w:rPr>
        <w:sectPr w:rsidR="00F76491" w:rsidRPr="00322727" w:rsidSect="001F5210">
          <w:type w:val="continuous"/>
          <w:pgSz w:w="12240" w:h="15840"/>
          <w:pgMar w:top="1417" w:right="1701" w:bottom="1417" w:left="1701" w:header="708" w:footer="708" w:gutter="0"/>
          <w:cols w:num="2" w:space="708"/>
          <w:docGrid w:linePitch="360"/>
        </w:sectPr>
      </w:pPr>
    </w:p>
    <w:p w:rsidR="00F76491" w:rsidRPr="002E3F4C" w:rsidRDefault="00F76491" w:rsidP="00F76491">
      <w:pPr>
        <w:pStyle w:val="Sinespaciado"/>
        <w:jc w:val="both"/>
        <w:rPr>
          <w:rFonts w:ascii="Times New Roman" w:hAnsi="Times New Roman" w:cs="Times New Roman"/>
          <w:color w:val="FF0000"/>
          <w:sz w:val="8"/>
          <w:lang w:val="es-MX"/>
        </w:rPr>
      </w:pPr>
    </w:p>
    <w:p w:rsidR="00494D1D" w:rsidRPr="00784AF8" w:rsidRDefault="0042387A" w:rsidP="0042387A">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494D1D" w:rsidRPr="00784AF8" w:rsidSect="00FA3B81">
          <w:headerReference w:type="default" r:id="rId24"/>
          <w:footerReference w:type="default" r:id="rId25"/>
          <w:type w:val="continuous"/>
          <w:pgSz w:w="12240" w:h="15840" w:code="1"/>
          <w:pgMar w:top="1418" w:right="1418" w:bottom="1418" w:left="1418" w:header="709" w:footer="709" w:gutter="0"/>
          <w:cols w:space="708"/>
          <w:docGrid w:linePitch="360"/>
        </w:sectPr>
      </w:pPr>
      <w:r w:rsidRPr="00784AF8">
        <w:rPr>
          <w:rFonts w:ascii="Times New Roman" w:hAnsi="Times New Roman" w:cs="Times New Roman"/>
          <w:b/>
          <w:lang w:val="es-MX"/>
        </w:rPr>
        <w:t>Ambientes macroeconómicos (externo e interno)</w:t>
      </w:r>
    </w:p>
    <w:p w:rsidR="00494D1D" w:rsidRPr="00CD7760" w:rsidRDefault="00494D1D" w:rsidP="00494D1D">
      <w:pPr>
        <w:pStyle w:val="Sinespaciado"/>
        <w:rPr>
          <w:rFonts w:ascii="Times New Roman" w:hAnsi="Times New Roman" w:cs="Times New Roman"/>
          <w:b/>
          <w:color w:val="FF0000"/>
          <w:sz w:val="18"/>
          <w:lang w:val="es-MX"/>
        </w:rPr>
      </w:pPr>
    </w:p>
    <w:p w:rsidR="00494D1D" w:rsidRPr="00CD7760" w:rsidRDefault="00494D1D" w:rsidP="00494D1D">
      <w:pPr>
        <w:pStyle w:val="Sinespaciado"/>
        <w:rPr>
          <w:rFonts w:ascii="Times New Roman" w:hAnsi="Times New Roman" w:cs="Times New Roman"/>
          <w:b/>
          <w:color w:val="FF0000"/>
          <w:lang w:val="es-MX"/>
        </w:rPr>
        <w:sectPr w:rsidR="00494D1D" w:rsidRPr="00CD7760" w:rsidSect="001F5210">
          <w:type w:val="continuous"/>
          <w:pgSz w:w="12240" w:h="15840"/>
          <w:pgMar w:top="1417" w:right="1701" w:bottom="1417" w:left="1701" w:header="708" w:footer="708" w:gutter="0"/>
          <w:cols w:space="708"/>
          <w:docGrid w:linePitch="360"/>
        </w:sectPr>
      </w:pPr>
    </w:p>
    <w:p w:rsidR="001E0E10" w:rsidRDefault="001E0E10" w:rsidP="001E0E10">
      <w:pPr>
        <w:pStyle w:val="Sinespaciado"/>
        <w:jc w:val="both"/>
        <w:rPr>
          <w:rFonts w:ascii="Times New Roman" w:hAnsi="Times New Roman" w:cs="Times New Roman"/>
        </w:rPr>
      </w:pPr>
      <w:r>
        <w:rPr>
          <w:rFonts w:ascii="Times New Roman" w:hAnsi="Times New Roman" w:cs="Times New Roman"/>
        </w:rPr>
        <w:lastRenderedPageBreak/>
        <w:t>Este mes, el FMI dio a conocer la nueva edición del informe sobre el panorama económico mundial, el que evidencia que los riesgos para la estabilidad se han incrementado  desde la revisión anterior, siendo las perspectivas de las economías avanzadas las que han sufrido mayor deterioro debido a la creciente incertidumbre y a los reveses sufridos en el crecimiento y la confianza; el descenso de los precios del petróleo y las materias primas ha mantenido elevados los riesgos en las economías de mercados emergentes, mientras que la mayor incertidumbre en torno a la transición del modelo de crecimiento de China ha aumentado los efectos hacia los mercados mundiales.  La proyección de base del crecimiento mundial en 2016 sería de 3.2%, 0.2 puntos porcentuales menor a lo previsto en enero 2016,  también se redujo la estimación en 0.2% para las economías emergentes, entre las que figuran Brasil, Rusia, China e India, para alcanzar el 4.0% en 2016 y para 2017 la reducción será de 0.4% para alcanzar el 4.6%.</w:t>
      </w:r>
    </w:p>
    <w:p w:rsidR="00393E59" w:rsidRPr="00087ADE" w:rsidRDefault="00393E59" w:rsidP="00393E59">
      <w:pPr>
        <w:pStyle w:val="Sinespaciado"/>
        <w:jc w:val="both"/>
        <w:rPr>
          <w:rFonts w:ascii="Times New Roman" w:hAnsi="Times New Roman" w:cs="Times New Roman"/>
        </w:rPr>
      </w:pPr>
    </w:p>
    <w:p w:rsidR="00087ADE" w:rsidRDefault="001E0E10" w:rsidP="001E0E10">
      <w:pPr>
        <w:pStyle w:val="Sinespaciado"/>
        <w:jc w:val="both"/>
        <w:rPr>
          <w:rFonts w:ascii="Times New Roman" w:hAnsi="Times New Roman" w:cs="Times New Roman"/>
        </w:rPr>
      </w:pPr>
      <w:r>
        <w:rPr>
          <w:rFonts w:ascii="Times New Roman" w:hAnsi="Times New Roman" w:cs="Times New Roman"/>
        </w:rPr>
        <w:t>L</w:t>
      </w:r>
      <w:r w:rsidRPr="00C458D0">
        <w:rPr>
          <w:rFonts w:ascii="Times New Roman" w:hAnsi="Times New Roman" w:cs="Times New Roman"/>
        </w:rPr>
        <w:t>a Oficina de Análisis del Gobierno de Estados Unidos publicó la primera estimación del PIB,</w:t>
      </w:r>
      <w:r>
        <w:rPr>
          <w:rFonts w:ascii="Times New Roman" w:hAnsi="Times New Roman" w:cs="Times New Roman"/>
        </w:rPr>
        <w:t xml:space="preserve"> correspondiente al primer trimestre</w:t>
      </w:r>
      <w:r w:rsidRPr="00C458D0">
        <w:rPr>
          <w:rFonts w:ascii="Times New Roman" w:hAnsi="Times New Roman" w:cs="Times New Roman"/>
        </w:rPr>
        <w:t xml:space="preserve"> </w:t>
      </w:r>
      <w:r>
        <w:rPr>
          <w:rFonts w:ascii="Times New Roman" w:hAnsi="Times New Roman" w:cs="Times New Roman"/>
        </w:rPr>
        <w:t>indicando</w:t>
      </w:r>
      <w:r w:rsidRPr="00C458D0">
        <w:rPr>
          <w:rFonts w:ascii="Times New Roman" w:hAnsi="Times New Roman" w:cs="Times New Roman"/>
        </w:rPr>
        <w:t xml:space="preserve"> que la economía experimentó un crecimiento anualizado del 0.5%, frente a la </w:t>
      </w:r>
      <w:r w:rsidRPr="00C458D0">
        <w:rPr>
          <w:rFonts w:ascii="Times New Roman" w:hAnsi="Times New Roman" w:cs="Times New Roman"/>
        </w:rPr>
        <w:lastRenderedPageBreak/>
        <w:t xml:space="preserve">expansión del 1.4% registrada en el cuarto trimestre de 2015.  La desaceleración del crecimiento del PIB refleja el mayor descenso de la inversión fija no residencial, desaceleración en el gasto de consumo personal, un descenso del gasto federal y un repunte de las importaciones.   </w:t>
      </w:r>
    </w:p>
    <w:p w:rsidR="00087ADE" w:rsidRDefault="00087ADE" w:rsidP="001E0E10">
      <w:pPr>
        <w:pStyle w:val="Sinespaciado"/>
        <w:jc w:val="both"/>
        <w:rPr>
          <w:rFonts w:ascii="Times New Roman" w:hAnsi="Times New Roman" w:cs="Times New Roman"/>
        </w:rPr>
      </w:pPr>
    </w:p>
    <w:p w:rsidR="001E0E10" w:rsidRPr="00C458D0" w:rsidRDefault="00784AF8" w:rsidP="001E0E10">
      <w:pPr>
        <w:pStyle w:val="Sinespaciado"/>
        <w:jc w:val="both"/>
        <w:rPr>
          <w:rFonts w:ascii="Times New Roman" w:hAnsi="Times New Roman" w:cs="Times New Roman"/>
        </w:rPr>
      </w:pPr>
      <w:r>
        <w:rPr>
          <w:rFonts w:ascii="Times New Roman" w:hAnsi="Times New Roman" w:cs="Times New Roman"/>
        </w:rPr>
        <w:t>L</w:t>
      </w:r>
      <w:r w:rsidR="001E0E10">
        <w:rPr>
          <w:rFonts w:ascii="Times New Roman" w:hAnsi="Times New Roman" w:cs="Times New Roman"/>
        </w:rPr>
        <w:t>a Reserva Federal mantuvo estables los tipos de interés, e</w:t>
      </w:r>
      <w:r w:rsidR="00087ADE">
        <w:rPr>
          <w:rFonts w:ascii="Times New Roman" w:hAnsi="Times New Roman" w:cs="Times New Roman"/>
        </w:rPr>
        <w:t>n el rango del 0.25% al 0.50%;</w:t>
      </w:r>
      <w:r w:rsidR="001E0E10">
        <w:rPr>
          <w:rFonts w:ascii="Times New Roman" w:hAnsi="Times New Roman" w:cs="Times New Roman"/>
        </w:rPr>
        <w:t xml:space="preserve"> a pesar de no expresar un alza en junio, tampoco mostró señales de tener prisa para endurecer la política monetaria en medio de una aparente desaceleración en la economía.  En el comunicado al concluir el encuentro de dos días, la Fed informó que el comité continúa monitoreando de cerca los indicadores de inflación y los acontecimientos globales económicos y financieros.</w:t>
      </w:r>
    </w:p>
    <w:p w:rsidR="00376802" w:rsidRPr="005B6D05" w:rsidRDefault="00376802" w:rsidP="00376802">
      <w:pPr>
        <w:pStyle w:val="Sinespaciado"/>
        <w:jc w:val="both"/>
        <w:rPr>
          <w:rFonts w:ascii="Times New Roman" w:hAnsi="Times New Roman" w:cs="Times New Roman"/>
          <w:color w:val="FF0000"/>
          <w:sz w:val="20"/>
        </w:rPr>
      </w:pPr>
    </w:p>
    <w:p w:rsidR="005B6D05" w:rsidRPr="00111B77" w:rsidRDefault="005B6D05" w:rsidP="005B6D05">
      <w:pPr>
        <w:pStyle w:val="Sinespaciado"/>
        <w:jc w:val="both"/>
        <w:rPr>
          <w:rFonts w:ascii="Times New Roman" w:hAnsi="Times New Roman"/>
          <w:szCs w:val="24"/>
        </w:rPr>
      </w:pPr>
      <w:r w:rsidRPr="005B6D05">
        <w:rPr>
          <w:rFonts w:ascii="Times New Roman" w:hAnsi="Times New Roman"/>
          <w:szCs w:val="24"/>
        </w:rPr>
        <w:t xml:space="preserve">La OCDE publicó en abril el resultado de su índice compuesto de indicadores líderes correspondiente a febrero, en el cual se constata que el crecimiento económico conjunto de países pertenecientes a dicha organización continúa perdiendo impulso; el indicador global disminuyó a 99.6 puntos en comparación al dato de enero de 99.7 puntos, cabe mencionar que el indicador fue diseñado para anticipar los puntos de inflexión en la </w:t>
      </w:r>
      <w:r w:rsidRPr="005B6D05">
        <w:rPr>
          <w:rFonts w:ascii="Times New Roman" w:hAnsi="Times New Roman"/>
          <w:szCs w:val="24"/>
        </w:rPr>
        <w:lastRenderedPageBreak/>
        <w:t xml:space="preserve">actividad económica.  A pesar de la disminución, el indicador muestra signos de estabilización en el crecimiento del conjunto de países de la eurozona, manteniéndose en 100.5 puntos, al igual que en las economías asiáticas; los datos de Estados unidos con 98.9 puntos, Reino Unido con 99.1, Japón con 99.5, Alemania con 99.7 e Italia con 100.7 puntos, se redujeron en una décima frente a los resultados de enero 2016.  En países emergentes como Brasil y Rusia </w:t>
      </w:r>
      <w:r w:rsidR="002E3F4C" w:rsidRPr="005B6D05">
        <w:rPr>
          <w:rFonts w:ascii="Times New Roman" w:hAnsi="Times New Roman"/>
          <w:szCs w:val="24"/>
        </w:rPr>
        <w:t>continúan</w:t>
      </w:r>
      <w:r w:rsidRPr="005B6D05">
        <w:rPr>
          <w:rFonts w:ascii="Times New Roman" w:hAnsi="Times New Roman"/>
          <w:szCs w:val="24"/>
        </w:rPr>
        <w:t xml:space="preserve"> perdiendo fuerza a pesar de que el indicador se mantiene en los 98.2 puntos y 97.7 puntos respectivamente.</w:t>
      </w:r>
    </w:p>
    <w:p w:rsidR="005B6D05" w:rsidRDefault="005B6D05" w:rsidP="00376802">
      <w:pPr>
        <w:pStyle w:val="Sinespaciado"/>
        <w:jc w:val="both"/>
        <w:rPr>
          <w:rFonts w:ascii="Times New Roman" w:hAnsi="Times New Roman" w:cs="Times New Roman"/>
          <w:color w:val="FF0000"/>
        </w:rPr>
      </w:pPr>
    </w:p>
    <w:p w:rsidR="001E0E10" w:rsidRPr="003A169C" w:rsidRDefault="001E0E10" w:rsidP="001E0E10">
      <w:pPr>
        <w:pStyle w:val="Prrafodelista"/>
        <w:ind w:left="0"/>
        <w:jc w:val="both"/>
        <w:rPr>
          <w:rFonts w:ascii="Times New Roman" w:hAnsi="Times New Roman" w:cs="Times New Roman"/>
          <w:lang w:val="es-MX"/>
        </w:rPr>
      </w:pPr>
      <w:r w:rsidRPr="003A169C">
        <w:rPr>
          <w:rFonts w:ascii="Times New Roman" w:hAnsi="Times New Roman" w:cs="Times New Roman"/>
          <w:lang w:val="es-MX"/>
        </w:rPr>
        <w:t>Entre lo más relevante en el ámbito nacional, se destaca el</w:t>
      </w:r>
      <w:r>
        <w:rPr>
          <w:rFonts w:ascii="Times New Roman" w:hAnsi="Times New Roman" w:cs="Times New Roman"/>
          <w:lang w:val="es-MX"/>
        </w:rPr>
        <w:t xml:space="preserve"> resultado del</w:t>
      </w:r>
      <w:r w:rsidRPr="003A169C">
        <w:rPr>
          <w:rFonts w:ascii="Times New Roman" w:hAnsi="Times New Roman" w:cs="Times New Roman"/>
          <w:lang w:val="es-MX"/>
        </w:rPr>
        <w:t xml:space="preserve"> informe presentado por el FMI, en el que sitúa en 4% su previsión de crecimiento para la economía guatemalteca para 2016, 3.9% para 2017 y 4% en 2021, en contraste con el 0.5% de decrecimiento que según la entidad experimentará América Latina y el Caribe durante el presente año; dicho resultado está</w:t>
      </w:r>
      <w:r>
        <w:rPr>
          <w:rFonts w:ascii="Times New Roman" w:hAnsi="Times New Roman" w:cs="Times New Roman"/>
          <w:lang w:val="es-MX"/>
        </w:rPr>
        <w:t xml:space="preserve"> muy cercano al rango</w:t>
      </w:r>
      <w:r w:rsidRPr="003A169C">
        <w:rPr>
          <w:rFonts w:ascii="Times New Roman" w:hAnsi="Times New Roman" w:cs="Times New Roman"/>
          <w:lang w:val="es-MX"/>
        </w:rPr>
        <w:t xml:space="preserve"> estimado por el Banco de Guatemala de entre 3.1% y 3.9%.  El desempeño de la economía nacional se atribuye a la recuperación que está experimentando Estados Unidos que figura como principal socio comercial, la baja en los precios de los combustibles, el ingreso de remesas familiares y el incremento en el crédito al sector privado.</w:t>
      </w:r>
    </w:p>
    <w:p w:rsidR="0042387A" w:rsidRPr="00CD7760" w:rsidRDefault="0042387A" w:rsidP="0042387A">
      <w:pPr>
        <w:spacing w:after="0" w:line="240" w:lineRule="auto"/>
        <w:jc w:val="both"/>
        <w:rPr>
          <w:rFonts w:ascii="Times New Roman" w:hAnsi="Times New Roman" w:cs="Times New Roman"/>
          <w:color w:val="FF0000"/>
          <w:lang w:val="es-MX"/>
        </w:rPr>
      </w:pPr>
    </w:p>
    <w:p w:rsidR="004E4FDE" w:rsidRPr="00160EAC" w:rsidRDefault="00160EAC" w:rsidP="004E4FDE">
      <w:pPr>
        <w:pStyle w:val="Sinespaciado"/>
        <w:jc w:val="both"/>
        <w:rPr>
          <w:rFonts w:ascii="Times New Roman" w:hAnsi="Times New Roman" w:cs="Times New Roman"/>
          <w:lang w:val="es-MX"/>
        </w:rPr>
      </w:pPr>
      <w:r w:rsidRPr="00160EAC">
        <w:rPr>
          <w:rFonts w:ascii="Times New Roman" w:hAnsi="Times New Roman" w:cs="Times New Roman"/>
          <w:lang w:val="es-MX"/>
        </w:rPr>
        <w:t>En abril</w:t>
      </w:r>
      <w:r w:rsidR="004E4FDE" w:rsidRPr="00160EAC">
        <w:rPr>
          <w:rFonts w:ascii="Times New Roman" w:hAnsi="Times New Roman" w:cs="Times New Roman"/>
          <w:lang w:val="es-MX"/>
        </w:rPr>
        <w:t xml:space="preserve"> 2016 </w:t>
      </w:r>
      <w:r w:rsidRPr="00160EAC">
        <w:rPr>
          <w:rFonts w:ascii="Times New Roman" w:hAnsi="Times New Roman" w:cs="Times New Roman"/>
          <w:lang w:val="es-MX"/>
        </w:rPr>
        <w:t xml:space="preserve">los niveles de inflación más importantes registran una variación intermensual de 0.17%, una variación interanual de 4.09% y una variación acumulada de 1.50%; </w:t>
      </w:r>
      <w:r w:rsidR="004E4FDE" w:rsidRPr="00160EAC">
        <w:rPr>
          <w:rFonts w:ascii="Times New Roman" w:hAnsi="Times New Roman" w:cs="Times New Roman"/>
          <w:lang w:val="es-MX"/>
        </w:rPr>
        <w:t xml:space="preserve">la variación interanual del IPC se encuentra muy cercana a la estimación del BANGUAT de </w:t>
      </w:r>
      <w:r w:rsidR="00C85696" w:rsidRPr="00160EAC">
        <w:rPr>
          <w:rFonts w:ascii="Times New Roman" w:hAnsi="Times New Roman" w:cs="Times New Roman"/>
          <w:lang w:val="es-MX"/>
        </w:rPr>
        <w:t>4.08</w:t>
      </w:r>
      <w:r w:rsidR="004E4FDE" w:rsidRPr="00160EAC">
        <w:rPr>
          <w:rFonts w:ascii="Times New Roman" w:hAnsi="Times New Roman" w:cs="Times New Roman"/>
          <w:lang w:val="es-MX"/>
        </w:rPr>
        <w:t xml:space="preserve">% para </w:t>
      </w:r>
      <w:r w:rsidR="004E4FDE" w:rsidRPr="00160EAC">
        <w:rPr>
          <w:rFonts w:ascii="Times New Roman" w:hAnsi="Times New Roman" w:cs="Times New Roman"/>
          <w:lang w:val="es-MX"/>
        </w:rPr>
        <w:lastRenderedPageBreak/>
        <w:t xml:space="preserve">final de año mostrada en su encuesta de expectativas, basada en el comportamiento de los combustibles, el desempeño de la política monetaria y fiscal y por la evolución de los precios de las materias primas.  </w:t>
      </w:r>
    </w:p>
    <w:p w:rsidR="00A970F8" w:rsidRPr="00CD7760" w:rsidRDefault="00A970F8" w:rsidP="004E4FDE">
      <w:pPr>
        <w:pStyle w:val="Sinespaciado"/>
        <w:jc w:val="both"/>
        <w:rPr>
          <w:rFonts w:ascii="Times New Roman" w:hAnsi="Times New Roman" w:cs="Times New Roman"/>
          <w:color w:val="FF0000"/>
          <w:lang w:val="es-MX"/>
        </w:rPr>
      </w:pPr>
    </w:p>
    <w:p w:rsidR="004E4FDE" w:rsidRPr="009B7148" w:rsidRDefault="004E4FDE" w:rsidP="004E4FDE">
      <w:pPr>
        <w:pStyle w:val="Sinespaciado"/>
        <w:jc w:val="center"/>
        <w:rPr>
          <w:rFonts w:ascii="Times New Roman" w:hAnsi="Times New Roman" w:cs="Times New Roman"/>
          <w:b/>
          <w:lang w:val="es-MX"/>
        </w:rPr>
      </w:pPr>
      <w:r w:rsidRPr="009B7148">
        <w:rPr>
          <w:rFonts w:ascii="Times New Roman" w:hAnsi="Times New Roman" w:cs="Times New Roman"/>
          <w:b/>
          <w:lang w:val="es-MX"/>
        </w:rPr>
        <w:t>Ritmo Inflacionario Total</w:t>
      </w:r>
    </w:p>
    <w:p w:rsidR="004E4FDE" w:rsidRPr="009B7148" w:rsidRDefault="009B7148" w:rsidP="004E4FDE">
      <w:pPr>
        <w:pStyle w:val="Sinespaciado"/>
        <w:jc w:val="center"/>
        <w:rPr>
          <w:rFonts w:ascii="Times New Roman" w:hAnsi="Times New Roman" w:cs="Times New Roman"/>
          <w:sz w:val="18"/>
          <w:lang w:val="es-MX"/>
        </w:rPr>
      </w:pPr>
      <w:r w:rsidRPr="009B7148">
        <w:rPr>
          <w:rFonts w:ascii="Times New Roman" w:hAnsi="Times New Roman" w:cs="Times New Roman"/>
          <w:sz w:val="18"/>
          <w:lang w:val="es-MX"/>
        </w:rPr>
        <w:t>Abril 2014</w:t>
      </w:r>
      <w:r w:rsidR="004E4FDE" w:rsidRPr="009B7148">
        <w:rPr>
          <w:rFonts w:ascii="Times New Roman" w:hAnsi="Times New Roman" w:cs="Times New Roman"/>
          <w:sz w:val="18"/>
          <w:lang w:val="es-MX"/>
        </w:rPr>
        <w:t xml:space="preserve"> - </w:t>
      </w:r>
      <w:r w:rsidR="009A12F9" w:rsidRPr="009B7148">
        <w:rPr>
          <w:rFonts w:ascii="Times New Roman" w:hAnsi="Times New Roman" w:cs="Times New Roman"/>
          <w:sz w:val="18"/>
          <w:lang w:val="es-MX"/>
        </w:rPr>
        <w:t>2016</w:t>
      </w:r>
      <w:r w:rsidR="004E4FDE" w:rsidRPr="009B7148">
        <w:rPr>
          <w:rFonts w:ascii="Times New Roman" w:hAnsi="Times New Roman" w:cs="Times New Roman"/>
          <w:sz w:val="18"/>
          <w:lang w:val="es-MX"/>
        </w:rPr>
        <w:t>, porcentaje</w:t>
      </w:r>
    </w:p>
    <w:p w:rsidR="004E4FDE" w:rsidRPr="009B7148" w:rsidRDefault="00160EAC" w:rsidP="004E4FDE">
      <w:pPr>
        <w:pStyle w:val="Sinespaciado"/>
        <w:jc w:val="center"/>
        <w:rPr>
          <w:rFonts w:ascii="Times New Roman" w:hAnsi="Times New Roman" w:cs="Times New Roman"/>
          <w:lang w:val="es-MX"/>
        </w:rPr>
      </w:pPr>
      <w:r w:rsidRPr="009B7148">
        <w:rPr>
          <w:noProof/>
          <w:lang w:eastAsia="es-GT"/>
        </w:rPr>
        <w:drawing>
          <wp:inline distT="0" distB="0" distL="0" distR="0" wp14:anchorId="16452321" wp14:editId="756156FE">
            <wp:extent cx="2581275" cy="1548765"/>
            <wp:effectExtent l="0" t="0" r="0" b="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E4FDE" w:rsidRPr="009B7148" w:rsidRDefault="004E4FDE" w:rsidP="004E4FDE">
      <w:pPr>
        <w:pStyle w:val="Sinespaciado"/>
        <w:jc w:val="both"/>
        <w:rPr>
          <w:rFonts w:ascii="Times New Roman" w:hAnsi="Times New Roman" w:cs="Times New Roman"/>
          <w:sz w:val="16"/>
        </w:rPr>
      </w:pPr>
      <w:r w:rsidRPr="009B7148">
        <w:rPr>
          <w:rFonts w:ascii="Times New Roman" w:hAnsi="Times New Roman" w:cs="Times New Roman"/>
          <w:sz w:val="16"/>
        </w:rPr>
        <w:t>Fuente: INE</w:t>
      </w:r>
    </w:p>
    <w:p w:rsidR="004E4FDE" w:rsidRPr="00CD7760" w:rsidRDefault="004E4FDE" w:rsidP="004E4FDE">
      <w:pPr>
        <w:pStyle w:val="Sinespaciado"/>
        <w:jc w:val="both"/>
        <w:rPr>
          <w:rFonts w:ascii="Times New Roman" w:hAnsi="Times New Roman" w:cs="Times New Roman"/>
          <w:color w:val="FF0000"/>
        </w:rPr>
      </w:pPr>
    </w:p>
    <w:p w:rsidR="004E4FDE" w:rsidRPr="002101C9" w:rsidRDefault="004E4FDE" w:rsidP="004E4FDE">
      <w:pPr>
        <w:pStyle w:val="Sinespaciado"/>
        <w:jc w:val="both"/>
        <w:rPr>
          <w:rFonts w:ascii="Times New Roman" w:hAnsi="Times New Roman" w:cs="Times New Roman"/>
          <w:lang w:val="es-MX"/>
        </w:rPr>
      </w:pPr>
      <w:r w:rsidRPr="002101C9">
        <w:rPr>
          <w:rFonts w:ascii="Times New Roman" w:hAnsi="Times New Roman" w:cs="Times New Roman"/>
        </w:rPr>
        <w:t xml:space="preserve">El costo de adquisición de la Canasta Básica Alimentaria </w:t>
      </w:r>
      <w:r w:rsidR="002101C9" w:rsidRPr="002101C9">
        <w:rPr>
          <w:rFonts w:ascii="Times New Roman" w:hAnsi="Times New Roman" w:cs="Times New Roman"/>
        </w:rPr>
        <w:t>aumentó</w:t>
      </w:r>
      <w:r w:rsidRPr="002101C9">
        <w:rPr>
          <w:rFonts w:ascii="Times New Roman" w:hAnsi="Times New Roman" w:cs="Times New Roman"/>
        </w:rPr>
        <w:t xml:space="preserve"> Q </w:t>
      </w:r>
      <w:r w:rsidR="002101C9" w:rsidRPr="002101C9">
        <w:rPr>
          <w:rFonts w:ascii="Times New Roman" w:hAnsi="Times New Roman" w:cs="Times New Roman"/>
        </w:rPr>
        <w:t>28</w:t>
      </w:r>
      <w:r w:rsidRPr="002101C9">
        <w:rPr>
          <w:rFonts w:ascii="Times New Roman" w:hAnsi="Times New Roman" w:cs="Times New Roman"/>
        </w:rPr>
        <w:t>.</w:t>
      </w:r>
      <w:r w:rsidR="002101C9" w:rsidRPr="002101C9">
        <w:rPr>
          <w:rFonts w:ascii="Times New Roman" w:hAnsi="Times New Roman" w:cs="Times New Roman"/>
        </w:rPr>
        <w:t>9</w:t>
      </w:r>
      <w:r w:rsidR="00C85696" w:rsidRPr="002101C9">
        <w:rPr>
          <w:rFonts w:ascii="Times New Roman" w:hAnsi="Times New Roman" w:cs="Times New Roman"/>
        </w:rPr>
        <w:t>8</w:t>
      </w:r>
      <w:r w:rsidRPr="002101C9">
        <w:rPr>
          <w:rFonts w:ascii="Times New Roman" w:hAnsi="Times New Roman" w:cs="Times New Roman"/>
        </w:rPr>
        <w:t xml:space="preserve"> con relación al registrado el mes anterior y respecto al </w:t>
      </w:r>
      <w:r w:rsidR="002101C9" w:rsidRPr="002101C9">
        <w:rPr>
          <w:rFonts w:ascii="Times New Roman" w:hAnsi="Times New Roman" w:cs="Times New Roman"/>
        </w:rPr>
        <w:t>año anterior se incrementó Q 382.41</w:t>
      </w:r>
      <w:r w:rsidRPr="002101C9">
        <w:rPr>
          <w:rFonts w:ascii="Times New Roman" w:hAnsi="Times New Roman" w:cs="Times New Roman"/>
        </w:rPr>
        <w:t xml:space="preserve">.  El costo de adquisición de la Canasta Básica Vital también </w:t>
      </w:r>
      <w:r w:rsidR="002101C9" w:rsidRPr="002101C9">
        <w:rPr>
          <w:rFonts w:ascii="Times New Roman" w:hAnsi="Times New Roman" w:cs="Times New Roman"/>
        </w:rPr>
        <w:t>aumentó Q 52.88</w:t>
      </w:r>
      <w:r w:rsidRPr="002101C9">
        <w:rPr>
          <w:rFonts w:ascii="Times New Roman" w:hAnsi="Times New Roman" w:cs="Times New Roman"/>
        </w:rPr>
        <w:t xml:space="preserve"> con relaci</w:t>
      </w:r>
      <w:r w:rsidR="002101C9" w:rsidRPr="002101C9">
        <w:rPr>
          <w:rFonts w:ascii="Times New Roman" w:hAnsi="Times New Roman" w:cs="Times New Roman"/>
        </w:rPr>
        <w:t>ón al mes anterior y respecto a abril</w:t>
      </w:r>
      <w:r w:rsidR="00C85696" w:rsidRPr="002101C9">
        <w:rPr>
          <w:rFonts w:ascii="Times New Roman" w:hAnsi="Times New Roman" w:cs="Times New Roman"/>
        </w:rPr>
        <w:t xml:space="preserve"> 2015</w:t>
      </w:r>
      <w:r w:rsidRPr="002101C9">
        <w:rPr>
          <w:rFonts w:ascii="Times New Roman" w:hAnsi="Times New Roman" w:cs="Times New Roman"/>
        </w:rPr>
        <w:t xml:space="preserve"> se </w:t>
      </w:r>
      <w:r w:rsidR="002101C9" w:rsidRPr="002101C9">
        <w:rPr>
          <w:rFonts w:ascii="Times New Roman" w:hAnsi="Times New Roman" w:cs="Times New Roman"/>
        </w:rPr>
        <w:t xml:space="preserve">incrementó </w:t>
      </w:r>
      <w:r w:rsidR="00E85066">
        <w:rPr>
          <w:rFonts w:ascii="Times New Roman" w:hAnsi="Times New Roman" w:cs="Times New Roman"/>
        </w:rPr>
        <w:t xml:space="preserve">                  </w:t>
      </w:r>
      <w:bookmarkStart w:id="0" w:name="_GoBack"/>
      <w:bookmarkEnd w:id="0"/>
      <w:r w:rsidR="002101C9" w:rsidRPr="002101C9">
        <w:rPr>
          <w:rFonts w:ascii="Times New Roman" w:hAnsi="Times New Roman" w:cs="Times New Roman"/>
        </w:rPr>
        <w:t>Q 697.82</w:t>
      </w:r>
      <w:r w:rsidRPr="002101C9">
        <w:rPr>
          <w:rFonts w:ascii="Times New Roman" w:hAnsi="Times New Roman" w:cs="Times New Roman"/>
        </w:rPr>
        <w:t xml:space="preserve">.  </w:t>
      </w:r>
    </w:p>
    <w:p w:rsidR="004E4FDE" w:rsidRPr="00CD7760" w:rsidRDefault="004E4FDE" w:rsidP="004E4FDE">
      <w:pPr>
        <w:pStyle w:val="Sinespaciado"/>
        <w:jc w:val="both"/>
        <w:rPr>
          <w:color w:val="FF0000"/>
          <w:lang w:val="es-MX"/>
        </w:rPr>
      </w:pPr>
    </w:p>
    <w:p w:rsidR="00D40769" w:rsidRPr="00D40769" w:rsidRDefault="00D40769" w:rsidP="00D40769">
      <w:pPr>
        <w:spacing w:after="0" w:line="240" w:lineRule="auto"/>
        <w:jc w:val="both"/>
        <w:rPr>
          <w:rFonts w:ascii="Times New Roman" w:hAnsi="Times New Roman" w:cs="Times New Roman"/>
          <w:lang w:val="es-MX"/>
        </w:rPr>
      </w:pPr>
      <w:r w:rsidRPr="00D40769">
        <w:rPr>
          <w:rFonts w:ascii="Times New Roman" w:hAnsi="Times New Roman" w:cs="Times New Roman"/>
          <w:lang w:val="es-MX"/>
        </w:rPr>
        <w:t>La Junta Monetaria decidió mantener en 3.0% la tasa de interés líder de política monetaria, tomando en cuenta los riesgos que enfrenta la actividad económica a nivel mundial, los precios internacionales observados y proyectados  de las materias primas que afectan la inflación interna, así como el comportamiento de la actividad económica interna, el aumento en las remesas familiares y el crédito bancario al sector privado.</w:t>
      </w:r>
    </w:p>
    <w:p w:rsidR="004E4FDE" w:rsidRPr="00CD7760" w:rsidRDefault="004E4FDE" w:rsidP="00D40769">
      <w:pPr>
        <w:pStyle w:val="Sinespaciado"/>
        <w:jc w:val="both"/>
        <w:rPr>
          <w:rFonts w:ascii="Times New Roman" w:hAnsi="Times New Roman" w:cs="Times New Roman"/>
          <w:color w:val="FF0000"/>
          <w:lang w:val="es-MX"/>
        </w:rPr>
      </w:pPr>
    </w:p>
    <w:p w:rsidR="004E4FDE" w:rsidRPr="00CD7760" w:rsidRDefault="004E4FDE" w:rsidP="0042387A">
      <w:pPr>
        <w:rPr>
          <w:color w:val="FF0000"/>
          <w:lang w:val="es-MX"/>
        </w:rPr>
        <w:sectPr w:rsidR="004E4FDE" w:rsidRPr="00CD7760" w:rsidSect="001F5210">
          <w:type w:val="continuous"/>
          <w:pgSz w:w="12240" w:h="15840"/>
          <w:pgMar w:top="1417" w:right="1701" w:bottom="1417" w:left="1701" w:header="708" w:footer="708" w:gutter="0"/>
          <w:cols w:num="2" w:space="708"/>
          <w:docGrid w:linePitch="360"/>
        </w:sectPr>
      </w:pPr>
    </w:p>
    <w:p w:rsidR="0042387A" w:rsidRPr="00CD7760" w:rsidRDefault="0042387A" w:rsidP="0042387A">
      <w:pPr>
        <w:spacing w:after="0" w:line="240" w:lineRule="auto"/>
        <w:rPr>
          <w:rFonts w:ascii="Times New Roman" w:hAnsi="Times New Roman" w:cs="Times New Roman"/>
          <w:color w:val="FF0000"/>
          <w:lang w:val="es-MX"/>
        </w:rPr>
      </w:pPr>
    </w:p>
    <w:sectPr w:rsidR="0042387A" w:rsidRPr="00CD7760" w:rsidSect="007D4651">
      <w:type w:val="continuous"/>
      <w:pgSz w:w="12240" w:h="15840" w:code="1"/>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BC4" w:rsidRDefault="00702BC4" w:rsidP="007D4651">
      <w:pPr>
        <w:spacing w:after="0" w:line="240" w:lineRule="auto"/>
      </w:pPr>
      <w:r>
        <w:separator/>
      </w:r>
    </w:p>
  </w:endnote>
  <w:endnote w:type="continuationSeparator" w:id="0">
    <w:p w:rsidR="00702BC4" w:rsidRDefault="00702BC4" w:rsidP="007D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89789790"/>
      <w:docPartObj>
        <w:docPartGallery w:val="Page Numbers (Bottom of Page)"/>
        <w:docPartUnique/>
      </w:docPartObj>
    </w:sdtPr>
    <w:sdtContent>
      <w:p w:rsidR="007D4651" w:rsidRDefault="007D4651">
        <w:pPr>
          <w:pStyle w:val="Piedepgina"/>
          <w:jc w:val="right"/>
          <w:rPr>
            <w:lang w:val="es-ES"/>
          </w:rPr>
        </w:pPr>
      </w:p>
      <w:p w:rsidR="007D4651" w:rsidRDefault="007D4651"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63360" behindDoc="0" locked="0" layoutInCell="1" allowOverlap="1" wp14:anchorId="5A89975F" wp14:editId="6B80F7F1">
                  <wp:simplePos x="0" y="0"/>
                  <wp:positionH relativeFrom="column">
                    <wp:posOffset>1776669</wp:posOffset>
                  </wp:positionH>
                  <wp:positionV relativeFrom="paragraph">
                    <wp:posOffset>70516</wp:posOffset>
                  </wp:positionV>
                  <wp:extent cx="5155565" cy="45719"/>
                  <wp:effectExtent l="38100" t="38100" r="64135" b="88265"/>
                  <wp:wrapNone/>
                  <wp:docPr id="3" name="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CA6B0B" id="3 Rectángulo" o:spid="_x0000_s1026" style="position:absolute;margin-left:139.9pt;margin-top:5.55pt;width:405.95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rtYPAMAAKU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7D4651" w:rsidRDefault="007D4651">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E85066" w:rsidRPr="00E85066">
          <w:rPr>
            <w:rFonts w:ascii="Times New Roman" w:hAnsi="Times New Roman" w:cs="Times New Roman"/>
            <w:b/>
            <w:noProof/>
            <w:color w:val="1F497D" w:themeColor="text2"/>
            <w:lang w:val="es-ES"/>
          </w:rPr>
          <w:t>1</w:t>
        </w:r>
        <w:r w:rsidRPr="007D4651">
          <w:rPr>
            <w:rFonts w:ascii="Times New Roman" w:hAnsi="Times New Roman" w:cs="Times New Roman"/>
            <w:b/>
            <w:color w:val="1F497D" w:themeColor="text2"/>
          </w:rPr>
          <w:fldChar w:fldCharType="end"/>
        </w:r>
        <w:r>
          <w:rPr>
            <w:lang w:val="es-ES"/>
          </w:rPr>
          <w:t xml:space="preserve"> </w:t>
        </w:r>
      </w:p>
    </w:sdtContent>
  </w:sdt>
  <w:p w:rsidR="007D4651" w:rsidRDefault="007D4651" w:rsidP="007D4651">
    <w:pPr>
      <w:pStyle w:val="Piedepgina"/>
      <w:tabs>
        <w:tab w:val="clear" w:pos="4419"/>
        <w:tab w:val="clear" w:pos="8838"/>
        <w:tab w:val="left" w:pos="5777"/>
      </w:tabs>
    </w:pPr>
  </w:p>
  <w:p w:rsidR="0066791B" w:rsidRDefault="0066791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59405431"/>
      <w:docPartObj>
        <w:docPartGallery w:val="Page Numbers (Bottom of Page)"/>
        <w:docPartUnique/>
      </w:docPartObj>
    </w:sdtPr>
    <w:sdtContent>
      <w:p w:rsidR="00E16925" w:rsidRDefault="00E16925">
        <w:pPr>
          <w:pStyle w:val="Piedepgina"/>
          <w:jc w:val="right"/>
          <w:rPr>
            <w:lang w:val="es-ES"/>
          </w:rPr>
        </w:pPr>
      </w:p>
      <w:p w:rsidR="00E16925" w:rsidRDefault="00E16925"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67456" behindDoc="0" locked="0" layoutInCell="1" allowOverlap="1" wp14:anchorId="3E2F7807" wp14:editId="3E1C73BE">
                  <wp:simplePos x="0" y="0"/>
                  <wp:positionH relativeFrom="column">
                    <wp:posOffset>1776669</wp:posOffset>
                  </wp:positionH>
                  <wp:positionV relativeFrom="paragraph">
                    <wp:posOffset>70516</wp:posOffset>
                  </wp:positionV>
                  <wp:extent cx="5155565" cy="45719"/>
                  <wp:effectExtent l="38100" t="38100" r="64135" b="88265"/>
                  <wp:wrapNone/>
                  <wp:docPr id="8" name="8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CB85B0" id="8 Rectángulo" o:spid="_x0000_s1026" style="position:absolute;margin-left:139.9pt;margin-top:5.55pt;width:405.95pt;height:3.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E16925" w:rsidRDefault="00E16925">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E85066" w:rsidRPr="00E85066">
          <w:rPr>
            <w:rFonts w:ascii="Times New Roman" w:hAnsi="Times New Roman" w:cs="Times New Roman"/>
            <w:b/>
            <w:noProof/>
            <w:color w:val="1F497D" w:themeColor="text2"/>
            <w:lang w:val="es-ES"/>
          </w:rPr>
          <w:t>2</w:t>
        </w:r>
        <w:r w:rsidRPr="007D4651">
          <w:rPr>
            <w:rFonts w:ascii="Times New Roman" w:hAnsi="Times New Roman" w:cs="Times New Roman"/>
            <w:b/>
            <w:color w:val="1F497D" w:themeColor="text2"/>
          </w:rPr>
          <w:fldChar w:fldCharType="end"/>
        </w:r>
        <w:r>
          <w:rPr>
            <w:lang w:val="es-ES"/>
          </w:rPr>
          <w:t xml:space="preserve"> </w:t>
        </w:r>
      </w:p>
    </w:sdtContent>
  </w:sdt>
  <w:p w:rsidR="00E16925" w:rsidRDefault="00E16925" w:rsidP="007D4651">
    <w:pPr>
      <w:pStyle w:val="Piedepgina"/>
      <w:tabs>
        <w:tab w:val="clear" w:pos="4419"/>
        <w:tab w:val="clear" w:pos="8838"/>
        <w:tab w:val="left" w:pos="5777"/>
      </w:tabs>
    </w:pPr>
  </w:p>
  <w:p w:rsidR="00E16925" w:rsidRDefault="00E16925"/>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458232133"/>
      <w:docPartObj>
        <w:docPartGallery w:val="Page Numbers (Bottom of Page)"/>
        <w:docPartUnique/>
      </w:docPartObj>
    </w:sdtPr>
    <w:sdtContent>
      <w:p w:rsidR="00FA3B81" w:rsidRDefault="00FA3B81">
        <w:pPr>
          <w:pStyle w:val="Piedepgina"/>
          <w:jc w:val="right"/>
          <w:rPr>
            <w:lang w:val="es-ES"/>
          </w:rPr>
        </w:pPr>
      </w:p>
      <w:p w:rsidR="00FA3B81" w:rsidRDefault="00FA3B81"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1552" behindDoc="0" locked="0" layoutInCell="1" allowOverlap="1" wp14:anchorId="09645003" wp14:editId="685E2987">
                  <wp:simplePos x="0" y="0"/>
                  <wp:positionH relativeFrom="column">
                    <wp:posOffset>1776669</wp:posOffset>
                  </wp:positionH>
                  <wp:positionV relativeFrom="paragraph">
                    <wp:posOffset>70516</wp:posOffset>
                  </wp:positionV>
                  <wp:extent cx="5155565" cy="45719"/>
                  <wp:effectExtent l="38100" t="38100" r="64135" b="88265"/>
                  <wp:wrapNone/>
                  <wp:docPr id="16" name="1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4C472F" id="16 Rectángulo" o:spid="_x0000_s1026" style="position:absolute;margin-left:139.9pt;margin-top:5.55pt;width:405.95pt;height:3.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FA3B81" w:rsidRDefault="00FA3B81">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E85066" w:rsidRPr="00E85066">
          <w:rPr>
            <w:rFonts w:ascii="Times New Roman" w:hAnsi="Times New Roman" w:cs="Times New Roman"/>
            <w:b/>
            <w:noProof/>
            <w:color w:val="1F497D" w:themeColor="text2"/>
            <w:lang w:val="es-ES"/>
          </w:rPr>
          <w:t>5</w:t>
        </w:r>
        <w:r w:rsidRPr="007D4651">
          <w:rPr>
            <w:rFonts w:ascii="Times New Roman" w:hAnsi="Times New Roman" w:cs="Times New Roman"/>
            <w:b/>
            <w:color w:val="1F497D" w:themeColor="text2"/>
          </w:rPr>
          <w:fldChar w:fldCharType="end"/>
        </w:r>
        <w:r>
          <w:rPr>
            <w:lang w:val="es-ES"/>
          </w:rPr>
          <w:t xml:space="preserve"> </w:t>
        </w:r>
      </w:p>
    </w:sdtContent>
  </w:sdt>
  <w:p w:rsidR="00FA3B81" w:rsidRDefault="00FA3B81" w:rsidP="007D4651">
    <w:pPr>
      <w:pStyle w:val="Piedepgina"/>
      <w:tabs>
        <w:tab w:val="clear" w:pos="4419"/>
        <w:tab w:val="clear" w:pos="8838"/>
        <w:tab w:val="left" w:pos="5777"/>
      </w:tabs>
    </w:pPr>
  </w:p>
  <w:p w:rsidR="00FA3B81" w:rsidRDefault="00FA3B81"/>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520901799"/>
      <w:docPartObj>
        <w:docPartGallery w:val="Page Numbers (Bottom of Page)"/>
        <w:docPartUnique/>
      </w:docPartObj>
    </w:sdtPr>
    <w:sdtContent>
      <w:p w:rsidR="00F76491" w:rsidRDefault="00F76491">
        <w:pPr>
          <w:pStyle w:val="Piedepgina"/>
          <w:jc w:val="right"/>
          <w:rPr>
            <w:lang w:val="es-ES"/>
          </w:rPr>
        </w:pPr>
      </w:p>
      <w:p w:rsidR="00F76491" w:rsidRDefault="00F76491"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5648" behindDoc="0" locked="0" layoutInCell="1" allowOverlap="1" wp14:anchorId="1EC39D4C" wp14:editId="5176234E">
                  <wp:simplePos x="0" y="0"/>
                  <wp:positionH relativeFrom="column">
                    <wp:posOffset>1776669</wp:posOffset>
                  </wp:positionH>
                  <wp:positionV relativeFrom="paragraph">
                    <wp:posOffset>70516</wp:posOffset>
                  </wp:positionV>
                  <wp:extent cx="5155565" cy="45719"/>
                  <wp:effectExtent l="38100" t="38100" r="64135" b="88265"/>
                  <wp:wrapNone/>
                  <wp:docPr id="23" name="2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9710A5" id="23 Rectángulo" o:spid="_x0000_s1026" style="position:absolute;margin-left:139.9pt;margin-top:5.55pt;width:405.95pt;height:3.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KePgMAAKc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YItCnj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F76491" w:rsidRDefault="00F76491">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E85066" w:rsidRPr="00E85066">
          <w:rPr>
            <w:rFonts w:ascii="Times New Roman" w:hAnsi="Times New Roman" w:cs="Times New Roman"/>
            <w:b/>
            <w:noProof/>
            <w:color w:val="1F497D" w:themeColor="text2"/>
            <w:lang w:val="es-ES"/>
          </w:rPr>
          <w:t>6</w:t>
        </w:r>
        <w:r w:rsidRPr="007D4651">
          <w:rPr>
            <w:rFonts w:ascii="Times New Roman" w:hAnsi="Times New Roman" w:cs="Times New Roman"/>
            <w:b/>
            <w:color w:val="1F497D" w:themeColor="text2"/>
          </w:rPr>
          <w:fldChar w:fldCharType="end"/>
        </w:r>
        <w:r>
          <w:rPr>
            <w:lang w:val="es-ES"/>
          </w:rPr>
          <w:t xml:space="preserve"> </w:t>
        </w:r>
      </w:p>
    </w:sdtContent>
  </w:sdt>
  <w:p w:rsidR="00F76491" w:rsidRDefault="00F76491" w:rsidP="007D4651">
    <w:pPr>
      <w:pStyle w:val="Piedepgina"/>
      <w:tabs>
        <w:tab w:val="clear" w:pos="4419"/>
        <w:tab w:val="clear" w:pos="8838"/>
        <w:tab w:val="left" w:pos="5777"/>
      </w:tabs>
    </w:pPr>
  </w:p>
  <w:p w:rsidR="00F76491" w:rsidRDefault="00F76491"/>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650588095"/>
      <w:docPartObj>
        <w:docPartGallery w:val="Page Numbers (Bottom of Page)"/>
        <w:docPartUnique/>
      </w:docPartObj>
    </w:sdtPr>
    <w:sdtContent>
      <w:p w:rsidR="00494D1D" w:rsidRDefault="00494D1D">
        <w:pPr>
          <w:pStyle w:val="Piedepgina"/>
          <w:jc w:val="right"/>
          <w:rPr>
            <w:lang w:val="es-ES"/>
          </w:rPr>
        </w:pPr>
      </w:p>
      <w:p w:rsidR="00494D1D" w:rsidRDefault="00494D1D"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9744" behindDoc="0" locked="0" layoutInCell="1" allowOverlap="1" wp14:anchorId="3D1DE635" wp14:editId="3F154C95">
                  <wp:simplePos x="0" y="0"/>
                  <wp:positionH relativeFrom="column">
                    <wp:posOffset>1776669</wp:posOffset>
                  </wp:positionH>
                  <wp:positionV relativeFrom="paragraph">
                    <wp:posOffset>70516</wp:posOffset>
                  </wp:positionV>
                  <wp:extent cx="5155565" cy="45719"/>
                  <wp:effectExtent l="38100" t="38100" r="64135" b="88265"/>
                  <wp:wrapNone/>
                  <wp:docPr id="26" name="2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4FC093" id="26 Rectángulo" o:spid="_x0000_s1026" style="position:absolute;margin-left:139.9pt;margin-top:5.55pt;width:405.95pt;height:3.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LgM0AD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494D1D" w:rsidRDefault="00494D1D">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E85066" w:rsidRPr="00E85066">
          <w:rPr>
            <w:rFonts w:ascii="Times New Roman" w:hAnsi="Times New Roman" w:cs="Times New Roman"/>
            <w:b/>
            <w:noProof/>
            <w:color w:val="1F497D" w:themeColor="text2"/>
            <w:lang w:val="es-ES"/>
          </w:rPr>
          <w:t>7</w:t>
        </w:r>
        <w:r w:rsidRPr="007D4651">
          <w:rPr>
            <w:rFonts w:ascii="Times New Roman" w:hAnsi="Times New Roman" w:cs="Times New Roman"/>
            <w:b/>
            <w:color w:val="1F497D" w:themeColor="text2"/>
          </w:rPr>
          <w:fldChar w:fldCharType="end"/>
        </w:r>
        <w:r>
          <w:rPr>
            <w:lang w:val="es-ES"/>
          </w:rPr>
          <w:t xml:space="preserve"> </w:t>
        </w:r>
      </w:p>
    </w:sdtContent>
  </w:sdt>
  <w:p w:rsidR="00494D1D" w:rsidRDefault="00494D1D" w:rsidP="007D4651">
    <w:pPr>
      <w:pStyle w:val="Piedepgina"/>
      <w:tabs>
        <w:tab w:val="clear" w:pos="4419"/>
        <w:tab w:val="clear" w:pos="8838"/>
        <w:tab w:val="left" w:pos="5777"/>
      </w:tabs>
    </w:pPr>
  </w:p>
  <w:p w:rsidR="00494D1D" w:rsidRDefault="00494D1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BC4" w:rsidRDefault="00702BC4" w:rsidP="007D4651">
      <w:pPr>
        <w:spacing w:after="0" w:line="240" w:lineRule="auto"/>
      </w:pPr>
      <w:r>
        <w:separator/>
      </w:r>
    </w:p>
  </w:footnote>
  <w:footnote w:type="continuationSeparator" w:id="0">
    <w:p w:rsidR="00702BC4" w:rsidRDefault="00702BC4" w:rsidP="007D4651">
      <w:pPr>
        <w:spacing w:after="0" w:line="240" w:lineRule="auto"/>
      </w:pPr>
      <w:r>
        <w:continuationSeparator/>
      </w:r>
    </w:p>
  </w:footnote>
  <w:footnote w:id="1">
    <w:p w:rsidR="00C33674" w:rsidRPr="00782B4D" w:rsidRDefault="00C33674" w:rsidP="00C33674">
      <w:pPr>
        <w:pStyle w:val="Sinespaciado"/>
        <w:jc w:val="both"/>
        <w:rPr>
          <w:rFonts w:ascii="Times New Roman" w:hAnsi="Times New Roman" w:cs="Times New Roman"/>
          <w:sz w:val="18"/>
          <w:szCs w:val="16"/>
          <w:lang w:val="es-MX"/>
        </w:rPr>
      </w:pPr>
      <w:r>
        <w:rPr>
          <w:rStyle w:val="Refdenotaalpie"/>
        </w:rPr>
        <w:footnoteRef/>
      </w:r>
      <w:r>
        <w:t xml:space="preserve"> </w:t>
      </w:r>
      <w:r w:rsidRPr="00782B4D">
        <w:rPr>
          <w:rFonts w:ascii="Times New Roman" w:hAnsi="Times New Roman" w:cs="Times New Roman"/>
          <w:sz w:val="18"/>
          <w:szCs w:val="16"/>
        </w:rPr>
        <w:t xml:space="preserve">Los renglones de gasto que integran este componente considerado como superfluo son: </w:t>
      </w:r>
      <w:r w:rsidRPr="00782B4D">
        <w:rPr>
          <w:rFonts w:ascii="Times New Roman" w:hAnsi="Times New Roman" w:cs="Times New Roman"/>
          <w:sz w:val="18"/>
          <w:szCs w:val="16"/>
          <w:lang w:val="es-MX"/>
        </w:rPr>
        <w:t>Divulgación de información (121), Viáticos (131,132,133,134 y 135), Transporte de personas (141), Combustibles y lubricantes (262),Útiles de oficina (291),Otros materiales y suministros (299), Equipo de oficina (322), Equipo de transporte (325), Equipo de cómputo (328), Alimentos para personas (211)</w:t>
      </w:r>
    </w:p>
    <w:p w:rsidR="00C33674" w:rsidRDefault="00C33674" w:rsidP="00C33674">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651" w:rsidRPr="007D4651" w:rsidRDefault="007D4651"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61312" behindDoc="1" locked="0" layoutInCell="1" allowOverlap="1" wp14:anchorId="7FB21B50" wp14:editId="6ECED3E8">
          <wp:simplePos x="0" y="0"/>
          <wp:positionH relativeFrom="column">
            <wp:posOffset>-89849</wp:posOffset>
          </wp:positionH>
          <wp:positionV relativeFrom="paragraph">
            <wp:posOffset>-163027</wp:posOffset>
          </wp:positionV>
          <wp:extent cx="1697990" cy="914400"/>
          <wp:effectExtent l="0" t="0" r="0" b="0"/>
          <wp:wrapNone/>
          <wp:docPr id="5" name="Imagen 5"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7D4651" w:rsidRPr="007D4651" w:rsidRDefault="00CD7760"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Abril</w:t>
    </w:r>
    <w:r w:rsidR="007D4651" w:rsidRPr="007D4651">
      <w:rPr>
        <w:rFonts w:ascii="Times New Roman" w:hAnsi="Times New Roman" w:cs="Times New Roman"/>
        <w:color w:val="1F497D" w:themeColor="text2"/>
        <w:lang w:val="es-MX"/>
      </w:rPr>
      <w:t xml:space="preserve"> 2016</w:t>
    </w:r>
  </w:p>
  <w:p w:rsidR="007D4651" w:rsidRDefault="007D4651"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59264" behindDoc="0" locked="0" layoutInCell="1" allowOverlap="1" wp14:anchorId="0FA45143" wp14:editId="2DCE330F">
              <wp:simplePos x="0" y="0"/>
              <wp:positionH relativeFrom="column">
                <wp:posOffset>1710568</wp:posOffset>
              </wp:positionH>
              <wp:positionV relativeFrom="paragraph">
                <wp:posOffset>29118</wp:posOffset>
              </wp:positionV>
              <wp:extent cx="5155894" cy="45719"/>
              <wp:effectExtent l="38100" t="38100" r="64135" b="88265"/>
              <wp:wrapNone/>
              <wp:docPr id="1" name="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9CA4CA" id="1 Rectángulo" o:spid="_x0000_s1026" style="position:absolute;margin-left:134.7pt;margin-top:2.3pt;width:40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66791B" w:rsidRDefault="007D4651" w:rsidP="00E16925">
    <w:pPr>
      <w:pStyle w:val="Encabezado"/>
      <w:rPr>
        <w:rFonts w:ascii="Times New Roman" w:hAnsi="Times New Roman" w:cs="Times New Roman"/>
        <w:lang w:val="es-MX"/>
      </w:rPr>
    </w:pPr>
    <w:r>
      <w:rPr>
        <w:rFonts w:ascii="Times New Roman" w:hAnsi="Times New Roman" w:cs="Times New Roman"/>
        <w:lang w:val="es-MX"/>
      </w:rPr>
      <w:tab/>
      <w:t>Dirección de Análisis y Política Fiscal</w:t>
    </w:r>
  </w:p>
  <w:p w:rsidR="00E16925" w:rsidRPr="00E16925" w:rsidRDefault="00E16925" w:rsidP="00E16925">
    <w:pPr>
      <w:pStyle w:val="Encabezado"/>
      <w:rPr>
        <w:rFonts w:ascii="Times New Roman" w:hAnsi="Times New Roman" w:cs="Times New Roman"/>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925" w:rsidRPr="007D4651" w:rsidRDefault="00E16925"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66432" behindDoc="1" locked="0" layoutInCell="1" allowOverlap="1" wp14:anchorId="18984466" wp14:editId="2484BFF8">
          <wp:simplePos x="0" y="0"/>
          <wp:positionH relativeFrom="column">
            <wp:posOffset>-89849</wp:posOffset>
          </wp:positionH>
          <wp:positionV relativeFrom="paragraph">
            <wp:posOffset>-163027</wp:posOffset>
          </wp:positionV>
          <wp:extent cx="1697990" cy="914400"/>
          <wp:effectExtent l="0" t="0" r="0" b="0"/>
          <wp:wrapNone/>
          <wp:docPr id="9" name="Imagen 9"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E16925" w:rsidRPr="007D4651" w:rsidRDefault="00CD7760"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Abril</w:t>
    </w:r>
    <w:r w:rsidR="00E16925" w:rsidRPr="007D4651">
      <w:rPr>
        <w:rFonts w:ascii="Times New Roman" w:hAnsi="Times New Roman" w:cs="Times New Roman"/>
        <w:color w:val="1F497D" w:themeColor="text2"/>
        <w:lang w:val="es-MX"/>
      </w:rPr>
      <w:t xml:space="preserve"> 2016</w:t>
    </w:r>
  </w:p>
  <w:p w:rsidR="00E16925" w:rsidRDefault="00E16925"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65408" behindDoc="0" locked="0" layoutInCell="1" allowOverlap="1" wp14:anchorId="13C54871" wp14:editId="1278C523">
              <wp:simplePos x="0" y="0"/>
              <wp:positionH relativeFrom="column">
                <wp:posOffset>1710568</wp:posOffset>
              </wp:positionH>
              <wp:positionV relativeFrom="paragraph">
                <wp:posOffset>29118</wp:posOffset>
              </wp:positionV>
              <wp:extent cx="5155894" cy="45719"/>
              <wp:effectExtent l="38100" t="38100" r="64135" b="88265"/>
              <wp:wrapNone/>
              <wp:docPr id="6" name="6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7E2881" id="6 Rectángulo" o:spid="_x0000_s1026" style="position:absolute;margin-left:134.7pt;margin-top:2.3pt;width:406pt;height:3.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E16925" w:rsidRDefault="00E16925" w:rsidP="00E16925">
    <w:pPr>
      <w:pStyle w:val="Encabezado"/>
      <w:rPr>
        <w:rFonts w:ascii="Times New Roman" w:hAnsi="Times New Roman" w:cs="Times New Roman"/>
        <w:lang w:val="es-MX"/>
      </w:rPr>
    </w:pPr>
    <w:r>
      <w:rPr>
        <w:rFonts w:ascii="Times New Roman" w:hAnsi="Times New Roman" w:cs="Times New Roman"/>
        <w:lang w:val="es-MX"/>
      </w:rPr>
      <w:tab/>
      <w:t>Dirección de Análisis y Política Fiscal</w:t>
    </w:r>
  </w:p>
  <w:p w:rsidR="00E16925" w:rsidRPr="00E16925" w:rsidRDefault="00E16925" w:rsidP="00E16925">
    <w:pPr>
      <w:pStyle w:val="Encabezado"/>
      <w:rPr>
        <w:rFonts w:ascii="Times New Roman" w:hAnsi="Times New Roman" w:cs="Times New Roman"/>
        <w:lang w:val="es-MX"/>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81" w:rsidRPr="007D4651" w:rsidRDefault="00FA3B81"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70528" behindDoc="1" locked="0" layoutInCell="1" allowOverlap="1" wp14:anchorId="28ECD15E" wp14:editId="2028C3AA">
          <wp:simplePos x="0" y="0"/>
          <wp:positionH relativeFrom="column">
            <wp:posOffset>-89849</wp:posOffset>
          </wp:positionH>
          <wp:positionV relativeFrom="paragraph">
            <wp:posOffset>-163027</wp:posOffset>
          </wp:positionV>
          <wp:extent cx="1697990" cy="914400"/>
          <wp:effectExtent l="0" t="0" r="0" b="0"/>
          <wp:wrapNone/>
          <wp:docPr id="17" name="Imagen 1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FA3B81" w:rsidRPr="007D4651" w:rsidRDefault="00CD7760"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Abril</w:t>
    </w:r>
    <w:r w:rsidR="00FA3B81" w:rsidRPr="007D4651">
      <w:rPr>
        <w:rFonts w:ascii="Times New Roman" w:hAnsi="Times New Roman" w:cs="Times New Roman"/>
        <w:color w:val="1F497D" w:themeColor="text2"/>
        <w:lang w:val="es-MX"/>
      </w:rPr>
      <w:t xml:space="preserve"> 2016</w:t>
    </w:r>
  </w:p>
  <w:p w:rsidR="00FA3B81" w:rsidRDefault="00FA3B81"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69504" behindDoc="0" locked="0" layoutInCell="1" allowOverlap="1" wp14:anchorId="56E7134B" wp14:editId="79DC0979">
              <wp:simplePos x="0" y="0"/>
              <wp:positionH relativeFrom="column">
                <wp:posOffset>1710568</wp:posOffset>
              </wp:positionH>
              <wp:positionV relativeFrom="paragraph">
                <wp:posOffset>29118</wp:posOffset>
              </wp:positionV>
              <wp:extent cx="5155894" cy="45719"/>
              <wp:effectExtent l="38100" t="38100" r="64135" b="88265"/>
              <wp:wrapNone/>
              <wp:docPr id="15" name="15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9A6B53" id="15 Rectángulo" o:spid="_x0000_s1026" style="position:absolute;margin-left:134.7pt;margin-top:2.3pt;width:406pt;height:3.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FA3B81" w:rsidRDefault="00FA3B81" w:rsidP="00E16925">
    <w:pPr>
      <w:pStyle w:val="Encabezado"/>
      <w:rPr>
        <w:rFonts w:ascii="Times New Roman" w:hAnsi="Times New Roman" w:cs="Times New Roman"/>
        <w:lang w:val="es-MX"/>
      </w:rPr>
    </w:pPr>
    <w:r>
      <w:rPr>
        <w:rFonts w:ascii="Times New Roman" w:hAnsi="Times New Roman" w:cs="Times New Roman"/>
        <w:lang w:val="es-MX"/>
      </w:rPr>
      <w:tab/>
      <w:t>Dirección de Análisis y Política Fiscal</w:t>
    </w:r>
  </w:p>
  <w:p w:rsidR="00FA3B81" w:rsidRPr="00E16925" w:rsidRDefault="00FA3B81" w:rsidP="00E16925">
    <w:pPr>
      <w:pStyle w:val="Encabezado"/>
      <w:rPr>
        <w:rFonts w:ascii="Times New Roman" w:hAnsi="Times New Roman" w:cs="Times New Roman"/>
        <w:lang w:val="es-MX"/>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491" w:rsidRPr="007D4651" w:rsidRDefault="00F76491"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74624" behindDoc="1" locked="0" layoutInCell="1" allowOverlap="1" wp14:anchorId="13797C5E" wp14:editId="36A4DD91">
          <wp:simplePos x="0" y="0"/>
          <wp:positionH relativeFrom="column">
            <wp:posOffset>-89849</wp:posOffset>
          </wp:positionH>
          <wp:positionV relativeFrom="paragraph">
            <wp:posOffset>-163027</wp:posOffset>
          </wp:positionV>
          <wp:extent cx="1697990" cy="914400"/>
          <wp:effectExtent l="0" t="0" r="0" b="0"/>
          <wp:wrapNone/>
          <wp:docPr id="24" name="Imagen 24"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F76491" w:rsidRPr="007D4651" w:rsidRDefault="00CD7760"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Abril</w:t>
    </w:r>
    <w:r w:rsidR="00F76491" w:rsidRPr="007D4651">
      <w:rPr>
        <w:rFonts w:ascii="Times New Roman" w:hAnsi="Times New Roman" w:cs="Times New Roman"/>
        <w:color w:val="1F497D" w:themeColor="text2"/>
        <w:lang w:val="es-MX"/>
      </w:rPr>
      <w:t xml:space="preserve"> 2016</w:t>
    </w:r>
  </w:p>
  <w:p w:rsidR="00F76491" w:rsidRDefault="00F76491"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73600" behindDoc="0" locked="0" layoutInCell="1" allowOverlap="1" wp14:anchorId="6DD4DF16" wp14:editId="1A7F3FE9">
              <wp:simplePos x="0" y="0"/>
              <wp:positionH relativeFrom="column">
                <wp:posOffset>1710568</wp:posOffset>
              </wp:positionH>
              <wp:positionV relativeFrom="paragraph">
                <wp:posOffset>29118</wp:posOffset>
              </wp:positionV>
              <wp:extent cx="5155894" cy="45719"/>
              <wp:effectExtent l="38100" t="38100" r="64135" b="88265"/>
              <wp:wrapNone/>
              <wp:docPr id="22" name="22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DE438C" id="22 Rectángulo" o:spid="_x0000_s1026" style="position:absolute;margin-left:134.7pt;margin-top:2.3pt;width:406pt;height:3.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&#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AIhmdH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F76491" w:rsidRDefault="00F76491" w:rsidP="00E16925">
    <w:pPr>
      <w:pStyle w:val="Encabezado"/>
      <w:rPr>
        <w:rFonts w:ascii="Times New Roman" w:hAnsi="Times New Roman" w:cs="Times New Roman"/>
        <w:lang w:val="es-MX"/>
      </w:rPr>
    </w:pPr>
    <w:r>
      <w:rPr>
        <w:rFonts w:ascii="Times New Roman" w:hAnsi="Times New Roman" w:cs="Times New Roman"/>
        <w:lang w:val="es-MX"/>
      </w:rPr>
      <w:tab/>
      <w:t>Dirección de Análisis y Política Fiscal</w:t>
    </w:r>
  </w:p>
  <w:p w:rsidR="00F76491" w:rsidRPr="00E16925" w:rsidRDefault="00F76491" w:rsidP="00E16925">
    <w:pPr>
      <w:pStyle w:val="Encabezado"/>
      <w:rPr>
        <w:rFonts w:ascii="Times New Roman" w:hAnsi="Times New Roman" w:cs="Times New Roman"/>
        <w:lang w:val="es-MX"/>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1D" w:rsidRPr="007D4651" w:rsidRDefault="00494D1D"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78720" behindDoc="1" locked="0" layoutInCell="1" allowOverlap="1" wp14:anchorId="35153FBD" wp14:editId="0B3AFCB2">
          <wp:simplePos x="0" y="0"/>
          <wp:positionH relativeFrom="column">
            <wp:posOffset>-89849</wp:posOffset>
          </wp:positionH>
          <wp:positionV relativeFrom="paragraph">
            <wp:posOffset>-163027</wp:posOffset>
          </wp:positionV>
          <wp:extent cx="1697990" cy="914400"/>
          <wp:effectExtent l="0" t="0" r="0" b="0"/>
          <wp:wrapNone/>
          <wp:docPr id="27" name="Imagen 2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494D1D" w:rsidRPr="007D4651" w:rsidRDefault="00CD7760"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Abril</w:t>
    </w:r>
    <w:r w:rsidR="00494D1D" w:rsidRPr="007D4651">
      <w:rPr>
        <w:rFonts w:ascii="Times New Roman" w:hAnsi="Times New Roman" w:cs="Times New Roman"/>
        <w:color w:val="1F497D" w:themeColor="text2"/>
        <w:lang w:val="es-MX"/>
      </w:rPr>
      <w:t xml:space="preserve"> 2016</w:t>
    </w:r>
  </w:p>
  <w:p w:rsidR="00494D1D" w:rsidRDefault="00494D1D"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77696" behindDoc="0" locked="0" layoutInCell="1" allowOverlap="1" wp14:anchorId="70FCF3A1" wp14:editId="331B65D2">
              <wp:simplePos x="0" y="0"/>
              <wp:positionH relativeFrom="column">
                <wp:posOffset>1710568</wp:posOffset>
              </wp:positionH>
              <wp:positionV relativeFrom="paragraph">
                <wp:posOffset>29118</wp:posOffset>
              </wp:positionV>
              <wp:extent cx="5155894" cy="45719"/>
              <wp:effectExtent l="38100" t="38100" r="64135" b="88265"/>
              <wp:wrapNone/>
              <wp:docPr id="25" name="25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E255A4" id="25 Rectángulo" o:spid="_x0000_s1026" style="position:absolute;margin-left:134.7pt;margin-top:2.3pt;width:406pt;height:3.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&#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BVXKI2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494D1D" w:rsidRDefault="00494D1D" w:rsidP="00E16925">
    <w:pPr>
      <w:pStyle w:val="Encabezado"/>
      <w:rPr>
        <w:rFonts w:ascii="Times New Roman" w:hAnsi="Times New Roman" w:cs="Times New Roman"/>
        <w:lang w:val="es-MX"/>
      </w:rPr>
    </w:pPr>
    <w:r>
      <w:rPr>
        <w:rFonts w:ascii="Times New Roman" w:hAnsi="Times New Roman" w:cs="Times New Roman"/>
        <w:lang w:val="es-MX"/>
      </w:rPr>
      <w:tab/>
      <w:t>Dirección de Análisis y Política Fiscal</w:t>
    </w:r>
  </w:p>
  <w:p w:rsidR="00494D1D" w:rsidRPr="00E16925" w:rsidRDefault="00494D1D" w:rsidP="00E16925">
    <w:pPr>
      <w:pStyle w:val="Encabezado"/>
      <w:rPr>
        <w:rFonts w:ascii="Times New Roman" w:hAnsi="Times New Roman" w:cs="Times New Roman"/>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41F5"/>
    <w:multiLevelType w:val="hybridMultilevel"/>
    <w:tmpl w:val="6C9AD4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172228C2"/>
    <w:multiLevelType w:val="hybridMultilevel"/>
    <w:tmpl w:val="8B2A4192"/>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2" w15:restartNumberingAfterBreak="0">
    <w:nsid w:val="318C7F52"/>
    <w:multiLevelType w:val="hybridMultilevel"/>
    <w:tmpl w:val="8BEAF8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4F1F1422"/>
    <w:multiLevelType w:val="hybridMultilevel"/>
    <w:tmpl w:val="ECB205F6"/>
    <w:lvl w:ilvl="0" w:tplc="100A000F">
      <w:start w:val="1"/>
      <w:numFmt w:val="decimal"/>
      <w:lvlText w:val="%1."/>
      <w:lvlJc w:val="left"/>
      <w:pPr>
        <w:ind w:left="360" w:hanging="360"/>
      </w:pPr>
      <w:rPr>
        <w:rFonts w:hint="default"/>
      </w:rPr>
    </w:lvl>
    <w:lvl w:ilvl="1" w:tplc="15DACC7C">
      <w:start w:val="1"/>
      <w:numFmt w:val="bullet"/>
      <w:lvlText w:val="-"/>
      <w:lvlJc w:val="left"/>
      <w:pPr>
        <w:ind w:left="1080" w:hanging="360"/>
      </w:pPr>
      <w:rPr>
        <w:rFonts w:ascii="Courier New" w:hAnsi="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51"/>
    <w:rsid w:val="00006489"/>
    <w:rsid w:val="000143E0"/>
    <w:rsid w:val="00087ADE"/>
    <w:rsid w:val="00111B77"/>
    <w:rsid w:val="00160EAC"/>
    <w:rsid w:val="001D46C3"/>
    <w:rsid w:val="001E0E10"/>
    <w:rsid w:val="001F5210"/>
    <w:rsid w:val="002101C9"/>
    <w:rsid w:val="00264C3A"/>
    <w:rsid w:val="00296D57"/>
    <w:rsid w:val="002E3F4C"/>
    <w:rsid w:val="00322727"/>
    <w:rsid w:val="00345216"/>
    <w:rsid w:val="00376802"/>
    <w:rsid w:val="00393E59"/>
    <w:rsid w:val="0042387A"/>
    <w:rsid w:val="00494D1D"/>
    <w:rsid w:val="00495A77"/>
    <w:rsid w:val="00495F43"/>
    <w:rsid w:val="004C208F"/>
    <w:rsid w:val="004E4FDE"/>
    <w:rsid w:val="005077A5"/>
    <w:rsid w:val="005428C6"/>
    <w:rsid w:val="005A1EFC"/>
    <w:rsid w:val="005B6D05"/>
    <w:rsid w:val="00606772"/>
    <w:rsid w:val="00606D70"/>
    <w:rsid w:val="0066791B"/>
    <w:rsid w:val="006A1473"/>
    <w:rsid w:val="00702BC4"/>
    <w:rsid w:val="00741F6B"/>
    <w:rsid w:val="00754057"/>
    <w:rsid w:val="00784AF8"/>
    <w:rsid w:val="007D38A9"/>
    <w:rsid w:val="007D4651"/>
    <w:rsid w:val="00892DE1"/>
    <w:rsid w:val="008E5C4F"/>
    <w:rsid w:val="00910163"/>
    <w:rsid w:val="00964F7A"/>
    <w:rsid w:val="009A12F9"/>
    <w:rsid w:val="009B7148"/>
    <w:rsid w:val="009D25F9"/>
    <w:rsid w:val="00A26C76"/>
    <w:rsid w:val="00A50D65"/>
    <w:rsid w:val="00A92D6E"/>
    <w:rsid w:val="00A970F8"/>
    <w:rsid w:val="00AA11B9"/>
    <w:rsid w:val="00AE2039"/>
    <w:rsid w:val="00B667BC"/>
    <w:rsid w:val="00BC7539"/>
    <w:rsid w:val="00BC79C1"/>
    <w:rsid w:val="00C33674"/>
    <w:rsid w:val="00C85696"/>
    <w:rsid w:val="00CC3420"/>
    <w:rsid w:val="00CD7760"/>
    <w:rsid w:val="00CF2D98"/>
    <w:rsid w:val="00D30D15"/>
    <w:rsid w:val="00D40769"/>
    <w:rsid w:val="00D43052"/>
    <w:rsid w:val="00D50ABF"/>
    <w:rsid w:val="00D66D34"/>
    <w:rsid w:val="00D75C74"/>
    <w:rsid w:val="00DC44CF"/>
    <w:rsid w:val="00DD01C5"/>
    <w:rsid w:val="00DD4AB3"/>
    <w:rsid w:val="00DF71A8"/>
    <w:rsid w:val="00E07C63"/>
    <w:rsid w:val="00E16925"/>
    <w:rsid w:val="00E85066"/>
    <w:rsid w:val="00EA37FC"/>
    <w:rsid w:val="00ED2C29"/>
    <w:rsid w:val="00F20D0D"/>
    <w:rsid w:val="00F229CE"/>
    <w:rsid w:val="00F644EA"/>
    <w:rsid w:val="00F76491"/>
    <w:rsid w:val="00FA3B81"/>
    <w:rsid w:val="00FA5DE4"/>
    <w:rsid w:val="00FF1BA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FEBE6"/>
  <w15:docId w15:val="{8F28ED59-8640-42F5-825E-056C7E71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6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4651"/>
  </w:style>
  <w:style w:type="paragraph" w:styleId="Piedepgina">
    <w:name w:val="footer"/>
    <w:basedOn w:val="Normal"/>
    <w:link w:val="PiedepginaCar"/>
    <w:uiPriority w:val="99"/>
    <w:unhideWhenUsed/>
    <w:rsid w:val="007D46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4651"/>
  </w:style>
  <w:style w:type="paragraph" w:styleId="Sinespaciado">
    <w:name w:val="No Spacing"/>
    <w:link w:val="SinespaciadoCar"/>
    <w:uiPriority w:val="1"/>
    <w:qFormat/>
    <w:rsid w:val="007D4651"/>
    <w:pPr>
      <w:spacing w:after="0" w:line="240" w:lineRule="auto"/>
    </w:pPr>
  </w:style>
  <w:style w:type="character" w:customStyle="1" w:styleId="SinespaciadoCar">
    <w:name w:val="Sin espaciado Car"/>
    <w:basedOn w:val="Fuentedeprrafopredeter"/>
    <w:link w:val="Sinespaciado"/>
    <w:uiPriority w:val="1"/>
    <w:locked/>
    <w:rsid w:val="007D4651"/>
  </w:style>
  <w:style w:type="paragraph" w:styleId="Textonotapie">
    <w:name w:val="footnote text"/>
    <w:aliases w:val="Texto nota pie Car Car Car Car Car Car,Texto nota pie Car Car Car Car Car Car Car,Texto nota pie Car Car Car Car Car Car Ca"/>
    <w:basedOn w:val="Normal"/>
    <w:link w:val="TextonotapieCar"/>
    <w:uiPriority w:val="99"/>
    <w:unhideWhenUsed/>
    <w:rsid w:val="00FA3B81"/>
    <w:pPr>
      <w:spacing w:after="0" w:line="240" w:lineRule="auto"/>
    </w:pPr>
    <w:rPr>
      <w:sz w:val="20"/>
      <w:szCs w:val="20"/>
    </w:rPr>
  </w:style>
  <w:style w:type="character" w:customStyle="1" w:styleId="TextonotapieCar">
    <w:name w:val="Texto nota pie Car"/>
    <w:aliases w:val="Texto nota pie Car Car Car Car Car Car Car1,Texto nota pie Car Car Car Car Car Car Car Car,Texto nota pie Car Car Car Car Car Car Ca Car"/>
    <w:basedOn w:val="Fuentedeprrafopredeter"/>
    <w:link w:val="Textonotapie"/>
    <w:uiPriority w:val="99"/>
    <w:rsid w:val="00FA3B81"/>
    <w:rPr>
      <w:sz w:val="20"/>
      <w:szCs w:val="20"/>
    </w:rPr>
  </w:style>
  <w:style w:type="character" w:styleId="Refdenotaalpie">
    <w:name w:val="footnote reference"/>
    <w:basedOn w:val="Fuentedeprrafopredeter"/>
    <w:uiPriority w:val="99"/>
    <w:semiHidden/>
    <w:unhideWhenUsed/>
    <w:rsid w:val="00FA3B81"/>
    <w:rPr>
      <w:vertAlign w:val="superscript"/>
    </w:rPr>
  </w:style>
  <w:style w:type="table" w:styleId="Tablaconcuadrcula">
    <w:name w:val="Table Grid"/>
    <w:basedOn w:val="Tablanormal"/>
    <w:uiPriority w:val="59"/>
    <w:rsid w:val="00FA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D01C5"/>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22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image" Target="media/image4.png"/><Relationship Id="rId26"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footer" Target="footer4.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edeleon.DC-DI01\Desktop\graficos%2005042016%20(Autoguardad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784176977877764"/>
          <c:y val="2.3837817818784923E-2"/>
          <c:w val="0.70120584926884144"/>
          <c:h val="0.9143493873081816"/>
        </c:manualLayout>
      </c:layout>
      <c:barChart>
        <c:barDir val="bar"/>
        <c:grouping val="clustered"/>
        <c:varyColors val="0"/>
        <c:ser>
          <c:idx val="0"/>
          <c:order val="0"/>
          <c:spPr>
            <a:solidFill>
              <a:srgbClr val="00B050"/>
            </a:solidFill>
            <a:ln>
              <a:noFill/>
            </a:ln>
            <a:effectLst/>
          </c:spPr>
          <c:invertIfNegative val="0"/>
          <c:dPt>
            <c:idx val="0"/>
            <c:invertIfNegative val="0"/>
            <c:bubble3D val="0"/>
            <c:spPr>
              <a:solidFill>
                <a:srgbClr val="C00000"/>
              </a:solidFill>
              <a:ln>
                <a:noFill/>
              </a:ln>
              <a:effectLst/>
            </c:spPr>
            <c:extLst>
              <c:ext xmlns:c16="http://schemas.microsoft.com/office/drawing/2014/chart" uri="{C3380CC4-5D6E-409C-BE32-E72D297353CC}">
                <c16:uniqueId val="{00000001-0E39-4451-A9CB-068BD723A79A}"/>
              </c:ext>
            </c:extLst>
          </c:dPt>
          <c:dPt>
            <c:idx val="1"/>
            <c:invertIfNegative val="0"/>
            <c:bubble3D val="0"/>
            <c:spPr>
              <a:solidFill>
                <a:srgbClr val="C00000"/>
              </a:solidFill>
              <a:ln>
                <a:noFill/>
              </a:ln>
              <a:effectLst/>
            </c:spPr>
            <c:extLst>
              <c:ext xmlns:c16="http://schemas.microsoft.com/office/drawing/2014/chart" uri="{C3380CC4-5D6E-409C-BE32-E72D297353CC}">
                <c16:uniqueId val="{00000003-0E39-4451-A9CB-068BD723A79A}"/>
              </c:ext>
            </c:extLst>
          </c:dPt>
          <c:dPt>
            <c:idx val="2"/>
            <c:invertIfNegative val="0"/>
            <c:bubble3D val="0"/>
            <c:spPr>
              <a:solidFill>
                <a:srgbClr val="C00000"/>
              </a:solidFill>
              <a:ln>
                <a:noFill/>
              </a:ln>
              <a:effectLst/>
            </c:spPr>
            <c:extLst>
              <c:ext xmlns:c16="http://schemas.microsoft.com/office/drawing/2014/chart" uri="{C3380CC4-5D6E-409C-BE32-E72D297353CC}">
                <c16:uniqueId val="{00000005-0E39-4451-A9CB-068BD723A79A}"/>
              </c:ext>
            </c:extLst>
          </c:dPt>
          <c:dLbls>
            <c:dLbl>
              <c:idx val="0"/>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rgbClr val="C0000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extLst>
                <c:ext xmlns:c16="http://schemas.microsoft.com/office/drawing/2014/chart" uri="{C3380CC4-5D6E-409C-BE32-E72D297353CC}">
                  <c16:uniqueId val="{00000001-0E39-4451-A9CB-068BD723A79A}"/>
                </c:ext>
              </c:extLst>
            </c:dLbl>
            <c:dLbl>
              <c:idx val="1"/>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rgbClr val="C0000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extLst>
                <c:ext xmlns:c16="http://schemas.microsoft.com/office/drawing/2014/chart" uri="{C3380CC4-5D6E-409C-BE32-E72D297353CC}">
                  <c16:uniqueId val="{00000003-0E39-4451-A9CB-068BD723A79A}"/>
                </c:ext>
              </c:extLst>
            </c:dLbl>
            <c:dLbl>
              <c:idx val="2"/>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rgbClr val="C0000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extLst>
                <c:ext xmlns:c16="http://schemas.microsoft.com/office/drawing/2014/chart" uri="{C3380CC4-5D6E-409C-BE32-E72D297353CC}">
                  <c16:uniqueId val="{00000005-0E39-4451-A9CB-068BD723A79A}"/>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rgbClr val="00B05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Hoja1!$B$44:$B$59</c:f>
              <c:strCache>
                <c:ptCount val="16"/>
                <c:pt idx="0">
                  <c:v>IVA imp</c:v>
                </c:pt>
                <c:pt idx="1">
                  <c:v>Cemento</c:v>
                </c:pt>
                <c:pt idx="2">
                  <c:v>Regalías</c:v>
                </c:pt>
                <c:pt idx="3">
                  <c:v>Otros </c:v>
                </c:pt>
                <c:pt idx="4">
                  <c:v>Propiedad</c:v>
                </c:pt>
                <c:pt idx="5">
                  <c:v>Timbres</c:v>
                </c:pt>
                <c:pt idx="6">
                  <c:v>Tabacos</c:v>
                </c:pt>
                <c:pt idx="7">
                  <c:v>Bebidas</c:v>
                </c:pt>
                <c:pt idx="8">
                  <c:v>IPRIMA</c:v>
                </c:pt>
                <c:pt idx="9">
                  <c:v>Salidas</c:v>
                </c:pt>
                <c:pt idx="10">
                  <c:v>Vehículos</c:v>
                </c:pt>
                <c:pt idx="11">
                  <c:v>ISR </c:v>
                </c:pt>
                <c:pt idx="12">
                  <c:v>Petróleo</c:v>
                </c:pt>
                <c:pt idx="13">
                  <c:v>DAI</c:v>
                </c:pt>
                <c:pt idx="14">
                  <c:v>ISO</c:v>
                </c:pt>
                <c:pt idx="15">
                  <c:v>IVA dom</c:v>
                </c:pt>
              </c:strCache>
            </c:strRef>
          </c:cat>
          <c:val>
            <c:numRef>
              <c:f>Hoja1!$C$44:$C$59</c:f>
              <c:numCache>
                <c:formatCode>General</c:formatCode>
                <c:ptCount val="16"/>
                <c:pt idx="0">
                  <c:v>-126.6</c:v>
                </c:pt>
                <c:pt idx="1">
                  <c:v>-61.5</c:v>
                </c:pt>
                <c:pt idx="2">
                  <c:v>-11.2</c:v>
                </c:pt>
                <c:pt idx="3">
                  <c:v>0.5</c:v>
                </c:pt>
                <c:pt idx="4">
                  <c:v>1</c:v>
                </c:pt>
                <c:pt idx="5">
                  <c:v>2.1</c:v>
                </c:pt>
                <c:pt idx="6">
                  <c:v>13.7</c:v>
                </c:pt>
                <c:pt idx="7">
                  <c:v>13.9</c:v>
                </c:pt>
                <c:pt idx="8">
                  <c:v>18.100000000000001</c:v>
                </c:pt>
                <c:pt idx="9">
                  <c:v>18.600000000000001</c:v>
                </c:pt>
                <c:pt idx="10">
                  <c:v>25.8</c:v>
                </c:pt>
                <c:pt idx="11">
                  <c:v>64</c:v>
                </c:pt>
                <c:pt idx="12">
                  <c:v>87.5</c:v>
                </c:pt>
                <c:pt idx="13">
                  <c:v>90.5</c:v>
                </c:pt>
                <c:pt idx="14">
                  <c:v>104.2</c:v>
                </c:pt>
                <c:pt idx="15">
                  <c:v>141.5</c:v>
                </c:pt>
              </c:numCache>
            </c:numRef>
          </c:val>
          <c:extLst>
            <c:ext xmlns:c16="http://schemas.microsoft.com/office/drawing/2014/chart" uri="{C3380CC4-5D6E-409C-BE32-E72D297353CC}">
              <c16:uniqueId val="{00000006-0E39-4451-A9CB-068BD723A79A}"/>
            </c:ext>
          </c:extLst>
        </c:ser>
        <c:dLbls>
          <c:showLegendKey val="0"/>
          <c:showVal val="0"/>
          <c:showCatName val="0"/>
          <c:showSerName val="0"/>
          <c:showPercent val="0"/>
          <c:showBubbleSize val="0"/>
        </c:dLbls>
        <c:gapWidth val="75"/>
        <c:overlap val="50"/>
        <c:axId val="368613816"/>
        <c:axId val="368614144"/>
      </c:barChart>
      <c:catAx>
        <c:axId val="368613816"/>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368614144"/>
        <c:crosses val="autoZero"/>
        <c:auto val="1"/>
        <c:lblAlgn val="ctr"/>
        <c:lblOffset val="100"/>
        <c:noMultiLvlLbl val="0"/>
      </c:catAx>
      <c:valAx>
        <c:axId val="3686141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3686138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418998363211979"/>
          <c:y val="7.407407407407407E-2"/>
          <c:w val="0.80168947516246813"/>
          <c:h val="0.75225112012513584"/>
        </c:manualLayout>
      </c:layout>
      <c:barChart>
        <c:barDir val="col"/>
        <c:grouping val="clustered"/>
        <c:varyColors val="0"/>
        <c:ser>
          <c:idx val="0"/>
          <c:order val="0"/>
          <c:tx>
            <c:strRef>
              <c:f>Hoja1!$C$65</c:f>
              <c:strCache>
                <c:ptCount val="1"/>
                <c:pt idx="0">
                  <c:v>2015</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accent1"/>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Hoja1!$B$66:$B$69</c:f>
              <c:strCache>
                <c:ptCount val="4"/>
                <c:pt idx="0">
                  <c:v>Enero</c:v>
                </c:pt>
                <c:pt idx="1">
                  <c:v>Febrero</c:v>
                </c:pt>
                <c:pt idx="2">
                  <c:v>Marzo</c:v>
                </c:pt>
                <c:pt idx="3">
                  <c:v>Abril</c:v>
                </c:pt>
              </c:strCache>
            </c:strRef>
          </c:cat>
          <c:val>
            <c:numRef>
              <c:f>Hoja1!$C$66:$C$69</c:f>
              <c:numCache>
                <c:formatCode>General</c:formatCode>
                <c:ptCount val="4"/>
                <c:pt idx="0">
                  <c:v>1110.5999999999999</c:v>
                </c:pt>
                <c:pt idx="1">
                  <c:v>896.1</c:v>
                </c:pt>
                <c:pt idx="2">
                  <c:v>1560.4</c:v>
                </c:pt>
                <c:pt idx="3">
                  <c:v>1559.6</c:v>
                </c:pt>
              </c:numCache>
            </c:numRef>
          </c:val>
          <c:extLst>
            <c:ext xmlns:c16="http://schemas.microsoft.com/office/drawing/2014/chart" uri="{C3380CC4-5D6E-409C-BE32-E72D297353CC}">
              <c16:uniqueId val="{00000000-3397-401D-B9CC-4198C93000EB}"/>
            </c:ext>
          </c:extLst>
        </c:ser>
        <c:ser>
          <c:idx val="1"/>
          <c:order val="1"/>
          <c:tx>
            <c:strRef>
              <c:f>Hoja1!$D$65</c:f>
              <c:strCache>
                <c:ptCount val="1"/>
                <c:pt idx="0">
                  <c:v>2016</c:v>
                </c:pt>
              </c:strCache>
            </c:strRef>
          </c:tx>
          <c:spPr>
            <a:solidFill>
              <a:schemeClr val="accent6">
                <a:lumMod val="75000"/>
              </a:schemeClr>
            </a:solidFill>
            <a:ln>
              <a:noFill/>
            </a:ln>
            <a:effectLst/>
          </c:spPr>
          <c:invertIfNegative val="0"/>
          <c:dLbls>
            <c:dLbl>
              <c:idx val="0"/>
              <c:layout>
                <c:manualLayout>
                  <c:x val="1.4760147601476014E-2"/>
                  <c:y val="-4.04040404040404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397-401D-B9CC-4198C93000EB}"/>
                </c:ext>
              </c:extLst>
            </c:dLbl>
            <c:dLbl>
              <c:idx val="1"/>
              <c:layout>
                <c:manualLayout>
                  <c:x val="1.4760147601476014E-2"/>
                  <c:y val="-2.69360269360269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397-401D-B9CC-4198C93000EB}"/>
                </c:ext>
              </c:extLst>
            </c:dLbl>
            <c:dLbl>
              <c:idx val="2"/>
              <c:layout>
                <c:manualLayout>
                  <c:x val="9.8400984009840101E-3"/>
                  <c:y val="-7.7159602472848434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397-401D-B9CC-4198C93000EB}"/>
                </c:ext>
              </c:extLst>
            </c:dLbl>
            <c:dLbl>
              <c:idx val="3"/>
              <c:layout>
                <c:manualLayout>
                  <c:x val="2.9520295202952029E-2"/>
                  <c:y val="-2.02020202020202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397-401D-B9CC-4198C93000EB}"/>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accent6">
                        <a:lumMod val="75000"/>
                      </a:schemeClr>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Hoja1!$B$66:$B$69</c:f>
              <c:strCache>
                <c:ptCount val="4"/>
                <c:pt idx="0">
                  <c:v>Enero</c:v>
                </c:pt>
                <c:pt idx="1">
                  <c:v>Febrero</c:v>
                </c:pt>
                <c:pt idx="2">
                  <c:v>Marzo</c:v>
                </c:pt>
                <c:pt idx="3">
                  <c:v>Abril</c:v>
                </c:pt>
              </c:strCache>
            </c:strRef>
          </c:cat>
          <c:val>
            <c:numRef>
              <c:f>Hoja1!$D$66:$D$69</c:f>
              <c:numCache>
                <c:formatCode>General</c:formatCode>
                <c:ptCount val="4"/>
                <c:pt idx="0">
                  <c:v>1139.4000000000001</c:v>
                </c:pt>
                <c:pt idx="1">
                  <c:v>777</c:v>
                </c:pt>
                <c:pt idx="2">
                  <c:v>1657.3</c:v>
                </c:pt>
                <c:pt idx="3">
                  <c:v>1616.9</c:v>
                </c:pt>
              </c:numCache>
            </c:numRef>
          </c:val>
          <c:extLst>
            <c:ext xmlns:c16="http://schemas.microsoft.com/office/drawing/2014/chart" uri="{C3380CC4-5D6E-409C-BE32-E72D297353CC}">
              <c16:uniqueId val="{00000001-3397-401D-B9CC-4198C93000EB}"/>
            </c:ext>
          </c:extLst>
        </c:ser>
        <c:dLbls>
          <c:showLegendKey val="0"/>
          <c:showVal val="0"/>
          <c:showCatName val="0"/>
          <c:showSerName val="0"/>
          <c:showPercent val="0"/>
          <c:showBubbleSize val="0"/>
        </c:dLbls>
        <c:gapWidth val="75"/>
        <c:axId val="508888016"/>
        <c:axId val="508880472"/>
      </c:barChart>
      <c:catAx>
        <c:axId val="508888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508880472"/>
        <c:crosses val="autoZero"/>
        <c:auto val="1"/>
        <c:lblAlgn val="ctr"/>
        <c:lblOffset val="100"/>
        <c:noMultiLvlLbl val="0"/>
      </c:catAx>
      <c:valAx>
        <c:axId val="5088804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508888016"/>
        <c:crosses val="autoZero"/>
        <c:crossBetween val="between"/>
      </c:valAx>
      <c:spPr>
        <a:noFill/>
        <a:ln>
          <a:noFill/>
        </a:ln>
        <a:effectLst/>
      </c:spPr>
    </c:plotArea>
    <c:legend>
      <c:legendPos val="b"/>
      <c:layout>
        <c:manualLayout>
          <c:xMode val="edge"/>
          <c:yMode val="edge"/>
          <c:x val="0.38597553534590462"/>
          <c:y val="0.92136376892282401"/>
          <c:w val="0.24772873870470988"/>
          <c:h val="7.8636231077175947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GT"/>
        </a:p>
      </c:txPr>
    </c:legend>
    <c:plotVisOnly val="1"/>
    <c:dispBlanksAs val="gap"/>
    <c:showDLblsOverMax val="0"/>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332494136921996"/>
          <c:y val="9.0077078123972365E-2"/>
          <c:w val="0.81256625617051437"/>
          <c:h val="0.61717306276250983"/>
        </c:manualLayout>
      </c:layout>
      <c:lineChart>
        <c:grouping val="standard"/>
        <c:varyColors val="0"/>
        <c:ser>
          <c:idx val="0"/>
          <c:order val="0"/>
          <c:spPr>
            <a:ln w="12700"/>
            <a:effectLst>
              <a:outerShdw blurRad="50800" dist="38100" dir="2700000" algn="tl" rotWithShape="0">
                <a:prstClr val="black">
                  <a:alpha val="40000"/>
                </a:prstClr>
              </a:outerShdw>
            </a:effectLst>
          </c:spPr>
          <c:marker>
            <c:symbol val="square"/>
            <c:size val="2"/>
            <c:spPr>
              <a:effectLst>
                <a:outerShdw blurRad="50800" dist="38100" dir="2700000" algn="tl" rotWithShape="0">
                  <a:prstClr val="black">
                    <a:alpha val="40000"/>
                  </a:prstClr>
                </a:outerShdw>
              </a:effectLst>
            </c:spPr>
          </c:marker>
          <c:dPt>
            <c:idx val="1"/>
            <c:marker>
              <c:spPr>
                <a:solidFill>
                  <a:schemeClr val="accent6"/>
                </a:solidFill>
                <a:effectLst>
                  <a:outerShdw blurRad="50800" dist="38100" dir="2700000" algn="tl" rotWithShape="0">
                    <a:prstClr val="black">
                      <a:alpha val="40000"/>
                    </a:prstClr>
                  </a:outerShdw>
                </a:effectLst>
              </c:spPr>
            </c:marker>
            <c:bubble3D val="0"/>
            <c:extLst>
              <c:ext xmlns:c16="http://schemas.microsoft.com/office/drawing/2014/chart" uri="{C3380CC4-5D6E-409C-BE32-E72D297353CC}">
                <c16:uniqueId val="{00000000-D5B8-459C-A7B7-1DC14C65E1F7}"/>
              </c:ext>
            </c:extLst>
          </c:dPt>
          <c:dPt>
            <c:idx val="13"/>
            <c:marker>
              <c:spPr>
                <a:solidFill>
                  <a:schemeClr val="accent6"/>
                </a:solidFill>
                <a:effectLst>
                  <a:outerShdw blurRad="50800" dist="38100" dir="2700000" algn="tl" rotWithShape="0">
                    <a:prstClr val="black">
                      <a:alpha val="40000"/>
                    </a:prstClr>
                  </a:outerShdw>
                </a:effectLst>
              </c:spPr>
            </c:marker>
            <c:bubble3D val="0"/>
            <c:extLst>
              <c:ext xmlns:c16="http://schemas.microsoft.com/office/drawing/2014/chart" uri="{C3380CC4-5D6E-409C-BE32-E72D297353CC}">
                <c16:uniqueId val="{00000001-D5B8-459C-A7B7-1DC14C65E1F7}"/>
              </c:ext>
            </c:extLst>
          </c:dPt>
          <c:dPt>
            <c:idx val="25"/>
            <c:marker>
              <c:spPr>
                <a:solidFill>
                  <a:schemeClr val="accent6"/>
                </a:solidFill>
                <a:effectLst>
                  <a:outerShdw blurRad="50800" dist="38100" dir="2700000" algn="tl" rotWithShape="0">
                    <a:prstClr val="black">
                      <a:alpha val="40000"/>
                    </a:prstClr>
                  </a:outerShdw>
                </a:effectLst>
              </c:spPr>
            </c:marker>
            <c:bubble3D val="0"/>
            <c:extLst>
              <c:ext xmlns:c16="http://schemas.microsoft.com/office/drawing/2014/chart" uri="{C3380CC4-5D6E-409C-BE32-E72D297353CC}">
                <c16:uniqueId val="{00000002-D5B8-459C-A7B7-1DC14C65E1F7}"/>
              </c:ext>
            </c:extLst>
          </c:dPt>
          <c:dLbls>
            <c:dLbl>
              <c:idx val="1"/>
              <c:layout>
                <c:manualLayout>
                  <c:x val="-4.9215878670070726E-2"/>
                  <c:y val="9.0138860301542556E-2"/>
                </c:manualLayout>
              </c:layout>
              <c:spPr/>
              <c:txPr>
                <a:bodyPr/>
                <a:lstStyle/>
                <a:p>
                  <a:pPr>
                    <a:defRPr sz="700"/>
                  </a:pPr>
                  <a:endParaRPr lang="es-G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5B8-459C-A7B7-1DC14C65E1F7}"/>
                </c:ext>
              </c:extLst>
            </c:dLbl>
            <c:dLbl>
              <c:idx val="13"/>
              <c:layout>
                <c:manualLayout>
                  <c:x val="-3.9372702936056561E-2"/>
                  <c:y val="5.7361092919163442E-2"/>
                </c:manualLayout>
              </c:layout>
              <c:spPr/>
              <c:txPr>
                <a:bodyPr/>
                <a:lstStyle/>
                <a:p>
                  <a:pPr>
                    <a:defRPr sz="700"/>
                  </a:pPr>
                  <a:endParaRPr lang="es-G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5B8-459C-A7B7-1DC14C65E1F7}"/>
                </c:ext>
              </c:extLst>
            </c:dLbl>
            <c:dLbl>
              <c:idx val="25"/>
              <c:layout>
                <c:manualLayout>
                  <c:x val="0"/>
                  <c:y val="-7.3749976610352999E-2"/>
                </c:manualLayout>
              </c:layout>
              <c:spPr/>
              <c:txPr>
                <a:bodyPr/>
                <a:lstStyle/>
                <a:p>
                  <a:pPr>
                    <a:defRPr sz="700"/>
                  </a:pPr>
                  <a:endParaRPr lang="es-G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5B8-459C-A7B7-1DC14C65E1F7}"/>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Hoja1!$A$53:$B$78</c:f>
              <c:multiLvlStrCache>
                <c:ptCount val="26"/>
                <c:lvl>
                  <c:pt idx="0">
                    <c:v>Marzo</c:v>
                  </c:pt>
                  <c:pt idx="1">
                    <c:v>Abril</c:v>
                  </c:pt>
                  <c:pt idx="2">
                    <c:v>Mayo</c:v>
                  </c:pt>
                  <c:pt idx="3">
                    <c:v>Junio</c:v>
                  </c:pt>
                  <c:pt idx="4">
                    <c:v>Julio</c:v>
                  </c:pt>
                  <c:pt idx="5">
                    <c:v>Agosto</c:v>
                  </c:pt>
                  <c:pt idx="6">
                    <c:v>Septiembre</c:v>
                  </c:pt>
                  <c:pt idx="7">
                    <c:v>Octubre</c:v>
                  </c:pt>
                  <c:pt idx="8">
                    <c:v>Noviembre</c:v>
                  </c:pt>
                  <c:pt idx="9">
                    <c:v>Diciembre</c:v>
                  </c:pt>
                  <c:pt idx="10">
                    <c:v>Enero</c:v>
                  </c:pt>
                  <c:pt idx="11">
                    <c:v>Febrero</c:v>
                  </c:pt>
                  <c:pt idx="12">
                    <c:v>Marzo</c:v>
                  </c:pt>
                  <c:pt idx="13">
                    <c:v>Abril</c:v>
                  </c:pt>
                  <c:pt idx="14">
                    <c:v>Mayo</c:v>
                  </c:pt>
                  <c:pt idx="15">
                    <c:v>Junio</c:v>
                  </c:pt>
                  <c:pt idx="16">
                    <c:v>Julio</c:v>
                  </c:pt>
                  <c:pt idx="17">
                    <c:v>Agosto</c:v>
                  </c:pt>
                  <c:pt idx="18">
                    <c:v>Septiembre</c:v>
                  </c:pt>
                  <c:pt idx="19">
                    <c:v>Octubre</c:v>
                  </c:pt>
                  <c:pt idx="20">
                    <c:v>Noviembre</c:v>
                  </c:pt>
                  <c:pt idx="21">
                    <c:v>Diciembre</c:v>
                  </c:pt>
                  <c:pt idx="22">
                    <c:v>Enero</c:v>
                  </c:pt>
                  <c:pt idx="23">
                    <c:v>Febrero</c:v>
                  </c:pt>
                  <c:pt idx="24">
                    <c:v>Marzo</c:v>
                  </c:pt>
                  <c:pt idx="25">
                    <c:v>Abril</c:v>
                  </c:pt>
                </c:lvl>
                <c:lvl>
                  <c:pt idx="0">
                    <c:v>2014</c:v>
                  </c:pt>
                  <c:pt idx="10">
                    <c:v>2015</c:v>
                  </c:pt>
                  <c:pt idx="22">
                    <c:v>2016</c:v>
                  </c:pt>
                </c:lvl>
              </c:multiLvlStrCache>
            </c:multiLvlStrRef>
          </c:cat>
          <c:val>
            <c:numRef>
              <c:f>Hoja1!$H$53:$H$78</c:f>
              <c:numCache>
                <c:formatCode>0.00%</c:formatCode>
                <c:ptCount val="26"/>
                <c:pt idx="0">
                  <c:v>3.2459983904140177E-2</c:v>
                </c:pt>
                <c:pt idx="1">
                  <c:v>3.2672737011248065E-2</c:v>
                </c:pt>
                <c:pt idx="2">
                  <c:v>3.2229344729344689E-2</c:v>
                </c:pt>
                <c:pt idx="3">
                  <c:v>3.1321889930985725E-2</c:v>
                </c:pt>
                <c:pt idx="4">
                  <c:v>3.4139026111503323E-2</c:v>
                </c:pt>
                <c:pt idx="5">
                  <c:v>3.6997885835095223E-2</c:v>
                </c:pt>
                <c:pt idx="6">
                  <c:v>3.4519104084321572E-2</c:v>
                </c:pt>
                <c:pt idx="7">
                  <c:v>3.6373220875066004E-2</c:v>
                </c:pt>
                <c:pt idx="8">
                  <c:v>3.3761917257062901E-2</c:v>
                </c:pt>
                <c:pt idx="9">
                  <c:v>2.9473317056156301E-2</c:v>
                </c:pt>
                <c:pt idx="10">
                  <c:v>2.3223449595546786E-2</c:v>
                </c:pt>
                <c:pt idx="11">
                  <c:v>2.4392361111111205E-2</c:v>
                </c:pt>
                <c:pt idx="12">
                  <c:v>2.4250822795773619E-2</c:v>
                </c:pt>
                <c:pt idx="13">
                  <c:v>2.5760719225449424E-2</c:v>
                </c:pt>
                <c:pt idx="14">
                  <c:v>2.5530446782818794E-2</c:v>
                </c:pt>
                <c:pt idx="15">
                  <c:v>2.3850377487989016E-2</c:v>
                </c:pt>
                <c:pt idx="16">
                  <c:v>2.3202251983280631E-2</c:v>
                </c:pt>
                <c:pt idx="17">
                  <c:v>1.9622833843017329E-2</c:v>
                </c:pt>
                <c:pt idx="18">
                  <c:v>1.8763796909492259E-2</c:v>
                </c:pt>
                <c:pt idx="19">
                  <c:v>2.2295693455408605E-2</c:v>
                </c:pt>
                <c:pt idx="20">
                  <c:v>2.5129029528724978E-2</c:v>
                </c:pt>
                <c:pt idx="21">
                  <c:v>3.0662375063527092E-2</c:v>
                </c:pt>
                <c:pt idx="22">
                  <c:v>4.3777626657599544E-2</c:v>
                </c:pt>
                <c:pt idx="23">
                  <c:v>4.2708245063977524E-2</c:v>
                </c:pt>
                <c:pt idx="24">
                  <c:v>4.2617960426179602E-2</c:v>
                </c:pt>
                <c:pt idx="25">
                  <c:v>4.0899999999999999E-2</c:v>
                </c:pt>
              </c:numCache>
            </c:numRef>
          </c:val>
          <c:smooth val="0"/>
          <c:extLst>
            <c:ext xmlns:c16="http://schemas.microsoft.com/office/drawing/2014/chart" uri="{C3380CC4-5D6E-409C-BE32-E72D297353CC}">
              <c16:uniqueId val="{00000003-D5B8-459C-A7B7-1DC14C65E1F7}"/>
            </c:ext>
          </c:extLst>
        </c:ser>
        <c:ser>
          <c:idx val="1"/>
          <c:order val="1"/>
          <c:spPr>
            <a:ln w="12700">
              <a:solidFill>
                <a:schemeClr val="tx1"/>
              </a:solidFill>
            </a:ln>
          </c:spPr>
          <c:marker>
            <c:symbol val="none"/>
          </c:marker>
          <c:cat>
            <c:multiLvlStrRef>
              <c:f>Hoja1!$A$53:$B$78</c:f>
              <c:multiLvlStrCache>
                <c:ptCount val="26"/>
                <c:lvl>
                  <c:pt idx="0">
                    <c:v>Marzo</c:v>
                  </c:pt>
                  <c:pt idx="1">
                    <c:v>Abril</c:v>
                  </c:pt>
                  <c:pt idx="2">
                    <c:v>Mayo</c:v>
                  </c:pt>
                  <c:pt idx="3">
                    <c:v>Junio</c:v>
                  </c:pt>
                  <c:pt idx="4">
                    <c:v>Julio</c:v>
                  </c:pt>
                  <c:pt idx="5">
                    <c:v>Agosto</c:v>
                  </c:pt>
                  <c:pt idx="6">
                    <c:v>Septiembre</c:v>
                  </c:pt>
                  <c:pt idx="7">
                    <c:v>Octubre</c:v>
                  </c:pt>
                  <c:pt idx="8">
                    <c:v>Noviembre</c:v>
                  </c:pt>
                  <c:pt idx="9">
                    <c:v>Diciembre</c:v>
                  </c:pt>
                  <c:pt idx="10">
                    <c:v>Enero</c:v>
                  </c:pt>
                  <c:pt idx="11">
                    <c:v>Febrero</c:v>
                  </c:pt>
                  <c:pt idx="12">
                    <c:v>Marzo</c:v>
                  </c:pt>
                  <c:pt idx="13">
                    <c:v>Abril</c:v>
                  </c:pt>
                  <c:pt idx="14">
                    <c:v>Mayo</c:v>
                  </c:pt>
                  <c:pt idx="15">
                    <c:v>Junio</c:v>
                  </c:pt>
                  <c:pt idx="16">
                    <c:v>Julio</c:v>
                  </c:pt>
                  <c:pt idx="17">
                    <c:v>Agosto</c:v>
                  </c:pt>
                  <c:pt idx="18">
                    <c:v>Septiembre</c:v>
                  </c:pt>
                  <c:pt idx="19">
                    <c:v>Octubre</c:v>
                  </c:pt>
                  <c:pt idx="20">
                    <c:v>Noviembre</c:v>
                  </c:pt>
                  <c:pt idx="21">
                    <c:v>Diciembre</c:v>
                  </c:pt>
                  <c:pt idx="22">
                    <c:v>Enero</c:v>
                  </c:pt>
                  <c:pt idx="23">
                    <c:v>Febrero</c:v>
                  </c:pt>
                  <c:pt idx="24">
                    <c:v>Marzo</c:v>
                  </c:pt>
                  <c:pt idx="25">
                    <c:v>Abril</c:v>
                  </c:pt>
                </c:lvl>
                <c:lvl>
                  <c:pt idx="0">
                    <c:v>2014</c:v>
                  </c:pt>
                  <c:pt idx="10">
                    <c:v>2015</c:v>
                  </c:pt>
                  <c:pt idx="22">
                    <c:v>2016</c:v>
                  </c:pt>
                </c:lvl>
              </c:multiLvlStrCache>
            </c:multiLvlStrRef>
          </c:cat>
          <c:val>
            <c:numRef>
              <c:f>Hoja1!$I$53:$I$78</c:f>
              <c:numCache>
                <c:formatCode>0.00%</c:formatCode>
                <c:ptCount val="26"/>
                <c:pt idx="0">
                  <c:v>0.04</c:v>
                </c:pt>
                <c:pt idx="1">
                  <c:v>0.04</c:v>
                </c:pt>
                <c:pt idx="2">
                  <c:v>0.04</c:v>
                </c:pt>
                <c:pt idx="3">
                  <c:v>0.04</c:v>
                </c:pt>
                <c:pt idx="4">
                  <c:v>0.04</c:v>
                </c:pt>
                <c:pt idx="5">
                  <c:v>0.04</c:v>
                </c:pt>
                <c:pt idx="6">
                  <c:v>0.04</c:v>
                </c:pt>
                <c:pt idx="7">
                  <c:v>0.04</c:v>
                </c:pt>
                <c:pt idx="8">
                  <c:v>0.04</c:v>
                </c:pt>
                <c:pt idx="9">
                  <c:v>0.04</c:v>
                </c:pt>
                <c:pt idx="10">
                  <c:v>0.04</c:v>
                </c:pt>
                <c:pt idx="11">
                  <c:v>0.04</c:v>
                </c:pt>
                <c:pt idx="12">
                  <c:v>0.04</c:v>
                </c:pt>
                <c:pt idx="13">
                  <c:v>0.04</c:v>
                </c:pt>
                <c:pt idx="14">
                  <c:v>0.04</c:v>
                </c:pt>
                <c:pt idx="15">
                  <c:v>0.04</c:v>
                </c:pt>
                <c:pt idx="16">
                  <c:v>0.04</c:v>
                </c:pt>
                <c:pt idx="17">
                  <c:v>0.04</c:v>
                </c:pt>
                <c:pt idx="18">
                  <c:v>0.04</c:v>
                </c:pt>
                <c:pt idx="19">
                  <c:v>0.04</c:v>
                </c:pt>
                <c:pt idx="20">
                  <c:v>0.04</c:v>
                </c:pt>
                <c:pt idx="21">
                  <c:v>0.04</c:v>
                </c:pt>
                <c:pt idx="22">
                  <c:v>0.04</c:v>
                </c:pt>
                <c:pt idx="23">
                  <c:v>0.04</c:v>
                </c:pt>
                <c:pt idx="24">
                  <c:v>0.04</c:v>
                </c:pt>
                <c:pt idx="25">
                  <c:v>0.04</c:v>
                </c:pt>
              </c:numCache>
            </c:numRef>
          </c:val>
          <c:smooth val="0"/>
          <c:extLst>
            <c:ext xmlns:c16="http://schemas.microsoft.com/office/drawing/2014/chart" uri="{C3380CC4-5D6E-409C-BE32-E72D297353CC}">
              <c16:uniqueId val="{00000004-D5B8-459C-A7B7-1DC14C65E1F7}"/>
            </c:ext>
          </c:extLst>
        </c:ser>
        <c:ser>
          <c:idx val="2"/>
          <c:order val="2"/>
          <c:spPr>
            <a:ln w="12700">
              <a:solidFill>
                <a:schemeClr val="tx1">
                  <a:lumMod val="50000"/>
                  <a:lumOff val="50000"/>
                </a:schemeClr>
              </a:solidFill>
              <a:prstDash val="dash"/>
            </a:ln>
          </c:spPr>
          <c:marker>
            <c:symbol val="none"/>
          </c:marker>
          <c:cat>
            <c:multiLvlStrRef>
              <c:f>Hoja1!$A$53:$B$78</c:f>
              <c:multiLvlStrCache>
                <c:ptCount val="26"/>
                <c:lvl>
                  <c:pt idx="0">
                    <c:v>Marzo</c:v>
                  </c:pt>
                  <c:pt idx="1">
                    <c:v>Abril</c:v>
                  </c:pt>
                  <c:pt idx="2">
                    <c:v>Mayo</c:v>
                  </c:pt>
                  <c:pt idx="3">
                    <c:v>Junio</c:v>
                  </c:pt>
                  <c:pt idx="4">
                    <c:v>Julio</c:v>
                  </c:pt>
                  <c:pt idx="5">
                    <c:v>Agosto</c:v>
                  </c:pt>
                  <c:pt idx="6">
                    <c:v>Septiembre</c:v>
                  </c:pt>
                  <c:pt idx="7">
                    <c:v>Octubre</c:v>
                  </c:pt>
                  <c:pt idx="8">
                    <c:v>Noviembre</c:v>
                  </c:pt>
                  <c:pt idx="9">
                    <c:v>Diciembre</c:v>
                  </c:pt>
                  <c:pt idx="10">
                    <c:v>Enero</c:v>
                  </c:pt>
                  <c:pt idx="11">
                    <c:v>Febrero</c:v>
                  </c:pt>
                  <c:pt idx="12">
                    <c:v>Marzo</c:v>
                  </c:pt>
                  <c:pt idx="13">
                    <c:v>Abril</c:v>
                  </c:pt>
                  <c:pt idx="14">
                    <c:v>Mayo</c:v>
                  </c:pt>
                  <c:pt idx="15">
                    <c:v>Junio</c:v>
                  </c:pt>
                  <c:pt idx="16">
                    <c:v>Julio</c:v>
                  </c:pt>
                  <c:pt idx="17">
                    <c:v>Agosto</c:v>
                  </c:pt>
                  <c:pt idx="18">
                    <c:v>Septiembre</c:v>
                  </c:pt>
                  <c:pt idx="19">
                    <c:v>Octubre</c:v>
                  </c:pt>
                  <c:pt idx="20">
                    <c:v>Noviembre</c:v>
                  </c:pt>
                  <c:pt idx="21">
                    <c:v>Diciembre</c:v>
                  </c:pt>
                  <c:pt idx="22">
                    <c:v>Enero</c:v>
                  </c:pt>
                  <c:pt idx="23">
                    <c:v>Febrero</c:v>
                  </c:pt>
                  <c:pt idx="24">
                    <c:v>Marzo</c:v>
                  </c:pt>
                  <c:pt idx="25">
                    <c:v>Abril</c:v>
                  </c:pt>
                </c:lvl>
                <c:lvl>
                  <c:pt idx="0">
                    <c:v>2014</c:v>
                  </c:pt>
                  <c:pt idx="10">
                    <c:v>2015</c:v>
                  </c:pt>
                  <c:pt idx="22">
                    <c:v>2016</c:v>
                  </c:pt>
                </c:lvl>
              </c:multiLvlStrCache>
            </c:multiLvlStrRef>
          </c:cat>
          <c:val>
            <c:numRef>
              <c:f>Hoja1!$J$53:$J$78</c:f>
              <c:numCache>
                <c:formatCode>0.00%</c:formatCode>
                <c:ptCount val="26"/>
                <c:pt idx="0">
                  <c:v>0.03</c:v>
                </c:pt>
                <c:pt idx="1">
                  <c:v>0.03</c:v>
                </c:pt>
                <c:pt idx="2">
                  <c:v>0.03</c:v>
                </c:pt>
                <c:pt idx="3">
                  <c:v>0.03</c:v>
                </c:pt>
                <c:pt idx="4">
                  <c:v>0.03</c:v>
                </c:pt>
                <c:pt idx="5">
                  <c:v>0.03</c:v>
                </c:pt>
                <c:pt idx="6">
                  <c:v>0.03</c:v>
                </c:pt>
                <c:pt idx="7">
                  <c:v>0.03</c:v>
                </c:pt>
                <c:pt idx="8">
                  <c:v>0.03</c:v>
                </c:pt>
                <c:pt idx="9">
                  <c:v>0.03</c:v>
                </c:pt>
                <c:pt idx="10">
                  <c:v>0.03</c:v>
                </c:pt>
                <c:pt idx="11">
                  <c:v>0.03</c:v>
                </c:pt>
                <c:pt idx="12">
                  <c:v>0.03</c:v>
                </c:pt>
                <c:pt idx="13">
                  <c:v>0.03</c:v>
                </c:pt>
                <c:pt idx="14">
                  <c:v>0.03</c:v>
                </c:pt>
                <c:pt idx="15">
                  <c:v>0.03</c:v>
                </c:pt>
                <c:pt idx="16">
                  <c:v>0.03</c:v>
                </c:pt>
                <c:pt idx="17">
                  <c:v>0.03</c:v>
                </c:pt>
                <c:pt idx="18">
                  <c:v>0.03</c:v>
                </c:pt>
                <c:pt idx="19">
                  <c:v>0.03</c:v>
                </c:pt>
                <c:pt idx="20">
                  <c:v>0.03</c:v>
                </c:pt>
                <c:pt idx="21">
                  <c:v>0.03</c:v>
                </c:pt>
                <c:pt idx="22">
                  <c:v>0.03</c:v>
                </c:pt>
                <c:pt idx="23">
                  <c:v>0.03</c:v>
                </c:pt>
                <c:pt idx="24">
                  <c:v>0.03</c:v>
                </c:pt>
                <c:pt idx="25">
                  <c:v>0.03</c:v>
                </c:pt>
              </c:numCache>
            </c:numRef>
          </c:val>
          <c:smooth val="0"/>
          <c:extLst>
            <c:ext xmlns:c16="http://schemas.microsoft.com/office/drawing/2014/chart" uri="{C3380CC4-5D6E-409C-BE32-E72D297353CC}">
              <c16:uniqueId val="{00000005-D5B8-459C-A7B7-1DC14C65E1F7}"/>
            </c:ext>
          </c:extLst>
        </c:ser>
        <c:ser>
          <c:idx val="3"/>
          <c:order val="3"/>
          <c:spPr>
            <a:ln w="12700">
              <a:solidFill>
                <a:schemeClr val="tx1">
                  <a:lumMod val="50000"/>
                  <a:lumOff val="50000"/>
                </a:schemeClr>
              </a:solidFill>
              <a:prstDash val="dash"/>
            </a:ln>
          </c:spPr>
          <c:marker>
            <c:symbol val="none"/>
          </c:marker>
          <c:cat>
            <c:multiLvlStrRef>
              <c:f>Hoja1!$A$53:$B$78</c:f>
              <c:multiLvlStrCache>
                <c:ptCount val="26"/>
                <c:lvl>
                  <c:pt idx="0">
                    <c:v>Marzo</c:v>
                  </c:pt>
                  <c:pt idx="1">
                    <c:v>Abril</c:v>
                  </c:pt>
                  <c:pt idx="2">
                    <c:v>Mayo</c:v>
                  </c:pt>
                  <c:pt idx="3">
                    <c:v>Junio</c:v>
                  </c:pt>
                  <c:pt idx="4">
                    <c:v>Julio</c:v>
                  </c:pt>
                  <c:pt idx="5">
                    <c:v>Agosto</c:v>
                  </c:pt>
                  <c:pt idx="6">
                    <c:v>Septiembre</c:v>
                  </c:pt>
                  <c:pt idx="7">
                    <c:v>Octubre</c:v>
                  </c:pt>
                  <c:pt idx="8">
                    <c:v>Noviembre</c:v>
                  </c:pt>
                  <c:pt idx="9">
                    <c:v>Diciembre</c:v>
                  </c:pt>
                  <c:pt idx="10">
                    <c:v>Enero</c:v>
                  </c:pt>
                  <c:pt idx="11">
                    <c:v>Febrero</c:v>
                  </c:pt>
                  <c:pt idx="12">
                    <c:v>Marzo</c:v>
                  </c:pt>
                  <c:pt idx="13">
                    <c:v>Abril</c:v>
                  </c:pt>
                  <c:pt idx="14">
                    <c:v>Mayo</c:v>
                  </c:pt>
                  <c:pt idx="15">
                    <c:v>Junio</c:v>
                  </c:pt>
                  <c:pt idx="16">
                    <c:v>Julio</c:v>
                  </c:pt>
                  <c:pt idx="17">
                    <c:v>Agosto</c:v>
                  </c:pt>
                  <c:pt idx="18">
                    <c:v>Septiembre</c:v>
                  </c:pt>
                  <c:pt idx="19">
                    <c:v>Octubre</c:v>
                  </c:pt>
                  <c:pt idx="20">
                    <c:v>Noviembre</c:v>
                  </c:pt>
                  <c:pt idx="21">
                    <c:v>Diciembre</c:v>
                  </c:pt>
                  <c:pt idx="22">
                    <c:v>Enero</c:v>
                  </c:pt>
                  <c:pt idx="23">
                    <c:v>Febrero</c:v>
                  </c:pt>
                  <c:pt idx="24">
                    <c:v>Marzo</c:v>
                  </c:pt>
                  <c:pt idx="25">
                    <c:v>Abril</c:v>
                  </c:pt>
                </c:lvl>
                <c:lvl>
                  <c:pt idx="0">
                    <c:v>2014</c:v>
                  </c:pt>
                  <c:pt idx="10">
                    <c:v>2015</c:v>
                  </c:pt>
                  <c:pt idx="22">
                    <c:v>2016</c:v>
                  </c:pt>
                </c:lvl>
              </c:multiLvlStrCache>
            </c:multiLvlStrRef>
          </c:cat>
          <c:val>
            <c:numRef>
              <c:f>Hoja1!$K$53:$K$78</c:f>
              <c:numCache>
                <c:formatCode>0.00%</c:formatCode>
                <c:ptCount val="26"/>
                <c:pt idx="0">
                  <c:v>0.05</c:v>
                </c:pt>
                <c:pt idx="1">
                  <c:v>0.05</c:v>
                </c:pt>
                <c:pt idx="2">
                  <c:v>0.05</c:v>
                </c:pt>
                <c:pt idx="3">
                  <c:v>0.05</c:v>
                </c:pt>
                <c:pt idx="4">
                  <c:v>0.05</c:v>
                </c:pt>
                <c:pt idx="5">
                  <c:v>0.05</c:v>
                </c:pt>
                <c:pt idx="6">
                  <c:v>0.05</c:v>
                </c:pt>
                <c:pt idx="7">
                  <c:v>0.05</c:v>
                </c:pt>
                <c:pt idx="8">
                  <c:v>0.05</c:v>
                </c:pt>
                <c:pt idx="9">
                  <c:v>0.05</c:v>
                </c:pt>
                <c:pt idx="10">
                  <c:v>0.05</c:v>
                </c:pt>
                <c:pt idx="11">
                  <c:v>0.05</c:v>
                </c:pt>
                <c:pt idx="12">
                  <c:v>0.05</c:v>
                </c:pt>
                <c:pt idx="13">
                  <c:v>0.05</c:v>
                </c:pt>
                <c:pt idx="14">
                  <c:v>0.05</c:v>
                </c:pt>
                <c:pt idx="15">
                  <c:v>0.05</c:v>
                </c:pt>
                <c:pt idx="16">
                  <c:v>0.05</c:v>
                </c:pt>
                <c:pt idx="17">
                  <c:v>0.05</c:v>
                </c:pt>
                <c:pt idx="18">
                  <c:v>0.05</c:v>
                </c:pt>
                <c:pt idx="19">
                  <c:v>0.05</c:v>
                </c:pt>
                <c:pt idx="20">
                  <c:v>0.05</c:v>
                </c:pt>
                <c:pt idx="21">
                  <c:v>0.05</c:v>
                </c:pt>
                <c:pt idx="22">
                  <c:v>0.05</c:v>
                </c:pt>
                <c:pt idx="23">
                  <c:v>0.05</c:v>
                </c:pt>
                <c:pt idx="24">
                  <c:v>0.05</c:v>
                </c:pt>
                <c:pt idx="25">
                  <c:v>0.05</c:v>
                </c:pt>
              </c:numCache>
            </c:numRef>
          </c:val>
          <c:smooth val="0"/>
          <c:extLst>
            <c:ext xmlns:c16="http://schemas.microsoft.com/office/drawing/2014/chart" uri="{C3380CC4-5D6E-409C-BE32-E72D297353CC}">
              <c16:uniqueId val="{00000006-D5B8-459C-A7B7-1DC14C65E1F7}"/>
            </c:ext>
          </c:extLst>
        </c:ser>
        <c:dLbls>
          <c:showLegendKey val="0"/>
          <c:showVal val="0"/>
          <c:showCatName val="0"/>
          <c:showSerName val="0"/>
          <c:showPercent val="0"/>
          <c:showBubbleSize val="0"/>
        </c:dLbls>
        <c:marker val="1"/>
        <c:smooth val="0"/>
        <c:axId val="62865408"/>
        <c:axId val="62866944"/>
      </c:lineChart>
      <c:catAx>
        <c:axId val="62865408"/>
        <c:scaling>
          <c:orientation val="minMax"/>
        </c:scaling>
        <c:delete val="0"/>
        <c:axPos val="b"/>
        <c:numFmt formatCode="General" sourceLinked="0"/>
        <c:majorTickMark val="out"/>
        <c:minorTickMark val="none"/>
        <c:tickLblPos val="nextTo"/>
        <c:txPr>
          <a:bodyPr/>
          <a:lstStyle/>
          <a:p>
            <a:pPr>
              <a:defRPr sz="500"/>
            </a:pPr>
            <a:endParaRPr lang="es-GT"/>
          </a:p>
        </c:txPr>
        <c:crossAx val="62866944"/>
        <c:crosses val="autoZero"/>
        <c:auto val="1"/>
        <c:lblAlgn val="ctr"/>
        <c:lblOffset val="100"/>
        <c:noMultiLvlLbl val="0"/>
      </c:catAx>
      <c:valAx>
        <c:axId val="62866944"/>
        <c:scaling>
          <c:orientation val="minMax"/>
        </c:scaling>
        <c:delete val="0"/>
        <c:axPos val="l"/>
        <c:numFmt formatCode="0.00%" sourceLinked="1"/>
        <c:majorTickMark val="out"/>
        <c:minorTickMark val="none"/>
        <c:tickLblPos val="nextTo"/>
        <c:txPr>
          <a:bodyPr/>
          <a:lstStyle/>
          <a:p>
            <a:pPr>
              <a:defRPr sz="600"/>
            </a:pPr>
            <a:endParaRPr lang="es-GT"/>
          </a:p>
        </c:txPr>
        <c:crossAx val="62865408"/>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es-GT"/>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C7A35-6A28-48DE-BAC7-213605475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7</Pages>
  <Words>2512</Words>
  <Characters>13818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Enrique De León Meneses</dc:creator>
  <cp:keywords/>
  <dc:description/>
  <cp:lastModifiedBy>Saul Enrique De León Meneses</cp:lastModifiedBy>
  <cp:revision>7</cp:revision>
  <dcterms:created xsi:type="dcterms:W3CDTF">2016-05-13T15:41:00Z</dcterms:created>
  <dcterms:modified xsi:type="dcterms:W3CDTF">2018-05-15T17:27:00Z</dcterms:modified>
</cp:coreProperties>
</file>