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A00D30" w:rsidRDefault="00A00D30"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A00D30" w:rsidSect="00754057">
          <w:headerReference w:type="default" r:id="rId8"/>
          <w:footerReference w:type="default" r:id="rId9"/>
          <w:pgSz w:w="12240" w:h="15840" w:code="1"/>
          <w:pgMar w:top="1418" w:right="1418" w:bottom="1418" w:left="1418" w:header="709" w:footer="709" w:gutter="0"/>
          <w:cols w:space="708"/>
          <w:docGrid w:linePitch="360"/>
        </w:sectPr>
      </w:pPr>
      <w:r w:rsidRPr="00A00D30">
        <w:rPr>
          <w:rFonts w:ascii="Times New Roman" w:hAnsi="Times New Roman" w:cs="Times New Roman"/>
          <w:b/>
          <w:lang w:val="es-MX"/>
        </w:rPr>
        <w:t>El</w:t>
      </w:r>
      <w:r w:rsidR="00B93470" w:rsidRPr="00A00D30">
        <w:rPr>
          <w:rFonts w:ascii="Times New Roman" w:hAnsi="Times New Roman" w:cs="Times New Roman"/>
          <w:b/>
          <w:lang w:val="es-MX"/>
        </w:rPr>
        <w:t xml:space="preserve"> déficit fiscal</w:t>
      </w:r>
      <w:r w:rsidRPr="00A00D30">
        <w:rPr>
          <w:rFonts w:ascii="Times New Roman" w:hAnsi="Times New Roman" w:cs="Times New Roman"/>
          <w:b/>
          <w:lang w:val="es-MX"/>
        </w:rPr>
        <w:t xml:space="preserve"> se amplía en mayo</w:t>
      </w:r>
    </w:p>
    <w:p w:rsidR="007D4651" w:rsidRPr="00E9315E" w:rsidRDefault="007D4651" w:rsidP="007D4651">
      <w:pPr>
        <w:pStyle w:val="Sinespaciado"/>
        <w:rPr>
          <w:rFonts w:ascii="Times New Roman" w:hAnsi="Times New Roman" w:cs="Times New Roman"/>
          <w:b/>
          <w:color w:val="FF0000"/>
          <w:sz w:val="6"/>
          <w:lang w:val="es-MX"/>
        </w:rPr>
      </w:pPr>
    </w:p>
    <w:p w:rsidR="007D4651" w:rsidRPr="00E9315E" w:rsidRDefault="007D4651" w:rsidP="007D4651">
      <w:pPr>
        <w:pStyle w:val="Sinespaciado"/>
        <w:jc w:val="center"/>
        <w:rPr>
          <w:rFonts w:ascii="Times New Roman" w:hAnsi="Times New Roman" w:cs="Times New Roman"/>
          <w:b/>
          <w:color w:val="FF0000"/>
          <w:sz w:val="16"/>
          <w:lang w:val="es-MX"/>
        </w:rPr>
      </w:pPr>
    </w:p>
    <w:p w:rsidR="009C4027" w:rsidRPr="00E9315E" w:rsidRDefault="009C4027" w:rsidP="007D4651">
      <w:pPr>
        <w:pStyle w:val="Sinespaciado"/>
        <w:jc w:val="center"/>
        <w:rPr>
          <w:rFonts w:ascii="Times New Roman" w:hAnsi="Times New Roman" w:cs="Times New Roman"/>
          <w:b/>
          <w:color w:val="FF0000"/>
          <w:lang w:val="es-MX"/>
        </w:rPr>
        <w:sectPr w:rsidR="009C4027" w:rsidRPr="00E9315E" w:rsidSect="004E358C">
          <w:type w:val="continuous"/>
          <w:pgSz w:w="12240" w:h="15840"/>
          <w:pgMar w:top="1417" w:right="1701" w:bottom="1417" w:left="1701" w:header="708" w:footer="708" w:gutter="0"/>
          <w:cols w:space="708"/>
          <w:docGrid w:linePitch="360"/>
        </w:sectPr>
      </w:pPr>
    </w:p>
    <w:p w:rsidR="007D4651" w:rsidRPr="00E9315E" w:rsidRDefault="005226CD" w:rsidP="006C7015">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mayo de 2019 en</w:t>
      </w:r>
      <w:r w:rsidRPr="00F92177">
        <w:rPr>
          <w:rFonts w:ascii="Times New Roman" w:hAnsi="Times New Roman" w:cs="Times New Roman"/>
          <w:lang w:val="es-MX"/>
        </w:rPr>
        <w:t xml:space="preserve"> Q</w:t>
      </w:r>
      <w:r w:rsidR="00973252">
        <w:rPr>
          <w:rFonts w:ascii="Times New Roman" w:hAnsi="Times New Roman" w:cs="Times New Roman"/>
          <w:lang w:val="es-MX"/>
        </w:rPr>
        <w:t xml:space="preserve">2,310.5 </w:t>
      </w:r>
      <w:r w:rsidR="00973252" w:rsidRPr="00F92177">
        <w:rPr>
          <w:rFonts w:ascii="Times New Roman" w:hAnsi="Times New Roman" w:cs="Times New Roman"/>
          <w:lang w:val="es-MX"/>
        </w:rPr>
        <w:t>millones</w:t>
      </w:r>
      <w:r>
        <w:rPr>
          <w:rFonts w:ascii="Times New Roman" w:hAnsi="Times New Roman" w:cs="Times New Roman"/>
          <w:lang w:val="es-MX"/>
        </w:rPr>
        <w:t xml:space="preserve"> (0.4% del PIB). Este comportamiento contrasta con lo observado en los tres años anteriores, cuando a la misma fecha, la situación financiera presentaba un superávit. El déficit reportado a la fecha, ha estado influenciado por un bajo </w:t>
      </w:r>
      <w:r>
        <w:rPr>
          <w:rFonts w:ascii="Times New Roman" w:hAnsi="Times New Roman" w:cs="Times New Roman"/>
          <w:lang w:val="es-MX"/>
        </w:rPr>
        <w:lastRenderedPageBreak/>
        <w:t>desempeño en la recaudación tributaria y un gasto público que, aunque reporta el menor crecimiento interanual acumulado del año, aun muestra un comportamiento bastante dinámico, sobresaliendo el repunte en la ejecución interanual del Ministerio de Comunicaciones, Infraestructura y Vivienda.</w:t>
      </w:r>
      <w:r w:rsidR="00B91010" w:rsidRPr="00E9315E">
        <w:rPr>
          <w:rFonts w:ascii="Times New Roman" w:hAnsi="Times New Roman" w:cs="Times New Roman"/>
          <w:color w:val="FF0000"/>
          <w:lang w:val="es-MX"/>
        </w:rPr>
        <w:t xml:space="preserve"> </w:t>
      </w:r>
    </w:p>
    <w:p w:rsidR="007D4651" w:rsidRPr="00E9315E" w:rsidRDefault="007D4651" w:rsidP="007D4651">
      <w:pPr>
        <w:pStyle w:val="Sinespaciado"/>
        <w:jc w:val="center"/>
        <w:rPr>
          <w:rFonts w:ascii="Times New Roman" w:hAnsi="Times New Roman" w:cs="Times New Roman"/>
          <w:b/>
          <w:color w:val="FF0000"/>
          <w:lang w:val="es-MX"/>
        </w:rPr>
        <w:sectPr w:rsidR="007D4651" w:rsidRPr="00E9315E" w:rsidSect="004E358C">
          <w:type w:val="continuous"/>
          <w:pgSz w:w="12240" w:h="15840"/>
          <w:pgMar w:top="1417" w:right="1701" w:bottom="1417" w:left="1701" w:header="708" w:footer="708" w:gutter="0"/>
          <w:cols w:num="2" w:space="708"/>
          <w:docGrid w:linePitch="360"/>
        </w:sectPr>
      </w:pPr>
    </w:p>
    <w:p w:rsidR="007D4651" w:rsidRPr="00E9315E" w:rsidRDefault="007D4651" w:rsidP="00B9286A">
      <w:pPr>
        <w:pStyle w:val="Sinespaciado"/>
        <w:rPr>
          <w:rFonts w:ascii="Times New Roman" w:hAnsi="Times New Roman" w:cs="Times New Roman"/>
          <w:b/>
          <w:color w:val="FF0000"/>
          <w:sz w:val="4"/>
          <w:lang w:val="es-MX"/>
        </w:rPr>
      </w:pPr>
    </w:p>
    <w:p w:rsidR="009C4027" w:rsidRPr="00E9315E" w:rsidRDefault="009C4027" w:rsidP="007D4651">
      <w:pPr>
        <w:pStyle w:val="Sinespaciado"/>
        <w:jc w:val="center"/>
        <w:rPr>
          <w:rFonts w:ascii="Times New Roman" w:hAnsi="Times New Roman" w:cs="Times New Roman"/>
          <w:b/>
          <w:color w:val="FF0000"/>
          <w:sz w:val="14"/>
          <w:lang w:val="es-MX"/>
        </w:rPr>
      </w:pPr>
    </w:p>
    <w:p w:rsidR="009C4027" w:rsidRDefault="009C4027" w:rsidP="007D4651">
      <w:pPr>
        <w:pStyle w:val="Sinespaciado"/>
        <w:jc w:val="center"/>
        <w:rPr>
          <w:rFonts w:ascii="Times New Roman" w:hAnsi="Times New Roman" w:cs="Times New Roman"/>
          <w:b/>
          <w:color w:val="FF0000"/>
          <w:lang w:val="es-MX"/>
        </w:rPr>
      </w:pPr>
    </w:p>
    <w:p w:rsidR="00973252" w:rsidRPr="00E9315E" w:rsidRDefault="00973252" w:rsidP="007D4651">
      <w:pPr>
        <w:pStyle w:val="Sinespaciado"/>
        <w:jc w:val="center"/>
        <w:rPr>
          <w:rFonts w:ascii="Times New Roman" w:hAnsi="Times New Roman" w:cs="Times New Roman"/>
          <w:b/>
          <w:color w:val="FF0000"/>
          <w:lang w:val="es-MX"/>
        </w:rPr>
        <w:sectPr w:rsidR="00973252" w:rsidRPr="00E9315E" w:rsidSect="007D4651">
          <w:type w:val="continuous"/>
          <w:pgSz w:w="12240" w:h="15840" w:code="1"/>
          <w:pgMar w:top="1418" w:right="1418" w:bottom="1418" w:left="1418" w:header="709" w:footer="709" w:gutter="0"/>
          <w:cols w:num="2" w:space="708"/>
          <w:docGrid w:linePitch="360"/>
        </w:sectPr>
      </w:pPr>
    </w:p>
    <w:p w:rsidR="006F5EA0" w:rsidRPr="005226CD" w:rsidRDefault="00950874" w:rsidP="006F5EA0">
      <w:pPr>
        <w:pStyle w:val="Sinespaciado"/>
        <w:jc w:val="center"/>
        <w:rPr>
          <w:rFonts w:ascii="Times New Roman" w:hAnsi="Times New Roman" w:cs="Times New Roman"/>
          <w:b/>
          <w:sz w:val="24"/>
          <w:lang w:val="es-MX"/>
        </w:rPr>
      </w:pPr>
      <w:r w:rsidRPr="005226CD">
        <w:rPr>
          <w:rFonts w:ascii="Times New Roman" w:hAnsi="Times New Roman" w:cs="Times New Roman"/>
          <w:b/>
          <w:sz w:val="24"/>
          <w:lang w:val="es-MX"/>
        </w:rPr>
        <w:lastRenderedPageBreak/>
        <w:t>Resultado Presupuestario</w:t>
      </w:r>
    </w:p>
    <w:p w:rsidR="00950874" w:rsidRPr="005226CD" w:rsidRDefault="006F5EA0" w:rsidP="006F5EA0">
      <w:pPr>
        <w:pStyle w:val="Sinespaciado"/>
        <w:jc w:val="center"/>
        <w:rPr>
          <w:rFonts w:ascii="Times New Roman" w:hAnsi="Times New Roman" w:cs="Times New Roman"/>
          <w:sz w:val="18"/>
          <w:lang w:val="es-MX"/>
        </w:rPr>
      </w:pPr>
      <w:r w:rsidRPr="005226CD">
        <w:rPr>
          <w:rFonts w:ascii="Times New Roman" w:hAnsi="Times New Roman" w:cs="Times New Roman"/>
          <w:sz w:val="20"/>
          <w:lang w:val="es-MX"/>
        </w:rPr>
        <w:t xml:space="preserve">       </w:t>
      </w:r>
      <w:r w:rsidR="005226CD" w:rsidRPr="005226CD">
        <w:rPr>
          <w:rFonts w:ascii="Times New Roman" w:hAnsi="Times New Roman" w:cs="Times New Roman"/>
          <w:sz w:val="20"/>
          <w:lang w:val="es-MX"/>
        </w:rPr>
        <w:t>Al 31</w:t>
      </w:r>
      <w:r w:rsidRPr="005226CD">
        <w:rPr>
          <w:rFonts w:ascii="Times New Roman" w:hAnsi="Times New Roman" w:cs="Times New Roman"/>
          <w:sz w:val="20"/>
          <w:lang w:val="es-MX"/>
        </w:rPr>
        <w:t xml:space="preserve"> de </w:t>
      </w:r>
      <w:r w:rsidR="005226CD" w:rsidRPr="005226CD">
        <w:rPr>
          <w:rFonts w:ascii="Times New Roman" w:hAnsi="Times New Roman" w:cs="Times New Roman"/>
          <w:sz w:val="20"/>
          <w:lang w:val="es-MX"/>
        </w:rPr>
        <w:t>mayo</w:t>
      </w:r>
      <w:r w:rsidRPr="005226CD">
        <w:rPr>
          <w:rFonts w:ascii="Times New Roman" w:hAnsi="Times New Roman" w:cs="Times New Roman"/>
          <w:sz w:val="20"/>
          <w:lang w:val="es-MX"/>
        </w:rPr>
        <w:t xml:space="preserve"> de cada año</w:t>
      </w:r>
      <w:r w:rsidR="00F27024" w:rsidRPr="005226CD">
        <w:rPr>
          <w:rFonts w:ascii="Times New Roman" w:hAnsi="Times New Roman" w:cs="Times New Roman"/>
          <w:b/>
          <w:lang w:val="es-MX"/>
        </w:rPr>
        <w:tab/>
      </w:r>
    </w:p>
    <w:p w:rsidR="00E06484" w:rsidRPr="005226CD" w:rsidRDefault="00950874" w:rsidP="00E06484">
      <w:pPr>
        <w:pStyle w:val="Sinespaciado"/>
        <w:jc w:val="center"/>
        <w:rPr>
          <w:rFonts w:ascii="Times New Roman" w:hAnsi="Times New Roman" w:cs="Times New Roman"/>
          <w:sz w:val="18"/>
          <w:lang w:val="es-MX"/>
        </w:rPr>
      </w:pPr>
      <w:r w:rsidRPr="005226CD">
        <w:rPr>
          <w:rFonts w:ascii="Times New Roman" w:hAnsi="Times New Roman" w:cs="Times New Roman"/>
          <w:sz w:val="18"/>
          <w:lang w:val="es-MX"/>
        </w:rPr>
        <w:t>Millones de quetzales</w:t>
      </w:r>
    </w:p>
    <w:p w:rsidR="005C4C97" w:rsidRPr="005226CD" w:rsidRDefault="000473E5" w:rsidP="00973252">
      <w:pPr>
        <w:pStyle w:val="Sinespaciado"/>
        <w:jc w:val="center"/>
        <w:rPr>
          <w:noProof/>
          <w:lang w:eastAsia="es-GT"/>
        </w:rPr>
      </w:pPr>
      <w:r>
        <w:rPr>
          <w:noProof/>
          <w:lang w:eastAsia="es-GT"/>
        </w:rPr>
        <w:drawing>
          <wp:inline distT="0" distB="0" distL="0" distR="0" wp14:anchorId="77050121">
            <wp:extent cx="5846114" cy="2913380"/>
            <wp:effectExtent l="0" t="0" r="254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9387" cy="2924978"/>
                    </a:xfrm>
                    <a:prstGeom prst="rect">
                      <a:avLst/>
                    </a:prstGeom>
                    <a:noFill/>
                  </pic:spPr>
                </pic:pic>
              </a:graphicData>
            </a:graphic>
          </wp:inline>
        </w:drawing>
      </w:r>
    </w:p>
    <w:p w:rsidR="009C4027" w:rsidRPr="005226CD" w:rsidRDefault="000530BD" w:rsidP="00B917E5">
      <w:pPr>
        <w:pStyle w:val="Sinespaciado"/>
        <w:jc w:val="both"/>
        <w:rPr>
          <w:rFonts w:ascii="Times New Roman" w:hAnsi="Times New Roman" w:cs="Times New Roman"/>
          <w:sz w:val="16"/>
        </w:rPr>
      </w:pPr>
      <w:r w:rsidRPr="005226CD">
        <w:rPr>
          <w:rFonts w:ascii="Times New Roman" w:hAnsi="Times New Roman" w:cs="Times New Roman"/>
          <w:sz w:val="16"/>
        </w:rPr>
        <w:t xml:space="preserve">            </w:t>
      </w:r>
      <w:r w:rsidR="00157C3A" w:rsidRPr="005226CD">
        <w:rPr>
          <w:rFonts w:ascii="Times New Roman" w:hAnsi="Times New Roman" w:cs="Times New Roman"/>
          <w:sz w:val="16"/>
        </w:rPr>
        <w:t>F</w:t>
      </w:r>
      <w:r w:rsidR="007D4651" w:rsidRPr="005226CD">
        <w:rPr>
          <w:rFonts w:ascii="Times New Roman" w:hAnsi="Times New Roman" w:cs="Times New Roman"/>
          <w:sz w:val="16"/>
        </w:rPr>
        <w:t>uente: Dirección de Análisis y Política fiscal</w:t>
      </w:r>
    </w:p>
    <w:p w:rsidR="005C4C97" w:rsidRDefault="005C4C97" w:rsidP="007D4651">
      <w:pPr>
        <w:spacing w:after="0" w:line="240" w:lineRule="auto"/>
        <w:rPr>
          <w:rFonts w:ascii="Times New Roman" w:hAnsi="Times New Roman" w:cs="Times New Roman"/>
          <w:color w:val="FF0000"/>
          <w:lang w:val="es-MX"/>
        </w:rPr>
      </w:pPr>
    </w:p>
    <w:p w:rsidR="005C4C97" w:rsidRDefault="005C4C97" w:rsidP="007D4651">
      <w:pPr>
        <w:spacing w:after="0" w:line="240" w:lineRule="auto"/>
        <w:rPr>
          <w:rFonts w:ascii="Times New Roman" w:hAnsi="Times New Roman" w:cs="Times New Roman"/>
          <w:color w:val="FF0000"/>
          <w:lang w:val="es-MX"/>
        </w:rPr>
      </w:pPr>
    </w:p>
    <w:p w:rsidR="005C4C97" w:rsidRPr="00E9315E" w:rsidRDefault="005C4C97" w:rsidP="007D4651">
      <w:pPr>
        <w:spacing w:after="0" w:line="240" w:lineRule="auto"/>
        <w:rPr>
          <w:rFonts w:ascii="Times New Roman" w:hAnsi="Times New Roman" w:cs="Times New Roman"/>
          <w:color w:val="FF0000"/>
          <w:lang w:val="es-MX"/>
        </w:rPr>
        <w:sectPr w:rsidR="005C4C97" w:rsidRPr="00E9315E" w:rsidSect="007D4651">
          <w:type w:val="continuous"/>
          <w:pgSz w:w="12240" w:h="15840" w:code="1"/>
          <w:pgMar w:top="1418" w:right="1418" w:bottom="1418" w:left="1418" w:header="709" w:footer="709" w:gutter="0"/>
          <w:cols w:space="708"/>
          <w:docGrid w:linePitch="360"/>
        </w:sectPr>
      </w:pPr>
    </w:p>
    <w:p w:rsidR="00E16925" w:rsidRPr="00207693"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207693"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207693">
        <w:rPr>
          <w:rFonts w:ascii="Times New Roman" w:hAnsi="Times New Roman" w:cs="Times New Roman"/>
          <w:b/>
          <w:lang w:val="es-MX"/>
        </w:rPr>
        <w:lastRenderedPageBreak/>
        <w:t>La</w:t>
      </w:r>
      <w:r w:rsidR="005550D8" w:rsidRPr="00207693">
        <w:rPr>
          <w:rFonts w:ascii="Times New Roman" w:hAnsi="Times New Roman" w:cs="Times New Roman"/>
          <w:b/>
          <w:lang w:val="es-MX"/>
        </w:rPr>
        <w:t xml:space="preserve">s meta de presupuesto </w:t>
      </w:r>
      <w:r w:rsidR="00B00E20" w:rsidRPr="00207693">
        <w:rPr>
          <w:rFonts w:ascii="Times New Roman" w:hAnsi="Times New Roman" w:cs="Times New Roman"/>
          <w:b/>
          <w:lang w:val="es-MX"/>
        </w:rPr>
        <w:t>no se alcanzó</w:t>
      </w:r>
    </w:p>
    <w:p w:rsidR="00E16925" w:rsidRPr="00E9315E" w:rsidRDefault="00E16925" w:rsidP="00E16925">
      <w:pPr>
        <w:pStyle w:val="Sinespaciado"/>
        <w:rPr>
          <w:rFonts w:ascii="Times New Roman" w:hAnsi="Times New Roman" w:cs="Times New Roman"/>
          <w:b/>
          <w:color w:val="FF0000"/>
          <w:sz w:val="8"/>
          <w:lang w:val="es-MX"/>
        </w:rPr>
      </w:pPr>
    </w:p>
    <w:p w:rsidR="00E16925" w:rsidRPr="005C4C97" w:rsidRDefault="00E16925" w:rsidP="00E16925">
      <w:pPr>
        <w:pStyle w:val="Sinespaciado"/>
        <w:jc w:val="center"/>
        <w:rPr>
          <w:rFonts w:ascii="Times New Roman" w:hAnsi="Times New Roman" w:cs="Times New Roman"/>
          <w:b/>
          <w:color w:val="FF0000"/>
          <w:sz w:val="28"/>
          <w:lang w:val="es-MX"/>
        </w:rPr>
      </w:pPr>
    </w:p>
    <w:p w:rsidR="00343A5D" w:rsidRPr="00E9315E" w:rsidRDefault="00343A5D" w:rsidP="00E16925">
      <w:pPr>
        <w:pStyle w:val="Sinespaciado"/>
        <w:jc w:val="center"/>
        <w:rPr>
          <w:rFonts w:ascii="Times New Roman" w:hAnsi="Times New Roman" w:cs="Times New Roman"/>
          <w:b/>
          <w:color w:val="FF0000"/>
          <w:sz w:val="20"/>
          <w:lang w:val="es-MX"/>
        </w:rPr>
        <w:sectPr w:rsidR="00343A5D" w:rsidRPr="00E9315E" w:rsidSect="004E358C">
          <w:type w:val="continuous"/>
          <w:pgSz w:w="12240" w:h="15840"/>
          <w:pgMar w:top="1417" w:right="1701" w:bottom="1417" w:left="1701" w:header="708" w:footer="708" w:gutter="0"/>
          <w:cols w:space="708"/>
          <w:docGrid w:linePitch="360"/>
        </w:sectPr>
      </w:pPr>
    </w:p>
    <w:p w:rsidR="000530BD" w:rsidRPr="00E9315E" w:rsidRDefault="00DE17E2" w:rsidP="000530BD">
      <w:pPr>
        <w:spacing w:after="0" w:line="240" w:lineRule="auto"/>
        <w:jc w:val="both"/>
        <w:rPr>
          <w:rFonts w:ascii="Times New Roman" w:hAnsi="Times New Roman" w:cs="Times New Roman"/>
          <w:i/>
          <w:color w:val="FF0000"/>
          <w:lang w:val="es-US"/>
        </w:rPr>
      </w:pPr>
      <w:r w:rsidRPr="000453E0">
        <w:rPr>
          <w:rFonts w:ascii="Times New Roman" w:hAnsi="Times New Roman" w:cs="Times New Roman"/>
          <w:lang w:val="es-US"/>
        </w:rPr>
        <w:lastRenderedPageBreak/>
        <w:t xml:space="preserve">Cifras </w:t>
      </w:r>
      <w:r>
        <w:rPr>
          <w:rFonts w:ascii="Times New Roman" w:hAnsi="Times New Roman" w:cs="Times New Roman"/>
          <w:lang w:val="es-US"/>
        </w:rPr>
        <w:t xml:space="preserve">preliminares acumuladas a mayo generaron una brecha negativa de Q1,092.8 millones respecto a la meta de presupuesto, impuestos que generan esta brecha son el ISR, ISO, IVA total, Timbres fiscales, Circulación de Vehículos, IPRIMA, Tabacos, cemento y los no administrados por SAT </w:t>
      </w:r>
      <w:r w:rsidRPr="00A54DD8">
        <w:rPr>
          <w:rFonts w:ascii="Times New Roman" w:hAnsi="Times New Roman" w:cs="Times New Roman"/>
          <w:i/>
          <w:lang w:val="es-US"/>
        </w:rPr>
        <w:t xml:space="preserve">(regalías e </w:t>
      </w:r>
      <w:r w:rsidRPr="00A54DD8">
        <w:rPr>
          <w:rFonts w:ascii="Times New Roman" w:hAnsi="Times New Roman" w:cs="Times New Roman"/>
          <w:i/>
          <w:lang w:val="es-US"/>
        </w:rPr>
        <w:lastRenderedPageBreak/>
        <w:t>hidrocarburos compartibles y salidas del país).</w:t>
      </w:r>
    </w:p>
    <w:p w:rsidR="00F54C17" w:rsidRPr="00E9315E" w:rsidRDefault="00F54C17" w:rsidP="00F54C17">
      <w:pPr>
        <w:spacing w:after="0" w:line="240" w:lineRule="auto"/>
        <w:jc w:val="both"/>
        <w:rPr>
          <w:rFonts w:ascii="Times New Roman" w:hAnsi="Times New Roman" w:cs="Times New Roman"/>
          <w:color w:val="FF0000"/>
          <w:lang w:val="es-US"/>
        </w:rPr>
      </w:pPr>
    </w:p>
    <w:p w:rsidR="00E06484" w:rsidRDefault="00E06484" w:rsidP="005C4C97">
      <w:pPr>
        <w:spacing w:after="0" w:line="240" w:lineRule="auto"/>
        <w:rPr>
          <w:rFonts w:ascii="Times New Roman" w:eastAsiaTheme="minorEastAsia" w:hAnsi="Times New Roman" w:cs="Times New Roman"/>
          <w:b/>
          <w:sz w:val="24"/>
          <w:szCs w:val="24"/>
          <w:lang w:val="es-MX" w:eastAsia="es-ES"/>
        </w:rPr>
      </w:pPr>
    </w:p>
    <w:p w:rsidR="00973252" w:rsidRDefault="00973252" w:rsidP="005C4C97">
      <w:pPr>
        <w:spacing w:after="0" w:line="240" w:lineRule="auto"/>
        <w:rPr>
          <w:rFonts w:ascii="Times New Roman" w:eastAsiaTheme="minorEastAsia" w:hAnsi="Times New Roman" w:cs="Times New Roman"/>
          <w:b/>
          <w:sz w:val="24"/>
          <w:szCs w:val="24"/>
          <w:lang w:val="es-MX" w:eastAsia="es-ES"/>
        </w:rPr>
      </w:pPr>
    </w:p>
    <w:p w:rsidR="00973252" w:rsidRPr="0074369F" w:rsidRDefault="00973252" w:rsidP="005C4C97">
      <w:pPr>
        <w:spacing w:after="0" w:line="240" w:lineRule="auto"/>
        <w:rPr>
          <w:rFonts w:ascii="Times New Roman" w:eastAsiaTheme="minorEastAsia" w:hAnsi="Times New Roman" w:cs="Times New Roman"/>
          <w:b/>
          <w:sz w:val="24"/>
          <w:szCs w:val="24"/>
          <w:lang w:val="es-MX" w:eastAsia="es-ES"/>
        </w:rPr>
      </w:pPr>
      <w:bookmarkStart w:id="0" w:name="_GoBack"/>
      <w:bookmarkEnd w:id="0"/>
    </w:p>
    <w:p w:rsidR="0031651A" w:rsidRPr="0074369F" w:rsidRDefault="0031651A" w:rsidP="00FA7384">
      <w:pPr>
        <w:spacing w:after="0" w:line="240" w:lineRule="auto"/>
        <w:jc w:val="center"/>
        <w:rPr>
          <w:rFonts w:ascii="Times New Roman" w:eastAsiaTheme="minorEastAsia" w:hAnsi="Times New Roman" w:cs="Times New Roman"/>
          <w:b/>
          <w:szCs w:val="24"/>
          <w:lang w:val="es-MX" w:eastAsia="es-ES"/>
        </w:rPr>
      </w:pPr>
      <w:r w:rsidRPr="0074369F">
        <w:rPr>
          <w:rFonts w:ascii="Times New Roman" w:eastAsiaTheme="minorEastAsia" w:hAnsi="Times New Roman" w:cs="Times New Roman"/>
          <w:b/>
          <w:sz w:val="24"/>
          <w:szCs w:val="24"/>
          <w:lang w:val="es-MX" w:eastAsia="es-ES"/>
        </w:rPr>
        <w:lastRenderedPageBreak/>
        <w:t xml:space="preserve">Brecha de recaudación tributaria </w:t>
      </w:r>
      <w:r w:rsidR="00DE17E2" w:rsidRPr="0074369F">
        <w:rPr>
          <w:rFonts w:ascii="Times New Roman" w:eastAsiaTheme="minorEastAsia" w:hAnsi="Times New Roman" w:cs="Times New Roman"/>
          <w:b/>
          <w:szCs w:val="24"/>
          <w:lang w:val="es-MX" w:eastAsia="es-ES"/>
        </w:rPr>
        <w:t>acumulada a mayo</w:t>
      </w:r>
    </w:p>
    <w:p w:rsidR="0031651A" w:rsidRPr="0074369F" w:rsidRDefault="0031651A" w:rsidP="00FA7384">
      <w:pPr>
        <w:spacing w:after="0" w:line="240" w:lineRule="auto"/>
        <w:jc w:val="center"/>
        <w:rPr>
          <w:rFonts w:ascii="Times New Roman" w:eastAsiaTheme="minorEastAsia" w:hAnsi="Times New Roman" w:cs="Times New Roman"/>
          <w:sz w:val="20"/>
          <w:szCs w:val="24"/>
          <w:lang w:val="es-MX" w:eastAsia="es-ES"/>
        </w:rPr>
      </w:pPr>
      <w:r w:rsidRPr="0074369F">
        <w:rPr>
          <w:rFonts w:ascii="Times New Roman" w:eastAsiaTheme="minorEastAsia" w:hAnsi="Times New Roman" w:cs="Times New Roman"/>
          <w:sz w:val="20"/>
          <w:szCs w:val="24"/>
          <w:lang w:val="es-MX" w:eastAsia="es-ES"/>
        </w:rPr>
        <w:t>En millones de quetzales</w:t>
      </w:r>
    </w:p>
    <w:p w:rsidR="00B00E20" w:rsidRPr="0074369F" w:rsidRDefault="00DE17E2" w:rsidP="00B00E20">
      <w:pPr>
        <w:spacing w:after="0" w:line="240" w:lineRule="auto"/>
        <w:jc w:val="both"/>
        <w:rPr>
          <w:rFonts w:ascii="Times New Roman" w:hAnsi="Times New Roman" w:cs="Times New Roman"/>
          <w:lang w:val="es-US"/>
        </w:rPr>
      </w:pPr>
      <w:r w:rsidRPr="0074369F">
        <w:rPr>
          <w:rFonts w:ascii="Times New Roman" w:hAnsi="Times New Roman" w:cs="Times New Roman"/>
          <w:noProof/>
          <w:lang w:eastAsia="es-GT"/>
        </w:rPr>
        <w:drawing>
          <wp:inline distT="0" distB="0" distL="0" distR="0" wp14:anchorId="281B014B" wp14:editId="2F0D4FE5">
            <wp:extent cx="2705100" cy="1914525"/>
            <wp:effectExtent l="0" t="0" r="0" b="508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0E20" w:rsidRPr="0074369F" w:rsidRDefault="00B00E20" w:rsidP="000530BD">
      <w:pPr>
        <w:spacing w:after="0"/>
        <w:jc w:val="both"/>
        <w:rPr>
          <w:rFonts w:ascii="Times New Roman" w:hAnsi="Times New Roman" w:cs="Times New Roman"/>
          <w:sz w:val="16"/>
          <w:lang w:val="es-MX"/>
        </w:rPr>
      </w:pPr>
      <w:r w:rsidRPr="0074369F">
        <w:rPr>
          <w:rFonts w:ascii="Times New Roman" w:hAnsi="Times New Roman" w:cs="Times New Roman"/>
          <w:sz w:val="16"/>
          <w:lang w:val="es-MX"/>
        </w:rPr>
        <w:t>Fuente: Dirección de Análisis y Política Fiscal</w:t>
      </w:r>
    </w:p>
    <w:p w:rsidR="00DE17E2" w:rsidRPr="0074369F" w:rsidRDefault="00DE17E2" w:rsidP="00835216">
      <w:pPr>
        <w:spacing w:after="0" w:line="240" w:lineRule="auto"/>
        <w:jc w:val="both"/>
        <w:rPr>
          <w:rFonts w:ascii="Times New Roman" w:hAnsi="Times New Roman" w:cs="Times New Roman"/>
          <w:lang w:val="es-US"/>
        </w:rPr>
      </w:pPr>
    </w:p>
    <w:p w:rsidR="00835216" w:rsidRPr="0074369F" w:rsidRDefault="00DE17E2" w:rsidP="00835216">
      <w:pPr>
        <w:spacing w:after="0" w:line="240" w:lineRule="auto"/>
        <w:jc w:val="both"/>
        <w:rPr>
          <w:rFonts w:ascii="Times New Roman" w:hAnsi="Times New Roman" w:cs="Times New Roman"/>
          <w:lang w:val="es-US"/>
        </w:rPr>
      </w:pPr>
      <w:r w:rsidRPr="0074369F">
        <w:rPr>
          <w:rFonts w:ascii="Times New Roman" w:hAnsi="Times New Roman" w:cs="Times New Roman"/>
          <w:lang w:val="es-US"/>
        </w:rPr>
        <w:t>De manera mensual se observa rendimiento positivo en, derechos arancelarios a la importación, derivados de petróleo, distribución de bebidas, tabacos y los no administrados por SAT.</w:t>
      </w:r>
    </w:p>
    <w:p w:rsidR="00835216" w:rsidRPr="0074369F" w:rsidRDefault="00835216" w:rsidP="00835216">
      <w:pPr>
        <w:spacing w:after="0" w:line="240" w:lineRule="auto"/>
        <w:jc w:val="both"/>
        <w:rPr>
          <w:rFonts w:ascii="Times New Roman" w:hAnsi="Times New Roman" w:cs="Times New Roman"/>
          <w:lang w:val="es-US"/>
        </w:rPr>
      </w:pPr>
    </w:p>
    <w:p w:rsidR="00835216" w:rsidRPr="0074369F" w:rsidRDefault="00835216" w:rsidP="00835216">
      <w:pPr>
        <w:spacing w:after="0" w:line="240" w:lineRule="auto"/>
        <w:jc w:val="center"/>
        <w:rPr>
          <w:rFonts w:ascii="Times New Roman" w:eastAsiaTheme="minorEastAsia" w:hAnsi="Times New Roman" w:cs="Times New Roman"/>
          <w:b/>
          <w:szCs w:val="24"/>
          <w:lang w:val="es-MX" w:eastAsia="es-ES"/>
        </w:rPr>
      </w:pPr>
      <w:r w:rsidRPr="0074369F">
        <w:rPr>
          <w:rFonts w:ascii="Times New Roman" w:eastAsiaTheme="minorEastAsia" w:hAnsi="Times New Roman" w:cs="Times New Roman"/>
          <w:b/>
          <w:sz w:val="24"/>
          <w:szCs w:val="24"/>
          <w:lang w:val="es-MX" w:eastAsia="es-ES"/>
        </w:rPr>
        <w:t xml:space="preserve">Variación interanual de recaudación </w:t>
      </w:r>
      <w:r w:rsidR="00DE17E2" w:rsidRPr="0074369F">
        <w:rPr>
          <w:rFonts w:ascii="Times New Roman" w:eastAsiaTheme="minorEastAsia" w:hAnsi="Times New Roman" w:cs="Times New Roman"/>
          <w:b/>
          <w:szCs w:val="24"/>
          <w:lang w:val="es-MX" w:eastAsia="es-ES"/>
        </w:rPr>
        <w:t>tributaria acumulada a mayo</w:t>
      </w:r>
    </w:p>
    <w:p w:rsidR="00835216" w:rsidRPr="0074369F" w:rsidRDefault="00835216" w:rsidP="00835216">
      <w:pPr>
        <w:spacing w:after="0" w:line="240" w:lineRule="auto"/>
        <w:jc w:val="center"/>
        <w:rPr>
          <w:rFonts w:ascii="Times New Roman" w:eastAsiaTheme="minorEastAsia" w:hAnsi="Times New Roman" w:cs="Times New Roman"/>
          <w:sz w:val="20"/>
          <w:szCs w:val="24"/>
          <w:lang w:val="es-MX" w:eastAsia="es-ES"/>
        </w:rPr>
      </w:pPr>
      <w:r w:rsidRPr="0074369F">
        <w:rPr>
          <w:rFonts w:ascii="Times New Roman" w:eastAsiaTheme="minorEastAsia" w:hAnsi="Times New Roman" w:cs="Times New Roman"/>
          <w:sz w:val="20"/>
          <w:szCs w:val="24"/>
          <w:lang w:val="es-MX" w:eastAsia="es-ES"/>
        </w:rPr>
        <w:t>en Porcentaje</w:t>
      </w:r>
    </w:p>
    <w:p w:rsidR="00835216" w:rsidRPr="0074369F" w:rsidRDefault="00DE17E2" w:rsidP="00835216">
      <w:pPr>
        <w:spacing w:after="0" w:line="240" w:lineRule="auto"/>
        <w:jc w:val="both"/>
        <w:rPr>
          <w:rFonts w:ascii="Times New Roman" w:hAnsi="Times New Roman" w:cs="Times New Roman"/>
          <w:lang w:val="es-US"/>
        </w:rPr>
      </w:pPr>
      <w:r w:rsidRPr="0074369F">
        <w:rPr>
          <w:rFonts w:ascii="Times New Roman" w:hAnsi="Times New Roman" w:cs="Times New Roman"/>
          <w:noProof/>
          <w:lang w:eastAsia="es-GT"/>
        </w:rPr>
        <w:drawing>
          <wp:inline distT="0" distB="0" distL="0" distR="0" wp14:anchorId="19366A07" wp14:editId="578E4324">
            <wp:extent cx="2705100" cy="24288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216" w:rsidRPr="0074369F" w:rsidRDefault="00835216" w:rsidP="00835216">
      <w:pPr>
        <w:jc w:val="both"/>
        <w:rPr>
          <w:rFonts w:ascii="Times New Roman" w:hAnsi="Times New Roman" w:cs="Times New Roman"/>
          <w:sz w:val="14"/>
          <w:lang w:val="es-MX"/>
        </w:rPr>
      </w:pPr>
      <w:r w:rsidRPr="0074369F">
        <w:rPr>
          <w:rFonts w:ascii="Times New Roman" w:hAnsi="Times New Roman" w:cs="Times New Roman"/>
          <w:sz w:val="14"/>
          <w:lang w:val="es-MX"/>
        </w:rPr>
        <w:t>Fuente: Dirección de Análisis y Política Fiscal</w:t>
      </w:r>
    </w:p>
    <w:p w:rsidR="00835216" w:rsidRPr="0074369F" w:rsidRDefault="0074369F" w:rsidP="00835216">
      <w:pPr>
        <w:spacing w:after="0" w:line="240" w:lineRule="auto"/>
        <w:jc w:val="both"/>
        <w:rPr>
          <w:rFonts w:ascii="Times New Roman" w:hAnsi="Times New Roman" w:cs="Times New Roman"/>
          <w:lang w:val="es-US"/>
        </w:rPr>
      </w:pPr>
      <w:r w:rsidRPr="0074369F">
        <w:rPr>
          <w:rFonts w:ascii="Times New Roman" w:hAnsi="Times New Roman" w:cs="Times New Roman"/>
          <w:lang w:val="es-US"/>
        </w:rPr>
        <w:lastRenderedPageBreak/>
        <w:t>El crecimiento interanual acumulado para mayo es de 4.6% monto inferior al reportado en 2018 (5.2%), impuestos que contribuyen con esta disminución son el ISO, el IVA total (Doméstico e importaciones), circulación de vehículo y el de regalías e hidrocarburos compartibles.</w:t>
      </w:r>
    </w:p>
    <w:p w:rsidR="00835216" w:rsidRPr="0074369F" w:rsidRDefault="00835216" w:rsidP="00835216">
      <w:pPr>
        <w:spacing w:after="0" w:line="240" w:lineRule="auto"/>
        <w:jc w:val="both"/>
        <w:rPr>
          <w:rFonts w:ascii="Times New Roman" w:hAnsi="Times New Roman" w:cs="Times New Roman"/>
          <w:lang w:val="es-US"/>
        </w:rPr>
      </w:pPr>
    </w:p>
    <w:p w:rsidR="00835216" w:rsidRPr="0074369F" w:rsidRDefault="00835216" w:rsidP="00835216">
      <w:pPr>
        <w:spacing w:after="0" w:line="240" w:lineRule="auto"/>
        <w:jc w:val="both"/>
        <w:rPr>
          <w:rFonts w:ascii="Times New Roman" w:hAnsi="Times New Roman" w:cs="Times New Roman"/>
          <w:b/>
          <w:lang w:val="es-US"/>
        </w:rPr>
      </w:pPr>
      <w:r w:rsidRPr="0074369F">
        <w:rPr>
          <w:rFonts w:ascii="Times New Roman" w:hAnsi="Times New Roman" w:cs="Times New Roman"/>
          <w:b/>
          <w:lang w:val="es-US"/>
        </w:rPr>
        <w:t>Impuesto al valor agregado</w:t>
      </w:r>
    </w:p>
    <w:p w:rsidR="00835216" w:rsidRPr="0074369F" w:rsidRDefault="00835216" w:rsidP="00835216">
      <w:pPr>
        <w:spacing w:after="0" w:line="240" w:lineRule="auto"/>
        <w:rPr>
          <w:rFonts w:ascii="Times New Roman" w:hAnsi="Times New Roman" w:cs="Times New Roman"/>
          <w:b/>
          <w:lang w:val="es-US"/>
        </w:rPr>
      </w:pPr>
    </w:p>
    <w:p w:rsidR="0074369F" w:rsidRPr="0074369F" w:rsidRDefault="0074369F" w:rsidP="0074369F">
      <w:pPr>
        <w:spacing w:after="0" w:line="240" w:lineRule="auto"/>
        <w:jc w:val="both"/>
        <w:rPr>
          <w:rFonts w:ascii="Times New Roman" w:hAnsi="Times New Roman" w:cs="Times New Roman"/>
          <w:lang w:val="es-US"/>
        </w:rPr>
      </w:pPr>
      <w:r w:rsidRPr="0074369F">
        <w:rPr>
          <w:rFonts w:ascii="Times New Roman" w:hAnsi="Times New Roman" w:cs="Times New Roman"/>
          <w:lang w:val="es-US"/>
        </w:rPr>
        <w:t>Este impuesto de manera mensual supero lo observado en 2018 por Q188.5 millones, muestra un crecimiento en mayo de 8.2%. De manera acumulada este impuesto genera una brecha negativa de Q794.7 millones respecto a la meta de presupuesto y un crecimiento interanual de 6.4% por abajo del 8.1% observado en mayo de 2018, el IVA asociado al consumo interno crece (5.0%) ligeramente por debajo de lo observado a mayo de 2018 (5.2%).</w:t>
      </w:r>
    </w:p>
    <w:p w:rsidR="00B00E20" w:rsidRPr="0074369F" w:rsidRDefault="00B00E20" w:rsidP="00B00E20">
      <w:pPr>
        <w:spacing w:after="0" w:line="240" w:lineRule="auto"/>
        <w:jc w:val="both"/>
        <w:rPr>
          <w:rFonts w:ascii="Times New Roman" w:hAnsi="Times New Roman" w:cs="Times New Roman"/>
          <w:lang w:val="es-US"/>
        </w:rPr>
      </w:pPr>
    </w:p>
    <w:p w:rsidR="00B00E20" w:rsidRPr="0074369F" w:rsidRDefault="00B00E20" w:rsidP="00B00E20">
      <w:pPr>
        <w:spacing w:after="0" w:line="240" w:lineRule="auto"/>
        <w:rPr>
          <w:rFonts w:ascii="Times New Roman" w:hAnsi="Times New Roman" w:cs="Times New Roman"/>
          <w:b/>
          <w:lang w:val="es-US"/>
        </w:rPr>
      </w:pPr>
      <w:r w:rsidRPr="0074369F">
        <w:rPr>
          <w:rFonts w:ascii="Times New Roman" w:hAnsi="Times New Roman" w:cs="Times New Roman"/>
          <w:b/>
          <w:lang w:val="es-US"/>
        </w:rPr>
        <w:t>Impuesto a la Renta</w:t>
      </w:r>
    </w:p>
    <w:p w:rsidR="00B00E20" w:rsidRPr="0074369F" w:rsidRDefault="00B00E20" w:rsidP="00B00E20">
      <w:pPr>
        <w:spacing w:after="0" w:line="240" w:lineRule="auto"/>
        <w:rPr>
          <w:rFonts w:ascii="Times New Roman" w:hAnsi="Times New Roman" w:cs="Times New Roman"/>
          <w:b/>
          <w:lang w:val="es-US"/>
        </w:rPr>
      </w:pPr>
    </w:p>
    <w:p w:rsidR="00B00E20" w:rsidRPr="0074369F" w:rsidRDefault="0074369F" w:rsidP="00B00E20">
      <w:pPr>
        <w:spacing w:after="0" w:line="240" w:lineRule="auto"/>
        <w:jc w:val="both"/>
        <w:rPr>
          <w:rFonts w:ascii="Times New Roman" w:hAnsi="Times New Roman" w:cs="Times New Roman"/>
          <w:lang w:val="es-US"/>
        </w:rPr>
      </w:pPr>
      <w:r w:rsidRPr="0074369F">
        <w:rPr>
          <w:rFonts w:ascii="Times New Roman" w:hAnsi="Times New Roman" w:cs="Times New Roman"/>
          <w:lang w:val="es-US"/>
        </w:rPr>
        <w:t>Este impuesto acumulado a mayo genera una brecha negativa de Q269.3 millones, respecto a la meta de presupuesto, de manera interanual se tiene un crecimiento de 1.1% (Q79.9 millones), de manera mensual el ISR no alcanzo lo programado por Q72 millones.</w:t>
      </w:r>
    </w:p>
    <w:p w:rsidR="005C4C97" w:rsidRPr="0074369F" w:rsidRDefault="005C4C97" w:rsidP="00B00E20">
      <w:pPr>
        <w:spacing w:after="0" w:line="240" w:lineRule="auto"/>
        <w:jc w:val="both"/>
        <w:rPr>
          <w:rFonts w:ascii="Times New Roman" w:hAnsi="Times New Roman" w:cs="Times New Roman"/>
          <w:lang w:val="es-US"/>
        </w:rPr>
      </w:pPr>
    </w:p>
    <w:p w:rsidR="006830CD" w:rsidRPr="0074369F" w:rsidRDefault="006830CD" w:rsidP="006830CD">
      <w:pPr>
        <w:spacing w:after="0" w:line="240" w:lineRule="auto"/>
        <w:jc w:val="both"/>
        <w:rPr>
          <w:rFonts w:ascii="Times New Roman" w:hAnsi="Times New Roman" w:cs="Times New Roman"/>
          <w:b/>
          <w:lang w:val="es-US"/>
        </w:rPr>
      </w:pPr>
      <w:r w:rsidRPr="0074369F">
        <w:rPr>
          <w:rFonts w:ascii="Times New Roman" w:hAnsi="Times New Roman" w:cs="Times New Roman"/>
          <w:b/>
          <w:lang w:val="es-US"/>
        </w:rPr>
        <w:t>Resto de impuestos</w:t>
      </w:r>
    </w:p>
    <w:p w:rsidR="006830CD" w:rsidRPr="00E9315E" w:rsidRDefault="006830CD" w:rsidP="006830CD">
      <w:pPr>
        <w:spacing w:after="0" w:line="240" w:lineRule="auto"/>
        <w:jc w:val="both"/>
        <w:rPr>
          <w:rFonts w:ascii="Times New Roman" w:hAnsi="Times New Roman" w:cs="Times New Roman"/>
          <w:color w:val="FF0000"/>
          <w:lang w:val="es-US"/>
        </w:rPr>
      </w:pPr>
    </w:p>
    <w:p w:rsidR="00835216" w:rsidRPr="00E9315E" w:rsidRDefault="0074369F" w:rsidP="00835216">
      <w:pPr>
        <w:spacing w:after="0" w:line="240" w:lineRule="auto"/>
        <w:jc w:val="both"/>
        <w:rPr>
          <w:rFonts w:ascii="Times New Roman" w:hAnsi="Times New Roman" w:cs="Times New Roman"/>
          <w:color w:val="FF0000"/>
          <w:lang w:val="es-US"/>
        </w:rPr>
      </w:pPr>
      <w:r>
        <w:rPr>
          <w:rFonts w:ascii="Times New Roman" w:hAnsi="Times New Roman" w:cs="Times New Roman"/>
          <w:lang w:val="es-US"/>
        </w:rPr>
        <w:t>De manera acumulada impuestos como el de patrimonio, derivados del petróleo, y bebidas generaron brecha positiva de Q128.1 millones.</w:t>
      </w:r>
    </w:p>
    <w:p w:rsidR="00E06484" w:rsidRPr="00E9315E" w:rsidRDefault="00E06484" w:rsidP="00CD58C8">
      <w:pPr>
        <w:spacing w:after="0" w:line="240" w:lineRule="auto"/>
        <w:jc w:val="both"/>
        <w:rPr>
          <w:rFonts w:ascii="Times New Roman" w:hAnsi="Times New Roman" w:cs="Times New Roman"/>
          <w:color w:val="FF0000"/>
          <w:lang w:val="es-US"/>
        </w:rPr>
      </w:pPr>
    </w:p>
    <w:p w:rsidR="004356BC" w:rsidRDefault="004356BC" w:rsidP="00674EAE">
      <w:pPr>
        <w:pStyle w:val="Sinespaciado"/>
        <w:jc w:val="both"/>
        <w:rPr>
          <w:rFonts w:ascii="Times New Roman" w:hAnsi="Times New Roman" w:cs="Times New Roman"/>
          <w:color w:val="FF0000"/>
          <w:szCs w:val="18"/>
          <w:lang w:val="es-MX"/>
        </w:rPr>
      </w:pPr>
    </w:p>
    <w:p w:rsidR="004356BC" w:rsidRDefault="004356BC" w:rsidP="00674EAE">
      <w:pPr>
        <w:pStyle w:val="Sinespaciado"/>
        <w:jc w:val="both"/>
        <w:rPr>
          <w:rFonts w:ascii="Times New Roman" w:hAnsi="Times New Roman" w:cs="Times New Roman"/>
          <w:color w:val="FF0000"/>
          <w:szCs w:val="18"/>
          <w:lang w:val="es-MX"/>
        </w:rPr>
      </w:pPr>
    </w:p>
    <w:p w:rsidR="004356BC" w:rsidRDefault="004356BC" w:rsidP="00674EAE">
      <w:pPr>
        <w:pStyle w:val="Sinespaciado"/>
        <w:jc w:val="both"/>
        <w:rPr>
          <w:rFonts w:ascii="Times New Roman" w:hAnsi="Times New Roman" w:cs="Times New Roman"/>
          <w:color w:val="FF0000"/>
          <w:szCs w:val="18"/>
          <w:lang w:val="es-MX"/>
        </w:rPr>
      </w:pPr>
    </w:p>
    <w:p w:rsidR="004356BC" w:rsidRPr="00E9315E" w:rsidRDefault="004356BC" w:rsidP="00674EAE">
      <w:pPr>
        <w:pStyle w:val="Sinespaciado"/>
        <w:jc w:val="both"/>
        <w:rPr>
          <w:rFonts w:ascii="Times New Roman" w:hAnsi="Times New Roman" w:cs="Times New Roman"/>
          <w:color w:val="FF0000"/>
          <w:szCs w:val="18"/>
          <w:lang w:val="es-MX"/>
        </w:rPr>
        <w:sectPr w:rsidR="004356BC" w:rsidRPr="00E9315E" w:rsidSect="005A03A9">
          <w:headerReference w:type="default" r:id="rId15"/>
          <w:footerReference w:type="default" r:id="rId16"/>
          <w:type w:val="continuous"/>
          <w:pgSz w:w="12240" w:h="15840"/>
          <w:pgMar w:top="1417" w:right="1701" w:bottom="1417" w:left="1701" w:header="708" w:footer="708" w:gutter="0"/>
          <w:cols w:num="2" w:space="708"/>
          <w:docGrid w:linePitch="360"/>
        </w:sectPr>
      </w:pPr>
    </w:p>
    <w:p w:rsidR="00FA3B81" w:rsidRPr="005C4C97" w:rsidRDefault="005C4C97"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5C4C97"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5C4C97">
        <w:rPr>
          <w:rFonts w:ascii="Times New Roman" w:hAnsi="Times New Roman" w:cs="Times New Roman"/>
          <w:b/>
          <w:lang w:val="es-MX"/>
        </w:rPr>
        <w:lastRenderedPageBreak/>
        <w:t>E</w:t>
      </w:r>
      <w:r w:rsidR="0090034D" w:rsidRPr="005C4C97">
        <w:rPr>
          <w:rFonts w:ascii="Times New Roman" w:hAnsi="Times New Roman" w:cs="Times New Roman"/>
          <w:b/>
          <w:lang w:val="es-MX"/>
        </w:rPr>
        <w:t>jecución de gasto</w:t>
      </w:r>
      <w:r w:rsidRPr="005C4C97">
        <w:rPr>
          <w:rFonts w:ascii="Times New Roman" w:hAnsi="Times New Roman" w:cs="Times New Roman"/>
          <w:b/>
          <w:lang w:val="es-MX"/>
        </w:rPr>
        <w:t xml:space="preserve"> se muestra aún dinámica</w:t>
      </w:r>
    </w:p>
    <w:p w:rsidR="00FA3B81" w:rsidRPr="00E9315E" w:rsidRDefault="00FA3B81" w:rsidP="00FA3B81">
      <w:pPr>
        <w:pStyle w:val="Sinespaciado"/>
        <w:rPr>
          <w:rFonts w:ascii="Times New Roman" w:hAnsi="Times New Roman" w:cs="Times New Roman"/>
          <w:b/>
          <w:color w:val="FF0000"/>
          <w:sz w:val="18"/>
          <w:lang w:val="es-MX"/>
        </w:rPr>
      </w:pPr>
    </w:p>
    <w:p w:rsidR="00FA3B81" w:rsidRPr="00E9315E" w:rsidRDefault="00FA3B81" w:rsidP="00FA3B81">
      <w:pPr>
        <w:pStyle w:val="Sinespaciado"/>
        <w:jc w:val="center"/>
        <w:rPr>
          <w:rFonts w:ascii="Times New Roman" w:hAnsi="Times New Roman" w:cs="Times New Roman"/>
          <w:b/>
          <w:color w:val="FF0000"/>
          <w:lang w:val="es-MX"/>
        </w:rPr>
        <w:sectPr w:rsidR="00FA3B81" w:rsidRPr="00E9315E" w:rsidSect="004E358C">
          <w:type w:val="continuous"/>
          <w:pgSz w:w="12240" w:h="15840"/>
          <w:pgMar w:top="1417" w:right="1701" w:bottom="1417" w:left="1701" w:header="708" w:footer="708" w:gutter="0"/>
          <w:cols w:space="708"/>
          <w:docGrid w:linePitch="360"/>
        </w:sectPr>
      </w:pPr>
    </w:p>
    <w:p w:rsidR="0090034D" w:rsidRPr="00E9315E" w:rsidRDefault="005C4C97" w:rsidP="0090034D">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La ejecución de gasto público, sin incluir las amortizaciones de la deuda pública, se ubicó en Q29,675.6 millones, con crecimiento interanual de 17.6% con respecto a lo observado en igual fecha del año anterior, el incremento en mayo de 2018 fue únicamente de 3.6%. Se prevé que este comportamiento se desacelere en los próximos meses, cerrando el año con un crecimiento interanual de 7.9%.</w:t>
      </w:r>
    </w:p>
    <w:p w:rsidR="00F24BC5" w:rsidRDefault="00F24BC5" w:rsidP="0090034D">
      <w:pPr>
        <w:pStyle w:val="Sinespaciado"/>
        <w:jc w:val="both"/>
        <w:rPr>
          <w:rFonts w:ascii="Times New Roman" w:hAnsi="Times New Roman" w:cs="Times New Roman"/>
          <w:color w:val="FF0000"/>
          <w:lang w:val="es-MX"/>
        </w:rPr>
      </w:pPr>
    </w:p>
    <w:p w:rsidR="005C4C97" w:rsidRPr="009D459C" w:rsidRDefault="005C4C97" w:rsidP="005C4C97">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r>
        <w:rPr>
          <w:rFonts w:ascii="Times New Roman" w:hAnsi="Times New Roman" w:cs="Times New Roman"/>
          <w:b/>
          <w:lang w:val="es-MX"/>
        </w:rPr>
        <w:t>*</w:t>
      </w:r>
    </w:p>
    <w:p w:rsidR="005C4C97" w:rsidRDefault="005C4C97" w:rsidP="005C4C97">
      <w:pPr>
        <w:pStyle w:val="Sinespaciado"/>
        <w:jc w:val="center"/>
        <w:rPr>
          <w:noProof/>
          <w:lang w:eastAsia="es-GT"/>
        </w:rPr>
      </w:pPr>
      <w:r w:rsidRPr="009D459C">
        <w:rPr>
          <w:rFonts w:ascii="Times New Roman" w:hAnsi="Times New Roman" w:cs="Times New Roman"/>
          <w:sz w:val="18"/>
          <w:lang w:val="es-MX"/>
        </w:rPr>
        <w:t>Variación Interanual</w:t>
      </w:r>
    </w:p>
    <w:p w:rsidR="005C4C97" w:rsidRDefault="005C4C97" w:rsidP="005C4C97">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75620A20" wp14:editId="4D2B5BEB">
            <wp:extent cx="2719705" cy="1690777"/>
            <wp:effectExtent l="0" t="0" r="4445" b="508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9705" cy="1690777"/>
                    </a:xfrm>
                    <a:prstGeom prst="rect">
                      <a:avLst/>
                    </a:prstGeom>
                    <a:noFill/>
                  </pic:spPr>
                </pic:pic>
              </a:graphicData>
            </a:graphic>
          </wp:inline>
        </w:drawing>
      </w:r>
    </w:p>
    <w:p w:rsidR="005C4C97" w:rsidRDefault="005C4C97" w:rsidP="005C4C97">
      <w:pPr>
        <w:pStyle w:val="Sinespaciado"/>
        <w:jc w:val="both"/>
        <w:rPr>
          <w:rFonts w:ascii="Times New Roman" w:hAnsi="Times New Roman" w:cs="Times New Roman"/>
          <w:sz w:val="16"/>
        </w:rPr>
      </w:pPr>
      <w:r>
        <w:rPr>
          <w:rFonts w:ascii="Times New Roman" w:hAnsi="Times New Roman" w:cs="Times New Roman"/>
          <w:sz w:val="16"/>
        </w:rPr>
        <w:t>*No incluye amortizaciones de deuda</w:t>
      </w:r>
    </w:p>
    <w:p w:rsidR="005C4C97" w:rsidRDefault="005C4C97" w:rsidP="005C4C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5C4C97" w:rsidRPr="009D459C" w:rsidRDefault="005C4C97" w:rsidP="005C4C97">
      <w:pPr>
        <w:pStyle w:val="Sinespaciado"/>
        <w:jc w:val="both"/>
        <w:rPr>
          <w:rFonts w:ascii="Times New Roman" w:hAnsi="Times New Roman" w:cs="Times New Roman"/>
        </w:rPr>
      </w:pPr>
    </w:p>
    <w:p w:rsidR="005C4C97" w:rsidRDefault="005C4C97" w:rsidP="005C4C97">
      <w:pPr>
        <w:pStyle w:val="Sinespaciado"/>
        <w:jc w:val="both"/>
        <w:rPr>
          <w:rFonts w:ascii="Times New Roman" w:hAnsi="Times New Roman" w:cs="Times New Roman"/>
          <w:lang w:val="es-MX"/>
        </w:rPr>
      </w:pPr>
      <w:r>
        <w:rPr>
          <w:rFonts w:ascii="Times New Roman" w:hAnsi="Times New Roman" w:cs="Times New Roman"/>
          <w:lang w:val="es-MX"/>
        </w:rPr>
        <w:t>El gasto a</w:t>
      </w:r>
      <w:r w:rsidRPr="004440D1">
        <w:rPr>
          <w:rFonts w:ascii="Times New Roman" w:hAnsi="Times New Roman" w:cs="Times New Roman"/>
          <w:lang w:val="es-MX"/>
        </w:rPr>
        <w:t xml:space="preserve"> nivel de rubro de cuenta e</w:t>
      </w:r>
      <w:r>
        <w:rPr>
          <w:rFonts w:ascii="Times New Roman" w:hAnsi="Times New Roman" w:cs="Times New Roman"/>
          <w:lang w:val="es-MX"/>
        </w:rPr>
        <w:t xml:space="preserve">conómica se encuentra concentrado en las remuneraciones, el pago de transferencias corrientes y en las transferencias de capital. En el caso de las transferencias corrientes, el nivel de ejecución se explica en parte por el aporte de Q526.0 millones dado al Tribunal Supremo Electoral, de esa cuenta, las transferencias corrientes reportan un crecimiento interanual de 30.5%. Por su parte, las transferencias de capital reportan un crecimiento de 20.4% y las remuneraciones un crecimiento de 8.7%, influenciado por el aumento salarial </w:t>
      </w:r>
      <w:r w:rsidRPr="00CD3AB6">
        <w:rPr>
          <w:rFonts w:ascii="Times New Roman" w:hAnsi="Times New Roman" w:cs="Times New Roman"/>
          <w:lang w:val="es-MX"/>
        </w:rPr>
        <w:t>al Magisterio Nacional</w:t>
      </w:r>
      <w:r>
        <w:rPr>
          <w:rFonts w:ascii="Times New Roman" w:hAnsi="Times New Roman" w:cs="Times New Roman"/>
          <w:lang w:val="es-MX"/>
        </w:rPr>
        <w:t xml:space="preserve"> negociado en el Pacto Colectivo de </w:t>
      </w:r>
      <w:r w:rsidRPr="00CD3AB6">
        <w:rPr>
          <w:rFonts w:ascii="Times New Roman" w:hAnsi="Times New Roman" w:cs="Times New Roman"/>
          <w:lang w:val="es-MX"/>
        </w:rPr>
        <w:t xml:space="preserve">Condiciones de </w:t>
      </w:r>
      <w:r>
        <w:rPr>
          <w:rFonts w:ascii="Times New Roman" w:hAnsi="Times New Roman" w:cs="Times New Roman"/>
          <w:lang w:val="es-MX"/>
        </w:rPr>
        <w:t xml:space="preserve">Trabajo que se realizó en 2018, </w:t>
      </w:r>
      <w:r w:rsidRPr="00007C44">
        <w:rPr>
          <w:rFonts w:ascii="Times New Roman" w:hAnsi="Times New Roman" w:cs="Times New Roman"/>
          <w:lang w:val="es-MX"/>
        </w:rPr>
        <w:t xml:space="preserve">Asimismo, se eleva el rubro de remuneraciones derivado del escalafón del ministerio de educación y al Bono de </w:t>
      </w:r>
      <w:r w:rsidRPr="00007C44">
        <w:rPr>
          <w:rFonts w:ascii="Times New Roman" w:hAnsi="Times New Roman" w:cs="Times New Roman"/>
          <w:lang w:val="es-MX"/>
        </w:rPr>
        <w:lastRenderedPageBreak/>
        <w:t>Antigüedad del ministerio de salud, en donde en ambos casos anualmente se ajustan los salarios conforme a la antigüedad del trabajador.</w:t>
      </w:r>
      <w:r>
        <w:rPr>
          <w:rFonts w:ascii="Times New Roman" w:hAnsi="Times New Roman" w:cs="Times New Roman"/>
          <w:lang w:val="es-MX"/>
        </w:rPr>
        <w:t xml:space="preserve"> entre estos tres rubros de gasto se concentra el 66.5% de los gastos totales.</w:t>
      </w:r>
    </w:p>
    <w:p w:rsidR="005C4C97" w:rsidRPr="005C4C97" w:rsidRDefault="005C4C97" w:rsidP="005C4C97">
      <w:pPr>
        <w:pStyle w:val="Sinespaciado"/>
        <w:jc w:val="both"/>
        <w:rPr>
          <w:rFonts w:ascii="Times New Roman" w:hAnsi="Times New Roman" w:cs="Times New Roman"/>
          <w:sz w:val="16"/>
          <w:lang w:val="es-MX"/>
        </w:rPr>
      </w:pPr>
    </w:p>
    <w:p w:rsidR="005C4C97" w:rsidRDefault="005C4C97" w:rsidP="005C4C97">
      <w:pPr>
        <w:pStyle w:val="Sinespaciado"/>
        <w:jc w:val="both"/>
        <w:rPr>
          <w:rFonts w:ascii="Times New Roman" w:hAnsi="Times New Roman" w:cs="Times New Roman"/>
          <w:lang w:val="es-MX"/>
        </w:rPr>
      </w:pPr>
      <w:r>
        <w:rPr>
          <w:rFonts w:ascii="Times New Roman" w:hAnsi="Times New Roman" w:cs="Times New Roman"/>
          <w:lang w:val="es-MX"/>
        </w:rPr>
        <w:t>Otro rubro que mostró un aumento importante fue la inversión real directa ya que tuvo un crecimiento interanual de 254.4%, debido a que paso de Q473.4 millones en mayo de 2018 a Q1,677.8 millones en mayo de 2019</w:t>
      </w:r>
      <w:r w:rsidR="00CF16DB">
        <w:rPr>
          <w:rFonts w:ascii="Times New Roman" w:hAnsi="Times New Roman" w:cs="Times New Roman"/>
          <w:lang w:val="es-MX"/>
        </w:rPr>
        <w:t xml:space="preserve">.  </w:t>
      </w:r>
      <w:r>
        <w:rPr>
          <w:rFonts w:ascii="Times New Roman" w:hAnsi="Times New Roman" w:cs="Times New Roman"/>
          <w:lang w:val="es-MX"/>
        </w:rPr>
        <w:t>Por su parte, las transferencias de capital al sector público mostraron un aumento importante, del orden de 19.7%, derivado del aporte oportuno a las municipalidades, las cuales tienen una mayor asignación en 2019.</w:t>
      </w:r>
    </w:p>
    <w:p w:rsidR="00CF16DB" w:rsidRDefault="00CF16DB" w:rsidP="005C4C97">
      <w:pPr>
        <w:pStyle w:val="Sinespaciado"/>
        <w:jc w:val="both"/>
        <w:rPr>
          <w:rFonts w:ascii="Times New Roman" w:hAnsi="Times New Roman" w:cs="Times New Roman"/>
          <w:lang w:val="es-MX"/>
        </w:rPr>
      </w:pPr>
    </w:p>
    <w:p w:rsidR="005C4C97" w:rsidRDefault="005C4C97" w:rsidP="005C4C97">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31 de mayo de 2019, se ubicó en Q31,033.3 millones, </w:t>
      </w:r>
      <w:r>
        <w:rPr>
          <w:rFonts w:ascii="Times New Roman" w:hAnsi="Times New Roman" w:cs="Times New Roman"/>
          <w:lang w:val="es-MX"/>
        </w:rPr>
        <w:t>con lo cual, la ejecución presupuestaria se ubica en 35.2%, por arriba de la ejecución promedio de los últimos cinco años (2014-2018) cuando fue de 34.4% y siendo el mayor nivel de ejecución, a excepción del 2015, cuando la ejecución fue de 37.1%.</w:t>
      </w:r>
    </w:p>
    <w:p w:rsidR="005C4C97" w:rsidRPr="005C4C97" w:rsidRDefault="005C4C97" w:rsidP="005C4C97">
      <w:pPr>
        <w:pStyle w:val="Sinespaciado"/>
        <w:jc w:val="both"/>
        <w:rPr>
          <w:rFonts w:ascii="Times New Roman" w:hAnsi="Times New Roman" w:cs="Times New Roman"/>
          <w:sz w:val="18"/>
          <w:lang w:val="es-MX"/>
        </w:rPr>
      </w:pPr>
    </w:p>
    <w:p w:rsidR="005C4C97" w:rsidRDefault="005C4C97" w:rsidP="005C4C97">
      <w:pPr>
        <w:pStyle w:val="Sinespaciado"/>
        <w:jc w:val="both"/>
        <w:rPr>
          <w:rFonts w:ascii="Times New Roman" w:hAnsi="Times New Roman" w:cs="Times New Roman"/>
        </w:rPr>
      </w:pPr>
      <w:r>
        <w:rPr>
          <w:rFonts w:ascii="Times New Roman" w:hAnsi="Times New Roman" w:cs="Times New Roman"/>
        </w:rPr>
        <w:t>Dentro de las entidades que muestran mayor ejecución a mayo de 2019,</w:t>
      </w:r>
      <w:r w:rsidR="00CF16DB">
        <w:rPr>
          <w:rFonts w:ascii="Times New Roman" w:hAnsi="Times New Roman" w:cs="Times New Roman"/>
        </w:rPr>
        <w:t xml:space="preserve"> son</w:t>
      </w:r>
      <w:r>
        <w:rPr>
          <w:rFonts w:ascii="Times New Roman" w:hAnsi="Times New Roman" w:cs="Times New Roman"/>
        </w:rPr>
        <w:t xml:space="preserve"> Presidencia de la República, la PGN, Economía, Educación, Obligaciones a cargo del Tesoro y los Servicios de la Deuda Pública. Por su parte, </w:t>
      </w:r>
      <w:r w:rsidRPr="00CA147A">
        <w:rPr>
          <w:rFonts w:ascii="Times New Roman" w:hAnsi="Times New Roman" w:cs="Times New Roman"/>
        </w:rPr>
        <w:t xml:space="preserve">las entidades </w:t>
      </w:r>
      <w:r>
        <w:rPr>
          <w:rFonts w:ascii="Times New Roman" w:hAnsi="Times New Roman" w:cs="Times New Roman"/>
        </w:rPr>
        <w:t>que reportan los me</w:t>
      </w:r>
      <w:r w:rsidR="00CF16DB">
        <w:rPr>
          <w:rFonts w:ascii="Times New Roman" w:hAnsi="Times New Roman" w:cs="Times New Roman"/>
        </w:rPr>
        <w:t>nores niveles de ejecución son Ambiente y Recursos Naturales y Cultura y Deportes</w:t>
      </w:r>
      <w:r>
        <w:rPr>
          <w:rFonts w:ascii="Times New Roman" w:hAnsi="Times New Roman" w:cs="Times New Roman"/>
        </w:rPr>
        <w:t xml:space="preserve">. </w:t>
      </w:r>
      <w:r w:rsidR="00CF16DB">
        <w:rPr>
          <w:rFonts w:ascii="Times New Roman" w:hAnsi="Times New Roman" w:cs="Times New Roman"/>
        </w:rPr>
        <w:t xml:space="preserve"> </w:t>
      </w:r>
      <w:r>
        <w:rPr>
          <w:rFonts w:ascii="Times New Roman" w:hAnsi="Times New Roman" w:cs="Times New Roman"/>
        </w:rPr>
        <w:t>Con respecto a la misma fecha del 2018, las entidades que reportan mayor crecimiento son Comunicaciones, Infraestructura y Vivienda, Economía, Agricu</w:t>
      </w:r>
      <w:r w:rsidR="00CF16DB">
        <w:rPr>
          <w:rFonts w:ascii="Times New Roman" w:hAnsi="Times New Roman" w:cs="Times New Roman"/>
        </w:rPr>
        <w:t>ltura, Ganadería y Alimentación y Cultura y Deportes</w:t>
      </w:r>
      <w:r>
        <w:rPr>
          <w:rFonts w:ascii="Times New Roman" w:hAnsi="Times New Roman" w:cs="Times New Roman"/>
        </w:rPr>
        <w:t xml:space="preserve">. </w:t>
      </w:r>
    </w:p>
    <w:p w:rsidR="005C4C97" w:rsidRDefault="005C4C97" w:rsidP="005C4C97">
      <w:pPr>
        <w:pStyle w:val="Sinespaciado"/>
        <w:jc w:val="center"/>
        <w:rPr>
          <w:rFonts w:ascii="Times New Roman" w:hAnsi="Times New Roman" w:cs="Times New Roman"/>
          <w:b/>
        </w:rPr>
      </w:pPr>
    </w:p>
    <w:p w:rsidR="00F24BC5" w:rsidRDefault="00F24BC5" w:rsidP="005C4C97">
      <w:pPr>
        <w:pStyle w:val="Sinespaciado"/>
        <w:jc w:val="center"/>
        <w:rPr>
          <w:rFonts w:ascii="Times New Roman" w:hAnsi="Times New Roman" w:cs="Times New Roman"/>
          <w:b/>
        </w:rPr>
      </w:pPr>
    </w:p>
    <w:p w:rsidR="00F24BC5" w:rsidRDefault="00F24BC5" w:rsidP="005C4C97">
      <w:pPr>
        <w:pStyle w:val="Sinespaciado"/>
        <w:jc w:val="center"/>
        <w:rPr>
          <w:rFonts w:ascii="Times New Roman" w:hAnsi="Times New Roman" w:cs="Times New Roman"/>
          <w:b/>
        </w:rPr>
      </w:pPr>
    </w:p>
    <w:p w:rsidR="00F24BC5" w:rsidRPr="00CF16DB" w:rsidRDefault="00F24BC5" w:rsidP="005C4C97">
      <w:pPr>
        <w:pStyle w:val="Sinespaciado"/>
        <w:jc w:val="center"/>
        <w:rPr>
          <w:rFonts w:ascii="Times New Roman" w:hAnsi="Times New Roman" w:cs="Times New Roman"/>
          <w:b/>
        </w:rPr>
      </w:pPr>
    </w:p>
    <w:p w:rsidR="005C4C97" w:rsidRPr="002A1B95" w:rsidRDefault="005C4C97" w:rsidP="005C4C97">
      <w:pPr>
        <w:pStyle w:val="Sinespaciado"/>
        <w:jc w:val="center"/>
        <w:rPr>
          <w:rFonts w:ascii="Times New Roman" w:hAnsi="Times New Roman" w:cs="Times New Roman"/>
          <w:b/>
          <w:lang w:val="es-MX"/>
        </w:rPr>
      </w:pPr>
      <w:r>
        <w:rPr>
          <w:rFonts w:ascii="Times New Roman" w:hAnsi="Times New Roman" w:cs="Times New Roman"/>
          <w:b/>
          <w:lang w:val="es-MX"/>
        </w:rPr>
        <w:lastRenderedPageBreak/>
        <w:t xml:space="preserve">Grado de </w:t>
      </w:r>
      <w:r w:rsidRPr="002A1B95">
        <w:rPr>
          <w:rFonts w:ascii="Times New Roman" w:hAnsi="Times New Roman" w:cs="Times New Roman"/>
          <w:b/>
          <w:lang w:val="es-MX"/>
        </w:rPr>
        <w:t>Ejecución por Entidad</w:t>
      </w:r>
    </w:p>
    <w:p w:rsidR="005C4C97" w:rsidRPr="009D459C" w:rsidRDefault="005C4C97" w:rsidP="005C4C97">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mayo de 2019</w:t>
      </w:r>
    </w:p>
    <w:p w:rsidR="005C4C97" w:rsidRDefault="005C4C97" w:rsidP="005C4C97">
      <w:pPr>
        <w:pStyle w:val="Sinespaciado"/>
        <w:jc w:val="center"/>
        <w:rPr>
          <w:rFonts w:ascii="Times New Roman" w:hAnsi="Times New Roman" w:cs="Times New Roman"/>
          <w:sz w:val="18"/>
          <w:szCs w:val="18"/>
          <w:lang w:val="es-MX"/>
        </w:rPr>
      </w:pPr>
      <w:r>
        <w:rPr>
          <w:rFonts w:ascii="Times New Roman" w:hAnsi="Times New Roman" w:cs="Times New Roman"/>
          <w:noProof/>
          <w:sz w:val="18"/>
          <w:szCs w:val="18"/>
          <w:lang w:eastAsia="es-GT"/>
        </w:rPr>
        <w:drawing>
          <wp:anchor distT="0" distB="0" distL="114300" distR="114300" simplePos="0" relativeHeight="251673600" behindDoc="0" locked="0" layoutInCell="1" allowOverlap="1" wp14:anchorId="1D9BD5CC" wp14:editId="7E65C3A7">
            <wp:simplePos x="0" y="0"/>
            <wp:positionH relativeFrom="column">
              <wp:posOffset>238125</wp:posOffset>
            </wp:positionH>
            <wp:positionV relativeFrom="paragraph">
              <wp:posOffset>152400</wp:posOffset>
            </wp:positionV>
            <wp:extent cx="2378710" cy="2276475"/>
            <wp:effectExtent l="0" t="0" r="2540" b="9525"/>
            <wp:wrapSquare wrapText="bothSides"/>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502" r="1394" b="3602"/>
                    <a:stretch/>
                  </pic:blipFill>
                  <pic:spPr bwMode="auto">
                    <a:xfrm>
                      <a:off x="0" y="0"/>
                      <a:ext cx="237871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459C">
        <w:rPr>
          <w:rFonts w:ascii="Times New Roman" w:hAnsi="Times New Roman" w:cs="Times New Roman"/>
          <w:sz w:val="18"/>
          <w:szCs w:val="18"/>
          <w:lang w:val="es-MX"/>
        </w:rPr>
        <w:t>Millones de quetzales</w:t>
      </w:r>
    </w:p>
    <w:p w:rsidR="005C4C97" w:rsidRDefault="005C4C97" w:rsidP="005C4C97">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5C4C97" w:rsidRDefault="005C4C97" w:rsidP="005C4C97">
      <w:pPr>
        <w:pStyle w:val="Sinespaciado"/>
        <w:jc w:val="both"/>
        <w:rPr>
          <w:rFonts w:ascii="Times New Roman" w:hAnsi="Times New Roman" w:cs="Times New Roman"/>
        </w:rPr>
      </w:pPr>
    </w:p>
    <w:p w:rsidR="00DB03B7" w:rsidRDefault="00DB03B7"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Default="00F24BC5" w:rsidP="00E570ED">
      <w:pPr>
        <w:pStyle w:val="Sinespaciado"/>
        <w:jc w:val="both"/>
        <w:rPr>
          <w:rFonts w:ascii="Times New Roman" w:hAnsi="Times New Roman" w:cs="Times New Roman"/>
          <w:color w:val="FF0000"/>
          <w:sz w:val="12"/>
        </w:rPr>
      </w:pPr>
    </w:p>
    <w:p w:rsidR="00F24BC5" w:rsidRPr="00E9315E" w:rsidRDefault="00F24BC5" w:rsidP="00E570ED">
      <w:pPr>
        <w:pStyle w:val="Sinespaciado"/>
        <w:jc w:val="both"/>
        <w:rPr>
          <w:rFonts w:ascii="Times New Roman" w:hAnsi="Times New Roman" w:cs="Times New Roman"/>
          <w:color w:val="FF0000"/>
          <w:sz w:val="12"/>
        </w:rPr>
        <w:sectPr w:rsidR="00F24BC5" w:rsidRPr="00E9315E" w:rsidSect="00040C99">
          <w:headerReference w:type="default" r:id="rId21"/>
          <w:footerReference w:type="default" r:id="rId22"/>
          <w:type w:val="continuous"/>
          <w:pgSz w:w="12240" w:h="15840" w:code="1"/>
          <w:pgMar w:top="1418" w:right="1418" w:bottom="1418" w:left="1701" w:header="709" w:footer="709" w:gutter="0"/>
          <w:cols w:num="2" w:space="708"/>
          <w:docGrid w:linePitch="360"/>
        </w:sectPr>
      </w:pPr>
    </w:p>
    <w:p w:rsidR="001E4CD2" w:rsidRPr="00E9315E" w:rsidRDefault="001E4CD2" w:rsidP="00216605">
      <w:pPr>
        <w:pStyle w:val="Sinespaciado"/>
        <w:jc w:val="both"/>
        <w:rPr>
          <w:rFonts w:ascii="Times New Roman" w:hAnsi="Times New Roman" w:cs="Times New Roman"/>
          <w:color w:val="FF0000"/>
          <w:sz w:val="16"/>
          <w:lang w:val="es-MX"/>
        </w:rPr>
      </w:pPr>
    </w:p>
    <w:p w:rsidR="00216605" w:rsidRPr="00B7015D" w:rsidRDefault="009B2AD3"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B7015D" w:rsidSect="00FA3B81">
          <w:type w:val="continuous"/>
          <w:pgSz w:w="12240" w:h="15840" w:code="1"/>
          <w:pgMar w:top="1418" w:right="1418" w:bottom="1418" w:left="1418" w:header="709" w:footer="709" w:gutter="0"/>
          <w:cols w:space="708"/>
          <w:docGrid w:linePitch="360"/>
        </w:sectPr>
      </w:pPr>
      <w:r w:rsidRPr="00B7015D">
        <w:rPr>
          <w:rFonts w:ascii="Times New Roman" w:hAnsi="Times New Roman" w:cs="Times New Roman"/>
          <w:b/>
          <w:lang w:val="es-MX"/>
        </w:rPr>
        <w:t>Colocación de</w:t>
      </w:r>
      <w:r w:rsidR="00035835" w:rsidRPr="00B7015D">
        <w:rPr>
          <w:rFonts w:ascii="Times New Roman" w:hAnsi="Times New Roman" w:cs="Times New Roman"/>
          <w:b/>
          <w:lang w:val="es-MX"/>
        </w:rPr>
        <w:t xml:space="preserve"> Bonos del Tesoro </w:t>
      </w:r>
      <w:r w:rsidRPr="00B7015D">
        <w:rPr>
          <w:rFonts w:ascii="Times New Roman" w:hAnsi="Times New Roman" w:cs="Times New Roman"/>
          <w:b/>
          <w:lang w:val="es-MX"/>
        </w:rPr>
        <w:t>muestra un alto dinamismo</w:t>
      </w:r>
    </w:p>
    <w:p w:rsidR="00216605" w:rsidRPr="00E9315E" w:rsidRDefault="00216605" w:rsidP="00216605">
      <w:pPr>
        <w:pStyle w:val="Sinespaciado"/>
        <w:rPr>
          <w:rFonts w:ascii="Times New Roman" w:hAnsi="Times New Roman" w:cs="Times New Roman"/>
          <w:b/>
          <w:color w:val="FF0000"/>
          <w:sz w:val="24"/>
          <w:lang w:val="es-MX"/>
        </w:rPr>
      </w:pPr>
    </w:p>
    <w:p w:rsidR="00216605" w:rsidRPr="00E9315E" w:rsidRDefault="00216605" w:rsidP="00216605">
      <w:pPr>
        <w:pStyle w:val="Sinespaciado"/>
        <w:rPr>
          <w:rFonts w:ascii="Times New Roman" w:hAnsi="Times New Roman" w:cs="Times New Roman"/>
          <w:b/>
          <w:color w:val="FF0000"/>
          <w:lang w:val="es-MX"/>
        </w:rPr>
        <w:sectPr w:rsidR="00216605" w:rsidRPr="00E9315E" w:rsidSect="004E358C">
          <w:type w:val="continuous"/>
          <w:pgSz w:w="12240" w:h="15840"/>
          <w:pgMar w:top="1417" w:right="1701" w:bottom="1417" w:left="1701" w:header="708" w:footer="708" w:gutter="0"/>
          <w:cols w:space="708"/>
          <w:docGrid w:linePitch="360"/>
        </w:sectPr>
      </w:pPr>
    </w:p>
    <w:p w:rsidR="005C4C97" w:rsidRDefault="005C4C97" w:rsidP="005C4C97">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mayo 2019 se obtuvo un flujo positivo en el endeudamiento externo neto por el equivalente a Q8,039.9 millones, derivado de la colocación del Eurobono por US$1,200 millones.</w:t>
      </w:r>
    </w:p>
    <w:p w:rsidR="005C4C97" w:rsidRDefault="005C4C97" w:rsidP="005C4C97">
      <w:pPr>
        <w:pStyle w:val="Sinespaciado"/>
        <w:jc w:val="both"/>
        <w:rPr>
          <w:rFonts w:ascii="Times New Roman" w:hAnsi="Times New Roman" w:cs="Times New Roman"/>
        </w:rPr>
      </w:pPr>
    </w:p>
    <w:p w:rsidR="005C4C97" w:rsidRDefault="005C4C97" w:rsidP="005C4C97">
      <w:pPr>
        <w:pStyle w:val="Sinespaciado"/>
        <w:jc w:val="both"/>
        <w:rPr>
          <w:rFonts w:ascii="Times New Roman" w:hAnsi="Times New Roman" w:cs="Times New Roman"/>
        </w:rPr>
      </w:pPr>
      <w:r>
        <w:rPr>
          <w:rFonts w:ascii="Times New Roman" w:hAnsi="Times New Roman" w:cs="Times New Roman"/>
        </w:rPr>
        <w:t xml:space="preserve">La colocación de Bonos del Tesoro, ha tenido una demanda de Q46,245.6 millones, adjudicándose Q16,820.1 millones, incluyendo el Eurobono.   En cuanto a las condiciones financieras del eurobono, resalta que </w:t>
      </w:r>
      <w:r w:rsidRPr="00327B62">
        <w:rPr>
          <w:rFonts w:ascii="Times New Roman" w:hAnsi="Times New Roman" w:cs="Times New Roman"/>
        </w:rPr>
        <w:t>US$700 millones</w:t>
      </w:r>
      <w:r>
        <w:rPr>
          <w:rFonts w:ascii="Times New Roman" w:hAnsi="Times New Roman" w:cs="Times New Roman"/>
        </w:rPr>
        <w:t xml:space="preserve"> se colocaron</w:t>
      </w:r>
      <w:r w:rsidRPr="00327B62">
        <w:rPr>
          <w:rFonts w:ascii="Times New Roman" w:hAnsi="Times New Roman" w:cs="Times New Roman"/>
        </w:rPr>
        <w:t xml:space="preserve"> a 30 años </w:t>
      </w:r>
      <w:r>
        <w:rPr>
          <w:rFonts w:ascii="Times New Roman" w:hAnsi="Times New Roman" w:cs="Times New Roman"/>
        </w:rPr>
        <w:t xml:space="preserve">de </w:t>
      </w:r>
      <w:r w:rsidRPr="00327B62">
        <w:rPr>
          <w:rFonts w:ascii="Times New Roman" w:hAnsi="Times New Roman" w:cs="Times New Roman"/>
        </w:rPr>
        <w:t>plazo, con una tasa de interés de 6.125%</w:t>
      </w:r>
      <w:r>
        <w:rPr>
          <w:rFonts w:ascii="Times New Roman" w:hAnsi="Times New Roman" w:cs="Times New Roman"/>
        </w:rPr>
        <w:t xml:space="preserve">, los </w:t>
      </w:r>
      <w:r w:rsidRPr="00327B62">
        <w:rPr>
          <w:rFonts w:ascii="Times New Roman" w:hAnsi="Times New Roman" w:cs="Times New Roman"/>
        </w:rPr>
        <w:t>US$500 millones</w:t>
      </w:r>
      <w:r>
        <w:rPr>
          <w:rFonts w:ascii="Times New Roman" w:hAnsi="Times New Roman" w:cs="Times New Roman"/>
        </w:rPr>
        <w:t xml:space="preserve"> restantes, se colocaron </w:t>
      </w:r>
      <w:r w:rsidRPr="00327B62">
        <w:rPr>
          <w:rFonts w:ascii="Times New Roman" w:hAnsi="Times New Roman" w:cs="Times New Roman"/>
        </w:rPr>
        <w:t>a 10 años plazo, con una tasa de 4.900%</w:t>
      </w:r>
      <w:r>
        <w:rPr>
          <w:rFonts w:ascii="Times New Roman" w:hAnsi="Times New Roman" w:cs="Times New Roman"/>
        </w:rPr>
        <w:t xml:space="preserve">. </w:t>
      </w:r>
    </w:p>
    <w:p w:rsidR="005C4C97" w:rsidRPr="00327B62" w:rsidRDefault="005C4C97" w:rsidP="005C4C97">
      <w:pPr>
        <w:pStyle w:val="Sinespaciado"/>
        <w:jc w:val="both"/>
        <w:rPr>
          <w:rFonts w:ascii="Times New Roman" w:hAnsi="Times New Roman" w:cs="Times New Roman"/>
        </w:rPr>
      </w:pPr>
    </w:p>
    <w:p w:rsidR="005C4C97" w:rsidRDefault="005C4C97" w:rsidP="005C4C97">
      <w:pPr>
        <w:pStyle w:val="Sinespaciado"/>
        <w:jc w:val="both"/>
        <w:rPr>
          <w:rFonts w:ascii="Times New Roman" w:hAnsi="Times New Roman" w:cs="Times New Roman"/>
        </w:rPr>
      </w:pPr>
      <w:r>
        <w:rPr>
          <w:rFonts w:ascii="Times New Roman" w:hAnsi="Times New Roman" w:cs="Times New Roman"/>
        </w:rPr>
        <w:t xml:space="preserve">Por lo anterior, aún está pendiente de colocarse, conforme lo autorizado por el Congreso de la República, la cantidad de Q1,598.9 millones, es decir, el 8.7% del total de la emisión para este año. </w:t>
      </w:r>
    </w:p>
    <w:p w:rsidR="00F654C6" w:rsidRPr="005C4C97" w:rsidRDefault="00F654C6" w:rsidP="005C4C97">
      <w:pPr>
        <w:pStyle w:val="Sinespaciado"/>
        <w:jc w:val="both"/>
        <w:rPr>
          <w:rFonts w:ascii="Times New Roman" w:hAnsi="Times New Roman" w:cs="Times New Roman"/>
        </w:rPr>
      </w:pPr>
    </w:p>
    <w:p w:rsidR="005C4C97" w:rsidRDefault="005C4C97" w:rsidP="005C4C97">
      <w:pPr>
        <w:pStyle w:val="Sinespaciado"/>
        <w:jc w:val="center"/>
        <w:rPr>
          <w:rFonts w:ascii="Times New Roman" w:hAnsi="Times New Roman" w:cs="Times New Roman"/>
          <w:b/>
        </w:rPr>
      </w:pPr>
      <w:r w:rsidRPr="006C4BB8">
        <w:rPr>
          <w:rFonts w:ascii="Times New Roman" w:hAnsi="Times New Roman" w:cs="Times New Roman"/>
          <w:b/>
        </w:rPr>
        <w:lastRenderedPageBreak/>
        <w:t>Colocación de Bonos del Tesoro</w:t>
      </w:r>
      <w:r>
        <w:rPr>
          <w:rFonts w:ascii="Times New Roman" w:hAnsi="Times New Roman" w:cs="Times New Roman"/>
          <w:b/>
        </w:rPr>
        <w:t xml:space="preserve"> </w:t>
      </w:r>
    </w:p>
    <w:p w:rsidR="005C4C97" w:rsidRPr="006C4BB8" w:rsidRDefault="005C4C97" w:rsidP="005C4C97">
      <w:pPr>
        <w:pStyle w:val="Sinespaciado"/>
        <w:jc w:val="center"/>
        <w:rPr>
          <w:rFonts w:ascii="Times New Roman" w:hAnsi="Times New Roman" w:cs="Times New Roman"/>
          <w:sz w:val="18"/>
        </w:rPr>
      </w:pPr>
      <w:r>
        <w:rPr>
          <w:rFonts w:ascii="Times New Roman" w:hAnsi="Times New Roman" w:cs="Times New Roman"/>
          <w:sz w:val="18"/>
        </w:rPr>
        <w:t xml:space="preserve">Enero - </w:t>
      </w:r>
      <w:proofErr w:type="gramStart"/>
      <w:r>
        <w:rPr>
          <w:rFonts w:ascii="Times New Roman" w:hAnsi="Times New Roman" w:cs="Times New Roman"/>
          <w:sz w:val="18"/>
        </w:rPr>
        <w:t>Mayo</w:t>
      </w:r>
      <w:proofErr w:type="gramEnd"/>
      <w:r>
        <w:rPr>
          <w:rFonts w:ascii="Times New Roman" w:hAnsi="Times New Roman" w:cs="Times New Roman"/>
          <w:sz w:val="18"/>
        </w:rPr>
        <w:t xml:space="preserve"> </w:t>
      </w:r>
      <w:r w:rsidRPr="006C4BB8">
        <w:rPr>
          <w:rFonts w:ascii="Times New Roman" w:hAnsi="Times New Roman" w:cs="Times New Roman"/>
          <w:sz w:val="18"/>
        </w:rPr>
        <w:t>2019</w:t>
      </w:r>
    </w:p>
    <w:p w:rsidR="001A27B3" w:rsidRPr="006C4BB8" w:rsidRDefault="001A27B3" w:rsidP="001A27B3">
      <w:pPr>
        <w:pStyle w:val="Sinespaciado"/>
        <w:jc w:val="center"/>
        <w:rPr>
          <w:rFonts w:ascii="Times New Roman" w:hAnsi="Times New Roman" w:cs="Times New Roman"/>
          <w:sz w:val="18"/>
        </w:rPr>
      </w:pPr>
      <w:r>
        <w:rPr>
          <w:rFonts w:ascii="Times New Roman" w:hAnsi="Times New Roman" w:cs="Times New Roman"/>
          <w:noProof/>
          <w:sz w:val="18"/>
          <w:lang w:eastAsia="es-GT"/>
        </w:rPr>
        <w:drawing>
          <wp:anchor distT="0" distB="0" distL="114300" distR="114300" simplePos="0" relativeHeight="251683840" behindDoc="0" locked="0" layoutInCell="1" allowOverlap="1" wp14:anchorId="356273FB" wp14:editId="1D083A21">
            <wp:simplePos x="0" y="0"/>
            <wp:positionH relativeFrom="column">
              <wp:posOffset>-3810</wp:posOffset>
            </wp:positionH>
            <wp:positionV relativeFrom="paragraph">
              <wp:posOffset>173355</wp:posOffset>
            </wp:positionV>
            <wp:extent cx="2676525" cy="1895475"/>
            <wp:effectExtent l="0" t="0" r="9525" b="9525"/>
            <wp:wrapSquare wrapText="bothSides"/>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6525" cy="1895475"/>
                    </a:xfrm>
                    <a:prstGeom prst="rect">
                      <a:avLst/>
                    </a:prstGeom>
                    <a:noFill/>
                  </pic:spPr>
                </pic:pic>
              </a:graphicData>
            </a:graphic>
            <wp14:sizeRelH relativeFrom="page">
              <wp14:pctWidth>0</wp14:pctWidth>
            </wp14:sizeRelH>
            <wp14:sizeRelV relativeFrom="page">
              <wp14:pctHeight>0</wp14:pctHeight>
            </wp14:sizeRelV>
          </wp:anchor>
        </w:drawing>
      </w:r>
      <w:r w:rsidR="005C4C97" w:rsidRPr="006C4BB8">
        <w:rPr>
          <w:rFonts w:ascii="Times New Roman" w:hAnsi="Times New Roman" w:cs="Times New Roman"/>
          <w:sz w:val="18"/>
        </w:rPr>
        <w:t>Millones de quetzales y porcentajes</w:t>
      </w:r>
    </w:p>
    <w:p w:rsidR="00F24BC5" w:rsidRDefault="005C4C97" w:rsidP="00216B0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r w:rsidR="00F24BC5">
        <w:rPr>
          <w:rFonts w:ascii="Times New Roman" w:hAnsi="Times New Roman" w:cs="Times New Roman"/>
          <w:sz w:val="16"/>
        </w:rPr>
        <w:t>.</w:t>
      </w: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F24BC5" w:rsidRDefault="00F24BC5" w:rsidP="00216B0E">
      <w:pPr>
        <w:pStyle w:val="Sinespaciado"/>
        <w:jc w:val="both"/>
        <w:rPr>
          <w:rFonts w:ascii="Times New Roman" w:hAnsi="Times New Roman" w:cs="Times New Roman"/>
          <w:sz w:val="16"/>
        </w:rPr>
      </w:pPr>
    </w:p>
    <w:p w:rsidR="00216B0E" w:rsidRPr="00CF16DB" w:rsidRDefault="009B2AD3" w:rsidP="00216B0E">
      <w:pPr>
        <w:pStyle w:val="Sinespaciado"/>
        <w:jc w:val="both"/>
        <w:rPr>
          <w:rFonts w:ascii="Times New Roman" w:hAnsi="Times New Roman" w:cs="Times New Roman"/>
          <w:sz w:val="16"/>
        </w:rPr>
        <w:sectPr w:rsidR="00216B0E" w:rsidRPr="00CF16DB" w:rsidSect="00040C99">
          <w:headerReference w:type="default" r:id="rId24"/>
          <w:footerReference w:type="default" r:id="rId25"/>
          <w:type w:val="continuous"/>
          <w:pgSz w:w="12240" w:h="15840" w:code="1"/>
          <w:pgMar w:top="1418" w:right="1418" w:bottom="1418" w:left="1701" w:header="709" w:footer="709" w:gutter="0"/>
          <w:cols w:num="2" w:space="708"/>
          <w:docGrid w:linePitch="360"/>
        </w:sectPr>
      </w:pPr>
      <w:r w:rsidRPr="00F654C6">
        <w:rPr>
          <w:rFonts w:ascii="Times New Roman" w:hAnsi="Times New Roman" w:cs="Times New Roman"/>
          <w:color w:val="FFFFFF" w:themeColor="background1"/>
        </w:rPr>
        <w:t xml:space="preserve">derivado del aumento en la recaudación </w:t>
      </w:r>
    </w:p>
    <w:p w:rsidR="00D23424" w:rsidRPr="00F654C6" w:rsidRDefault="00D23424" w:rsidP="000C65AB">
      <w:pPr>
        <w:pStyle w:val="Sinespaciado"/>
        <w:jc w:val="both"/>
        <w:rPr>
          <w:rFonts w:ascii="Times New Roman" w:hAnsi="Times New Roman" w:cs="Times New Roman"/>
        </w:rPr>
      </w:pPr>
    </w:p>
    <w:p w:rsidR="00B96036" w:rsidRPr="00E9315E" w:rsidRDefault="00B96036" w:rsidP="00D4202F">
      <w:pPr>
        <w:spacing w:after="0"/>
        <w:rPr>
          <w:rFonts w:ascii="Times New Roman" w:hAnsi="Times New Roman" w:cs="Times New Roman"/>
          <w:color w:val="FF0000"/>
          <w:sz w:val="18"/>
          <w:lang w:val="es-MX"/>
        </w:rPr>
        <w:sectPr w:rsidR="00B96036" w:rsidRPr="00E9315E" w:rsidSect="004E358C">
          <w:headerReference w:type="default" r:id="rId26"/>
          <w:footerReference w:type="default" r:id="rId27"/>
          <w:type w:val="continuous"/>
          <w:pgSz w:w="12240" w:h="15840"/>
          <w:pgMar w:top="1417" w:right="1701" w:bottom="1417" w:left="1701" w:header="708" w:footer="708" w:gutter="0"/>
          <w:cols w:num="2" w:space="708"/>
          <w:docGrid w:linePitch="360"/>
        </w:sectPr>
      </w:pPr>
    </w:p>
    <w:p w:rsidR="00494D1D" w:rsidRPr="002A5B1B"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2A5B1B"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r w:rsidRPr="002A5B1B">
        <w:rPr>
          <w:rFonts w:ascii="Times New Roman" w:hAnsi="Times New Roman" w:cs="Times New Roman"/>
          <w:b/>
          <w:lang w:val="es-MX"/>
        </w:rPr>
        <w:lastRenderedPageBreak/>
        <w:t>Ambientes macroeconómicos (externo e interno)</w:t>
      </w:r>
    </w:p>
    <w:p w:rsidR="00494D1D" w:rsidRPr="00E9315E" w:rsidRDefault="00494D1D" w:rsidP="00494D1D">
      <w:pPr>
        <w:pStyle w:val="Sinespaciado"/>
        <w:rPr>
          <w:rFonts w:ascii="Times New Roman" w:hAnsi="Times New Roman" w:cs="Times New Roman"/>
          <w:b/>
          <w:color w:val="FF0000"/>
          <w:sz w:val="18"/>
          <w:lang w:val="es-MX"/>
        </w:rPr>
      </w:pPr>
    </w:p>
    <w:p w:rsidR="00494D1D" w:rsidRPr="00E9315E" w:rsidRDefault="00494D1D" w:rsidP="00494D1D">
      <w:pPr>
        <w:pStyle w:val="Sinespaciado"/>
        <w:rPr>
          <w:rFonts w:ascii="Times New Roman" w:hAnsi="Times New Roman" w:cs="Times New Roman"/>
          <w:b/>
          <w:color w:val="FF0000"/>
          <w:sz w:val="28"/>
          <w:lang w:val="es-MX"/>
        </w:rPr>
        <w:sectPr w:rsidR="00494D1D" w:rsidRPr="00E9315E" w:rsidSect="004E358C">
          <w:type w:val="continuous"/>
          <w:pgSz w:w="12240" w:h="15840"/>
          <w:pgMar w:top="1417" w:right="1701" w:bottom="1417" w:left="1701" w:header="708" w:footer="708" w:gutter="0"/>
          <w:cols w:space="708"/>
          <w:docGrid w:linePitch="360"/>
        </w:sectPr>
      </w:pPr>
    </w:p>
    <w:p w:rsidR="007706F8" w:rsidRPr="005F18DE" w:rsidRDefault="0071791E" w:rsidP="00D04F96">
      <w:pPr>
        <w:pStyle w:val="Sinespaciado"/>
        <w:jc w:val="both"/>
        <w:rPr>
          <w:rFonts w:ascii="Times New Roman" w:hAnsi="Times New Roman" w:cs="Times New Roman"/>
          <w:lang w:val="es-MX"/>
        </w:rPr>
      </w:pPr>
      <w:r w:rsidRPr="005F18DE">
        <w:rPr>
          <w:rFonts w:ascii="Times New Roman" w:hAnsi="Times New Roman" w:cs="Times New Roman"/>
          <w:lang w:val="es-MX"/>
        </w:rPr>
        <w:lastRenderedPageBreak/>
        <w:t>Entre l</w:t>
      </w:r>
      <w:r w:rsidR="00D04F96" w:rsidRPr="005F18DE">
        <w:rPr>
          <w:rFonts w:ascii="Times New Roman" w:hAnsi="Times New Roman" w:cs="Times New Roman"/>
          <w:lang w:val="es-MX"/>
        </w:rPr>
        <w:t xml:space="preserve">o más relevante acontecido en </w:t>
      </w:r>
      <w:r w:rsidR="005F18DE" w:rsidRPr="005F18DE">
        <w:rPr>
          <w:rFonts w:ascii="Times New Roman" w:hAnsi="Times New Roman" w:cs="Times New Roman"/>
          <w:lang w:val="es-MX"/>
        </w:rPr>
        <w:t>mayo, la OCDE rebajó sus previsiones económicas para las principales potencias mundiales, e hizo un llamado urgente para que se detenga la escalada de tensiones comerciales</w:t>
      </w:r>
      <w:r w:rsidR="00963756">
        <w:rPr>
          <w:rFonts w:ascii="Times New Roman" w:hAnsi="Times New Roman" w:cs="Times New Roman"/>
          <w:lang w:val="es-MX"/>
        </w:rPr>
        <w:t>.</w:t>
      </w:r>
      <w:r w:rsidR="005F18DE" w:rsidRPr="005F18DE">
        <w:rPr>
          <w:rFonts w:ascii="Times New Roman" w:hAnsi="Times New Roman" w:cs="Times New Roman"/>
          <w:lang w:val="es-MX"/>
        </w:rPr>
        <w:t xml:space="preserve"> El PIB mundial, que después de haber aumentado un 3.5 % en 2018, se quedará en 3.2% este año y 3.4% en 2020, netamente por debajo del valor medio de los tres últimos años.  Entre los países que sufren las mayores correcciones están los que más dependen del comercio exterior y del sector manufacturero como Alemania, con un crecimiento esperado </w:t>
      </w:r>
      <w:r w:rsidR="00963756">
        <w:rPr>
          <w:rFonts w:ascii="Times New Roman" w:hAnsi="Times New Roman" w:cs="Times New Roman"/>
          <w:lang w:val="es-MX"/>
        </w:rPr>
        <w:t>este año de 0.7%</w:t>
      </w:r>
      <w:r w:rsidR="005F18DE" w:rsidRPr="005F18DE">
        <w:rPr>
          <w:rFonts w:ascii="Times New Roman" w:hAnsi="Times New Roman" w:cs="Times New Roman"/>
          <w:lang w:val="es-MX"/>
        </w:rPr>
        <w:t xml:space="preserve"> y </w:t>
      </w:r>
      <w:r w:rsidR="00963756">
        <w:rPr>
          <w:rFonts w:ascii="Times New Roman" w:hAnsi="Times New Roman" w:cs="Times New Roman"/>
          <w:lang w:val="es-MX"/>
        </w:rPr>
        <w:t>1.2% para</w:t>
      </w:r>
      <w:r w:rsidR="005F18DE" w:rsidRPr="005F18DE">
        <w:rPr>
          <w:rFonts w:ascii="Times New Roman" w:hAnsi="Times New Roman" w:cs="Times New Roman"/>
          <w:lang w:val="es-MX"/>
        </w:rPr>
        <w:t xml:space="preserve"> 2020; Italia se quedará estancada en 2019 en 0.6%. Francia, país más dependiente de su demanda interna</w:t>
      </w:r>
      <w:r w:rsidR="00963756">
        <w:rPr>
          <w:rFonts w:ascii="Times New Roman" w:hAnsi="Times New Roman" w:cs="Times New Roman"/>
          <w:lang w:val="es-MX"/>
        </w:rPr>
        <w:t>,</w:t>
      </w:r>
      <w:r w:rsidR="005F18DE" w:rsidRPr="005F18DE">
        <w:rPr>
          <w:rFonts w:ascii="Times New Roman" w:hAnsi="Times New Roman" w:cs="Times New Roman"/>
          <w:lang w:val="es-MX"/>
        </w:rPr>
        <w:t xml:space="preserve"> t</w:t>
      </w:r>
      <w:r w:rsidR="00963756">
        <w:rPr>
          <w:rFonts w:ascii="Times New Roman" w:hAnsi="Times New Roman" w:cs="Times New Roman"/>
          <w:lang w:val="es-MX"/>
        </w:rPr>
        <w:t>endrá una progresión del PIB de</w:t>
      </w:r>
      <w:r w:rsidR="005F18DE" w:rsidRPr="005F18DE">
        <w:rPr>
          <w:rFonts w:ascii="Times New Roman" w:hAnsi="Times New Roman" w:cs="Times New Roman"/>
          <w:lang w:val="es-MX"/>
        </w:rPr>
        <w:t xml:space="preserve"> 1.3% tanto en 2019 como en 2020. En conjunto, las perspectivas para la zona euro se recortan en seis décimas para 2019 y 2020 con 1.2% y 1.4% respectivamente. El PIB estadounidense crecerá este año 2.8% y 2.3% en 2020.  La OCDE manifestó inquietud por China, pese a que mantiene sus perspectivas con una ligera corrección para 2019 dejándola en 6.2% de aumento del PIB y sin cambios para 2020 en 6%.</w:t>
      </w:r>
    </w:p>
    <w:p w:rsidR="005F18DE" w:rsidRDefault="005F18DE" w:rsidP="00D04F96">
      <w:pPr>
        <w:pStyle w:val="Sinespaciado"/>
        <w:jc w:val="both"/>
        <w:rPr>
          <w:rFonts w:ascii="Times New Roman" w:hAnsi="Times New Roman" w:cs="Times New Roman"/>
          <w:lang w:val="es-MX"/>
        </w:rPr>
      </w:pPr>
    </w:p>
    <w:p w:rsidR="005F18DE" w:rsidRPr="002E1A1E" w:rsidRDefault="005F18DE" w:rsidP="00963756">
      <w:pPr>
        <w:pStyle w:val="Sinespaciado"/>
        <w:jc w:val="both"/>
        <w:rPr>
          <w:rFonts w:ascii="Times New Roman" w:hAnsi="Times New Roman" w:cs="Times New Roman"/>
          <w:lang w:val="es-MX"/>
        </w:rPr>
      </w:pPr>
      <w:r w:rsidRPr="002E1A1E">
        <w:rPr>
          <w:rFonts w:ascii="Times New Roman" w:hAnsi="Times New Roman" w:cs="Times New Roman"/>
          <w:lang w:val="es-MX"/>
        </w:rPr>
        <w:t>La Reserva Federal decidió por unanimidad mantener las tasas de interés en el actual rango de entre 2.25% y 2.50% tras aumentar</w:t>
      </w:r>
      <w:r>
        <w:rPr>
          <w:rFonts w:ascii="Times New Roman" w:hAnsi="Times New Roman" w:cs="Times New Roman"/>
          <w:lang w:val="es-MX"/>
        </w:rPr>
        <w:t>la</w:t>
      </w:r>
      <w:r w:rsidRPr="002E1A1E">
        <w:rPr>
          <w:rFonts w:ascii="Times New Roman" w:hAnsi="Times New Roman" w:cs="Times New Roman"/>
          <w:lang w:val="es-MX"/>
        </w:rPr>
        <w:t xml:space="preserve"> cuatro veces en el último año. </w:t>
      </w:r>
      <w:r>
        <w:rPr>
          <w:rFonts w:ascii="Times New Roman" w:hAnsi="Times New Roman" w:cs="Times New Roman"/>
          <w:lang w:val="es-MX"/>
        </w:rPr>
        <w:t>L</w:t>
      </w:r>
      <w:r w:rsidRPr="002E1A1E">
        <w:rPr>
          <w:rFonts w:ascii="Times New Roman" w:hAnsi="Times New Roman" w:cs="Times New Roman"/>
          <w:lang w:val="es-MX"/>
        </w:rPr>
        <w:t>a Fed, advirtió que</w:t>
      </w:r>
      <w:r w:rsidR="00963756">
        <w:rPr>
          <w:rFonts w:ascii="Times New Roman" w:hAnsi="Times New Roman" w:cs="Times New Roman"/>
          <w:lang w:val="es-MX"/>
        </w:rPr>
        <w:t xml:space="preserve"> se mantiene fuerte el mercado laboral y que hay solidos beneficios en la actividad económica</w:t>
      </w:r>
      <w:r w:rsidRPr="002E1A1E">
        <w:rPr>
          <w:rFonts w:ascii="Times New Roman" w:hAnsi="Times New Roman" w:cs="Times New Roman"/>
          <w:lang w:val="es-MX"/>
        </w:rPr>
        <w:t xml:space="preserve">; también </w:t>
      </w:r>
      <w:r>
        <w:rPr>
          <w:rFonts w:ascii="Times New Roman" w:hAnsi="Times New Roman" w:cs="Times New Roman"/>
          <w:lang w:val="es-MX"/>
        </w:rPr>
        <w:t>manifestó</w:t>
      </w:r>
      <w:r w:rsidRPr="002E1A1E">
        <w:rPr>
          <w:rFonts w:ascii="Times New Roman" w:hAnsi="Times New Roman" w:cs="Times New Roman"/>
          <w:lang w:val="es-MX"/>
        </w:rPr>
        <w:t xml:space="preserve"> percibir una ralentización en las inversiones de hogares y empresas y que la inflación sigue estando debajo de la meta de 2%.  </w:t>
      </w:r>
    </w:p>
    <w:p w:rsidR="005F18DE" w:rsidRPr="005F18DE" w:rsidRDefault="005F18DE" w:rsidP="00D04F96">
      <w:pPr>
        <w:pStyle w:val="Sinespaciado"/>
        <w:jc w:val="both"/>
        <w:rPr>
          <w:rFonts w:ascii="Times New Roman" w:hAnsi="Times New Roman" w:cs="Times New Roman"/>
          <w:lang w:val="es-MX"/>
        </w:rPr>
      </w:pPr>
    </w:p>
    <w:p w:rsidR="00312D85" w:rsidRPr="005F18DE" w:rsidRDefault="00963756" w:rsidP="00434FC6">
      <w:pPr>
        <w:spacing w:after="0" w:line="240" w:lineRule="auto"/>
        <w:jc w:val="both"/>
        <w:rPr>
          <w:rFonts w:ascii="Times New Roman" w:hAnsi="Times New Roman" w:cs="Times New Roman"/>
          <w:lang w:val="es-MX"/>
        </w:rPr>
      </w:pPr>
      <w:r>
        <w:rPr>
          <w:rFonts w:ascii="Times New Roman" w:hAnsi="Times New Roman" w:cs="Times New Roman"/>
          <w:lang w:val="es-MX"/>
        </w:rPr>
        <w:t>Por su parte, Estados Unidos y China</w:t>
      </w:r>
      <w:r w:rsidR="005F18DE" w:rsidRPr="005F18DE">
        <w:rPr>
          <w:rFonts w:ascii="Times New Roman" w:hAnsi="Times New Roman" w:cs="Times New Roman"/>
          <w:lang w:val="es-MX"/>
        </w:rPr>
        <w:t xml:space="preserve"> ha</w:t>
      </w:r>
      <w:r>
        <w:rPr>
          <w:rFonts w:ascii="Times New Roman" w:hAnsi="Times New Roman" w:cs="Times New Roman"/>
          <w:lang w:val="es-MX"/>
        </w:rPr>
        <w:t xml:space="preserve">n </w:t>
      </w:r>
      <w:r w:rsidR="005F18DE" w:rsidRPr="005F18DE">
        <w:rPr>
          <w:rFonts w:ascii="Times New Roman" w:hAnsi="Times New Roman" w:cs="Times New Roman"/>
          <w:lang w:val="es-MX"/>
        </w:rPr>
        <w:t>convertido</w:t>
      </w:r>
      <w:r>
        <w:rPr>
          <w:rFonts w:ascii="Times New Roman" w:hAnsi="Times New Roman" w:cs="Times New Roman"/>
          <w:lang w:val="es-MX"/>
        </w:rPr>
        <w:t xml:space="preserve"> su </w:t>
      </w:r>
      <w:r w:rsidRPr="005F18DE">
        <w:rPr>
          <w:rFonts w:ascii="Times New Roman" w:hAnsi="Times New Roman" w:cs="Times New Roman"/>
          <w:lang w:val="es-MX"/>
        </w:rPr>
        <w:t xml:space="preserve">conflicto </w:t>
      </w:r>
      <w:r w:rsidR="005F18DE" w:rsidRPr="005F18DE">
        <w:rPr>
          <w:rFonts w:ascii="Times New Roman" w:hAnsi="Times New Roman" w:cs="Times New Roman"/>
          <w:lang w:val="es-MX"/>
        </w:rPr>
        <w:t xml:space="preserve">en una gran amenaza para las finanzas del mundo. Mientras sus líderes contemplan abiertamente cómo afectar o entorpecer sus planes, el resto del mundo se preocupa por no convertirse en el daño colateral </w:t>
      </w:r>
      <w:r w:rsidR="005F18DE" w:rsidRPr="005F18DE">
        <w:rPr>
          <w:rFonts w:ascii="Times New Roman" w:hAnsi="Times New Roman" w:cs="Times New Roman"/>
          <w:lang w:val="es-MX"/>
        </w:rPr>
        <w:lastRenderedPageBreak/>
        <w:t xml:space="preserve">de esa guerra comercial. </w:t>
      </w:r>
      <w:r w:rsidR="00E54BAD">
        <w:rPr>
          <w:rFonts w:ascii="Times New Roman" w:hAnsi="Times New Roman" w:cs="Times New Roman"/>
          <w:lang w:val="es-MX"/>
        </w:rPr>
        <w:t>M</w:t>
      </w:r>
      <w:r w:rsidR="005F18DE" w:rsidRPr="005F18DE">
        <w:rPr>
          <w:rFonts w:ascii="Times New Roman" w:hAnsi="Times New Roman" w:cs="Times New Roman"/>
          <w:lang w:val="es-MX"/>
        </w:rPr>
        <w:t xml:space="preserve">ientras Trump aumentaba considerablemente los aranceles para productos chinos por un valor de US$200,000 millones, el mundo lidiaba con la posibilidad de que la guerra comercial fuera demasiado onerosa. La preocupación aumentó </w:t>
      </w:r>
      <w:r w:rsidR="00E54BAD">
        <w:rPr>
          <w:rFonts w:ascii="Times New Roman" w:hAnsi="Times New Roman" w:cs="Times New Roman"/>
          <w:lang w:val="es-MX"/>
        </w:rPr>
        <w:t>este mes</w:t>
      </w:r>
      <w:r w:rsidR="005F18DE" w:rsidRPr="005F18DE">
        <w:rPr>
          <w:rFonts w:ascii="Times New Roman" w:hAnsi="Times New Roman" w:cs="Times New Roman"/>
          <w:lang w:val="es-MX"/>
        </w:rPr>
        <w:t xml:space="preserve"> cuando Pekín tomó represalias y el gobierno de Trump detalló los planes para imponer aranceles del 25% a prácticamente todos los bienes q</w:t>
      </w:r>
      <w:r w:rsidR="00975E49">
        <w:rPr>
          <w:rFonts w:ascii="Times New Roman" w:hAnsi="Times New Roman" w:cs="Times New Roman"/>
          <w:lang w:val="es-MX"/>
        </w:rPr>
        <w:t>ue China envía a Estados Unidos</w:t>
      </w:r>
      <w:r w:rsidR="005F18DE" w:rsidRPr="005F18DE">
        <w:rPr>
          <w:rFonts w:ascii="Times New Roman" w:hAnsi="Times New Roman" w:cs="Times New Roman"/>
          <w:lang w:val="es-MX"/>
        </w:rPr>
        <w:t>, según Oxford Economics.</w:t>
      </w:r>
    </w:p>
    <w:p w:rsidR="00E54BAD" w:rsidRPr="005F18DE" w:rsidRDefault="00E54BAD" w:rsidP="005F18DE">
      <w:pPr>
        <w:shd w:val="clear" w:color="auto" w:fill="FFFFFF"/>
        <w:spacing w:after="0" w:line="240" w:lineRule="auto"/>
        <w:jc w:val="both"/>
        <w:textAlignment w:val="baseline"/>
        <w:rPr>
          <w:rFonts w:ascii="Times New Roman" w:hAnsi="Times New Roman" w:cs="Times New Roman"/>
          <w:lang w:val="es-MX"/>
        </w:rPr>
      </w:pPr>
    </w:p>
    <w:p w:rsidR="005F18DE" w:rsidRDefault="005F18DE" w:rsidP="00434FC6">
      <w:pPr>
        <w:spacing w:after="0" w:line="240" w:lineRule="auto"/>
        <w:jc w:val="both"/>
        <w:rPr>
          <w:rFonts w:ascii="Times New Roman" w:hAnsi="Times New Roman" w:cs="Times New Roman"/>
          <w:lang w:val="es-MX"/>
        </w:rPr>
      </w:pPr>
      <w:r w:rsidRPr="005F18DE">
        <w:rPr>
          <w:rFonts w:ascii="Times New Roman" w:hAnsi="Times New Roman" w:cs="Times New Roman"/>
          <w:lang w:val="es-MX"/>
        </w:rPr>
        <w:t xml:space="preserve">En la región centroamericana, la implementación de la Declaración Única Centroamericana (DUCA) que entró en vigencia el pasado 7 de mayo ha presentado fallas que ya impactan gravemente el comercio internacional centroamericano. Entre los </w:t>
      </w:r>
      <w:r w:rsidR="00E54BAD">
        <w:rPr>
          <w:rFonts w:ascii="Times New Roman" w:hAnsi="Times New Roman" w:cs="Times New Roman"/>
          <w:lang w:val="es-MX"/>
        </w:rPr>
        <w:t xml:space="preserve">contratiempos </w:t>
      </w:r>
      <w:r w:rsidR="00E54BAD" w:rsidRPr="005F18DE">
        <w:rPr>
          <w:rFonts w:ascii="Times New Roman" w:hAnsi="Times New Roman" w:cs="Times New Roman"/>
          <w:lang w:val="es-MX"/>
        </w:rPr>
        <w:t>observados</w:t>
      </w:r>
      <w:r w:rsidRPr="005F18DE">
        <w:rPr>
          <w:rFonts w:ascii="Times New Roman" w:hAnsi="Times New Roman" w:cs="Times New Roman"/>
          <w:lang w:val="es-MX"/>
        </w:rPr>
        <w:t xml:space="preserve"> está que la Ventanilla Única para las Exportaciones presentó problemas de transmisión hacia la plataforma de la Superintendencia de Administración Tributaria (SAT) y de la Secretaría de Integración Económica Centroamericana (SIECA).  </w:t>
      </w:r>
    </w:p>
    <w:p w:rsidR="002F14AA" w:rsidRPr="00975E49" w:rsidRDefault="002F14AA" w:rsidP="00D61F8E">
      <w:pPr>
        <w:pStyle w:val="Sinespaciado"/>
        <w:jc w:val="both"/>
        <w:rPr>
          <w:rFonts w:ascii="Times New Roman" w:eastAsia="Times New Roman" w:hAnsi="Times New Roman" w:cs="Times New Roman"/>
          <w:color w:val="FF0000"/>
          <w:sz w:val="18"/>
          <w:lang w:val="es-MX"/>
        </w:rPr>
      </w:pPr>
    </w:p>
    <w:p w:rsidR="003804E5" w:rsidRPr="00E9315E" w:rsidRDefault="003804E5" w:rsidP="00D61F8E">
      <w:pPr>
        <w:pStyle w:val="Sinespaciado"/>
        <w:jc w:val="both"/>
        <w:rPr>
          <w:rFonts w:ascii="Times New Roman" w:eastAsia="Times New Roman" w:hAnsi="Times New Roman" w:cs="Times New Roman"/>
          <w:color w:val="FF0000"/>
          <w:lang w:val="es-MX"/>
        </w:rPr>
      </w:pPr>
      <w:r w:rsidRPr="00DF42DF">
        <w:rPr>
          <w:rFonts w:ascii="Times New Roman" w:eastAsia="Times New Roman" w:hAnsi="Times New Roman" w:cs="Times New Roman"/>
          <w:lang w:val="es-MX"/>
        </w:rPr>
        <w:t xml:space="preserve">En el entorno interno, la percepción sobre la situación económica actual y el ambiente para los negocios </w:t>
      </w:r>
      <w:r w:rsidR="002F14AA" w:rsidRPr="00DF42DF">
        <w:rPr>
          <w:rFonts w:ascii="Times New Roman" w:eastAsia="Times New Roman" w:hAnsi="Times New Roman" w:cs="Times New Roman"/>
          <w:lang w:val="es-MX"/>
        </w:rPr>
        <w:t>aumentó</w:t>
      </w:r>
      <w:r w:rsidRPr="00DF42DF">
        <w:rPr>
          <w:rFonts w:ascii="Times New Roman" w:eastAsia="Times New Roman" w:hAnsi="Times New Roman" w:cs="Times New Roman"/>
          <w:lang w:val="es-MX"/>
        </w:rPr>
        <w:t xml:space="preserve"> con respecto al año anterior, el nivel del Índice de Confianza de la Activ</w:t>
      </w:r>
      <w:r w:rsidR="00DF42DF" w:rsidRPr="00DF42DF">
        <w:rPr>
          <w:rFonts w:ascii="Times New Roman" w:eastAsia="Times New Roman" w:hAnsi="Times New Roman" w:cs="Times New Roman"/>
          <w:lang w:val="es-MX"/>
        </w:rPr>
        <w:t>idad Económica se situó en 46.96 puntos, superior en 5.2</w:t>
      </w:r>
      <w:r w:rsidR="002F14AA" w:rsidRPr="00DF42DF">
        <w:rPr>
          <w:rFonts w:ascii="Times New Roman" w:eastAsia="Times New Roman" w:hAnsi="Times New Roman" w:cs="Times New Roman"/>
          <w:lang w:val="es-MX"/>
        </w:rPr>
        <w:t>7</w:t>
      </w:r>
      <w:r w:rsidRPr="00DF42DF">
        <w:rPr>
          <w:rFonts w:ascii="Times New Roman" w:eastAsia="Times New Roman" w:hAnsi="Times New Roman" w:cs="Times New Roman"/>
          <w:lang w:val="es-MX"/>
        </w:rPr>
        <w:t xml:space="preserve">% con respecto al registrado el mes anterior </w:t>
      </w:r>
      <w:r w:rsidR="00DF42DF" w:rsidRPr="00DF42DF">
        <w:rPr>
          <w:rFonts w:ascii="Times New Roman" w:eastAsia="Times New Roman" w:hAnsi="Times New Roman" w:cs="Times New Roman"/>
          <w:lang w:val="es-MX"/>
        </w:rPr>
        <w:t>y en 13.84</w:t>
      </w:r>
      <w:r w:rsidRPr="00DF42DF">
        <w:rPr>
          <w:rFonts w:ascii="Times New Roman" w:eastAsia="Times New Roman" w:hAnsi="Times New Roman" w:cs="Times New Roman"/>
          <w:lang w:val="es-MX"/>
        </w:rPr>
        <w:t>%</w:t>
      </w:r>
      <w:r w:rsidR="00DF42DF" w:rsidRPr="00DF42DF">
        <w:rPr>
          <w:rFonts w:ascii="Times New Roman" w:eastAsia="Times New Roman" w:hAnsi="Times New Roman" w:cs="Times New Roman"/>
          <w:lang w:val="es-MX"/>
        </w:rPr>
        <w:t xml:space="preserve"> respecto al registrado </w:t>
      </w:r>
      <w:r w:rsidR="00DF42DF" w:rsidRPr="008A1777">
        <w:rPr>
          <w:rFonts w:ascii="Times New Roman" w:eastAsia="Times New Roman" w:hAnsi="Times New Roman" w:cs="Times New Roman"/>
          <w:lang w:val="es-MX"/>
        </w:rPr>
        <w:t>en mayo</w:t>
      </w:r>
      <w:r w:rsidR="002F14AA" w:rsidRPr="008A1777">
        <w:rPr>
          <w:rFonts w:ascii="Times New Roman" w:eastAsia="Times New Roman" w:hAnsi="Times New Roman" w:cs="Times New Roman"/>
          <w:lang w:val="es-MX"/>
        </w:rPr>
        <w:t xml:space="preserve"> 2018</w:t>
      </w:r>
      <w:r w:rsidRPr="008A1777">
        <w:rPr>
          <w:rFonts w:ascii="Times New Roman" w:eastAsia="Times New Roman" w:hAnsi="Times New Roman" w:cs="Times New Roman"/>
          <w:lang w:val="es-MX"/>
        </w:rPr>
        <w:t>.   Así mismo, se esper</w:t>
      </w:r>
      <w:r w:rsidR="008A1777" w:rsidRPr="008A1777">
        <w:rPr>
          <w:rFonts w:ascii="Times New Roman" w:eastAsia="Times New Roman" w:hAnsi="Times New Roman" w:cs="Times New Roman"/>
          <w:lang w:val="es-MX"/>
        </w:rPr>
        <w:t>a un ritmo inflacionario de 4.50</w:t>
      </w:r>
      <w:r w:rsidRPr="008A1777">
        <w:rPr>
          <w:rFonts w:ascii="Times New Roman" w:eastAsia="Times New Roman" w:hAnsi="Times New Roman" w:cs="Times New Roman"/>
          <w:lang w:val="es-MX"/>
        </w:rPr>
        <w:t xml:space="preserve">% </w:t>
      </w:r>
      <w:r w:rsidR="008A1777" w:rsidRPr="008A1777">
        <w:rPr>
          <w:rFonts w:ascii="Times New Roman" w:eastAsia="Times New Roman" w:hAnsi="Times New Roman" w:cs="Times New Roman"/>
          <w:lang w:val="es-MX"/>
        </w:rPr>
        <w:t>tanto para mayo como para junio y de 4.48</w:t>
      </w:r>
      <w:r w:rsidRPr="008A1777">
        <w:rPr>
          <w:rFonts w:ascii="Times New Roman" w:eastAsia="Times New Roman" w:hAnsi="Times New Roman" w:cs="Times New Roman"/>
          <w:lang w:val="es-MX"/>
        </w:rPr>
        <w:t xml:space="preserve">% </w:t>
      </w:r>
      <w:r w:rsidR="008A1777" w:rsidRPr="008A1777">
        <w:rPr>
          <w:rFonts w:ascii="Times New Roman" w:eastAsia="Times New Roman" w:hAnsi="Times New Roman" w:cs="Times New Roman"/>
          <w:lang w:val="es-MX"/>
        </w:rPr>
        <w:t>para jul</w:t>
      </w:r>
      <w:r w:rsidR="002F14AA" w:rsidRPr="008A1777">
        <w:rPr>
          <w:rFonts w:ascii="Times New Roman" w:eastAsia="Times New Roman" w:hAnsi="Times New Roman" w:cs="Times New Roman"/>
          <w:lang w:val="es-MX"/>
        </w:rPr>
        <w:t>io</w:t>
      </w:r>
      <w:r w:rsidRPr="008A1777">
        <w:rPr>
          <w:rFonts w:ascii="Times New Roman" w:eastAsia="Times New Roman" w:hAnsi="Times New Roman" w:cs="Times New Roman"/>
          <w:lang w:val="es-MX"/>
        </w:rPr>
        <w:t xml:space="preserve"> 2019; en un horizonte de 12 y 24 mes</w:t>
      </w:r>
      <w:r w:rsidR="002F14AA" w:rsidRPr="008A1777">
        <w:rPr>
          <w:rFonts w:ascii="Times New Roman" w:eastAsia="Times New Roman" w:hAnsi="Times New Roman" w:cs="Times New Roman"/>
          <w:lang w:val="es-MX"/>
        </w:rPr>
        <w:t>es se esperaría u</w:t>
      </w:r>
      <w:r w:rsidR="008A1777" w:rsidRPr="008A1777">
        <w:rPr>
          <w:rFonts w:ascii="Times New Roman" w:eastAsia="Times New Roman" w:hAnsi="Times New Roman" w:cs="Times New Roman"/>
          <w:lang w:val="es-MX"/>
        </w:rPr>
        <w:t>n ritmo de 4.42% y 4.39</w:t>
      </w:r>
      <w:r w:rsidRPr="008A1777">
        <w:rPr>
          <w:rFonts w:ascii="Times New Roman" w:eastAsia="Times New Roman" w:hAnsi="Times New Roman" w:cs="Times New Roman"/>
          <w:lang w:val="es-MX"/>
        </w:rPr>
        <w:t xml:space="preserve">% respectivamente. </w:t>
      </w:r>
    </w:p>
    <w:p w:rsidR="003804E5" w:rsidRPr="00963756" w:rsidRDefault="003804E5" w:rsidP="00D61F8E">
      <w:pPr>
        <w:pStyle w:val="Sinespaciado"/>
        <w:jc w:val="both"/>
        <w:rPr>
          <w:rFonts w:ascii="Times New Roman" w:eastAsia="Times New Roman" w:hAnsi="Times New Roman" w:cs="Times New Roman"/>
          <w:lang w:val="es-MX"/>
        </w:rPr>
      </w:pPr>
    </w:p>
    <w:p w:rsidR="00CD58C8" w:rsidRPr="00963756" w:rsidRDefault="00E54BAD" w:rsidP="00963756">
      <w:pPr>
        <w:pStyle w:val="Sinespaciado"/>
        <w:jc w:val="both"/>
        <w:rPr>
          <w:rFonts w:ascii="Times New Roman" w:eastAsia="Times New Roman" w:hAnsi="Times New Roman" w:cs="Times New Roman"/>
          <w:lang w:val="es-MX"/>
        </w:rPr>
      </w:pPr>
      <w:r>
        <w:rPr>
          <w:rFonts w:ascii="Times New Roman" w:eastAsia="Times New Roman" w:hAnsi="Times New Roman" w:cs="Times New Roman"/>
          <w:lang w:val="es-MX"/>
        </w:rPr>
        <w:t>L</w:t>
      </w:r>
      <w:r w:rsidR="00963756" w:rsidRPr="00963756">
        <w:rPr>
          <w:rFonts w:ascii="Times New Roman" w:eastAsia="Times New Roman" w:hAnsi="Times New Roman" w:cs="Times New Roman"/>
          <w:lang w:val="es-MX"/>
        </w:rPr>
        <w:t xml:space="preserve">a Junta Monetaria decidió mantener en 2.75% la tasa de interés líder de política monetaria, en base a que las proyecciones de crecimiento económico a nivel mundial, tanto para el presente año como para el siguiente, reflejan una </w:t>
      </w:r>
      <w:r w:rsidR="00963756" w:rsidRPr="00963756">
        <w:rPr>
          <w:rFonts w:ascii="Times New Roman" w:eastAsia="Times New Roman" w:hAnsi="Times New Roman" w:cs="Times New Roman"/>
          <w:lang w:val="es-MX"/>
        </w:rPr>
        <w:lastRenderedPageBreak/>
        <w:t>moderación en el ritmo de actividad económica en la mayoría de las economías avanzadas y en algunas de las economías de mercados emergentes y en desarrollo</w:t>
      </w:r>
      <w:r w:rsidR="00F654C6">
        <w:rPr>
          <w:rFonts w:ascii="Times New Roman" w:eastAsia="Times New Roman" w:hAnsi="Times New Roman" w:cs="Times New Roman"/>
          <w:lang w:val="es-MX"/>
        </w:rPr>
        <w:t>.</w:t>
      </w:r>
      <w:r w:rsidR="00963756" w:rsidRPr="00963756">
        <w:rPr>
          <w:rFonts w:ascii="Times New Roman" w:eastAsia="Times New Roman" w:hAnsi="Times New Roman" w:cs="Times New Roman"/>
          <w:lang w:val="es-MX"/>
        </w:rPr>
        <w:t xml:space="preserve"> </w:t>
      </w:r>
      <w:r>
        <w:rPr>
          <w:rFonts w:ascii="Times New Roman" w:eastAsia="Times New Roman" w:hAnsi="Times New Roman" w:cs="Times New Roman"/>
          <w:lang w:val="es-MX"/>
        </w:rPr>
        <w:t>E</w:t>
      </w:r>
      <w:r w:rsidR="00963756" w:rsidRPr="00963756">
        <w:rPr>
          <w:rFonts w:ascii="Times New Roman" w:eastAsia="Times New Roman" w:hAnsi="Times New Roman" w:cs="Times New Roman"/>
          <w:lang w:val="es-MX"/>
        </w:rPr>
        <w:t xml:space="preserve">n el análisis interno la junta resaltó que varios indicadores de corto plazo, tales como el IMAE, las </w:t>
      </w:r>
      <w:r w:rsidR="00963756" w:rsidRPr="00963756">
        <w:rPr>
          <w:rFonts w:ascii="Times New Roman" w:eastAsia="Times New Roman" w:hAnsi="Times New Roman" w:cs="Times New Roman"/>
          <w:lang w:val="es-MX"/>
        </w:rPr>
        <w:lastRenderedPageBreak/>
        <w:t xml:space="preserve">importaciones y las remesas familiares, siguen mostrando un comportamiento dinámico congruente con el rango de crecimiento económico estimado para el presente año de entre 3.0% y 3.8%. </w:t>
      </w:r>
    </w:p>
    <w:p w:rsidR="00492967" w:rsidRPr="00E9315E" w:rsidRDefault="00492967" w:rsidP="00D61F8E">
      <w:pPr>
        <w:pStyle w:val="Sinespaciado"/>
        <w:jc w:val="both"/>
        <w:rPr>
          <w:rFonts w:ascii="Times New Roman" w:hAnsi="Times New Roman" w:cs="Times New Roman"/>
          <w:color w:val="FF0000"/>
          <w:lang w:val="es-MX"/>
        </w:rPr>
      </w:pPr>
    </w:p>
    <w:p w:rsidR="00751CCA" w:rsidRPr="00975E49" w:rsidRDefault="00751CCA" w:rsidP="00975E49">
      <w:pPr>
        <w:pStyle w:val="Sinespaciado"/>
        <w:ind w:right="-188"/>
        <w:jc w:val="both"/>
        <w:rPr>
          <w:rFonts w:ascii="Times New Roman" w:hAnsi="Times New Roman" w:cs="Times New Roman"/>
          <w:sz w:val="16"/>
        </w:rPr>
        <w:sectPr w:rsidR="00751CCA" w:rsidRPr="00975E49" w:rsidSect="00040C99">
          <w:headerReference w:type="default" r:id="rId30"/>
          <w:footerReference w:type="default" r:id="rId31"/>
          <w:type w:val="continuous"/>
          <w:pgSz w:w="12240" w:h="15840" w:code="1"/>
          <w:pgMar w:top="1418" w:right="1467" w:bottom="1418" w:left="1560" w:header="709" w:footer="709" w:gutter="0"/>
          <w:cols w:num="2" w:space="802"/>
          <w:docGrid w:linePitch="360"/>
        </w:sectPr>
      </w:pPr>
    </w:p>
    <w:p w:rsidR="009B2AD3" w:rsidRPr="00E9315E" w:rsidRDefault="009B2AD3" w:rsidP="00AD5816">
      <w:pPr>
        <w:spacing w:after="0" w:line="240" w:lineRule="auto"/>
        <w:rPr>
          <w:rFonts w:ascii="Times New Roman" w:hAnsi="Times New Roman" w:cs="Times New Roman"/>
          <w:noProof/>
          <w:color w:val="FF0000"/>
          <w:sz w:val="16"/>
          <w:lang w:eastAsia="es-GT"/>
        </w:rPr>
      </w:pPr>
    </w:p>
    <w:p w:rsidR="00AD4EF6" w:rsidRPr="00E9315E" w:rsidRDefault="00AD4EF6" w:rsidP="00AD5816">
      <w:pPr>
        <w:spacing w:after="0" w:line="240" w:lineRule="auto"/>
        <w:rPr>
          <w:rFonts w:ascii="Times New Roman" w:hAnsi="Times New Roman" w:cs="Times New Roman"/>
          <w:noProof/>
          <w:color w:val="FF0000"/>
          <w:sz w:val="16"/>
          <w:lang w:eastAsia="es-GT"/>
        </w:rPr>
      </w:pPr>
    </w:p>
    <w:p w:rsidR="00AD4EF6" w:rsidRDefault="00AD4EF6"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Default="0047104E" w:rsidP="00AD5816">
      <w:pPr>
        <w:spacing w:after="0" w:line="240" w:lineRule="auto"/>
        <w:rPr>
          <w:rFonts w:ascii="Times New Roman" w:hAnsi="Times New Roman" w:cs="Times New Roman"/>
          <w:noProof/>
          <w:color w:val="FF0000"/>
          <w:sz w:val="16"/>
          <w:lang w:eastAsia="es-GT"/>
        </w:rPr>
      </w:pPr>
    </w:p>
    <w:p w:rsidR="0047104E" w:rsidRPr="00E9315E" w:rsidRDefault="0047104E" w:rsidP="00AD5816">
      <w:pPr>
        <w:spacing w:after="0" w:line="240" w:lineRule="auto"/>
        <w:rPr>
          <w:rFonts w:ascii="Times New Roman" w:hAnsi="Times New Roman" w:cs="Times New Roman"/>
          <w:noProof/>
          <w:color w:val="FF0000"/>
          <w:sz w:val="16"/>
          <w:lang w:eastAsia="es-GT"/>
        </w:rPr>
      </w:pPr>
    </w:p>
    <w:p w:rsidR="00751CCA" w:rsidRPr="00E9315E" w:rsidRDefault="00751CCA" w:rsidP="00AD5816">
      <w:pPr>
        <w:spacing w:after="0" w:line="240" w:lineRule="auto"/>
        <w:rPr>
          <w:rFonts w:ascii="Times New Roman" w:hAnsi="Times New Roman" w:cs="Times New Roman"/>
          <w:noProof/>
          <w:color w:val="FF0000"/>
          <w:sz w:val="16"/>
          <w:lang w:eastAsia="es-GT"/>
        </w:rPr>
      </w:pPr>
    </w:p>
    <w:p w:rsidR="001F5581" w:rsidRPr="00B7015D"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B7015D" w:rsidSect="00FA3B81">
          <w:headerReference w:type="default" r:id="rId32"/>
          <w:footerReference w:type="default" r:id="rId33"/>
          <w:type w:val="continuous"/>
          <w:pgSz w:w="12240" w:h="15840" w:code="1"/>
          <w:pgMar w:top="1418" w:right="1418" w:bottom="1418" w:left="1418" w:header="709" w:footer="709" w:gutter="0"/>
          <w:cols w:space="708"/>
          <w:docGrid w:linePitch="360"/>
        </w:sectPr>
      </w:pPr>
      <w:r w:rsidRPr="00B7015D">
        <w:rPr>
          <w:rFonts w:ascii="Times New Roman" w:hAnsi="Times New Roman" w:cs="Times New Roman"/>
          <w:b/>
          <w:lang w:val="es-MX"/>
        </w:rPr>
        <w:t>Anexo</w:t>
      </w:r>
    </w:p>
    <w:p w:rsidR="001F5581" w:rsidRPr="00E9315E" w:rsidRDefault="001F5581" w:rsidP="001F5581">
      <w:pPr>
        <w:pStyle w:val="Sinespaciado"/>
        <w:rPr>
          <w:rFonts w:ascii="Times New Roman" w:hAnsi="Times New Roman" w:cs="Times New Roman"/>
          <w:b/>
          <w:color w:val="FF0000"/>
          <w:sz w:val="18"/>
          <w:lang w:val="es-MX"/>
        </w:rPr>
      </w:pPr>
    </w:p>
    <w:p w:rsidR="001F5581" w:rsidRPr="00E9315E" w:rsidRDefault="001F5581" w:rsidP="00AD5816">
      <w:pPr>
        <w:spacing w:after="0" w:line="240" w:lineRule="auto"/>
        <w:rPr>
          <w:rFonts w:ascii="Times New Roman" w:hAnsi="Times New Roman" w:cs="Times New Roman"/>
          <w:noProof/>
          <w:color w:val="FF0000"/>
          <w:sz w:val="16"/>
          <w:lang w:val="es-MX" w:eastAsia="es-GT"/>
        </w:rPr>
      </w:pPr>
    </w:p>
    <w:p w:rsidR="001F5581" w:rsidRPr="00E9315E" w:rsidRDefault="001F5581" w:rsidP="00AD5816">
      <w:pPr>
        <w:spacing w:after="0" w:line="240" w:lineRule="auto"/>
        <w:rPr>
          <w:rFonts w:ascii="Times New Roman" w:hAnsi="Times New Roman" w:cs="Times New Roman"/>
          <w:noProof/>
          <w:color w:val="FF0000"/>
          <w:sz w:val="16"/>
          <w:lang w:val="es-MX" w:eastAsia="es-GT"/>
        </w:rPr>
        <w:sectPr w:rsidR="001F5581" w:rsidRPr="00E9315E" w:rsidSect="00986297">
          <w:headerReference w:type="default" r:id="rId34"/>
          <w:footerReference w:type="default" r:id="rId35"/>
          <w:type w:val="continuous"/>
          <w:pgSz w:w="12240" w:h="15840" w:code="1"/>
          <w:pgMar w:top="1418" w:right="1418" w:bottom="1418" w:left="1418" w:header="709" w:footer="709" w:gutter="0"/>
          <w:cols w:num="2" w:space="708"/>
          <w:docGrid w:linePitch="360"/>
        </w:sectPr>
      </w:pPr>
    </w:p>
    <w:p w:rsidR="001F5581" w:rsidRPr="00E9315E" w:rsidRDefault="00B7015D" w:rsidP="001F5581">
      <w:pPr>
        <w:spacing w:after="0" w:line="240" w:lineRule="auto"/>
        <w:jc w:val="center"/>
        <w:rPr>
          <w:rFonts w:ascii="Times New Roman" w:hAnsi="Times New Roman" w:cs="Times New Roman"/>
          <w:noProof/>
          <w:color w:val="FF0000"/>
          <w:sz w:val="16"/>
          <w:lang w:val="es-MX" w:eastAsia="es-GT"/>
        </w:rPr>
        <w:sectPr w:rsidR="001F5581" w:rsidRPr="00E9315E" w:rsidSect="001F5581">
          <w:type w:val="continuous"/>
          <w:pgSz w:w="12240" w:h="15840" w:code="1"/>
          <w:pgMar w:top="1418" w:right="1418" w:bottom="1418" w:left="1418" w:header="709" w:footer="709" w:gutter="0"/>
          <w:cols w:space="708"/>
          <w:docGrid w:linePitch="360"/>
        </w:sectPr>
      </w:pPr>
      <w:r w:rsidRPr="00E37110">
        <w:rPr>
          <w:noProof/>
          <w:lang w:eastAsia="es-GT"/>
        </w:rPr>
        <w:lastRenderedPageBreak/>
        <w:drawing>
          <wp:anchor distT="0" distB="0" distL="114300" distR="114300" simplePos="0" relativeHeight="251679744" behindDoc="0" locked="0" layoutInCell="1" allowOverlap="1" wp14:anchorId="50ADC125" wp14:editId="34D79430">
            <wp:simplePos x="0" y="0"/>
            <wp:positionH relativeFrom="margin">
              <wp:posOffset>-184150</wp:posOffset>
            </wp:positionH>
            <wp:positionV relativeFrom="paragraph">
              <wp:posOffset>157480</wp:posOffset>
            </wp:positionV>
            <wp:extent cx="6267450" cy="51860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6745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816" w:rsidRPr="00E9315E" w:rsidRDefault="00AD5816" w:rsidP="00AD5816">
      <w:pPr>
        <w:spacing w:after="0" w:line="240" w:lineRule="auto"/>
        <w:rPr>
          <w:rFonts w:ascii="Times New Roman" w:hAnsi="Times New Roman" w:cs="Times New Roman"/>
          <w:noProof/>
          <w:color w:val="FF0000"/>
          <w:sz w:val="16"/>
          <w:lang w:val="es-MX" w:eastAsia="es-GT"/>
        </w:rPr>
      </w:pPr>
    </w:p>
    <w:p w:rsidR="00D00E78" w:rsidRPr="00E9315E" w:rsidRDefault="00D00E78" w:rsidP="00AD5816">
      <w:pPr>
        <w:spacing w:after="0" w:line="240" w:lineRule="auto"/>
        <w:rPr>
          <w:rFonts w:ascii="Times New Roman" w:hAnsi="Times New Roman" w:cs="Times New Roman"/>
          <w:noProof/>
          <w:color w:val="FF0000"/>
          <w:sz w:val="16"/>
          <w:lang w:eastAsia="es-GT"/>
        </w:rPr>
        <w:sectPr w:rsidR="00D00E78" w:rsidRPr="00E9315E" w:rsidSect="00D00E78">
          <w:type w:val="continuous"/>
          <w:pgSz w:w="12240" w:h="15840" w:code="1"/>
          <w:pgMar w:top="1418" w:right="1418" w:bottom="1418" w:left="1418" w:header="709" w:footer="709" w:gutter="0"/>
          <w:cols w:space="708"/>
          <w:docGrid w:linePitch="360"/>
        </w:sectPr>
      </w:pPr>
    </w:p>
    <w:p w:rsidR="00AD5816" w:rsidRPr="00E9315E" w:rsidRDefault="00AD5816" w:rsidP="00AD5816">
      <w:pPr>
        <w:spacing w:after="0" w:line="240" w:lineRule="auto"/>
        <w:rPr>
          <w:rFonts w:ascii="Times New Roman" w:hAnsi="Times New Roman" w:cs="Times New Roman"/>
          <w:noProof/>
          <w:color w:val="FF0000"/>
          <w:sz w:val="16"/>
          <w:lang w:eastAsia="es-GT"/>
        </w:rPr>
      </w:pPr>
    </w:p>
    <w:p w:rsidR="00AD5816" w:rsidRPr="00E9315E" w:rsidRDefault="00AD5816" w:rsidP="00AD5816">
      <w:pPr>
        <w:spacing w:after="0" w:line="240" w:lineRule="auto"/>
        <w:rPr>
          <w:rFonts w:ascii="Times New Roman" w:hAnsi="Times New Roman" w:cs="Times New Roman"/>
          <w:noProof/>
          <w:color w:val="FF0000"/>
          <w:sz w:val="16"/>
          <w:lang w:eastAsia="es-GT"/>
        </w:rPr>
      </w:pPr>
    </w:p>
    <w:p w:rsidR="007703A2" w:rsidRPr="00E9315E" w:rsidRDefault="007703A2" w:rsidP="00940C2E">
      <w:pPr>
        <w:pStyle w:val="Sinespaciado"/>
        <w:jc w:val="center"/>
        <w:rPr>
          <w:rFonts w:ascii="Times New Roman" w:hAnsi="Times New Roman" w:cs="Times New Roman"/>
          <w:color w:val="FF0000"/>
        </w:rPr>
      </w:pPr>
    </w:p>
    <w:sectPr w:rsidR="007703A2" w:rsidRPr="00E9315E"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7C" w:rsidRDefault="0073317C" w:rsidP="007D4651">
      <w:pPr>
        <w:spacing w:after="0" w:line="240" w:lineRule="auto"/>
      </w:pPr>
      <w:r>
        <w:separator/>
      </w:r>
    </w:p>
  </w:endnote>
  <w:endnote w:type="continuationSeparator" w:id="0">
    <w:p w:rsidR="0073317C" w:rsidRDefault="0073317C"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4117AE10" wp14:editId="447D7760">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0071A"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0716764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0E43A67B" wp14:editId="5456715B">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B20C0"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17021578" wp14:editId="45FE4EB9">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7099C"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479A8775" wp14:editId="0E4B791C">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3CD45C"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0FBD13E6" wp14:editId="63B11C5E">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57FE0"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411317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2179781" wp14:editId="5E1BE057">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8C410"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702544411"/>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38CD0A8A" wp14:editId="2D1A2BD9">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911D7"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67668769"/>
      <w:docPartObj>
        <w:docPartGallery w:val="Page Numbers (Bottom of Page)"/>
        <w:docPartUnique/>
      </w:docPartObj>
    </w:sdtPr>
    <w:sdtEndPr/>
    <w:sdtContent>
      <w:p w:rsidR="00216B0E" w:rsidRDefault="00216B0E">
        <w:pPr>
          <w:pStyle w:val="Piedepgina"/>
          <w:jc w:val="right"/>
          <w:rPr>
            <w:lang w:val="es-ES"/>
          </w:rPr>
        </w:pPr>
      </w:p>
      <w:p w:rsidR="00216B0E" w:rsidRDefault="00216B0E"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7088" behindDoc="0" locked="0" layoutInCell="1" allowOverlap="1" wp14:anchorId="27A24C31" wp14:editId="1851ADB9">
                  <wp:simplePos x="0" y="0"/>
                  <wp:positionH relativeFrom="column">
                    <wp:posOffset>1751347</wp:posOffset>
                  </wp:positionH>
                  <wp:positionV relativeFrom="paragraph">
                    <wp:posOffset>72390</wp:posOffset>
                  </wp:positionV>
                  <wp:extent cx="5155565" cy="45719"/>
                  <wp:effectExtent l="38100" t="38100" r="64135" b="88265"/>
                  <wp:wrapNone/>
                  <wp:docPr id="4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68EAEC" id="23 Rectángulo" o:spid="_x0000_s1026" style="position:absolute;margin-left:137.9pt;margin-top:5.7pt;width:405.95pt;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BANcAz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B0E" w:rsidRDefault="00216B0E">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B0E" w:rsidRDefault="00216B0E" w:rsidP="007D4651">
    <w:pPr>
      <w:pStyle w:val="Piedepgina"/>
      <w:tabs>
        <w:tab w:val="clear" w:pos="4419"/>
        <w:tab w:val="clear" w:pos="8838"/>
        <w:tab w:val="left" w:pos="5777"/>
      </w:tabs>
    </w:pPr>
  </w:p>
  <w:p w:rsidR="00216B0E" w:rsidRDefault="00216B0E"/>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15640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636E2F6E" wp14:editId="151E6F3F">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6ECDA"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24BC5" w:rsidRPr="00F24BC5">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5A2A00BE" wp14:editId="186B618D">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5B26A"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27133144" wp14:editId="2655CE1A">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1ACE0"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73252" w:rsidRPr="0097325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7C" w:rsidRDefault="0073317C" w:rsidP="007D4651">
      <w:pPr>
        <w:spacing w:after="0" w:line="240" w:lineRule="auto"/>
      </w:pPr>
      <w:r>
        <w:separator/>
      </w:r>
    </w:p>
  </w:footnote>
  <w:footnote w:type="continuationSeparator" w:id="0">
    <w:p w:rsidR="0073317C" w:rsidRDefault="0073317C"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3E35C504" wp14:editId="2FD4002C">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E9315E"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E53B4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73176A07" wp14:editId="644B8AC6">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6D51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44D09177" wp14:editId="106949CA">
          <wp:simplePos x="0" y="0"/>
          <wp:positionH relativeFrom="column">
            <wp:posOffset>-93997</wp:posOffset>
          </wp:positionH>
          <wp:positionV relativeFrom="paragraph">
            <wp:posOffset>-177800</wp:posOffset>
          </wp:positionV>
          <wp:extent cx="1697990" cy="914400"/>
          <wp:effectExtent l="0" t="0" r="0" b="0"/>
          <wp:wrapNone/>
          <wp:docPr id="7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9315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Mayo </w:t>
    </w:r>
    <w:r w:rsidR="0042628E">
      <w:rPr>
        <w:rFonts w:ascii="Times New Roman" w:hAnsi="Times New Roman" w:cs="Times New Roman"/>
        <w:color w:val="1F497D" w:themeColor="text2"/>
        <w:lang w:val="es-MX"/>
      </w:rPr>
      <w:t>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32408FC4" wp14:editId="71D833AF">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1BB1BE"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1347A480" wp14:editId="3E7E8051">
          <wp:simplePos x="0" y="0"/>
          <wp:positionH relativeFrom="column">
            <wp:posOffset>-89849</wp:posOffset>
          </wp:positionH>
          <wp:positionV relativeFrom="paragraph">
            <wp:posOffset>-163027</wp:posOffset>
          </wp:positionV>
          <wp:extent cx="1697990" cy="914400"/>
          <wp:effectExtent l="0" t="0" r="0" b="0"/>
          <wp:wrapNone/>
          <wp:docPr id="80" name="Imagen 8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160D77A6" wp14:editId="1DB3D514">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AF146"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1C59765E" wp14:editId="2F1EBB7B">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490B3486" wp14:editId="4DEAE686">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25E07F"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0071E657" wp14:editId="2C9E4FCE">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9315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Mayo </w:t>
    </w:r>
    <w:r w:rsidR="0042628E">
      <w:rPr>
        <w:rFonts w:ascii="Times New Roman" w:hAnsi="Times New Roman" w:cs="Times New Roman"/>
        <w:color w:val="1F497D" w:themeColor="text2"/>
        <w:lang w:val="es-MX"/>
      </w:rPr>
      <w:t>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50684E27" wp14:editId="4C8B1BFA">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1BA40"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p w:rsidR="0030020D" w:rsidRDefault="0030020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1C9A3CBC" wp14:editId="6418B211">
          <wp:simplePos x="0" y="0"/>
          <wp:positionH relativeFrom="column">
            <wp:posOffset>-58403</wp:posOffset>
          </wp:positionH>
          <wp:positionV relativeFrom="paragraph">
            <wp:posOffset>-162560</wp:posOffset>
          </wp:positionV>
          <wp:extent cx="1697990" cy="914400"/>
          <wp:effectExtent l="0" t="0" r="0" b="0"/>
          <wp:wrapNone/>
          <wp:docPr id="74"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B06546"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Febr</w:t>
    </w:r>
    <w:r w:rsidR="00C75935">
      <w:rPr>
        <w:rFonts w:ascii="Times New Roman" w:hAnsi="Times New Roman" w:cs="Times New Roman"/>
        <w:color w:val="1F497D" w:themeColor="text2"/>
        <w:lang w:val="es-MX"/>
      </w:rPr>
      <w:t>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227411BE" wp14:editId="59D95826">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760D8"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6E7A5773" wp14:editId="6679D28F">
          <wp:simplePos x="0" y="0"/>
          <wp:positionH relativeFrom="column">
            <wp:posOffset>-89849</wp:posOffset>
          </wp:positionH>
          <wp:positionV relativeFrom="paragraph">
            <wp:posOffset>-163027</wp:posOffset>
          </wp:positionV>
          <wp:extent cx="1697990" cy="914400"/>
          <wp:effectExtent l="0" t="0" r="0" b="0"/>
          <wp:wrapNone/>
          <wp:docPr id="75"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9315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Mayo </w:t>
    </w:r>
    <w:r w:rsidR="0042628E">
      <w:rPr>
        <w:rFonts w:ascii="Times New Roman" w:hAnsi="Times New Roman" w:cs="Times New Roman"/>
        <w:color w:val="1F497D" w:themeColor="text2"/>
        <w:lang w:val="es-MX"/>
      </w:rPr>
      <w:t>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6A8F947C" wp14:editId="21403F67">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15932"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0E" w:rsidRPr="007D4651" w:rsidRDefault="00216B0E"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6064" behindDoc="1" locked="0" layoutInCell="1" allowOverlap="1" wp14:anchorId="6010E3E5" wp14:editId="0303ADA6">
          <wp:simplePos x="0" y="0"/>
          <wp:positionH relativeFrom="column">
            <wp:posOffset>-89849</wp:posOffset>
          </wp:positionH>
          <wp:positionV relativeFrom="paragraph">
            <wp:posOffset>-163027</wp:posOffset>
          </wp:positionV>
          <wp:extent cx="1697990" cy="914400"/>
          <wp:effectExtent l="0" t="0" r="0" b="0"/>
          <wp:wrapNone/>
          <wp:docPr id="52"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B0E" w:rsidRDefault="00975E49"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216B0E">
      <w:rPr>
        <w:rFonts w:ascii="Times New Roman" w:hAnsi="Times New Roman" w:cs="Times New Roman"/>
        <w:color w:val="1F497D" w:themeColor="text2"/>
        <w:lang w:val="es-MX"/>
      </w:rPr>
      <w:t xml:space="preserve"> 2019</w:t>
    </w:r>
  </w:p>
  <w:p w:rsidR="00216B0E" w:rsidRDefault="00216B0E"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35040" behindDoc="0" locked="0" layoutInCell="1" allowOverlap="1" wp14:anchorId="3F296A88" wp14:editId="32E8CA36">
              <wp:simplePos x="0" y="0"/>
              <wp:positionH relativeFrom="column">
                <wp:posOffset>1710568</wp:posOffset>
              </wp:positionH>
              <wp:positionV relativeFrom="paragraph">
                <wp:posOffset>29118</wp:posOffset>
              </wp:positionV>
              <wp:extent cx="5155894" cy="45719"/>
              <wp:effectExtent l="38100" t="38100" r="64135" b="88265"/>
              <wp:wrapNone/>
              <wp:docPr id="4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DEE9D" id="22 Rectángulo" o:spid="_x0000_s1026" style="position:absolute;margin-left:134.7pt;margin-top:2.3pt;width:406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sDnna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B0E" w:rsidRDefault="00216B0E"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B0E" w:rsidRPr="00E16925" w:rsidRDefault="00216B0E"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10825559" wp14:editId="7310E137">
          <wp:simplePos x="0" y="0"/>
          <wp:positionH relativeFrom="column">
            <wp:posOffset>-89849</wp:posOffset>
          </wp:positionH>
          <wp:positionV relativeFrom="paragraph">
            <wp:posOffset>-163027</wp:posOffset>
          </wp:positionV>
          <wp:extent cx="1697990" cy="914400"/>
          <wp:effectExtent l="0" t="0" r="0" b="0"/>
          <wp:wrapNone/>
          <wp:docPr id="64"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9315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Mayo </w:t>
    </w:r>
    <w:r w:rsidR="0042628E">
      <w:rPr>
        <w:rFonts w:ascii="Times New Roman" w:hAnsi="Times New Roman" w:cs="Times New Roman"/>
        <w:color w:val="1F497D" w:themeColor="text2"/>
        <w:lang w:val="es-MX"/>
      </w:rPr>
      <w:t>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699CE96C" wp14:editId="43B3CA8C">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7452DC"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4B9E8706" wp14:editId="1BAEC16E">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1A3F610B" wp14:editId="0C7AB2CC">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294F7"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6A8A209B" wp14:editId="5011D7F6">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9315E"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Mayo </w:t>
    </w:r>
    <w:r w:rsidR="0042628E">
      <w:rPr>
        <w:rFonts w:ascii="Times New Roman" w:hAnsi="Times New Roman" w:cs="Times New Roman"/>
        <w:color w:val="1F497D" w:themeColor="text2"/>
        <w:lang w:val="es-MX"/>
      </w:rPr>
      <w:t>2019</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5796E9A8" wp14:editId="538EC472">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EC9081"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284F18C2"/>
    <w:multiLevelType w:val="hybridMultilevel"/>
    <w:tmpl w:val="60180018"/>
    <w:lvl w:ilvl="0" w:tplc="8DF2F090">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12"/>
  </w:num>
  <w:num w:numId="6">
    <w:abstractNumId w:val="14"/>
  </w:num>
  <w:num w:numId="7">
    <w:abstractNumId w:val="13"/>
  </w:num>
  <w:num w:numId="8">
    <w:abstractNumId w:val="3"/>
  </w:num>
  <w:num w:numId="9">
    <w:abstractNumId w:val="10"/>
  </w:num>
  <w:num w:numId="10">
    <w:abstractNumId w:val="6"/>
  </w:num>
  <w:num w:numId="11">
    <w:abstractNumId w:val="9"/>
  </w:num>
  <w:num w:numId="12">
    <w:abstractNumId w:val="7"/>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5835"/>
    <w:rsid w:val="000378CF"/>
    <w:rsid w:val="00040C99"/>
    <w:rsid w:val="00042B27"/>
    <w:rsid w:val="00045D14"/>
    <w:rsid w:val="000473E5"/>
    <w:rsid w:val="00051776"/>
    <w:rsid w:val="00051A92"/>
    <w:rsid w:val="000530BD"/>
    <w:rsid w:val="00053517"/>
    <w:rsid w:val="0006261A"/>
    <w:rsid w:val="00063120"/>
    <w:rsid w:val="000723B2"/>
    <w:rsid w:val="00072EEB"/>
    <w:rsid w:val="00074BC6"/>
    <w:rsid w:val="00076AB4"/>
    <w:rsid w:val="00076AD2"/>
    <w:rsid w:val="00076BF9"/>
    <w:rsid w:val="0008348D"/>
    <w:rsid w:val="00087ADE"/>
    <w:rsid w:val="000A0A4F"/>
    <w:rsid w:val="000A6E8E"/>
    <w:rsid w:val="000C1547"/>
    <w:rsid w:val="000C21E1"/>
    <w:rsid w:val="000C4EC0"/>
    <w:rsid w:val="000C65AB"/>
    <w:rsid w:val="000D016D"/>
    <w:rsid w:val="000D2FA4"/>
    <w:rsid w:val="000D489E"/>
    <w:rsid w:val="000E43A8"/>
    <w:rsid w:val="000E5E43"/>
    <w:rsid w:val="000F1314"/>
    <w:rsid w:val="000F3B7F"/>
    <w:rsid w:val="000F4520"/>
    <w:rsid w:val="000F5F87"/>
    <w:rsid w:val="00102939"/>
    <w:rsid w:val="00103DA9"/>
    <w:rsid w:val="001045CE"/>
    <w:rsid w:val="00106793"/>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49AB"/>
    <w:rsid w:val="00155A02"/>
    <w:rsid w:val="00157402"/>
    <w:rsid w:val="00157C3A"/>
    <w:rsid w:val="00160EAC"/>
    <w:rsid w:val="00171909"/>
    <w:rsid w:val="001735EE"/>
    <w:rsid w:val="001741D8"/>
    <w:rsid w:val="0017454D"/>
    <w:rsid w:val="00185253"/>
    <w:rsid w:val="001913A4"/>
    <w:rsid w:val="00196A44"/>
    <w:rsid w:val="001A0C82"/>
    <w:rsid w:val="001A27B3"/>
    <w:rsid w:val="001A3185"/>
    <w:rsid w:val="001A79F4"/>
    <w:rsid w:val="001B1DBB"/>
    <w:rsid w:val="001B3984"/>
    <w:rsid w:val="001B3EEE"/>
    <w:rsid w:val="001B5046"/>
    <w:rsid w:val="001B6034"/>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07693"/>
    <w:rsid w:val="002101C9"/>
    <w:rsid w:val="00212A2C"/>
    <w:rsid w:val="00213C92"/>
    <w:rsid w:val="00216605"/>
    <w:rsid w:val="0021693D"/>
    <w:rsid w:val="00216B0E"/>
    <w:rsid w:val="00216DA8"/>
    <w:rsid w:val="002215C9"/>
    <w:rsid w:val="00222598"/>
    <w:rsid w:val="002302ED"/>
    <w:rsid w:val="002335EE"/>
    <w:rsid w:val="0023642A"/>
    <w:rsid w:val="00240D86"/>
    <w:rsid w:val="00242202"/>
    <w:rsid w:val="00244AAA"/>
    <w:rsid w:val="002512EC"/>
    <w:rsid w:val="00252B28"/>
    <w:rsid w:val="00256F02"/>
    <w:rsid w:val="002610FC"/>
    <w:rsid w:val="00261B7A"/>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A5B1B"/>
    <w:rsid w:val="002B5E9D"/>
    <w:rsid w:val="002B7644"/>
    <w:rsid w:val="002C0021"/>
    <w:rsid w:val="002C2547"/>
    <w:rsid w:val="002C482A"/>
    <w:rsid w:val="002C6478"/>
    <w:rsid w:val="002C68B8"/>
    <w:rsid w:val="002C7F2B"/>
    <w:rsid w:val="002D1C01"/>
    <w:rsid w:val="002D3469"/>
    <w:rsid w:val="002D54E6"/>
    <w:rsid w:val="002E3F4C"/>
    <w:rsid w:val="002F14AA"/>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04E5"/>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2C99"/>
    <w:rsid w:val="003D38A7"/>
    <w:rsid w:val="003D60E4"/>
    <w:rsid w:val="003D72D3"/>
    <w:rsid w:val="003E28F4"/>
    <w:rsid w:val="003E591D"/>
    <w:rsid w:val="003F0660"/>
    <w:rsid w:val="003F4609"/>
    <w:rsid w:val="0040361C"/>
    <w:rsid w:val="00410690"/>
    <w:rsid w:val="00413FBE"/>
    <w:rsid w:val="00416D41"/>
    <w:rsid w:val="00421BA0"/>
    <w:rsid w:val="0042387A"/>
    <w:rsid w:val="0042628E"/>
    <w:rsid w:val="00426F4F"/>
    <w:rsid w:val="00434FC6"/>
    <w:rsid w:val="004356BC"/>
    <w:rsid w:val="00443336"/>
    <w:rsid w:val="00443385"/>
    <w:rsid w:val="00443621"/>
    <w:rsid w:val="00447F4F"/>
    <w:rsid w:val="00450531"/>
    <w:rsid w:val="00451504"/>
    <w:rsid w:val="00452A5A"/>
    <w:rsid w:val="004575BA"/>
    <w:rsid w:val="004606FD"/>
    <w:rsid w:val="00464DB9"/>
    <w:rsid w:val="004650C5"/>
    <w:rsid w:val="00465F37"/>
    <w:rsid w:val="0047104E"/>
    <w:rsid w:val="00474EC2"/>
    <w:rsid w:val="00480824"/>
    <w:rsid w:val="004830FD"/>
    <w:rsid w:val="004835C8"/>
    <w:rsid w:val="00483632"/>
    <w:rsid w:val="0048385B"/>
    <w:rsid w:val="00492967"/>
    <w:rsid w:val="00494BC6"/>
    <w:rsid w:val="00494D1D"/>
    <w:rsid w:val="00495F43"/>
    <w:rsid w:val="00496DD2"/>
    <w:rsid w:val="004A3D32"/>
    <w:rsid w:val="004A3DB8"/>
    <w:rsid w:val="004A6705"/>
    <w:rsid w:val="004A73AA"/>
    <w:rsid w:val="004B1E1A"/>
    <w:rsid w:val="004B336D"/>
    <w:rsid w:val="004B4B9F"/>
    <w:rsid w:val="004B5B0F"/>
    <w:rsid w:val="004C208F"/>
    <w:rsid w:val="004C3B4E"/>
    <w:rsid w:val="004D1F76"/>
    <w:rsid w:val="004D7482"/>
    <w:rsid w:val="004E358C"/>
    <w:rsid w:val="004E4FDE"/>
    <w:rsid w:val="004E54B7"/>
    <w:rsid w:val="004E5D0E"/>
    <w:rsid w:val="004E61EC"/>
    <w:rsid w:val="004F02B2"/>
    <w:rsid w:val="004F4F4D"/>
    <w:rsid w:val="004F72F9"/>
    <w:rsid w:val="005004C9"/>
    <w:rsid w:val="005016F6"/>
    <w:rsid w:val="00502FD6"/>
    <w:rsid w:val="005077A5"/>
    <w:rsid w:val="00507E67"/>
    <w:rsid w:val="005104DC"/>
    <w:rsid w:val="00511C93"/>
    <w:rsid w:val="005136F3"/>
    <w:rsid w:val="00517930"/>
    <w:rsid w:val="00520FB0"/>
    <w:rsid w:val="005226CD"/>
    <w:rsid w:val="00523738"/>
    <w:rsid w:val="00530EAC"/>
    <w:rsid w:val="0053566F"/>
    <w:rsid w:val="005364DE"/>
    <w:rsid w:val="005428C6"/>
    <w:rsid w:val="00544E9A"/>
    <w:rsid w:val="00546650"/>
    <w:rsid w:val="0055248B"/>
    <w:rsid w:val="005537D0"/>
    <w:rsid w:val="005550D8"/>
    <w:rsid w:val="00563DE0"/>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A6F91"/>
    <w:rsid w:val="005B0E84"/>
    <w:rsid w:val="005B1B53"/>
    <w:rsid w:val="005B44D1"/>
    <w:rsid w:val="005B4E4C"/>
    <w:rsid w:val="005B6D05"/>
    <w:rsid w:val="005C103A"/>
    <w:rsid w:val="005C4C97"/>
    <w:rsid w:val="005D2336"/>
    <w:rsid w:val="005D5151"/>
    <w:rsid w:val="005D51CA"/>
    <w:rsid w:val="005D6423"/>
    <w:rsid w:val="005E4D76"/>
    <w:rsid w:val="005E6BD0"/>
    <w:rsid w:val="005E7E89"/>
    <w:rsid w:val="005F04EC"/>
    <w:rsid w:val="005F18DE"/>
    <w:rsid w:val="005F591A"/>
    <w:rsid w:val="0060094A"/>
    <w:rsid w:val="006014EC"/>
    <w:rsid w:val="00601C99"/>
    <w:rsid w:val="00603743"/>
    <w:rsid w:val="00606D70"/>
    <w:rsid w:val="00610F84"/>
    <w:rsid w:val="00623DEA"/>
    <w:rsid w:val="00623EC9"/>
    <w:rsid w:val="00624417"/>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68BB"/>
    <w:rsid w:val="006A1473"/>
    <w:rsid w:val="006A41F1"/>
    <w:rsid w:val="006A64D5"/>
    <w:rsid w:val="006B0D82"/>
    <w:rsid w:val="006B40EC"/>
    <w:rsid w:val="006C0680"/>
    <w:rsid w:val="006C2F15"/>
    <w:rsid w:val="006C7015"/>
    <w:rsid w:val="006D1857"/>
    <w:rsid w:val="006D7B6E"/>
    <w:rsid w:val="006D7BB6"/>
    <w:rsid w:val="006E1D11"/>
    <w:rsid w:val="006E27A5"/>
    <w:rsid w:val="006E4937"/>
    <w:rsid w:val="006E63F3"/>
    <w:rsid w:val="006E6A13"/>
    <w:rsid w:val="006F157C"/>
    <w:rsid w:val="006F202E"/>
    <w:rsid w:val="006F20A4"/>
    <w:rsid w:val="006F3C0D"/>
    <w:rsid w:val="006F3FF3"/>
    <w:rsid w:val="006F4891"/>
    <w:rsid w:val="006F5EA0"/>
    <w:rsid w:val="006F7575"/>
    <w:rsid w:val="00706A33"/>
    <w:rsid w:val="00712339"/>
    <w:rsid w:val="00714E40"/>
    <w:rsid w:val="00715C88"/>
    <w:rsid w:val="00715D8F"/>
    <w:rsid w:val="0071791E"/>
    <w:rsid w:val="007206C9"/>
    <w:rsid w:val="00723F6E"/>
    <w:rsid w:val="00725F93"/>
    <w:rsid w:val="0073317C"/>
    <w:rsid w:val="0073367E"/>
    <w:rsid w:val="0073437F"/>
    <w:rsid w:val="0073581B"/>
    <w:rsid w:val="007362C1"/>
    <w:rsid w:val="007413CE"/>
    <w:rsid w:val="00741591"/>
    <w:rsid w:val="00741F6B"/>
    <w:rsid w:val="0074369F"/>
    <w:rsid w:val="007452E2"/>
    <w:rsid w:val="00747C79"/>
    <w:rsid w:val="00751CCA"/>
    <w:rsid w:val="00754057"/>
    <w:rsid w:val="0075770C"/>
    <w:rsid w:val="0076028F"/>
    <w:rsid w:val="00762722"/>
    <w:rsid w:val="00762FE3"/>
    <w:rsid w:val="0076667B"/>
    <w:rsid w:val="00767573"/>
    <w:rsid w:val="00767B56"/>
    <w:rsid w:val="007703A2"/>
    <w:rsid w:val="007706F8"/>
    <w:rsid w:val="00771670"/>
    <w:rsid w:val="00773919"/>
    <w:rsid w:val="00775DE3"/>
    <w:rsid w:val="00776974"/>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5110"/>
    <w:rsid w:val="00826AEC"/>
    <w:rsid w:val="00826D9D"/>
    <w:rsid w:val="008274C1"/>
    <w:rsid w:val="008277A9"/>
    <w:rsid w:val="00833E90"/>
    <w:rsid w:val="00835216"/>
    <w:rsid w:val="00842D8F"/>
    <w:rsid w:val="00842FFE"/>
    <w:rsid w:val="008501C7"/>
    <w:rsid w:val="00851B4B"/>
    <w:rsid w:val="00857302"/>
    <w:rsid w:val="0085741B"/>
    <w:rsid w:val="00861640"/>
    <w:rsid w:val="008718E5"/>
    <w:rsid w:val="00871B31"/>
    <w:rsid w:val="008844B1"/>
    <w:rsid w:val="00891B11"/>
    <w:rsid w:val="00891F2D"/>
    <w:rsid w:val="00892181"/>
    <w:rsid w:val="00892DE1"/>
    <w:rsid w:val="00895722"/>
    <w:rsid w:val="008A1777"/>
    <w:rsid w:val="008A2427"/>
    <w:rsid w:val="008A5760"/>
    <w:rsid w:val="008B110A"/>
    <w:rsid w:val="008B5573"/>
    <w:rsid w:val="008C079A"/>
    <w:rsid w:val="008D5E9E"/>
    <w:rsid w:val="008E0F73"/>
    <w:rsid w:val="008E5C4F"/>
    <w:rsid w:val="008E6162"/>
    <w:rsid w:val="008E7869"/>
    <w:rsid w:val="008E7927"/>
    <w:rsid w:val="008F312E"/>
    <w:rsid w:val="008F46B7"/>
    <w:rsid w:val="008F4BCE"/>
    <w:rsid w:val="008F5DBB"/>
    <w:rsid w:val="0090034D"/>
    <w:rsid w:val="009062A4"/>
    <w:rsid w:val="00910163"/>
    <w:rsid w:val="009121F7"/>
    <w:rsid w:val="00916532"/>
    <w:rsid w:val="00924E88"/>
    <w:rsid w:val="0093522C"/>
    <w:rsid w:val="00935D14"/>
    <w:rsid w:val="00940C2E"/>
    <w:rsid w:val="00942163"/>
    <w:rsid w:val="0094219B"/>
    <w:rsid w:val="00946523"/>
    <w:rsid w:val="00950874"/>
    <w:rsid w:val="00951347"/>
    <w:rsid w:val="00956270"/>
    <w:rsid w:val="00963756"/>
    <w:rsid w:val="00964466"/>
    <w:rsid w:val="00965F44"/>
    <w:rsid w:val="00972FCF"/>
    <w:rsid w:val="00973252"/>
    <w:rsid w:val="00975E49"/>
    <w:rsid w:val="00981FB0"/>
    <w:rsid w:val="00986297"/>
    <w:rsid w:val="0099341E"/>
    <w:rsid w:val="00993857"/>
    <w:rsid w:val="00995540"/>
    <w:rsid w:val="00997A06"/>
    <w:rsid w:val="009A12F9"/>
    <w:rsid w:val="009A1EA3"/>
    <w:rsid w:val="009A3187"/>
    <w:rsid w:val="009A47FE"/>
    <w:rsid w:val="009A5380"/>
    <w:rsid w:val="009A7441"/>
    <w:rsid w:val="009B2AD3"/>
    <w:rsid w:val="009B7148"/>
    <w:rsid w:val="009B7429"/>
    <w:rsid w:val="009C0583"/>
    <w:rsid w:val="009C0B93"/>
    <w:rsid w:val="009C361A"/>
    <w:rsid w:val="009C3938"/>
    <w:rsid w:val="009C4027"/>
    <w:rsid w:val="009D0D94"/>
    <w:rsid w:val="009D1232"/>
    <w:rsid w:val="009D2132"/>
    <w:rsid w:val="009D25F9"/>
    <w:rsid w:val="009D2C22"/>
    <w:rsid w:val="009D4E7A"/>
    <w:rsid w:val="009D72CF"/>
    <w:rsid w:val="009F164F"/>
    <w:rsid w:val="009F1C62"/>
    <w:rsid w:val="009F530C"/>
    <w:rsid w:val="009F628A"/>
    <w:rsid w:val="00A00D30"/>
    <w:rsid w:val="00A0113A"/>
    <w:rsid w:val="00A07BE4"/>
    <w:rsid w:val="00A15244"/>
    <w:rsid w:val="00A159B6"/>
    <w:rsid w:val="00A2151F"/>
    <w:rsid w:val="00A21A6A"/>
    <w:rsid w:val="00A24C4D"/>
    <w:rsid w:val="00A25906"/>
    <w:rsid w:val="00A26C76"/>
    <w:rsid w:val="00A305E5"/>
    <w:rsid w:val="00A32AA1"/>
    <w:rsid w:val="00A4399A"/>
    <w:rsid w:val="00A446DB"/>
    <w:rsid w:val="00A45BC8"/>
    <w:rsid w:val="00A46630"/>
    <w:rsid w:val="00A53877"/>
    <w:rsid w:val="00A54CC2"/>
    <w:rsid w:val="00A60591"/>
    <w:rsid w:val="00A64AE4"/>
    <w:rsid w:val="00A706A2"/>
    <w:rsid w:val="00A7383F"/>
    <w:rsid w:val="00A74F16"/>
    <w:rsid w:val="00A75539"/>
    <w:rsid w:val="00A75E19"/>
    <w:rsid w:val="00A775C6"/>
    <w:rsid w:val="00A808B8"/>
    <w:rsid w:val="00A817F8"/>
    <w:rsid w:val="00A875EE"/>
    <w:rsid w:val="00A900E8"/>
    <w:rsid w:val="00A92B4B"/>
    <w:rsid w:val="00A92D6E"/>
    <w:rsid w:val="00A970F8"/>
    <w:rsid w:val="00AA11B9"/>
    <w:rsid w:val="00AA54A5"/>
    <w:rsid w:val="00AA6C6B"/>
    <w:rsid w:val="00AA7DB0"/>
    <w:rsid w:val="00AB20BD"/>
    <w:rsid w:val="00AB2522"/>
    <w:rsid w:val="00AB52BE"/>
    <w:rsid w:val="00AC5CAC"/>
    <w:rsid w:val="00AC7961"/>
    <w:rsid w:val="00AD3FF3"/>
    <w:rsid w:val="00AD4251"/>
    <w:rsid w:val="00AD4EF6"/>
    <w:rsid w:val="00AD5816"/>
    <w:rsid w:val="00AE2039"/>
    <w:rsid w:val="00AE50A8"/>
    <w:rsid w:val="00AF073D"/>
    <w:rsid w:val="00AF4290"/>
    <w:rsid w:val="00AF644A"/>
    <w:rsid w:val="00AF68D3"/>
    <w:rsid w:val="00AF7ACE"/>
    <w:rsid w:val="00B00205"/>
    <w:rsid w:val="00B00E20"/>
    <w:rsid w:val="00B0107A"/>
    <w:rsid w:val="00B04D97"/>
    <w:rsid w:val="00B05AC1"/>
    <w:rsid w:val="00B06546"/>
    <w:rsid w:val="00B11FD1"/>
    <w:rsid w:val="00B136D6"/>
    <w:rsid w:val="00B21010"/>
    <w:rsid w:val="00B26014"/>
    <w:rsid w:val="00B2709E"/>
    <w:rsid w:val="00B35FDC"/>
    <w:rsid w:val="00B368DA"/>
    <w:rsid w:val="00B43892"/>
    <w:rsid w:val="00B468EF"/>
    <w:rsid w:val="00B5017E"/>
    <w:rsid w:val="00B5079C"/>
    <w:rsid w:val="00B508E2"/>
    <w:rsid w:val="00B579BB"/>
    <w:rsid w:val="00B57AAB"/>
    <w:rsid w:val="00B57CED"/>
    <w:rsid w:val="00B606D0"/>
    <w:rsid w:val="00B632B3"/>
    <w:rsid w:val="00B667BC"/>
    <w:rsid w:val="00B7015D"/>
    <w:rsid w:val="00B7136E"/>
    <w:rsid w:val="00B7616E"/>
    <w:rsid w:val="00B83CAC"/>
    <w:rsid w:val="00B84995"/>
    <w:rsid w:val="00B85950"/>
    <w:rsid w:val="00B86812"/>
    <w:rsid w:val="00B91010"/>
    <w:rsid w:val="00B917E5"/>
    <w:rsid w:val="00B9286A"/>
    <w:rsid w:val="00B93470"/>
    <w:rsid w:val="00B95BBF"/>
    <w:rsid w:val="00B96036"/>
    <w:rsid w:val="00BA12CD"/>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2D99"/>
    <w:rsid w:val="00BE54D6"/>
    <w:rsid w:val="00BF1481"/>
    <w:rsid w:val="00BF2610"/>
    <w:rsid w:val="00C02A39"/>
    <w:rsid w:val="00C02FE1"/>
    <w:rsid w:val="00C04E3C"/>
    <w:rsid w:val="00C069B8"/>
    <w:rsid w:val="00C074EF"/>
    <w:rsid w:val="00C10B42"/>
    <w:rsid w:val="00C12720"/>
    <w:rsid w:val="00C15432"/>
    <w:rsid w:val="00C15AC4"/>
    <w:rsid w:val="00C21149"/>
    <w:rsid w:val="00C2773E"/>
    <w:rsid w:val="00C3128B"/>
    <w:rsid w:val="00C33674"/>
    <w:rsid w:val="00C3385B"/>
    <w:rsid w:val="00C41470"/>
    <w:rsid w:val="00C41FF2"/>
    <w:rsid w:val="00C54747"/>
    <w:rsid w:val="00C56C98"/>
    <w:rsid w:val="00C61690"/>
    <w:rsid w:val="00C6254D"/>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16DB"/>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5ACB"/>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17E2"/>
    <w:rsid w:val="00DE3020"/>
    <w:rsid w:val="00DE4D85"/>
    <w:rsid w:val="00DE6D9A"/>
    <w:rsid w:val="00DE6DD3"/>
    <w:rsid w:val="00DF18B6"/>
    <w:rsid w:val="00DF317F"/>
    <w:rsid w:val="00DF3C7A"/>
    <w:rsid w:val="00DF42DF"/>
    <w:rsid w:val="00DF70C1"/>
    <w:rsid w:val="00DF71A8"/>
    <w:rsid w:val="00E027B0"/>
    <w:rsid w:val="00E02A24"/>
    <w:rsid w:val="00E06484"/>
    <w:rsid w:val="00E11403"/>
    <w:rsid w:val="00E11DA9"/>
    <w:rsid w:val="00E16925"/>
    <w:rsid w:val="00E27247"/>
    <w:rsid w:val="00E31CA5"/>
    <w:rsid w:val="00E3382E"/>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4BAD"/>
    <w:rsid w:val="00E570ED"/>
    <w:rsid w:val="00E627ED"/>
    <w:rsid w:val="00E63798"/>
    <w:rsid w:val="00E6619D"/>
    <w:rsid w:val="00E7442E"/>
    <w:rsid w:val="00E756CD"/>
    <w:rsid w:val="00E82188"/>
    <w:rsid w:val="00E825A1"/>
    <w:rsid w:val="00E85293"/>
    <w:rsid w:val="00E871CE"/>
    <w:rsid w:val="00E87AC7"/>
    <w:rsid w:val="00E9315E"/>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6FBD"/>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4BC5"/>
    <w:rsid w:val="00F26087"/>
    <w:rsid w:val="00F27024"/>
    <w:rsid w:val="00F3088D"/>
    <w:rsid w:val="00F341FB"/>
    <w:rsid w:val="00F37AD2"/>
    <w:rsid w:val="00F43CF0"/>
    <w:rsid w:val="00F4680E"/>
    <w:rsid w:val="00F46EBB"/>
    <w:rsid w:val="00F47088"/>
    <w:rsid w:val="00F51B37"/>
    <w:rsid w:val="00F541D1"/>
    <w:rsid w:val="00F54C17"/>
    <w:rsid w:val="00F641E1"/>
    <w:rsid w:val="00F644EA"/>
    <w:rsid w:val="00F652E7"/>
    <w:rsid w:val="00F654C6"/>
    <w:rsid w:val="00F674C8"/>
    <w:rsid w:val="00F70176"/>
    <w:rsid w:val="00F70871"/>
    <w:rsid w:val="00F75C84"/>
    <w:rsid w:val="00F75EDB"/>
    <w:rsid w:val="00F762E5"/>
    <w:rsid w:val="00F76491"/>
    <w:rsid w:val="00F8230E"/>
    <w:rsid w:val="00F930A8"/>
    <w:rsid w:val="00FA3B81"/>
    <w:rsid w:val="00FA5DE4"/>
    <w:rsid w:val="00FA5E7B"/>
    <w:rsid w:val="00FA7384"/>
    <w:rsid w:val="00FB2C2F"/>
    <w:rsid w:val="00FB5F5C"/>
    <w:rsid w:val="00FC0D3E"/>
    <w:rsid w:val="00FC319F"/>
    <w:rsid w:val="00FC3884"/>
    <w:rsid w:val="00FC4DC9"/>
    <w:rsid w:val="00FC4F6B"/>
    <w:rsid w:val="00FD46E0"/>
    <w:rsid w:val="00FD61B9"/>
    <w:rsid w:val="00FD7FF0"/>
    <w:rsid w:val="00FE16D2"/>
    <w:rsid w:val="00FE4F72"/>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2C56"/>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8.xml"/><Relationship Id="rId36"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5.5928102315935015E-2"/>
          <c:w val="0.84040051013690165"/>
          <c:h val="0.73894673613559503"/>
        </c:manualLayout>
      </c:layout>
      <c:barChart>
        <c:barDir val="col"/>
        <c:grouping val="clustered"/>
        <c:varyColors val="0"/>
        <c:ser>
          <c:idx val="1"/>
          <c:order val="1"/>
          <c:tx>
            <c:strRef>
              <c:f>Hoja1!$C$1</c:f>
              <c:strCache>
                <c:ptCount val="1"/>
                <c:pt idx="0">
                  <c:v>Presupuesto sin medidas</c:v>
                </c:pt>
              </c:strCache>
            </c:strRef>
          </c:tx>
          <c:spPr>
            <a:solidFill>
              <a:schemeClr val="accent6"/>
            </a:solidFill>
            <a:ln>
              <a:solidFill>
                <a:srgbClr val="FF0000"/>
              </a:solid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Hoja1!$A$2:$A$6</c:f>
              <c:strCache>
                <c:ptCount val="5"/>
                <c:pt idx="0">
                  <c:v>Ene</c:v>
                </c:pt>
                <c:pt idx="1">
                  <c:v>Feb</c:v>
                </c:pt>
                <c:pt idx="2">
                  <c:v>Mar</c:v>
                </c:pt>
                <c:pt idx="3">
                  <c:v>Abr</c:v>
                </c:pt>
                <c:pt idx="4">
                  <c:v>May</c:v>
                </c:pt>
              </c:strCache>
            </c:strRef>
          </c:cat>
          <c:val>
            <c:numRef>
              <c:f>Hoja1!$C$2:$C$6</c:f>
              <c:numCache>
                <c:formatCode>General</c:formatCode>
                <c:ptCount val="5"/>
                <c:pt idx="0">
                  <c:v>-195.3</c:v>
                </c:pt>
                <c:pt idx="1">
                  <c:v>-358.3</c:v>
                </c:pt>
                <c:pt idx="2">
                  <c:v>-509.7</c:v>
                </c:pt>
                <c:pt idx="3">
                  <c:v>-514.6</c:v>
                </c:pt>
                <c:pt idx="4">
                  <c:v>-615.79999999999995</c:v>
                </c:pt>
              </c:numCache>
            </c:numRef>
          </c:val>
          <c:extLst>
            <c:ext xmlns:c16="http://schemas.microsoft.com/office/drawing/2014/chart" uri="{C3380CC4-5D6E-409C-BE32-E72D297353CC}">
              <c16:uniqueId val="{00000000-E077-4B7E-9092-60865ECC1102}"/>
            </c:ext>
          </c:extLst>
        </c:ser>
        <c:dLbls>
          <c:showLegendKey val="0"/>
          <c:showVal val="0"/>
          <c:showCatName val="0"/>
          <c:showSerName val="0"/>
          <c:showPercent val="0"/>
          <c:showBubbleSize val="0"/>
        </c:dLbls>
        <c:gapWidth val="17"/>
        <c:axId val="549794840"/>
        <c:axId val="549798448"/>
      </c:barChart>
      <c:lineChart>
        <c:grouping val="standard"/>
        <c:varyColors val="0"/>
        <c:ser>
          <c:idx val="0"/>
          <c:order val="0"/>
          <c:tx>
            <c:strRef>
              <c:f>Hoja1!$B$1</c:f>
              <c:strCache>
                <c:ptCount val="1"/>
                <c:pt idx="0">
                  <c:v>Presupuesto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Lbls>
            <c:dLbl>
              <c:idx val="0"/>
              <c:layout>
                <c:manualLayout>
                  <c:x val="-0.12203389830508475"/>
                  <c:y val="0.132056784417299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77-4B7E-9092-60865ECC1102}"/>
                </c:ext>
              </c:extLst>
            </c:dLbl>
            <c:dLbl>
              <c:idx val="1"/>
              <c:layout>
                <c:manualLayout>
                  <c:x val="-0.1536723163841808"/>
                  <c:y val="0.165070980521624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77-4B7E-9092-60865ECC1102}"/>
                </c:ext>
              </c:extLst>
            </c:dLbl>
            <c:dLbl>
              <c:idx val="2"/>
              <c:layout>
                <c:manualLayout>
                  <c:x val="-0.17175141242937861"/>
                  <c:y val="5.9425552987784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77-4B7E-9092-60865ECC1102}"/>
                </c:ext>
              </c:extLst>
            </c:dLbl>
            <c:dLbl>
              <c:idx val="3"/>
              <c:layout>
                <c:manualLayout>
                  <c:x val="-0.14011299435028249"/>
                  <c:y val="6.602839220864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77-4B7E-9092-60865ECC1102}"/>
                </c:ext>
              </c:extLst>
            </c:dLbl>
            <c:dLbl>
              <c:idx val="4"/>
              <c:layout>
                <c:manualLayout>
                  <c:x val="0"/>
                  <c:y val="-6.6028392208649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77-4B7E-9092-60865ECC1102}"/>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Hoja1!$A$2:$A$6</c:f>
              <c:strCache>
                <c:ptCount val="5"/>
                <c:pt idx="0">
                  <c:v>Ene</c:v>
                </c:pt>
                <c:pt idx="1">
                  <c:v>Feb</c:v>
                </c:pt>
                <c:pt idx="2">
                  <c:v>Mar</c:v>
                </c:pt>
                <c:pt idx="3">
                  <c:v>Abr</c:v>
                </c:pt>
                <c:pt idx="4">
                  <c:v>May</c:v>
                </c:pt>
              </c:strCache>
            </c:strRef>
          </c:cat>
          <c:val>
            <c:numRef>
              <c:f>Hoja1!$B$2:$B$6</c:f>
              <c:numCache>
                <c:formatCode>General</c:formatCode>
                <c:ptCount val="5"/>
                <c:pt idx="0">
                  <c:v>-290.60000000000002</c:v>
                </c:pt>
                <c:pt idx="1">
                  <c:v>-515.70000000000005</c:v>
                </c:pt>
                <c:pt idx="2" formatCode="0.0">
                  <c:v>-787.9</c:v>
                </c:pt>
                <c:pt idx="3">
                  <c:v>-914.1</c:v>
                </c:pt>
                <c:pt idx="4">
                  <c:v>-1092.8</c:v>
                </c:pt>
              </c:numCache>
            </c:numRef>
          </c:val>
          <c:smooth val="1"/>
          <c:extLst>
            <c:ext xmlns:c16="http://schemas.microsoft.com/office/drawing/2014/chart" uri="{C3380CC4-5D6E-409C-BE32-E72D297353CC}">
              <c16:uniqueId val="{00000006-E077-4B7E-9092-60865ECC1102}"/>
            </c:ext>
          </c:extLst>
        </c:ser>
        <c:dLbls>
          <c:showLegendKey val="0"/>
          <c:showVal val="0"/>
          <c:showCatName val="0"/>
          <c:showSerName val="0"/>
          <c:showPercent val="0"/>
          <c:showBubbleSize val="0"/>
        </c:dLbls>
        <c:marker val="1"/>
        <c:smooth val="0"/>
        <c:axId val="549794840"/>
        <c:axId val="549798448"/>
      </c:lineChart>
      <c:catAx>
        <c:axId val="549794840"/>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8448"/>
        <c:crosses val="autoZero"/>
        <c:auto val="0"/>
        <c:lblAlgn val="ctr"/>
        <c:lblOffset val="100"/>
        <c:noMultiLvlLbl val="1"/>
      </c:catAx>
      <c:valAx>
        <c:axId val="5497984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2.2527692513012141E-4"/>
          <c:y val="0.89352711508076421"/>
          <c:w val="0.99954909026202232"/>
          <c:h val="0.106472884919235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1887382606133"/>
          <c:y val="7.6042871663161621E-2"/>
          <c:w val="0.674920190332436"/>
          <c:h val="0.84791425667367681"/>
        </c:manualLayout>
      </c:layout>
      <c:radarChart>
        <c:radarStyle val="marker"/>
        <c:varyColors val="0"/>
        <c:ser>
          <c:idx val="0"/>
          <c:order val="0"/>
          <c:tx>
            <c:strRef>
              <c:f>Hoja1!$B$1</c:f>
              <c:strCache>
                <c:ptCount val="1"/>
                <c:pt idx="0">
                  <c:v>Trib neto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Pt>
            <c:idx val="2"/>
            <c:marker>
              <c:symbol val="circle"/>
              <c:size val="3"/>
              <c:spPr>
                <a:solidFill>
                  <a:schemeClr val="lt1"/>
                </a:solidFill>
                <a:ln w="15875">
                  <a:solidFill>
                    <a:srgbClr val="0070C0"/>
                  </a:solidFill>
                  <a:round/>
                </a:ln>
                <a:effectLst/>
              </c:spPr>
            </c:marker>
            <c:bubble3D val="0"/>
            <c:extLst>
              <c:ext xmlns:c16="http://schemas.microsoft.com/office/drawing/2014/chart" uri="{C3380CC4-5D6E-409C-BE32-E72D297353CC}">
                <c16:uniqueId val="{00000000-00A3-437C-87AF-19EFE69A5C55}"/>
              </c:ext>
            </c:extLst>
          </c:dPt>
          <c:dPt>
            <c:idx val="3"/>
            <c:marker>
              <c:symbol val="circle"/>
              <c:size val="3"/>
              <c:spPr>
                <a:solidFill>
                  <a:schemeClr val="lt1"/>
                </a:solidFill>
                <a:ln w="15875">
                  <a:solidFill>
                    <a:srgbClr val="0070C0"/>
                  </a:solidFill>
                  <a:round/>
                </a:ln>
                <a:effectLst/>
              </c:spPr>
            </c:marker>
            <c:bubble3D val="0"/>
            <c:extLst>
              <c:ext xmlns:c16="http://schemas.microsoft.com/office/drawing/2014/chart" uri="{C3380CC4-5D6E-409C-BE32-E72D297353CC}">
                <c16:uniqueId val="{00000001-00A3-437C-87AF-19EFE69A5C55}"/>
              </c:ext>
            </c:extLst>
          </c:dPt>
          <c:dPt>
            <c:idx val="4"/>
            <c:marker>
              <c:symbol val="circle"/>
              <c:size val="3"/>
              <c:spPr>
                <a:solidFill>
                  <a:schemeClr val="lt1"/>
                </a:solidFill>
                <a:ln w="15875">
                  <a:solidFill>
                    <a:srgbClr val="0070C0"/>
                  </a:solidFill>
                  <a:round/>
                </a:ln>
                <a:effectLst/>
              </c:spPr>
            </c:marker>
            <c:bubble3D val="0"/>
            <c:extLst>
              <c:ext xmlns:c16="http://schemas.microsoft.com/office/drawing/2014/chart" uri="{C3380CC4-5D6E-409C-BE32-E72D297353CC}">
                <c16:uniqueId val="{00000002-00A3-437C-87AF-19EFE69A5C55}"/>
              </c:ext>
            </c:extLst>
          </c:dPt>
          <c:dLbls>
            <c:dLbl>
              <c:idx val="0"/>
              <c:layout>
                <c:manualLayout>
                  <c:x val="3.5879036391594052E-2"/>
                  <c:y val="-0.1078342427401262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A3-437C-87AF-19EFE69A5C55}"/>
                </c:ext>
              </c:extLst>
            </c:dLbl>
            <c:dLbl>
              <c:idx val="1"/>
              <c:layout>
                <c:manualLayout>
                  <c:x val="4.1004613018964631E-2"/>
                  <c:y val="0.105645427533839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A3-437C-87AF-19EFE69A5C55}"/>
                </c:ext>
              </c:extLst>
            </c:dLbl>
            <c:dLbl>
              <c:idx val="2"/>
              <c:layout>
                <c:manualLayout>
                  <c:x val="0.22552537160430539"/>
                  <c:y val="-6.05253269975199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A3-437C-87AF-19EFE69A5C55}"/>
                </c:ext>
              </c:extLst>
            </c:dLbl>
            <c:dLbl>
              <c:idx val="3"/>
              <c:layout>
                <c:manualLayout>
                  <c:x val="0.194771911840082"/>
                  <c:y val="0.13865962363816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A3-437C-87AF-19EFE69A5C55}"/>
                </c:ext>
              </c:extLst>
            </c:dLbl>
            <c:dLbl>
              <c:idx val="4"/>
              <c:layout>
                <c:manualLayout>
                  <c:x val="0.16914402870322903"/>
                  <c:y val="0.2377022119511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A3-437C-87AF-19EFE69A5C55}"/>
                </c:ext>
              </c:extLst>
            </c:dLbl>
            <c:dLbl>
              <c:idx val="5"/>
              <c:layout>
                <c:manualLayout>
                  <c:x val="-9.3967819310860024E-17"/>
                  <c:y val="0.184879498184219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A3-437C-87AF-19EFE69A5C55}"/>
                </c:ext>
              </c:extLst>
            </c:dLbl>
            <c:dLbl>
              <c:idx val="6"/>
              <c:layout>
                <c:manualLayout>
                  <c:x val="-0.16401845207585852"/>
                  <c:y val="0.250907890392868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A3-437C-87AF-19EFE69A5C55}"/>
                </c:ext>
              </c:extLst>
            </c:dLbl>
            <c:dLbl>
              <c:idx val="7"/>
              <c:layout>
                <c:manualLayout>
                  <c:x val="-0.13326499231163505"/>
                  <c:y val="9.2439749092109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0A3-437C-87AF-19EFE69A5C55}"/>
                </c:ext>
              </c:extLst>
            </c:dLbl>
            <c:dLbl>
              <c:idx val="8"/>
              <c:layout>
                <c:manualLayout>
                  <c:x val="-0.19989748846745259"/>
                  <c:y val="-6.6028392208649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0A3-437C-87AF-19EFE69A5C55}"/>
                </c:ext>
              </c:extLst>
            </c:dLbl>
            <c:dLbl>
              <c:idx val="9"/>
              <c:layout>
                <c:manualLayout>
                  <c:x val="-0.14351614556637626"/>
                  <c:y val="-9.2439749092109613E-2"/>
                </c:manualLayout>
              </c:layout>
              <c:numFmt formatCode="0.0%" sourceLinked="0"/>
              <c:spPr>
                <a:solidFill>
                  <a:srgbClr val="FFFF00"/>
                </a:solidFill>
                <a:ln>
                  <a:solidFill>
                    <a:srgbClr val="FFFF00"/>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0A3-437C-87AF-19EFE69A5C5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Hoja1!$A$2:$A$15</c:f>
              <c:numCache>
                <c:formatCode>mmm\-yy</c:formatCode>
                <c:ptCount val="10"/>
                <c:pt idx="0">
                  <c:v>40299</c:v>
                </c:pt>
                <c:pt idx="1">
                  <c:v>40664</c:v>
                </c:pt>
                <c:pt idx="2">
                  <c:v>41030</c:v>
                </c:pt>
                <c:pt idx="3">
                  <c:v>41395</c:v>
                </c:pt>
                <c:pt idx="4">
                  <c:v>41760</c:v>
                </c:pt>
                <c:pt idx="5">
                  <c:v>42125</c:v>
                </c:pt>
                <c:pt idx="6">
                  <c:v>42491</c:v>
                </c:pt>
                <c:pt idx="7">
                  <c:v>42856</c:v>
                </c:pt>
                <c:pt idx="8">
                  <c:v>43221</c:v>
                </c:pt>
                <c:pt idx="9">
                  <c:v>43586</c:v>
                </c:pt>
              </c:numCache>
            </c:numRef>
          </c:cat>
          <c:val>
            <c:numRef>
              <c:f>Hoja1!$B$2:$B$15</c:f>
              <c:numCache>
                <c:formatCode>General</c:formatCode>
                <c:ptCount val="10"/>
                <c:pt idx="0">
                  <c:v>9.2644857385170365E-2</c:v>
                </c:pt>
                <c:pt idx="1">
                  <c:v>0.18434335889679443</c:v>
                </c:pt>
                <c:pt idx="2">
                  <c:v>5.5698010286522104E-2</c:v>
                </c:pt>
                <c:pt idx="3">
                  <c:v>0.11309669090616903</c:v>
                </c:pt>
                <c:pt idx="4">
                  <c:v>3.3451678851219357E-2</c:v>
                </c:pt>
                <c:pt idx="5">
                  <c:v>1.9570003024222293E-2</c:v>
                </c:pt>
                <c:pt idx="6">
                  <c:v>6.3074722971557362E-2</c:v>
                </c:pt>
                <c:pt idx="7">
                  <c:v>5.279739808014261E-2</c:v>
                </c:pt>
                <c:pt idx="8">
                  <c:v>5.2144869251667503E-2</c:v>
                </c:pt>
                <c:pt idx="9">
                  <c:v>4.6115450821696768E-2</c:v>
                </c:pt>
              </c:numCache>
            </c:numRef>
          </c:val>
          <c:extLst>
            <c:ext xmlns:c16="http://schemas.microsoft.com/office/drawing/2014/chart" uri="{C3380CC4-5D6E-409C-BE32-E72D297353CC}">
              <c16:uniqueId val="{0000000A-00A3-437C-87AF-19EFE69A5C55}"/>
            </c:ext>
          </c:extLst>
        </c:ser>
        <c:dLbls>
          <c:showLegendKey val="0"/>
          <c:showVal val="0"/>
          <c:showCatName val="0"/>
          <c:showSerName val="0"/>
          <c:showPercent val="0"/>
          <c:showBubbleSize val="0"/>
        </c:dLbls>
        <c:axId val="549794840"/>
        <c:axId val="549798448"/>
      </c:radarChart>
      <c:catAx>
        <c:axId val="549794840"/>
        <c:scaling>
          <c:orientation val="minMax"/>
        </c:scaling>
        <c:delete val="0"/>
        <c:axPos val="b"/>
        <c:majorGridlines>
          <c:spPr>
            <a:ln w="9525" cap="flat" cmpd="sng" algn="ctr">
              <a:solidFill>
                <a:schemeClr val="dk1">
                  <a:lumMod val="15000"/>
                  <a:lumOff val="85000"/>
                  <a:alpha val="54000"/>
                </a:schemeClr>
              </a:solidFill>
              <a:round/>
            </a:ln>
            <a:effectLst/>
          </c:spPr>
        </c:majorGridlines>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ysClr val="windowText" lastClr="000000"/>
                </a:solidFill>
                <a:latin typeface="+mn-lt"/>
                <a:ea typeface="+mn-ea"/>
                <a:cs typeface="+mn-cs"/>
              </a:defRPr>
            </a:pPr>
            <a:endParaRPr lang="es-GT"/>
          </a:p>
        </c:txPr>
        <c:crossAx val="549798448"/>
        <c:crosses val="autoZero"/>
        <c:auto val="0"/>
        <c:lblAlgn val="ctr"/>
        <c:lblOffset val="100"/>
        <c:noMultiLvlLbl val="1"/>
      </c:catAx>
      <c:valAx>
        <c:axId val="549798448"/>
        <c:scaling>
          <c:orientation val="minMax"/>
          <c:max val="0.20500000000000002"/>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500" b="0" i="0" u="none" strike="noStrike" kern="1200" baseline="0">
                <a:solidFill>
                  <a:schemeClr val="dk1">
                    <a:lumMod val="65000"/>
                    <a:lumOff val="35000"/>
                  </a:schemeClr>
                </a:solidFill>
                <a:latin typeface="+mn-lt"/>
                <a:ea typeface="+mn-ea"/>
                <a:cs typeface="+mn-cs"/>
              </a:defRPr>
            </a:pPr>
            <a:endParaRPr lang="es-GT"/>
          </a:p>
        </c:txPr>
        <c:crossAx val="54979484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5A35-D4F6-4753-942C-AB5B12A8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9378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Saul Enrique De León Meneses</dc:creator>
  <cp:lastModifiedBy>Saul Enrique De León Meneses</cp:lastModifiedBy>
  <cp:revision>2</cp:revision>
  <dcterms:created xsi:type="dcterms:W3CDTF">2019-07-05T17:43:00Z</dcterms:created>
  <dcterms:modified xsi:type="dcterms:W3CDTF">2019-07-05T17:43:00Z</dcterms:modified>
</cp:coreProperties>
</file>