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1B36BC" w:rsidRDefault="00CE75B5"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1B36BC" w:rsidSect="00754057">
          <w:headerReference w:type="default" r:id="rId9"/>
          <w:footerReference w:type="default" r:id="rId10"/>
          <w:pgSz w:w="12240" w:h="15840" w:code="1"/>
          <w:pgMar w:top="1418" w:right="1418" w:bottom="1418" w:left="1418" w:header="709" w:footer="709" w:gutter="0"/>
          <w:cols w:space="708"/>
          <w:docGrid w:linePitch="360"/>
        </w:sectPr>
      </w:pPr>
      <w:bookmarkStart w:id="0" w:name="_GoBack"/>
      <w:bookmarkEnd w:id="0"/>
      <w:r w:rsidRPr="001B36BC">
        <w:rPr>
          <w:rFonts w:ascii="Times New Roman" w:hAnsi="Times New Roman" w:cs="Times New Roman"/>
          <w:b/>
          <w:lang w:val="es-MX"/>
        </w:rPr>
        <w:t xml:space="preserve">Se mantiene superávit </w:t>
      </w:r>
      <w:r w:rsidR="00157402" w:rsidRPr="001B36BC">
        <w:rPr>
          <w:rFonts w:ascii="Times New Roman" w:hAnsi="Times New Roman" w:cs="Times New Roman"/>
          <w:b/>
          <w:lang w:val="es-MX"/>
        </w:rPr>
        <w:t>fiscal</w:t>
      </w:r>
    </w:p>
    <w:p w:rsidR="007D4651" w:rsidRPr="001863CC" w:rsidRDefault="007D4651" w:rsidP="007D4651">
      <w:pPr>
        <w:pStyle w:val="Sinespaciado"/>
        <w:rPr>
          <w:rFonts w:ascii="Times New Roman" w:hAnsi="Times New Roman" w:cs="Times New Roman"/>
          <w:b/>
          <w:color w:val="FF0000"/>
          <w:sz w:val="6"/>
          <w:lang w:val="es-MX"/>
        </w:rPr>
      </w:pPr>
    </w:p>
    <w:p w:rsidR="007D4651" w:rsidRPr="001863CC" w:rsidRDefault="007D4651" w:rsidP="007D4651">
      <w:pPr>
        <w:pStyle w:val="Sinespaciado"/>
        <w:jc w:val="center"/>
        <w:rPr>
          <w:rFonts w:ascii="Times New Roman" w:hAnsi="Times New Roman" w:cs="Times New Roman"/>
          <w:b/>
          <w:color w:val="FF0000"/>
          <w:sz w:val="16"/>
          <w:lang w:val="es-MX"/>
        </w:rPr>
      </w:pPr>
    </w:p>
    <w:p w:rsidR="009C4027" w:rsidRPr="001863CC" w:rsidRDefault="009C4027" w:rsidP="007D4651">
      <w:pPr>
        <w:pStyle w:val="Sinespaciado"/>
        <w:jc w:val="center"/>
        <w:rPr>
          <w:rFonts w:ascii="Times New Roman" w:hAnsi="Times New Roman" w:cs="Times New Roman"/>
          <w:b/>
          <w:color w:val="FF0000"/>
          <w:lang w:val="es-MX"/>
        </w:rPr>
        <w:sectPr w:rsidR="009C4027" w:rsidRPr="001863CC" w:rsidSect="004E358C">
          <w:type w:val="continuous"/>
          <w:pgSz w:w="12240" w:h="15840"/>
          <w:pgMar w:top="1417" w:right="1701" w:bottom="1417" w:left="1701" w:header="708" w:footer="708" w:gutter="0"/>
          <w:cols w:space="708"/>
          <w:docGrid w:linePitch="360"/>
        </w:sectPr>
      </w:pPr>
    </w:p>
    <w:p w:rsidR="007D4651" w:rsidRPr="001863CC" w:rsidRDefault="001B36BC" w:rsidP="001B36BC">
      <w:pPr>
        <w:pStyle w:val="Sinespaciado"/>
        <w:jc w:val="both"/>
        <w:rPr>
          <w:rFonts w:ascii="Times New Roman" w:hAnsi="Times New Roman" w:cs="Times New Roman"/>
          <w:color w:val="FF0000"/>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 xml:space="preserve">esupuestario del gobierno muestra, </w:t>
      </w:r>
      <w:r w:rsidRPr="00F92177">
        <w:rPr>
          <w:rFonts w:ascii="Times New Roman" w:hAnsi="Times New Roman" w:cs="Times New Roman"/>
          <w:lang w:val="es-MX"/>
        </w:rPr>
        <w:t xml:space="preserve">un </w:t>
      </w:r>
      <w:r>
        <w:rPr>
          <w:rFonts w:ascii="Times New Roman" w:hAnsi="Times New Roman" w:cs="Times New Roman"/>
          <w:lang w:val="es-MX"/>
        </w:rPr>
        <w:t>superávit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mayo de 2018 en</w:t>
      </w:r>
      <w:r w:rsidRPr="00F92177">
        <w:rPr>
          <w:rFonts w:ascii="Times New Roman" w:hAnsi="Times New Roman" w:cs="Times New Roman"/>
          <w:lang w:val="es-MX"/>
        </w:rPr>
        <w:t xml:space="preserve"> Q</w:t>
      </w:r>
      <w:r>
        <w:rPr>
          <w:rFonts w:ascii="Times New Roman" w:hAnsi="Times New Roman" w:cs="Times New Roman"/>
          <w:lang w:val="es-MX"/>
        </w:rPr>
        <w:t>827.9</w:t>
      </w:r>
      <w:r w:rsidRPr="00F92177">
        <w:rPr>
          <w:rFonts w:ascii="Times New Roman" w:hAnsi="Times New Roman" w:cs="Times New Roman"/>
          <w:lang w:val="es-MX"/>
        </w:rPr>
        <w:t xml:space="preserve"> millones</w:t>
      </w:r>
      <w:r>
        <w:rPr>
          <w:rFonts w:ascii="Times New Roman" w:hAnsi="Times New Roman" w:cs="Times New Roman"/>
          <w:lang w:val="es-MX"/>
        </w:rPr>
        <w:t xml:space="preserve">. Este superávit sigue siendo producto del ritmo del gasto público que, si bien retrocedió dos décimas respecto a lo mostrado en el mes </w:t>
      </w:r>
      <w:r>
        <w:rPr>
          <w:rFonts w:ascii="Times New Roman" w:hAnsi="Times New Roman" w:cs="Times New Roman"/>
          <w:lang w:val="es-MX"/>
        </w:rPr>
        <w:lastRenderedPageBreak/>
        <w:t xml:space="preserve">previo, tiene un comportamiento positivo en lo que va del año, aunque el ritmo sigue siendo moderado y menos dinámico que el comportamiento observado en la recaudación tributaria. </w:t>
      </w:r>
    </w:p>
    <w:p w:rsidR="007D4651" w:rsidRPr="001863CC" w:rsidRDefault="007D4651" w:rsidP="007D4651">
      <w:pPr>
        <w:pStyle w:val="Sinespaciado"/>
        <w:jc w:val="center"/>
        <w:rPr>
          <w:rFonts w:ascii="Times New Roman" w:hAnsi="Times New Roman" w:cs="Times New Roman"/>
          <w:b/>
          <w:color w:val="FF0000"/>
          <w:lang w:val="es-MX"/>
        </w:rPr>
        <w:sectPr w:rsidR="007D4651" w:rsidRPr="001863CC" w:rsidSect="004E358C">
          <w:type w:val="continuous"/>
          <w:pgSz w:w="12240" w:h="15840"/>
          <w:pgMar w:top="1417" w:right="1701" w:bottom="1417" w:left="1701" w:header="708" w:footer="708" w:gutter="0"/>
          <w:cols w:num="2" w:space="708"/>
          <w:docGrid w:linePitch="360"/>
        </w:sectPr>
      </w:pPr>
    </w:p>
    <w:p w:rsidR="007D4651" w:rsidRPr="001863CC" w:rsidRDefault="007D4651" w:rsidP="00B9286A">
      <w:pPr>
        <w:pStyle w:val="Sinespaciado"/>
        <w:rPr>
          <w:rFonts w:ascii="Times New Roman" w:hAnsi="Times New Roman" w:cs="Times New Roman"/>
          <w:b/>
          <w:color w:val="FF0000"/>
          <w:sz w:val="4"/>
          <w:lang w:val="es-MX"/>
        </w:rPr>
      </w:pPr>
    </w:p>
    <w:p w:rsidR="009C4027" w:rsidRPr="001863CC" w:rsidRDefault="009C4027" w:rsidP="007D4651">
      <w:pPr>
        <w:pStyle w:val="Sinespaciado"/>
        <w:jc w:val="center"/>
        <w:rPr>
          <w:rFonts w:ascii="Times New Roman" w:hAnsi="Times New Roman" w:cs="Times New Roman"/>
          <w:b/>
          <w:color w:val="FF0000"/>
          <w:sz w:val="14"/>
          <w:lang w:val="es-MX"/>
        </w:rPr>
      </w:pPr>
    </w:p>
    <w:p w:rsidR="009C4027" w:rsidRPr="001863CC" w:rsidRDefault="009C4027" w:rsidP="007D4651">
      <w:pPr>
        <w:pStyle w:val="Sinespaciado"/>
        <w:jc w:val="center"/>
        <w:rPr>
          <w:rFonts w:ascii="Times New Roman" w:hAnsi="Times New Roman" w:cs="Times New Roman"/>
          <w:b/>
          <w:color w:val="FF0000"/>
          <w:lang w:val="es-MX"/>
        </w:rPr>
        <w:sectPr w:rsidR="009C4027" w:rsidRPr="001863CC" w:rsidSect="007D4651">
          <w:type w:val="continuous"/>
          <w:pgSz w:w="12240" w:h="15840" w:code="1"/>
          <w:pgMar w:top="1418" w:right="1418" w:bottom="1418" w:left="1418" w:header="709" w:footer="709" w:gutter="0"/>
          <w:cols w:num="2" w:space="708"/>
          <w:docGrid w:linePitch="360"/>
        </w:sectPr>
      </w:pPr>
    </w:p>
    <w:p w:rsidR="006F5EA0" w:rsidRPr="001B36BC" w:rsidRDefault="00950874" w:rsidP="006F5EA0">
      <w:pPr>
        <w:pStyle w:val="Sinespaciado"/>
        <w:jc w:val="center"/>
        <w:rPr>
          <w:rFonts w:ascii="Times New Roman" w:hAnsi="Times New Roman" w:cs="Times New Roman"/>
          <w:b/>
          <w:sz w:val="24"/>
          <w:lang w:val="es-MX"/>
        </w:rPr>
      </w:pPr>
      <w:r w:rsidRPr="001B36BC">
        <w:rPr>
          <w:rFonts w:ascii="Times New Roman" w:hAnsi="Times New Roman" w:cs="Times New Roman"/>
          <w:b/>
          <w:sz w:val="24"/>
          <w:lang w:val="es-MX"/>
        </w:rPr>
        <w:lastRenderedPageBreak/>
        <w:t>Resultado Presupuestario</w:t>
      </w:r>
    </w:p>
    <w:p w:rsidR="00950874" w:rsidRPr="001B36BC" w:rsidRDefault="006F5EA0" w:rsidP="006F5EA0">
      <w:pPr>
        <w:pStyle w:val="Sinespaciado"/>
        <w:jc w:val="center"/>
        <w:rPr>
          <w:rFonts w:ascii="Times New Roman" w:hAnsi="Times New Roman" w:cs="Times New Roman"/>
          <w:sz w:val="18"/>
          <w:lang w:val="es-MX"/>
        </w:rPr>
      </w:pPr>
      <w:r w:rsidRPr="001B36BC">
        <w:rPr>
          <w:rFonts w:ascii="Times New Roman" w:hAnsi="Times New Roman" w:cs="Times New Roman"/>
          <w:sz w:val="20"/>
          <w:lang w:val="es-MX"/>
        </w:rPr>
        <w:t xml:space="preserve">       </w:t>
      </w:r>
      <w:r w:rsidR="00A21A6A" w:rsidRPr="001B36BC">
        <w:rPr>
          <w:rFonts w:ascii="Times New Roman" w:hAnsi="Times New Roman" w:cs="Times New Roman"/>
          <w:sz w:val="20"/>
          <w:lang w:val="es-MX"/>
        </w:rPr>
        <w:t>Al 31</w:t>
      </w:r>
      <w:r w:rsidRPr="001B36BC">
        <w:rPr>
          <w:rFonts w:ascii="Times New Roman" w:hAnsi="Times New Roman" w:cs="Times New Roman"/>
          <w:sz w:val="20"/>
          <w:lang w:val="es-MX"/>
        </w:rPr>
        <w:t xml:space="preserve"> de </w:t>
      </w:r>
      <w:r w:rsidR="00A21A6A" w:rsidRPr="001B36BC">
        <w:rPr>
          <w:rFonts w:ascii="Times New Roman" w:hAnsi="Times New Roman" w:cs="Times New Roman"/>
          <w:sz w:val="20"/>
          <w:lang w:val="es-MX"/>
        </w:rPr>
        <w:t>mayo</w:t>
      </w:r>
      <w:r w:rsidRPr="001B36BC">
        <w:rPr>
          <w:rFonts w:ascii="Times New Roman" w:hAnsi="Times New Roman" w:cs="Times New Roman"/>
          <w:sz w:val="20"/>
          <w:lang w:val="es-MX"/>
        </w:rPr>
        <w:t xml:space="preserve"> de cada año</w:t>
      </w:r>
      <w:r w:rsidR="00F27024" w:rsidRPr="001B36BC">
        <w:rPr>
          <w:rFonts w:ascii="Times New Roman" w:hAnsi="Times New Roman" w:cs="Times New Roman"/>
          <w:b/>
          <w:lang w:val="es-MX"/>
        </w:rPr>
        <w:tab/>
      </w:r>
    </w:p>
    <w:p w:rsidR="00AF68D3" w:rsidRPr="001B36BC" w:rsidRDefault="00950874" w:rsidP="00443336">
      <w:pPr>
        <w:pStyle w:val="Sinespaciado"/>
        <w:jc w:val="center"/>
        <w:rPr>
          <w:rFonts w:ascii="Times New Roman" w:hAnsi="Times New Roman" w:cs="Times New Roman"/>
          <w:sz w:val="18"/>
          <w:lang w:val="es-MX"/>
        </w:rPr>
      </w:pPr>
      <w:r w:rsidRPr="001B36BC">
        <w:rPr>
          <w:rFonts w:ascii="Times New Roman" w:hAnsi="Times New Roman" w:cs="Times New Roman"/>
          <w:sz w:val="18"/>
          <w:lang w:val="es-MX"/>
        </w:rPr>
        <w:t>Millones de quetzales</w:t>
      </w:r>
    </w:p>
    <w:p w:rsidR="001B36BC" w:rsidRPr="001B36BC" w:rsidRDefault="001B36BC" w:rsidP="001B36BC">
      <w:pPr>
        <w:pStyle w:val="Sinespaciado"/>
        <w:jc w:val="center"/>
        <w:rPr>
          <w:noProof/>
          <w:color w:val="FF0000"/>
          <w:lang w:eastAsia="es-GT"/>
        </w:rPr>
      </w:pPr>
      <w:r>
        <w:rPr>
          <w:rFonts w:ascii="Times New Roman" w:hAnsi="Times New Roman" w:cs="Times New Roman"/>
          <w:noProof/>
          <w:sz w:val="18"/>
          <w:lang w:val="es-ES" w:eastAsia="es-ES"/>
        </w:rPr>
        <w:drawing>
          <wp:inline distT="0" distB="0" distL="0" distR="0" wp14:anchorId="4B592992" wp14:editId="369CAFEA">
            <wp:extent cx="5165313" cy="2790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6650" cy="2834771"/>
                    </a:xfrm>
                    <a:prstGeom prst="rect">
                      <a:avLst/>
                    </a:prstGeom>
                    <a:noFill/>
                  </pic:spPr>
                </pic:pic>
              </a:graphicData>
            </a:graphic>
          </wp:inline>
        </w:drawing>
      </w:r>
    </w:p>
    <w:p w:rsidR="009C4027" w:rsidRPr="001863CC" w:rsidRDefault="00614999" w:rsidP="00B917E5">
      <w:pPr>
        <w:pStyle w:val="Sinespaciado"/>
        <w:jc w:val="both"/>
        <w:rPr>
          <w:rFonts w:ascii="Times New Roman" w:hAnsi="Times New Roman" w:cs="Times New Roman"/>
          <w:color w:val="FF0000"/>
          <w:sz w:val="16"/>
        </w:rPr>
      </w:pPr>
      <w:r>
        <w:rPr>
          <w:rFonts w:ascii="Times New Roman" w:hAnsi="Times New Roman" w:cs="Times New Roman"/>
          <w:color w:val="FF0000"/>
          <w:sz w:val="16"/>
        </w:rPr>
        <w:t xml:space="preserve">            </w:t>
      </w:r>
      <w:r w:rsidR="007D4651" w:rsidRPr="001B36BC">
        <w:rPr>
          <w:rFonts w:ascii="Times New Roman" w:hAnsi="Times New Roman" w:cs="Times New Roman"/>
          <w:sz w:val="16"/>
        </w:rPr>
        <w:t>Fuente: Dirección de Análisis y Política fiscal</w:t>
      </w:r>
    </w:p>
    <w:p w:rsidR="009C4027" w:rsidRPr="001863CC" w:rsidRDefault="009C4027" w:rsidP="007D4651">
      <w:pPr>
        <w:spacing w:after="0" w:line="240" w:lineRule="auto"/>
        <w:rPr>
          <w:rFonts w:ascii="Times New Roman" w:hAnsi="Times New Roman" w:cs="Times New Roman"/>
          <w:color w:val="FF0000"/>
          <w:lang w:val="es-MX"/>
        </w:rPr>
      </w:pPr>
    </w:p>
    <w:p w:rsidR="00591D14" w:rsidRPr="001863CC" w:rsidRDefault="00591D14" w:rsidP="007D4651">
      <w:pPr>
        <w:spacing w:after="0" w:line="240" w:lineRule="auto"/>
        <w:rPr>
          <w:rFonts w:ascii="Times New Roman" w:hAnsi="Times New Roman" w:cs="Times New Roman"/>
          <w:color w:val="FF0000"/>
          <w:lang w:val="es-MX"/>
        </w:rPr>
        <w:sectPr w:rsidR="00591D14" w:rsidRPr="001863CC" w:rsidSect="007D4651">
          <w:type w:val="continuous"/>
          <w:pgSz w:w="12240" w:h="15840" w:code="1"/>
          <w:pgMar w:top="1418" w:right="1418" w:bottom="1418" w:left="1418" w:header="709" w:footer="709" w:gutter="0"/>
          <w:cols w:space="708"/>
          <w:docGrid w:linePitch="360"/>
        </w:sectPr>
      </w:pPr>
    </w:p>
    <w:p w:rsidR="00E16925" w:rsidRPr="000F68EB" w:rsidRDefault="00E27247" w:rsidP="0085741B">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E16925" w:rsidRPr="000F68EB"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r w:rsidRPr="000F68EB">
        <w:rPr>
          <w:rFonts w:ascii="Times New Roman" w:hAnsi="Times New Roman" w:cs="Times New Roman"/>
          <w:b/>
          <w:lang w:val="es-MX"/>
        </w:rPr>
        <w:lastRenderedPageBreak/>
        <w:t>La</w:t>
      </w:r>
      <w:r w:rsidR="00212A2C" w:rsidRPr="000F68EB">
        <w:rPr>
          <w:rFonts w:ascii="Times New Roman" w:hAnsi="Times New Roman" w:cs="Times New Roman"/>
          <w:b/>
          <w:lang w:val="es-MX"/>
        </w:rPr>
        <w:t>s meta de mayo se superó</w:t>
      </w:r>
    </w:p>
    <w:p w:rsidR="00E16925" w:rsidRPr="001863CC" w:rsidRDefault="00E16925" w:rsidP="00E16925">
      <w:pPr>
        <w:pStyle w:val="Sinespaciado"/>
        <w:rPr>
          <w:rFonts w:ascii="Times New Roman" w:hAnsi="Times New Roman" w:cs="Times New Roman"/>
          <w:b/>
          <w:color w:val="FF0000"/>
          <w:sz w:val="8"/>
          <w:lang w:val="es-MX"/>
        </w:rPr>
      </w:pPr>
    </w:p>
    <w:p w:rsidR="00E16925" w:rsidRPr="001863CC" w:rsidRDefault="00E16925" w:rsidP="00E16925">
      <w:pPr>
        <w:pStyle w:val="Sinespaciado"/>
        <w:jc w:val="center"/>
        <w:rPr>
          <w:rFonts w:ascii="Times New Roman" w:hAnsi="Times New Roman" w:cs="Times New Roman"/>
          <w:b/>
          <w:color w:val="FF0000"/>
          <w:sz w:val="10"/>
          <w:lang w:val="es-MX"/>
        </w:rPr>
      </w:pPr>
    </w:p>
    <w:p w:rsidR="00343A5D" w:rsidRPr="001863CC" w:rsidRDefault="00343A5D" w:rsidP="00E16925">
      <w:pPr>
        <w:pStyle w:val="Sinespaciado"/>
        <w:jc w:val="center"/>
        <w:rPr>
          <w:rFonts w:ascii="Times New Roman" w:hAnsi="Times New Roman" w:cs="Times New Roman"/>
          <w:b/>
          <w:color w:val="FF0000"/>
          <w:sz w:val="20"/>
          <w:lang w:val="es-MX"/>
        </w:rPr>
        <w:sectPr w:rsidR="00343A5D" w:rsidRPr="001863CC" w:rsidSect="004E358C">
          <w:type w:val="continuous"/>
          <w:pgSz w:w="12240" w:h="15840"/>
          <w:pgMar w:top="1417" w:right="1701" w:bottom="1417" w:left="1701" w:header="708" w:footer="708" w:gutter="0"/>
          <w:cols w:space="708"/>
          <w:docGrid w:linePitch="360"/>
        </w:sectPr>
      </w:pPr>
    </w:p>
    <w:p w:rsidR="00C3128B"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lang w:val="es-MX"/>
        </w:rPr>
        <w:lastRenderedPageBreak/>
        <w:t xml:space="preserve">Cifras preliminares de mayo generaron una brecha positiva de recaudación mensual de Q229.1 millones respecto a la meta de presupuesto, aspectos positivos a considerar en este resultado son los observados en los impuestos asociados al comercio exterior que generaron una brecha mensual de Q120.8 millones respecto a la meta de presupuesto dicho resultado puede estar generado por una mayor dinámica en las importaciones gravadas, otro impuesto que tuvo desempeño positivo es el de derivados del petróleo que también </w:t>
      </w:r>
      <w:r w:rsidRPr="001863CC">
        <w:rPr>
          <w:rFonts w:ascii="Times New Roman" w:hAnsi="Times New Roman" w:cs="Times New Roman"/>
          <w:lang w:val="es-MX"/>
        </w:rPr>
        <w:lastRenderedPageBreak/>
        <w:t>superó la meta de presupuesto esto posiblemente a las oscilaciones en el precio internacional del petróleo que al final repercutieron en el precio nacional de los combustibles, el ISR por su parte supero la meta establecida en Q63.8 millones.</w:t>
      </w:r>
    </w:p>
    <w:p w:rsidR="00C3128B" w:rsidRPr="001863CC" w:rsidRDefault="00C3128B" w:rsidP="00822C6B">
      <w:pPr>
        <w:spacing w:after="0" w:line="240" w:lineRule="auto"/>
        <w:jc w:val="both"/>
        <w:rPr>
          <w:rFonts w:ascii="Times New Roman" w:hAnsi="Times New Roman" w:cs="Times New Roman"/>
          <w:lang w:val="es-MX"/>
        </w:rPr>
      </w:pPr>
    </w:p>
    <w:p w:rsidR="00614999"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lang w:val="es-MX"/>
        </w:rPr>
        <w:t xml:space="preserve">La recaudación de mayo comparada con la del año anterior tiene un crecimiento de 9.1% (Q359.5 millones), factores que contribuyeron con este resultado son una mejora en los </w:t>
      </w:r>
      <w:r w:rsidRPr="001863CC">
        <w:rPr>
          <w:rFonts w:ascii="Times New Roman" w:hAnsi="Times New Roman" w:cs="Times New Roman"/>
          <w:lang w:val="es-MX"/>
        </w:rPr>
        <w:lastRenderedPageBreak/>
        <w:t>impuestos asociados al comercio, el ISR y el IVA doméstico entre otros.</w:t>
      </w:r>
    </w:p>
    <w:p w:rsidR="00C3128B" w:rsidRPr="001863CC" w:rsidRDefault="00C3128B" w:rsidP="00822C6B">
      <w:pPr>
        <w:spacing w:after="0" w:line="240" w:lineRule="auto"/>
        <w:jc w:val="center"/>
        <w:rPr>
          <w:rFonts w:ascii="Times New Roman" w:hAnsi="Times New Roman" w:cs="Times New Roman"/>
          <w:b/>
          <w:lang w:val="es-MX"/>
        </w:rPr>
      </w:pPr>
      <w:r w:rsidRPr="001863CC">
        <w:rPr>
          <w:rFonts w:ascii="Times New Roman" w:hAnsi="Times New Roman" w:cs="Times New Roman"/>
          <w:b/>
          <w:lang w:val="es-MX"/>
        </w:rPr>
        <w:t>Recaudación tributaria acumulada</w:t>
      </w:r>
    </w:p>
    <w:p w:rsidR="00C3128B" w:rsidRPr="001863CC" w:rsidRDefault="00C3128B" w:rsidP="00822C6B">
      <w:pPr>
        <w:spacing w:after="0" w:line="240" w:lineRule="auto"/>
        <w:jc w:val="center"/>
        <w:rPr>
          <w:rFonts w:ascii="Times New Roman" w:hAnsi="Times New Roman" w:cs="Times New Roman"/>
          <w:sz w:val="18"/>
          <w:lang w:val="es-MX"/>
        </w:rPr>
      </w:pPr>
      <w:r w:rsidRPr="001863CC">
        <w:rPr>
          <w:rFonts w:ascii="Times New Roman" w:hAnsi="Times New Roman" w:cs="Times New Roman"/>
          <w:sz w:val="18"/>
          <w:lang w:val="es-MX"/>
        </w:rPr>
        <w:t>Millones de quetzales</w:t>
      </w:r>
    </w:p>
    <w:p w:rsidR="00C3128B"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noProof/>
          <w:lang w:val="es-ES" w:eastAsia="es-ES"/>
        </w:rPr>
        <w:drawing>
          <wp:inline distT="0" distB="0" distL="0" distR="0" wp14:anchorId="16CC8AD1" wp14:editId="3FF62288">
            <wp:extent cx="2700020" cy="2486025"/>
            <wp:effectExtent l="0" t="0" r="508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128B" w:rsidRPr="001863CC" w:rsidRDefault="00C3128B" w:rsidP="00822C6B">
      <w:pPr>
        <w:spacing w:after="0" w:line="240" w:lineRule="auto"/>
        <w:jc w:val="both"/>
        <w:rPr>
          <w:rFonts w:ascii="Times New Roman" w:hAnsi="Times New Roman" w:cs="Times New Roman"/>
          <w:sz w:val="16"/>
          <w:lang w:val="es-MX"/>
        </w:rPr>
      </w:pPr>
      <w:r w:rsidRPr="001863CC">
        <w:rPr>
          <w:rFonts w:ascii="Times New Roman" w:hAnsi="Times New Roman" w:cs="Times New Roman"/>
          <w:sz w:val="16"/>
          <w:lang w:val="es-MX"/>
        </w:rPr>
        <w:t>Fuente: Dirección de Análisis y Política Fiscal</w:t>
      </w:r>
    </w:p>
    <w:p w:rsidR="00C3128B" w:rsidRPr="001863CC" w:rsidRDefault="00C3128B" w:rsidP="00822C6B">
      <w:pPr>
        <w:spacing w:after="0" w:line="240" w:lineRule="auto"/>
        <w:jc w:val="both"/>
        <w:rPr>
          <w:rFonts w:ascii="Times New Roman" w:hAnsi="Times New Roman" w:cs="Times New Roman"/>
          <w:lang w:val="es-MX"/>
        </w:rPr>
      </w:pPr>
    </w:p>
    <w:p w:rsidR="00C3128B"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lang w:val="es-MX"/>
        </w:rPr>
        <w:t>De manera acumulada se observa una recuperación en los ingresos totales que contrario a lo observado en el primer trimestre ahora generan una brecha positiva de Q460.0 millones, impuestos que sobresalen en este impulso son el ISR el IVA total, cemento y el de regalías e hidrocarburos compartibles, el resto tienen rendimiento negativo.</w:t>
      </w:r>
    </w:p>
    <w:p w:rsidR="00C3128B" w:rsidRPr="001863CC" w:rsidRDefault="00C3128B" w:rsidP="00822C6B">
      <w:pPr>
        <w:spacing w:after="0" w:line="240" w:lineRule="auto"/>
        <w:jc w:val="both"/>
        <w:rPr>
          <w:rFonts w:ascii="Times New Roman" w:hAnsi="Times New Roman" w:cs="Times New Roman"/>
          <w:lang w:val="es-MX"/>
        </w:rPr>
      </w:pPr>
    </w:p>
    <w:p w:rsidR="00C3128B" w:rsidRPr="001863CC" w:rsidRDefault="00C3128B" w:rsidP="00822C6B">
      <w:pPr>
        <w:spacing w:after="0" w:line="240" w:lineRule="auto"/>
        <w:jc w:val="both"/>
        <w:rPr>
          <w:rFonts w:ascii="Times New Roman" w:hAnsi="Times New Roman" w:cs="Times New Roman"/>
          <w:b/>
          <w:lang w:val="es-MX"/>
        </w:rPr>
      </w:pPr>
      <w:r w:rsidRPr="001863CC">
        <w:rPr>
          <w:rFonts w:ascii="Times New Roman" w:hAnsi="Times New Roman" w:cs="Times New Roman"/>
          <w:b/>
          <w:lang w:val="es-MX"/>
        </w:rPr>
        <w:t>El IVA total</w:t>
      </w:r>
    </w:p>
    <w:p w:rsidR="00C3128B" w:rsidRPr="001863CC" w:rsidRDefault="00C3128B" w:rsidP="00822C6B">
      <w:pPr>
        <w:spacing w:after="0" w:line="240" w:lineRule="auto"/>
        <w:jc w:val="both"/>
        <w:rPr>
          <w:rFonts w:ascii="Times New Roman" w:hAnsi="Times New Roman" w:cs="Times New Roman"/>
          <w:lang w:val="es-MX"/>
        </w:rPr>
      </w:pPr>
    </w:p>
    <w:p w:rsidR="00C3128B"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lang w:val="es-MX"/>
        </w:rPr>
        <w:t>De manera acumulada se observa la recuperación en este impuesto el cual crece en 8.2% respecto a lo observado en 2017 y una ejecución del 103.2% respecto a la meta de presupuesto, factores que pueden incidir en el flujo de recaudación de este impuesto son las importaciones bajo el régimen de territorio aduanero, tipo de cambio, remesas y el precio internacional del petróleo.</w:t>
      </w:r>
    </w:p>
    <w:p w:rsidR="00C3128B" w:rsidRDefault="00C3128B" w:rsidP="00822C6B">
      <w:pPr>
        <w:spacing w:after="0" w:line="240" w:lineRule="auto"/>
        <w:jc w:val="both"/>
        <w:rPr>
          <w:rFonts w:ascii="Times New Roman" w:hAnsi="Times New Roman" w:cs="Times New Roman"/>
          <w:lang w:val="es-MX"/>
        </w:rPr>
      </w:pPr>
    </w:p>
    <w:p w:rsidR="00614999" w:rsidRDefault="00614999" w:rsidP="00822C6B">
      <w:pPr>
        <w:spacing w:after="0" w:line="240" w:lineRule="auto"/>
        <w:jc w:val="both"/>
        <w:rPr>
          <w:rFonts w:ascii="Times New Roman" w:hAnsi="Times New Roman" w:cs="Times New Roman"/>
          <w:lang w:val="es-MX"/>
        </w:rPr>
      </w:pPr>
    </w:p>
    <w:p w:rsidR="00614999" w:rsidRDefault="00614999" w:rsidP="00822C6B">
      <w:pPr>
        <w:spacing w:after="0" w:line="240" w:lineRule="auto"/>
        <w:jc w:val="both"/>
        <w:rPr>
          <w:rFonts w:ascii="Times New Roman" w:hAnsi="Times New Roman" w:cs="Times New Roman"/>
          <w:lang w:val="es-MX"/>
        </w:rPr>
      </w:pPr>
    </w:p>
    <w:p w:rsidR="00614999" w:rsidRDefault="00614999" w:rsidP="00822C6B">
      <w:pPr>
        <w:spacing w:after="0" w:line="240" w:lineRule="auto"/>
        <w:jc w:val="both"/>
        <w:rPr>
          <w:rFonts w:ascii="Times New Roman" w:hAnsi="Times New Roman" w:cs="Times New Roman"/>
          <w:lang w:val="es-MX"/>
        </w:rPr>
      </w:pPr>
    </w:p>
    <w:p w:rsidR="00614999" w:rsidRPr="001863CC" w:rsidRDefault="00614999" w:rsidP="00822C6B">
      <w:pPr>
        <w:spacing w:after="0" w:line="240" w:lineRule="auto"/>
        <w:jc w:val="both"/>
        <w:rPr>
          <w:rFonts w:ascii="Times New Roman" w:hAnsi="Times New Roman" w:cs="Times New Roman"/>
          <w:lang w:val="es-MX"/>
        </w:rPr>
      </w:pPr>
    </w:p>
    <w:p w:rsidR="00C3128B" w:rsidRPr="001863CC" w:rsidRDefault="00C3128B" w:rsidP="00822C6B">
      <w:pPr>
        <w:spacing w:after="0" w:line="240" w:lineRule="auto"/>
        <w:jc w:val="center"/>
        <w:rPr>
          <w:rFonts w:ascii="Times New Roman" w:hAnsi="Times New Roman" w:cs="Times New Roman"/>
          <w:b/>
          <w:lang w:val="es-MX"/>
        </w:rPr>
      </w:pPr>
      <w:r w:rsidRPr="001863CC">
        <w:rPr>
          <w:rFonts w:ascii="Times New Roman" w:hAnsi="Times New Roman" w:cs="Times New Roman"/>
          <w:b/>
          <w:lang w:val="es-MX"/>
        </w:rPr>
        <w:t xml:space="preserve">Recaudación aduanera </w:t>
      </w:r>
      <w:r w:rsidRPr="001863CC">
        <w:rPr>
          <w:rFonts w:ascii="Times New Roman" w:hAnsi="Times New Roman" w:cs="Times New Roman"/>
          <w:b/>
          <w:i/>
          <w:lang w:val="es-MX"/>
        </w:rPr>
        <w:t xml:space="preserve">(DAI e IVA importaciones) </w:t>
      </w:r>
      <w:r w:rsidRPr="001863CC">
        <w:rPr>
          <w:rFonts w:ascii="Times New Roman" w:hAnsi="Times New Roman" w:cs="Times New Roman"/>
          <w:b/>
          <w:lang w:val="es-MX"/>
        </w:rPr>
        <w:t>acumulada</w:t>
      </w:r>
    </w:p>
    <w:p w:rsidR="00C3128B" w:rsidRPr="001863CC" w:rsidRDefault="00C3128B" w:rsidP="00822C6B">
      <w:pPr>
        <w:spacing w:after="0" w:line="240" w:lineRule="auto"/>
        <w:jc w:val="center"/>
        <w:rPr>
          <w:rFonts w:ascii="Times New Roman" w:hAnsi="Times New Roman" w:cs="Times New Roman"/>
          <w:sz w:val="18"/>
          <w:lang w:val="es-MX"/>
        </w:rPr>
      </w:pPr>
      <w:r w:rsidRPr="001863CC">
        <w:rPr>
          <w:rFonts w:ascii="Times New Roman" w:hAnsi="Times New Roman" w:cs="Times New Roman"/>
          <w:sz w:val="18"/>
          <w:lang w:val="es-MX"/>
        </w:rPr>
        <w:t>Millones de quetzales</w:t>
      </w:r>
    </w:p>
    <w:p w:rsidR="00C3128B"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noProof/>
          <w:lang w:val="es-ES" w:eastAsia="es-ES"/>
        </w:rPr>
        <w:drawing>
          <wp:inline distT="0" distB="0" distL="0" distR="0" wp14:anchorId="6097947F" wp14:editId="3228A4DA">
            <wp:extent cx="2700020" cy="1809750"/>
            <wp:effectExtent l="0" t="0" r="508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3128B" w:rsidRPr="001863CC" w:rsidRDefault="00C3128B" w:rsidP="00822C6B">
      <w:pPr>
        <w:spacing w:after="0" w:line="240" w:lineRule="auto"/>
        <w:jc w:val="both"/>
        <w:rPr>
          <w:rFonts w:ascii="Times New Roman" w:hAnsi="Times New Roman" w:cs="Times New Roman"/>
          <w:sz w:val="16"/>
          <w:lang w:val="es-MX"/>
        </w:rPr>
      </w:pPr>
      <w:r w:rsidRPr="001863CC">
        <w:rPr>
          <w:rFonts w:ascii="Times New Roman" w:hAnsi="Times New Roman" w:cs="Times New Roman"/>
          <w:sz w:val="16"/>
          <w:lang w:val="es-MX"/>
        </w:rPr>
        <w:t>Fuente: Dirección de Análisis y Política Fiscal</w:t>
      </w:r>
    </w:p>
    <w:p w:rsidR="00C3128B" w:rsidRPr="001863CC" w:rsidRDefault="00C3128B" w:rsidP="00822C6B">
      <w:pPr>
        <w:spacing w:after="0" w:line="240" w:lineRule="auto"/>
        <w:jc w:val="both"/>
        <w:rPr>
          <w:rFonts w:ascii="Times New Roman" w:hAnsi="Times New Roman" w:cs="Times New Roman"/>
          <w:lang w:val="es-MX"/>
        </w:rPr>
      </w:pPr>
    </w:p>
    <w:p w:rsidR="00C3128B"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lang w:val="es-MX"/>
        </w:rPr>
        <w:t>En el caso específico del IVA doméstico de manera acumulada y mensual presenta un desempeño positivo el cual puede asociarse a la variación positiva en variables económicas que influyen de manera directa en su comportamiento.</w:t>
      </w:r>
    </w:p>
    <w:p w:rsidR="00C3128B" w:rsidRPr="00614999" w:rsidRDefault="00C3128B" w:rsidP="00822C6B">
      <w:pPr>
        <w:spacing w:after="0" w:line="240" w:lineRule="auto"/>
        <w:jc w:val="both"/>
        <w:rPr>
          <w:rFonts w:ascii="Times New Roman" w:hAnsi="Times New Roman" w:cs="Times New Roman"/>
          <w:sz w:val="20"/>
          <w:lang w:val="es-MX"/>
        </w:rPr>
      </w:pPr>
    </w:p>
    <w:p w:rsidR="00C3128B" w:rsidRPr="001863CC" w:rsidRDefault="00C3128B" w:rsidP="00822C6B">
      <w:pPr>
        <w:spacing w:after="0" w:line="240" w:lineRule="auto"/>
        <w:jc w:val="both"/>
        <w:rPr>
          <w:rFonts w:ascii="Times New Roman" w:hAnsi="Times New Roman" w:cs="Times New Roman"/>
          <w:b/>
          <w:lang w:val="es-MX"/>
        </w:rPr>
      </w:pPr>
      <w:r w:rsidRPr="001863CC">
        <w:rPr>
          <w:rFonts w:ascii="Times New Roman" w:hAnsi="Times New Roman" w:cs="Times New Roman"/>
          <w:b/>
          <w:lang w:val="es-MX"/>
        </w:rPr>
        <w:t>ISR</w:t>
      </w:r>
    </w:p>
    <w:p w:rsidR="00C3128B" w:rsidRPr="001863CC" w:rsidRDefault="00C3128B" w:rsidP="00822C6B">
      <w:pPr>
        <w:spacing w:after="0" w:line="240" w:lineRule="auto"/>
        <w:jc w:val="both"/>
        <w:rPr>
          <w:rFonts w:ascii="Times New Roman" w:hAnsi="Times New Roman" w:cs="Times New Roman"/>
          <w:lang w:val="es-MX"/>
        </w:rPr>
      </w:pPr>
    </w:p>
    <w:p w:rsidR="00C3128B"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lang w:val="es-MX"/>
        </w:rPr>
        <w:t>De este impuesto podemos acotar que ha cumplido con las metas mensuales de presupuesto generando una brecha positiva al 31de mayo de Q372.1 millones este impuesto ha visto crecimiento en regímenes como el de relación de dependencia y sobre productos financieros y rentas de capital según datos acumulados a abril, de manera interanual se tiene un crecimiento de 0.9% (Q65.3 millones) contrario a lo observado en meses anteriores.</w:t>
      </w:r>
    </w:p>
    <w:p w:rsidR="00330A9D"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lang w:val="es-MX"/>
        </w:rPr>
        <w:t xml:space="preserve"> </w:t>
      </w:r>
    </w:p>
    <w:p w:rsidR="00C3128B" w:rsidRPr="001863CC" w:rsidRDefault="00C3128B" w:rsidP="00822C6B">
      <w:pPr>
        <w:spacing w:after="0" w:line="240" w:lineRule="auto"/>
        <w:jc w:val="both"/>
        <w:rPr>
          <w:rFonts w:ascii="Times New Roman" w:hAnsi="Times New Roman" w:cs="Times New Roman"/>
          <w:b/>
          <w:lang w:val="es-MX"/>
        </w:rPr>
      </w:pPr>
      <w:r w:rsidRPr="001863CC">
        <w:rPr>
          <w:rFonts w:ascii="Times New Roman" w:hAnsi="Times New Roman" w:cs="Times New Roman"/>
          <w:b/>
          <w:lang w:val="es-MX"/>
        </w:rPr>
        <w:t>El resto de los impuestos</w:t>
      </w:r>
    </w:p>
    <w:p w:rsidR="00C3128B" w:rsidRPr="001863CC" w:rsidRDefault="00C3128B" w:rsidP="00822C6B">
      <w:pPr>
        <w:spacing w:after="0" w:line="240" w:lineRule="auto"/>
        <w:jc w:val="both"/>
        <w:rPr>
          <w:rFonts w:ascii="Times New Roman" w:hAnsi="Times New Roman" w:cs="Times New Roman"/>
          <w:lang w:val="es-MX"/>
        </w:rPr>
      </w:pPr>
    </w:p>
    <w:p w:rsidR="00C3128B" w:rsidRPr="001863CC" w:rsidRDefault="00C3128B" w:rsidP="00822C6B">
      <w:pPr>
        <w:spacing w:after="0" w:line="240" w:lineRule="auto"/>
        <w:jc w:val="both"/>
        <w:rPr>
          <w:rFonts w:ascii="Times New Roman" w:hAnsi="Times New Roman" w:cs="Times New Roman"/>
          <w:lang w:val="es-MX"/>
        </w:rPr>
      </w:pPr>
      <w:r w:rsidRPr="001863CC">
        <w:rPr>
          <w:rFonts w:ascii="Times New Roman" w:hAnsi="Times New Roman" w:cs="Times New Roman"/>
          <w:lang w:val="es-MX"/>
        </w:rPr>
        <w:t xml:space="preserve">Impuestos asociados a los productos industriales (bebidas, tabacos y cemento) dan cuenta de una ejecución de 94.1% respecto a la meta de presupuesto, con relación al año anterior se observa una ejecución del 100.3%, el incumplimiento en la meta de presupuesto </w:t>
      </w:r>
      <w:r w:rsidRPr="001863CC">
        <w:rPr>
          <w:rFonts w:ascii="Times New Roman" w:hAnsi="Times New Roman" w:cs="Times New Roman"/>
          <w:lang w:val="es-MX"/>
        </w:rPr>
        <w:lastRenderedPageBreak/>
        <w:t xml:space="preserve">está influenciada por el desempeño negativo en </w:t>
      </w:r>
      <w:r w:rsidRPr="001863CC">
        <w:rPr>
          <w:rFonts w:ascii="Times New Roman" w:hAnsi="Times New Roman" w:cs="Times New Roman"/>
          <w:lang w:val="es-MX"/>
        </w:rPr>
        <w:lastRenderedPageBreak/>
        <w:t>el impuesto a las bebidas y el tabaco.</w:t>
      </w:r>
    </w:p>
    <w:p w:rsidR="00EB1910" w:rsidRPr="00614999" w:rsidRDefault="00EB1910" w:rsidP="00614999">
      <w:pPr>
        <w:spacing w:after="0" w:line="240" w:lineRule="auto"/>
        <w:jc w:val="both"/>
        <w:rPr>
          <w:rFonts w:ascii="Times New Roman" w:hAnsi="Times New Roman" w:cs="Times New Roman"/>
          <w:sz w:val="16"/>
          <w:lang w:val="es-MX"/>
        </w:rPr>
        <w:sectPr w:rsidR="00EB1910" w:rsidRPr="00614999" w:rsidSect="00374D44">
          <w:headerReference w:type="default" r:id="rId16"/>
          <w:footerReference w:type="default" r:id="rId17"/>
          <w:type w:val="continuous"/>
          <w:pgSz w:w="12240" w:h="15840" w:code="1"/>
          <w:pgMar w:top="1418" w:right="1418" w:bottom="1418" w:left="1701" w:header="709" w:footer="709" w:gutter="0"/>
          <w:cols w:num="2" w:space="708"/>
          <w:docGrid w:linePitch="360"/>
        </w:sectPr>
      </w:pPr>
    </w:p>
    <w:p w:rsidR="00674EAE" w:rsidRPr="001863CC" w:rsidRDefault="00674EAE" w:rsidP="00674EAE">
      <w:pPr>
        <w:pStyle w:val="Sinespaciado"/>
        <w:jc w:val="both"/>
        <w:rPr>
          <w:rFonts w:ascii="Times New Roman" w:hAnsi="Times New Roman" w:cs="Times New Roman"/>
          <w:color w:val="FF0000"/>
          <w:szCs w:val="18"/>
          <w:lang w:val="es-MX"/>
        </w:rPr>
        <w:sectPr w:rsidR="00674EAE" w:rsidRPr="001863CC" w:rsidSect="005A03A9">
          <w:type w:val="continuous"/>
          <w:pgSz w:w="12240" w:h="15840"/>
          <w:pgMar w:top="1417" w:right="1701" w:bottom="1417" w:left="1701" w:header="708" w:footer="708" w:gutter="0"/>
          <w:cols w:num="2" w:space="708"/>
          <w:docGrid w:linePitch="360"/>
        </w:sectPr>
      </w:pPr>
    </w:p>
    <w:p w:rsidR="00FA3B81" w:rsidRPr="00622F43" w:rsidRDefault="00BB5426"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622F43" w:rsidSect="00FA3B81">
          <w:headerReference w:type="default" r:id="rId18"/>
          <w:footerReference w:type="default" r:id="rId19"/>
          <w:type w:val="continuous"/>
          <w:pgSz w:w="12240" w:h="15840" w:code="1"/>
          <w:pgMar w:top="1418" w:right="1418" w:bottom="1418" w:left="1418" w:header="709" w:footer="709" w:gutter="0"/>
          <w:cols w:space="708"/>
          <w:docGrid w:linePitch="360"/>
        </w:sectPr>
      </w:pPr>
      <w:r w:rsidRPr="00622F43">
        <w:rPr>
          <w:rFonts w:ascii="Times New Roman" w:hAnsi="Times New Roman" w:cs="Times New Roman"/>
          <w:b/>
          <w:lang w:val="es-MX"/>
        </w:rPr>
        <w:lastRenderedPageBreak/>
        <w:t>Crecimiento moderado</w:t>
      </w:r>
      <w:r w:rsidR="005E6BD0" w:rsidRPr="00622F43">
        <w:rPr>
          <w:rFonts w:ascii="Times New Roman" w:hAnsi="Times New Roman" w:cs="Times New Roman"/>
          <w:b/>
          <w:lang w:val="es-MX"/>
        </w:rPr>
        <w:t xml:space="preserve"> en el</w:t>
      </w:r>
      <w:r w:rsidR="00CE75B5" w:rsidRPr="00622F43">
        <w:rPr>
          <w:rFonts w:ascii="Times New Roman" w:hAnsi="Times New Roman" w:cs="Times New Roman"/>
          <w:b/>
          <w:lang w:val="es-MX"/>
        </w:rPr>
        <w:t xml:space="preserve"> gasto</w:t>
      </w:r>
      <w:r w:rsidR="005E6BD0" w:rsidRPr="00622F43">
        <w:rPr>
          <w:rFonts w:ascii="Times New Roman" w:hAnsi="Times New Roman" w:cs="Times New Roman"/>
          <w:b/>
          <w:lang w:val="es-MX"/>
        </w:rPr>
        <w:t xml:space="preserve"> público</w:t>
      </w:r>
    </w:p>
    <w:p w:rsidR="00FA3B81" w:rsidRPr="001863CC" w:rsidRDefault="00FA3B81" w:rsidP="00FA3B81">
      <w:pPr>
        <w:pStyle w:val="Sinespaciado"/>
        <w:rPr>
          <w:rFonts w:ascii="Times New Roman" w:hAnsi="Times New Roman" w:cs="Times New Roman"/>
          <w:b/>
          <w:color w:val="FF0000"/>
          <w:sz w:val="18"/>
          <w:lang w:val="es-MX"/>
        </w:rPr>
      </w:pPr>
    </w:p>
    <w:p w:rsidR="00FA3B81" w:rsidRPr="001863CC" w:rsidRDefault="00FA3B81" w:rsidP="00FA3B81">
      <w:pPr>
        <w:pStyle w:val="Sinespaciado"/>
        <w:jc w:val="center"/>
        <w:rPr>
          <w:rFonts w:ascii="Times New Roman" w:hAnsi="Times New Roman" w:cs="Times New Roman"/>
          <w:b/>
          <w:color w:val="FF0000"/>
          <w:lang w:val="es-MX"/>
        </w:rPr>
        <w:sectPr w:rsidR="00FA3B81" w:rsidRPr="001863CC" w:rsidSect="004E358C">
          <w:type w:val="continuous"/>
          <w:pgSz w:w="12240" w:h="15840"/>
          <w:pgMar w:top="1417" w:right="1701" w:bottom="1417" w:left="1701" w:header="708" w:footer="708" w:gutter="0"/>
          <w:cols w:space="708"/>
          <w:docGrid w:linePitch="360"/>
        </w:sectPr>
      </w:pPr>
    </w:p>
    <w:p w:rsidR="00614999" w:rsidRDefault="00614999" w:rsidP="00614999">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En ese sentido, la ejecución al 31 </w:t>
      </w:r>
      <w:r w:rsidRPr="00F92177">
        <w:rPr>
          <w:rFonts w:ascii="Times New Roman" w:hAnsi="Times New Roman" w:cs="Times New Roman"/>
          <w:lang w:val="es-MX"/>
        </w:rPr>
        <w:t xml:space="preserve">de </w:t>
      </w:r>
      <w:r>
        <w:rPr>
          <w:rFonts w:ascii="Times New Roman" w:hAnsi="Times New Roman" w:cs="Times New Roman"/>
          <w:lang w:val="es-MX"/>
        </w:rPr>
        <w:t>mayo de 2018, se situó en Q25,238.9 millones (no incluye amortizaciones de deuda pública)</w:t>
      </w:r>
      <w:r w:rsidRPr="00F92177">
        <w:rPr>
          <w:rFonts w:ascii="Times New Roman" w:hAnsi="Times New Roman" w:cs="Times New Roman"/>
          <w:lang w:val="es-MX"/>
        </w:rPr>
        <w:t xml:space="preserve">, </w:t>
      </w:r>
      <w:r w:rsidRPr="00CC4128">
        <w:rPr>
          <w:rFonts w:ascii="Times New Roman" w:hAnsi="Times New Roman" w:cs="Times New Roman"/>
          <w:lang w:val="es-MX"/>
        </w:rPr>
        <w:t xml:space="preserve">mostrando un crecimiento interanual del 3.6% con respecto al mismo período de 2017.  </w:t>
      </w:r>
      <w:r>
        <w:rPr>
          <w:rFonts w:ascii="Times New Roman" w:hAnsi="Times New Roman" w:cs="Times New Roman"/>
          <w:lang w:val="es-MX"/>
        </w:rPr>
        <w:t xml:space="preserve">Las transferencias de capital </w:t>
      </w:r>
      <w:r w:rsidRPr="00CC4128">
        <w:rPr>
          <w:rFonts w:ascii="Times New Roman" w:hAnsi="Times New Roman" w:cs="Times New Roman"/>
          <w:lang w:val="es-MX"/>
        </w:rPr>
        <w:t>presenta</w:t>
      </w:r>
      <w:r>
        <w:rPr>
          <w:rFonts w:ascii="Times New Roman" w:hAnsi="Times New Roman" w:cs="Times New Roman"/>
          <w:lang w:val="es-MX"/>
        </w:rPr>
        <w:t>n</w:t>
      </w:r>
      <w:r w:rsidRPr="00CC4128">
        <w:rPr>
          <w:rFonts w:ascii="Times New Roman" w:hAnsi="Times New Roman" w:cs="Times New Roman"/>
          <w:lang w:val="es-MX"/>
        </w:rPr>
        <w:t xml:space="preserve"> </w:t>
      </w:r>
      <w:r>
        <w:rPr>
          <w:rFonts w:ascii="Times New Roman" w:hAnsi="Times New Roman" w:cs="Times New Roman"/>
          <w:lang w:val="es-MX"/>
        </w:rPr>
        <w:t xml:space="preserve">una ejecución </w:t>
      </w:r>
      <w:r w:rsidRPr="00CC4128">
        <w:rPr>
          <w:rFonts w:ascii="Times New Roman" w:hAnsi="Times New Roman" w:cs="Times New Roman"/>
          <w:lang w:val="es-MX"/>
        </w:rPr>
        <w:t>31.4%. Por su parte, las transferencias corrientes muestran un nivel de 39.9%, siendo el rubro de mayor dinamismo dentro del gasto de funcionamiento.</w:t>
      </w:r>
    </w:p>
    <w:p w:rsidR="00614999" w:rsidRDefault="00614999" w:rsidP="00614999">
      <w:pPr>
        <w:pStyle w:val="Sinespaciado"/>
        <w:rPr>
          <w:rFonts w:ascii="Times New Roman" w:hAnsi="Times New Roman" w:cs="Times New Roman"/>
          <w:b/>
          <w:lang w:val="es-MX"/>
        </w:rPr>
      </w:pPr>
    </w:p>
    <w:p w:rsidR="00614999" w:rsidRPr="009D459C" w:rsidRDefault="00614999" w:rsidP="00614999">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614999" w:rsidRDefault="00614999" w:rsidP="00614999">
      <w:pPr>
        <w:pStyle w:val="Sinespaciado"/>
        <w:jc w:val="center"/>
        <w:rPr>
          <w:noProof/>
          <w:lang w:eastAsia="es-GT"/>
        </w:rPr>
      </w:pPr>
      <w:r w:rsidRPr="00234A22">
        <w:rPr>
          <w:noProof/>
          <w:lang w:val="es-ES" w:eastAsia="es-ES"/>
        </w:rPr>
        <w:drawing>
          <wp:anchor distT="0" distB="0" distL="114300" distR="114300" simplePos="0" relativeHeight="251677696" behindDoc="0" locked="0" layoutInCell="1" allowOverlap="1" wp14:anchorId="52C49C79" wp14:editId="5BB3A2C6">
            <wp:simplePos x="0" y="0"/>
            <wp:positionH relativeFrom="column">
              <wp:posOffset>-108585</wp:posOffset>
            </wp:positionH>
            <wp:positionV relativeFrom="paragraph">
              <wp:posOffset>188595</wp:posOffset>
            </wp:positionV>
            <wp:extent cx="2907665" cy="2381250"/>
            <wp:effectExtent l="0" t="0" r="6985" b="0"/>
            <wp:wrapSquare wrapText="bothSides"/>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907665" cy="2381250"/>
                    </a:xfrm>
                    <a:prstGeom prst="rect">
                      <a:avLst/>
                    </a:prstGeom>
                  </pic:spPr>
                </pic:pic>
              </a:graphicData>
            </a:graphic>
            <wp14:sizeRelH relativeFrom="page">
              <wp14:pctWidth>0</wp14:pctWidth>
            </wp14:sizeRelH>
            <wp14:sizeRelV relativeFrom="page">
              <wp14:pctHeight>0</wp14:pctHeight>
            </wp14:sizeRelV>
          </wp:anchor>
        </w:drawing>
      </w:r>
      <w:r w:rsidRPr="009D459C">
        <w:rPr>
          <w:rFonts w:ascii="Times New Roman" w:hAnsi="Times New Roman" w:cs="Times New Roman"/>
          <w:sz w:val="18"/>
          <w:lang w:val="es-MX"/>
        </w:rPr>
        <w:t>Variación Interanual</w:t>
      </w:r>
    </w:p>
    <w:p w:rsidR="00614999" w:rsidRDefault="00614999" w:rsidP="00614999">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614999" w:rsidRPr="009D459C" w:rsidRDefault="00614999" w:rsidP="00614999">
      <w:pPr>
        <w:pStyle w:val="Sinespaciado"/>
        <w:jc w:val="both"/>
        <w:rPr>
          <w:rFonts w:ascii="Times New Roman" w:hAnsi="Times New Roman" w:cs="Times New Roman"/>
        </w:rPr>
      </w:pPr>
    </w:p>
    <w:p w:rsidR="00614999" w:rsidRDefault="00614999" w:rsidP="00614999">
      <w:pPr>
        <w:pStyle w:val="Sinespaciado"/>
        <w:jc w:val="both"/>
        <w:rPr>
          <w:rFonts w:ascii="Times New Roman" w:hAnsi="Times New Roman" w:cs="Times New Roman"/>
          <w:lang w:val="es-MX"/>
        </w:rPr>
      </w:pPr>
      <w:r>
        <w:rPr>
          <w:rFonts w:ascii="Times New Roman" w:hAnsi="Times New Roman" w:cs="Times New Roman"/>
        </w:rPr>
        <w:t xml:space="preserve">La ejecución de gasto incluyendo las amortizaciones de la deuda pública, al 31 de mayo de 2018, se ubicó en Q26,364.3 millones. </w:t>
      </w:r>
      <w:r>
        <w:rPr>
          <w:rFonts w:ascii="Times New Roman" w:hAnsi="Times New Roman" w:cs="Times New Roman"/>
          <w:lang w:val="es-MX"/>
        </w:rPr>
        <w:t xml:space="preserve">Lo anterior permitió que el grado de ejecución presupuestaria, se ubicara al cierre de mayo de 2018 en 34.2%, nivel de ejecución que se encuentra por arriba del observado en los dos años previos y levemente inferior a lo observado en el promedio de los años (2013-2017), mismo que fue de 34.3%. </w:t>
      </w:r>
    </w:p>
    <w:p w:rsidR="00614999" w:rsidRDefault="00614999" w:rsidP="00614999">
      <w:pPr>
        <w:pStyle w:val="Sinespaciado"/>
        <w:jc w:val="both"/>
        <w:rPr>
          <w:rFonts w:ascii="Times New Roman" w:hAnsi="Times New Roman" w:cs="Times New Roman"/>
          <w:lang w:val="es-MX"/>
        </w:rPr>
      </w:pPr>
    </w:p>
    <w:p w:rsidR="00614999" w:rsidRDefault="00614999" w:rsidP="00614999">
      <w:pPr>
        <w:pStyle w:val="Sinespaciado"/>
        <w:jc w:val="both"/>
        <w:rPr>
          <w:rFonts w:ascii="Times New Roman" w:hAnsi="Times New Roman" w:cs="Times New Roman"/>
          <w:lang w:val="es-MX"/>
        </w:rPr>
      </w:pPr>
    </w:p>
    <w:p w:rsidR="00614999" w:rsidRDefault="00614999" w:rsidP="00614999">
      <w:pPr>
        <w:pStyle w:val="Sinespaciado"/>
        <w:jc w:val="both"/>
        <w:rPr>
          <w:rFonts w:ascii="Times New Roman" w:hAnsi="Times New Roman" w:cs="Times New Roman"/>
          <w:lang w:val="es-MX"/>
        </w:rPr>
      </w:pPr>
    </w:p>
    <w:p w:rsidR="00614999" w:rsidRPr="002A1B95" w:rsidRDefault="00614999" w:rsidP="00614999">
      <w:pPr>
        <w:pStyle w:val="Sinespaciado"/>
        <w:jc w:val="center"/>
        <w:rPr>
          <w:rFonts w:ascii="Times New Roman" w:hAnsi="Times New Roman" w:cs="Times New Roman"/>
          <w:b/>
          <w:lang w:val="es-MX"/>
        </w:rPr>
      </w:pPr>
      <w:r>
        <w:rPr>
          <w:rFonts w:ascii="Times New Roman" w:hAnsi="Times New Roman" w:cs="Times New Roman"/>
          <w:b/>
          <w:lang w:val="es-MX"/>
        </w:rPr>
        <w:t xml:space="preserve">Grado de </w:t>
      </w:r>
      <w:r w:rsidRPr="002A1B95">
        <w:rPr>
          <w:rFonts w:ascii="Times New Roman" w:hAnsi="Times New Roman" w:cs="Times New Roman"/>
          <w:b/>
          <w:lang w:val="es-MX"/>
        </w:rPr>
        <w:t xml:space="preserve">Ejecución </w:t>
      </w:r>
      <w:r>
        <w:rPr>
          <w:rFonts w:ascii="Times New Roman" w:hAnsi="Times New Roman" w:cs="Times New Roman"/>
          <w:b/>
          <w:lang w:val="es-MX"/>
        </w:rPr>
        <w:t>Presupuestaria</w:t>
      </w:r>
    </w:p>
    <w:p w:rsidR="00614999" w:rsidRPr="009D459C" w:rsidRDefault="00614999" w:rsidP="00614999">
      <w:pPr>
        <w:pStyle w:val="Sinespaciado"/>
        <w:jc w:val="center"/>
        <w:rPr>
          <w:rFonts w:ascii="Times New Roman" w:hAnsi="Times New Roman" w:cs="Times New Roman"/>
          <w:sz w:val="18"/>
          <w:szCs w:val="18"/>
          <w:lang w:val="es-MX"/>
        </w:rPr>
      </w:pPr>
      <w:r w:rsidRPr="000F0F73">
        <w:rPr>
          <w:noProof/>
          <w:lang w:val="es-ES" w:eastAsia="es-ES"/>
        </w:rPr>
        <w:drawing>
          <wp:anchor distT="0" distB="0" distL="114300" distR="114300" simplePos="0" relativeHeight="251678720" behindDoc="0" locked="0" layoutInCell="1" allowOverlap="1" wp14:anchorId="2F73244C" wp14:editId="6F443785">
            <wp:simplePos x="0" y="0"/>
            <wp:positionH relativeFrom="column">
              <wp:posOffset>0</wp:posOffset>
            </wp:positionH>
            <wp:positionV relativeFrom="paragraph">
              <wp:posOffset>260350</wp:posOffset>
            </wp:positionV>
            <wp:extent cx="2762250" cy="2421255"/>
            <wp:effectExtent l="0" t="0" r="0" b="0"/>
            <wp:wrapSquare wrapText="bothSides"/>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762250" cy="242125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8"/>
          <w:szCs w:val="18"/>
          <w:lang w:val="es-MX"/>
        </w:rPr>
        <w:t>Al 31 de mayo de 2018</w:t>
      </w:r>
    </w:p>
    <w:p w:rsidR="00614999" w:rsidRPr="009D459C" w:rsidRDefault="00614999" w:rsidP="00614999">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Porcentajes</w:t>
      </w:r>
    </w:p>
    <w:p w:rsidR="00614999" w:rsidRDefault="00614999" w:rsidP="00614999">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Dirección de Análisi</w:t>
      </w:r>
      <w:r>
        <w:rPr>
          <w:rFonts w:ascii="Times New Roman" w:hAnsi="Times New Roman" w:cs="Times New Roman"/>
          <w:sz w:val="16"/>
        </w:rPr>
        <w:t>s y Política fiscal</w:t>
      </w:r>
    </w:p>
    <w:p w:rsidR="00614999" w:rsidRDefault="00614999" w:rsidP="00614999">
      <w:pPr>
        <w:pStyle w:val="Sinespaciado"/>
        <w:jc w:val="both"/>
        <w:rPr>
          <w:rFonts w:ascii="Times New Roman" w:hAnsi="Times New Roman" w:cs="Times New Roman"/>
        </w:rPr>
      </w:pPr>
    </w:p>
    <w:p w:rsidR="00614999" w:rsidRDefault="00614999" w:rsidP="00614999">
      <w:pPr>
        <w:pStyle w:val="Sinespaciado"/>
        <w:jc w:val="both"/>
        <w:rPr>
          <w:rFonts w:ascii="Times New Roman" w:hAnsi="Times New Roman" w:cs="Times New Roman"/>
        </w:rPr>
      </w:pPr>
      <w:r>
        <w:rPr>
          <w:rFonts w:ascii="Times New Roman" w:hAnsi="Times New Roman" w:cs="Times New Roman"/>
        </w:rPr>
        <w:t>Al observar la ejecución acumulada por entidad institucional, se puede apreciar que las entidades como Educación, Trabajo, Presidencia, PGN, Defensa Nacional y las Obligaciones a Cargo del Tesoro están por arriba del porcentaje de ejecución general (34.2%).  Por su parte, entre las entidades que muestran un desempeño por debajo del 30% de ejecución se encuentran Finanzas, Economía, Agricultura, Cultura y Deportes, Secretarias, Ambiente y Desarrollo Social. Resalta el caso de Comunicaciones, Infraestructura y Vivienda, con una ejecución de 19.5%.</w:t>
      </w:r>
    </w:p>
    <w:p w:rsidR="00614999" w:rsidRDefault="00614999" w:rsidP="00614999">
      <w:pPr>
        <w:pStyle w:val="Sinespaciado"/>
        <w:jc w:val="both"/>
        <w:rPr>
          <w:rFonts w:ascii="Times New Roman" w:hAnsi="Times New Roman" w:cs="Times New Roman"/>
        </w:rPr>
      </w:pPr>
    </w:p>
    <w:p w:rsidR="00614999" w:rsidRDefault="00614999" w:rsidP="00614999">
      <w:pPr>
        <w:pStyle w:val="Sinespaciado"/>
        <w:jc w:val="both"/>
        <w:rPr>
          <w:rFonts w:ascii="Times New Roman" w:hAnsi="Times New Roman" w:cs="Times New Roman"/>
          <w:lang w:val="es-MX"/>
        </w:rPr>
      </w:pPr>
      <w:r>
        <w:rPr>
          <w:rFonts w:ascii="Times New Roman" w:hAnsi="Times New Roman" w:cs="Times New Roman"/>
          <w:lang w:val="es-MX"/>
        </w:rPr>
        <w:t xml:space="preserve">El gasto social muestra una ejecución de Q9,600.1 (32.6%) al incluir los sectores asociados a los Acuerdos de Paz (Seguridad, OJ, CC y MP) el gasto social se ubica en Q12,751.2 millones con una ejecución de </w:t>
      </w:r>
      <w:r>
        <w:rPr>
          <w:rFonts w:ascii="Times New Roman" w:hAnsi="Times New Roman" w:cs="Times New Roman"/>
          <w:lang w:val="es-MX"/>
        </w:rPr>
        <w:lastRenderedPageBreak/>
        <w:t xml:space="preserve">32.7%. El sector vivienda muestra un bajo dinamismo con una ejecución de 17.9%, en línea con el desempeño que ha venido mostrando el Ministerio de Comunicaciones, Infraestructura y Vivienda y en especial el Fondo para la Vivienda (FOPAVI) encargada de la ejecución en este rubro. A excepción del sector Salud y Asistencia Social y Vivienda, el resto de sectores que conforman el gasto social, muestran niveles de ejecución superiores al 30.0%. </w:t>
      </w:r>
    </w:p>
    <w:p w:rsidR="00614999" w:rsidRDefault="00614999" w:rsidP="00614999">
      <w:pPr>
        <w:pStyle w:val="Sinespaciado"/>
        <w:jc w:val="both"/>
        <w:rPr>
          <w:rFonts w:ascii="Times New Roman" w:hAnsi="Times New Roman" w:cs="Times New Roman"/>
          <w:lang w:val="es-MX"/>
        </w:rPr>
      </w:pPr>
    </w:p>
    <w:p w:rsidR="00614999" w:rsidRDefault="00614999" w:rsidP="00614999">
      <w:pPr>
        <w:pStyle w:val="Sinespaciado"/>
        <w:jc w:val="both"/>
        <w:rPr>
          <w:rFonts w:ascii="Times New Roman" w:hAnsi="Times New Roman" w:cs="Times New Roman"/>
          <w:lang w:val="es-MX"/>
        </w:rPr>
      </w:pPr>
      <w:r>
        <w:rPr>
          <w:rFonts w:ascii="Times New Roman" w:hAnsi="Times New Roman" w:cs="Times New Roman"/>
          <w:lang w:val="es-MX"/>
        </w:rPr>
        <w:t xml:space="preserve">Al realizar un análisis interanual del comportamiento del gasto social, se observa que al cierre de mayo reporta un crecimiento del 3.6%, aunque inferior al crecimiento observado a la misma fecha del año pasado (8.7%), este crecimiento se debió a la ralentización que se dio en 2016 y propició que este fuera negativo (9.8%) para ese año. </w:t>
      </w:r>
    </w:p>
    <w:p w:rsidR="00614999" w:rsidRDefault="00614999" w:rsidP="00614999">
      <w:pPr>
        <w:pStyle w:val="Sinespaciado"/>
        <w:jc w:val="both"/>
        <w:rPr>
          <w:rFonts w:ascii="Times New Roman" w:hAnsi="Times New Roman" w:cs="Times New Roman"/>
          <w:lang w:val="es-MX"/>
        </w:rPr>
      </w:pPr>
    </w:p>
    <w:p w:rsidR="00614999" w:rsidRPr="00171002" w:rsidRDefault="00614999" w:rsidP="00614999">
      <w:pPr>
        <w:spacing w:after="0" w:line="240" w:lineRule="auto"/>
        <w:jc w:val="center"/>
        <w:rPr>
          <w:rFonts w:ascii="Times New Roman" w:hAnsi="Times New Roman" w:cs="Times New Roman"/>
          <w:b/>
          <w:lang w:val="es-MX"/>
        </w:rPr>
      </w:pPr>
      <w:r w:rsidRPr="00171002">
        <w:rPr>
          <w:rFonts w:ascii="Times New Roman" w:hAnsi="Times New Roman" w:cs="Times New Roman"/>
          <w:b/>
          <w:lang w:val="es-MX"/>
        </w:rPr>
        <w:t>Ejecución</w:t>
      </w:r>
      <w:r>
        <w:rPr>
          <w:rFonts w:ascii="Times New Roman" w:hAnsi="Times New Roman" w:cs="Times New Roman"/>
          <w:b/>
          <w:lang w:val="es-MX"/>
        </w:rPr>
        <w:t xml:space="preserve"> del Gasto Social</w:t>
      </w:r>
    </w:p>
    <w:p w:rsidR="00614999" w:rsidRPr="00171002" w:rsidRDefault="00614999" w:rsidP="00614999">
      <w:pPr>
        <w:spacing w:after="0" w:line="240" w:lineRule="auto"/>
        <w:jc w:val="center"/>
        <w:rPr>
          <w:rFonts w:ascii="Times New Roman" w:hAnsi="Times New Roman" w:cs="Times New Roman"/>
          <w:sz w:val="18"/>
          <w:szCs w:val="18"/>
          <w:lang w:val="es-MX"/>
        </w:rPr>
      </w:pPr>
      <w:r>
        <w:rPr>
          <w:rFonts w:ascii="Times New Roman" w:hAnsi="Times New Roman" w:cs="Times New Roman"/>
          <w:sz w:val="18"/>
          <w:szCs w:val="18"/>
          <w:lang w:val="es-MX"/>
        </w:rPr>
        <w:t>Al 31</w:t>
      </w:r>
      <w:r w:rsidRPr="00171002">
        <w:rPr>
          <w:rFonts w:ascii="Times New Roman" w:hAnsi="Times New Roman" w:cs="Times New Roman"/>
          <w:sz w:val="18"/>
          <w:szCs w:val="18"/>
          <w:lang w:val="es-MX"/>
        </w:rPr>
        <w:t xml:space="preserve"> de </w:t>
      </w:r>
      <w:r>
        <w:rPr>
          <w:rFonts w:ascii="Times New Roman" w:hAnsi="Times New Roman" w:cs="Times New Roman"/>
          <w:sz w:val="18"/>
          <w:szCs w:val="18"/>
          <w:lang w:val="es-MX"/>
        </w:rPr>
        <w:t>mayo, 2016-2018</w:t>
      </w:r>
    </w:p>
    <w:p w:rsidR="00614999" w:rsidRPr="00171002" w:rsidRDefault="00614999" w:rsidP="00614999">
      <w:pPr>
        <w:spacing w:after="0" w:line="240" w:lineRule="auto"/>
        <w:jc w:val="center"/>
        <w:rPr>
          <w:rFonts w:ascii="Times New Roman" w:hAnsi="Times New Roman" w:cs="Times New Roman"/>
          <w:sz w:val="18"/>
          <w:szCs w:val="18"/>
          <w:lang w:val="es-MX"/>
        </w:rPr>
      </w:pPr>
      <w:r w:rsidRPr="00171002">
        <w:rPr>
          <w:noProof/>
          <w:lang w:val="es-ES" w:eastAsia="es-ES"/>
        </w:rPr>
        <w:drawing>
          <wp:anchor distT="0" distB="0" distL="114300" distR="114300" simplePos="0" relativeHeight="251676672" behindDoc="0" locked="0" layoutInCell="1" allowOverlap="1" wp14:anchorId="7BF1E4FF" wp14:editId="09EB0287">
            <wp:simplePos x="0" y="0"/>
            <wp:positionH relativeFrom="column">
              <wp:posOffset>-137160</wp:posOffset>
            </wp:positionH>
            <wp:positionV relativeFrom="paragraph">
              <wp:posOffset>167640</wp:posOffset>
            </wp:positionV>
            <wp:extent cx="2795905" cy="1943100"/>
            <wp:effectExtent l="0" t="0" r="4445" b="0"/>
            <wp:wrapSquare wrapText="bothSides"/>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795905" cy="19431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18"/>
          <w:szCs w:val="18"/>
          <w:lang w:val="es-MX"/>
        </w:rPr>
        <w:t>Cifras en millones y p</w:t>
      </w:r>
      <w:r w:rsidRPr="00171002">
        <w:rPr>
          <w:rFonts w:ascii="Times New Roman" w:hAnsi="Times New Roman" w:cs="Times New Roman"/>
          <w:sz w:val="18"/>
          <w:szCs w:val="18"/>
          <w:lang w:val="es-MX"/>
        </w:rPr>
        <w:t>orcentajes</w:t>
      </w:r>
    </w:p>
    <w:p w:rsidR="00614999" w:rsidRPr="00171002" w:rsidRDefault="00614999" w:rsidP="00614999">
      <w:pPr>
        <w:pStyle w:val="Sinespaciado"/>
        <w:jc w:val="both"/>
        <w:rPr>
          <w:rFonts w:ascii="Times New Roman" w:hAnsi="Times New Roman" w:cs="Times New Roman"/>
          <w:sz w:val="16"/>
          <w:szCs w:val="16"/>
          <w:lang w:val="es-MX"/>
        </w:rPr>
      </w:pPr>
      <w:r w:rsidRPr="00171002">
        <w:rPr>
          <w:rFonts w:ascii="Times New Roman" w:hAnsi="Times New Roman" w:cs="Times New Roman"/>
          <w:sz w:val="16"/>
          <w:szCs w:val="16"/>
          <w:lang w:val="es-MX"/>
        </w:rPr>
        <w:lastRenderedPageBreak/>
        <w:t>Fuente: Di</w:t>
      </w:r>
      <w:r>
        <w:rPr>
          <w:rFonts w:ascii="Times New Roman" w:hAnsi="Times New Roman" w:cs="Times New Roman"/>
          <w:sz w:val="16"/>
          <w:szCs w:val="16"/>
          <w:lang w:val="es-MX"/>
        </w:rPr>
        <w:t>rección de Análisis y Política F</w:t>
      </w:r>
      <w:r w:rsidRPr="00171002">
        <w:rPr>
          <w:rFonts w:ascii="Times New Roman" w:hAnsi="Times New Roman" w:cs="Times New Roman"/>
          <w:sz w:val="16"/>
          <w:szCs w:val="16"/>
          <w:lang w:val="es-MX"/>
        </w:rPr>
        <w:t>iscal</w:t>
      </w:r>
    </w:p>
    <w:p w:rsidR="00614999" w:rsidRDefault="00614999" w:rsidP="00614999">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614999" w:rsidRDefault="00614999" w:rsidP="00614999">
      <w:pPr>
        <w:pStyle w:val="Sinespaciado"/>
        <w:jc w:val="both"/>
        <w:rPr>
          <w:rFonts w:ascii="Times New Roman" w:hAnsi="Times New Roman" w:cs="Times New Roman"/>
          <w:lang w:val="es-MX"/>
        </w:rPr>
      </w:pPr>
      <w:r>
        <w:rPr>
          <w:rFonts w:ascii="Times New Roman" w:hAnsi="Times New Roman" w:cs="Times New Roman"/>
          <w:lang w:val="es-MX"/>
        </w:rPr>
        <w:t>Respecto al gasto ejecutado por los programas sociales, las transferencias condicionadas de salud y educación muestran un mayor ritmo desde el pasado mes de abril, ubicando su ejecución en un 44.9%.</w:t>
      </w:r>
    </w:p>
    <w:p w:rsidR="00614999" w:rsidRDefault="00614999" w:rsidP="00614999">
      <w:pPr>
        <w:pStyle w:val="Sinespaciado"/>
        <w:jc w:val="both"/>
        <w:rPr>
          <w:rFonts w:ascii="Times New Roman" w:hAnsi="Times New Roman" w:cs="Times New Roman"/>
          <w:lang w:val="es-MX"/>
        </w:rPr>
      </w:pPr>
    </w:p>
    <w:p w:rsidR="00614999" w:rsidRDefault="00614999" w:rsidP="00614999">
      <w:pPr>
        <w:pStyle w:val="Sinespaciado"/>
        <w:jc w:val="both"/>
        <w:rPr>
          <w:rFonts w:ascii="Times New Roman" w:hAnsi="Times New Roman" w:cs="Times New Roman"/>
          <w:lang w:val="es-MX"/>
        </w:rPr>
      </w:pPr>
      <w:r>
        <w:rPr>
          <w:rFonts w:ascii="Times New Roman" w:hAnsi="Times New Roman" w:cs="Times New Roman"/>
          <w:lang w:val="es-MX"/>
        </w:rPr>
        <w:t xml:space="preserve">Por su parte, la ejecución asociada al </w:t>
      </w:r>
      <w:r w:rsidRPr="00CA1198">
        <w:rPr>
          <w:rFonts w:ascii="Times New Roman" w:hAnsi="Times New Roman" w:cs="Times New Roman"/>
          <w:lang w:val="es-MX"/>
        </w:rPr>
        <w:t xml:space="preserve">Plan Alianza para la Prosperidad del Triángulo Norte </w:t>
      </w:r>
      <w:r>
        <w:rPr>
          <w:rFonts w:ascii="Times New Roman" w:hAnsi="Times New Roman" w:cs="Times New Roman"/>
          <w:lang w:val="es-MX"/>
        </w:rPr>
        <w:t>–</w:t>
      </w:r>
      <w:r w:rsidRPr="00CA1198">
        <w:rPr>
          <w:rFonts w:ascii="Times New Roman" w:hAnsi="Times New Roman" w:cs="Times New Roman"/>
          <w:lang w:val="es-MX"/>
        </w:rPr>
        <w:t>PAPTN</w:t>
      </w:r>
      <w:r>
        <w:rPr>
          <w:rFonts w:ascii="Times New Roman" w:hAnsi="Times New Roman" w:cs="Times New Roman"/>
          <w:lang w:val="es-MX"/>
        </w:rPr>
        <w:t>-</w:t>
      </w:r>
      <w:r w:rsidRPr="00CA1198">
        <w:rPr>
          <w:rFonts w:ascii="Times New Roman" w:hAnsi="Times New Roman" w:cs="Times New Roman"/>
          <w:lang w:val="es-MX"/>
        </w:rPr>
        <w:t xml:space="preserve"> </w:t>
      </w:r>
      <w:r>
        <w:rPr>
          <w:rFonts w:ascii="Times New Roman" w:hAnsi="Times New Roman" w:cs="Times New Roman"/>
          <w:lang w:val="es-MX"/>
        </w:rPr>
        <w:t>a</w:t>
      </w:r>
      <w:r w:rsidRPr="00CA1198">
        <w:rPr>
          <w:rFonts w:ascii="Times New Roman" w:hAnsi="Times New Roman" w:cs="Times New Roman"/>
          <w:lang w:val="es-MX"/>
        </w:rPr>
        <w:t xml:space="preserve">l cierre de </w:t>
      </w:r>
      <w:r>
        <w:rPr>
          <w:rFonts w:ascii="Times New Roman" w:hAnsi="Times New Roman" w:cs="Times New Roman"/>
          <w:lang w:val="es-MX"/>
        </w:rPr>
        <w:t>mayo</w:t>
      </w:r>
      <w:r w:rsidRPr="00CA1198">
        <w:rPr>
          <w:rFonts w:ascii="Times New Roman" w:hAnsi="Times New Roman" w:cs="Times New Roman"/>
          <w:lang w:val="es-MX"/>
        </w:rPr>
        <w:t xml:space="preserve"> 2018</w:t>
      </w:r>
      <w:r>
        <w:rPr>
          <w:rFonts w:ascii="Times New Roman" w:hAnsi="Times New Roman" w:cs="Times New Roman"/>
          <w:lang w:val="es-MX"/>
        </w:rPr>
        <w:t xml:space="preserve">, reporta una ejecución de Q2,566.6 millones, equivalente al 26.0%, siendo este nivel de ejecución menor al observado por el gasto público total (34.2%). </w:t>
      </w:r>
    </w:p>
    <w:p w:rsidR="00614999" w:rsidRDefault="00614999" w:rsidP="00614999">
      <w:pPr>
        <w:pStyle w:val="Sinespaciado"/>
        <w:jc w:val="both"/>
        <w:rPr>
          <w:rFonts w:ascii="Times New Roman" w:hAnsi="Times New Roman" w:cs="Times New Roman"/>
          <w:lang w:val="es-MX"/>
        </w:rPr>
      </w:pPr>
    </w:p>
    <w:p w:rsidR="00614999" w:rsidRDefault="00614999" w:rsidP="00614999">
      <w:pPr>
        <w:pStyle w:val="Sinespaciado"/>
        <w:jc w:val="both"/>
        <w:rPr>
          <w:rFonts w:ascii="Times New Roman" w:hAnsi="Times New Roman" w:cs="Times New Roman"/>
          <w:lang w:val="es-MX"/>
        </w:rPr>
      </w:pPr>
      <w:r>
        <w:rPr>
          <w:rFonts w:ascii="Times New Roman" w:hAnsi="Times New Roman" w:cs="Times New Roman"/>
          <w:lang w:val="es-MX"/>
        </w:rPr>
        <w:t xml:space="preserve">El crecimiento interanual respecto a la misma fecha del año anterior es de 180.0% (Q1,650.1 millones), aunque es importante señalar que, a partir del presente año, más entidades públicas, en especial secretarias, incluyeron estructuras presupuestarias asociadas a los objetivos del PAPTN, estructuras que en años anteriores no se consideraban. </w:t>
      </w:r>
    </w:p>
    <w:p w:rsidR="00614999" w:rsidRDefault="00614999" w:rsidP="00614999">
      <w:pPr>
        <w:pStyle w:val="Sinespaciado"/>
        <w:jc w:val="both"/>
        <w:rPr>
          <w:rFonts w:ascii="Times New Roman" w:hAnsi="Times New Roman" w:cs="Times New Roman"/>
          <w:lang w:val="es-MX"/>
        </w:rPr>
      </w:pPr>
    </w:p>
    <w:p w:rsidR="00614999" w:rsidRPr="002A1B95" w:rsidRDefault="00614999" w:rsidP="00614999">
      <w:pPr>
        <w:pStyle w:val="Sinespaciado"/>
        <w:jc w:val="center"/>
        <w:rPr>
          <w:rFonts w:ascii="Times New Roman" w:hAnsi="Times New Roman" w:cs="Times New Roman"/>
          <w:b/>
          <w:lang w:val="es-MX"/>
        </w:rPr>
      </w:pPr>
      <w:r>
        <w:rPr>
          <w:rFonts w:ascii="Times New Roman" w:hAnsi="Times New Roman" w:cs="Times New Roman"/>
          <w:b/>
          <w:lang w:val="es-MX"/>
        </w:rPr>
        <w:t>Ejecución de los programas del PAPTN</w:t>
      </w:r>
    </w:p>
    <w:p w:rsidR="00614999" w:rsidRPr="009D459C" w:rsidRDefault="00614999" w:rsidP="00614999">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mayo de 2018</w:t>
      </w:r>
    </w:p>
    <w:p w:rsidR="00614999" w:rsidRPr="009D459C" w:rsidRDefault="00614999" w:rsidP="00614999">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Millones de quetzales y porcentajes</w:t>
      </w:r>
    </w:p>
    <w:p w:rsidR="00614999" w:rsidRPr="00C156EC" w:rsidRDefault="00614999" w:rsidP="00614999">
      <w:pPr>
        <w:pStyle w:val="Sinespaciado"/>
        <w:jc w:val="both"/>
        <w:rPr>
          <w:rFonts w:ascii="Times New Roman" w:hAnsi="Times New Roman" w:cs="Times New Roman"/>
          <w:sz w:val="16"/>
          <w:lang w:val="es-MX"/>
        </w:rPr>
      </w:pPr>
      <w:r w:rsidRPr="00C156EC">
        <w:rPr>
          <w:noProof/>
          <w:lang w:val="es-ES" w:eastAsia="es-ES"/>
        </w:rPr>
        <w:drawing>
          <wp:anchor distT="0" distB="0" distL="114300" distR="114300" simplePos="0" relativeHeight="251675648" behindDoc="0" locked="0" layoutInCell="1" allowOverlap="1" wp14:anchorId="17CC9A23" wp14:editId="1F41E0D2">
            <wp:simplePos x="0" y="0"/>
            <wp:positionH relativeFrom="margin">
              <wp:align>left</wp:align>
            </wp:positionH>
            <wp:positionV relativeFrom="paragraph">
              <wp:posOffset>170180</wp:posOffset>
            </wp:positionV>
            <wp:extent cx="2581275" cy="2128520"/>
            <wp:effectExtent l="0" t="0" r="9525" b="5080"/>
            <wp:wrapSquare wrapText="bothSides"/>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t="5211"/>
                    <a:stretch/>
                  </pic:blipFill>
                  <pic:spPr bwMode="auto">
                    <a:xfrm>
                      <a:off x="0" y="0"/>
                      <a:ext cx="2581275" cy="2128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56EC">
        <w:rPr>
          <w:rFonts w:ascii="Times New Roman" w:hAnsi="Times New Roman" w:cs="Times New Roman"/>
          <w:sz w:val="16"/>
          <w:lang w:val="es-MX"/>
        </w:rPr>
        <w:t>Fuente: Dirección de Análisis y Política fiscal</w:t>
      </w:r>
    </w:p>
    <w:p w:rsidR="00614999" w:rsidRDefault="00614999" w:rsidP="00614999">
      <w:pPr>
        <w:pStyle w:val="Sinespaciado"/>
        <w:jc w:val="both"/>
        <w:rPr>
          <w:rFonts w:ascii="Times New Roman" w:hAnsi="Times New Roman" w:cs="Times New Roman"/>
          <w:lang w:val="es-MX"/>
        </w:rPr>
      </w:pPr>
    </w:p>
    <w:p w:rsidR="00614999" w:rsidRPr="00707308" w:rsidRDefault="00614999" w:rsidP="00614999">
      <w:pPr>
        <w:pStyle w:val="Sinespaciado"/>
        <w:jc w:val="both"/>
        <w:rPr>
          <w:rFonts w:ascii="Times New Roman" w:hAnsi="Times New Roman" w:cs="Times New Roman"/>
          <w:lang w:val="es-MX"/>
        </w:rPr>
      </w:pPr>
      <w:r>
        <w:rPr>
          <w:rFonts w:ascii="Times New Roman" w:hAnsi="Times New Roman" w:cs="Times New Roman"/>
          <w:lang w:val="es-MX"/>
        </w:rPr>
        <w:t>L</w:t>
      </w:r>
      <w:r w:rsidRPr="00707308">
        <w:rPr>
          <w:rFonts w:ascii="Times New Roman" w:hAnsi="Times New Roman" w:cs="Times New Roman"/>
          <w:lang w:val="es-MX"/>
        </w:rPr>
        <w:t xml:space="preserve">as instituciones con el menor porcentaje de ejecución </w:t>
      </w:r>
      <w:r>
        <w:rPr>
          <w:rFonts w:ascii="Times New Roman" w:hAnsi="Times New Roman" w:cs="Times New Roman"/>
          <w:lang w:val="es-MX"/>
        </w:rPr>
        <w:t xml:space="preserve">son: </w:t>
      </w:r>
      <w:r w:rsidRPr="00707308">
        <w:rPr>
          <w:rFonts w:ascii="Times New Roman" w:hAnsi="Times New Roman" w:cs="Times New Roman"/>
          <w:lang w:val="es-MX"/>
        </w:rPr>
        <w:t>la Comisión Presidencial Coordinadora de la Política del Ejecutivo en materia de Derechos Humanos (COPREDEH) con una ejecución de 4.3%, seguido por Comunicaciones y Economía con una ejecución de 15.7% para ambos</w:t>
      </w:r>
      <w:r>
        <w:rPr>
          <w:rFonts w:ascii="Times New Roman" w:hAnsi="Times New Roman" w:cs="Times New Roman"/>
          <w:lang w:val="es-MX"/>
        </w:rPr>
        <w:t xml:space="preserve"> Ministerios</w:t>
      </w:r>
      <w:r w:rsidRPr="00707308">
        <w:rPr>
          <w:rFonts w:ascii="Times New Roman" w:hAnsi="Times New Roman" w:cs="Times New Roman"/>
          <w:lang w:val="es-MX"/>
        </w:rPr>
        <w:t>.</w:t>
      </w:r>
    </w:p>
    <w:p w:rsidR="00614999" w:rsidRPr="00D5072F" w:rsidRDefault="00614999" w:rsidP="00614999">
      <w:pPr>
        <w:pStyle w:val="Sinespaciado"/>
        <w:jc w:val="both"/>
        <w:rPr>
          <w:rFonts w:ascii="Times New Roman" w:hAnsi="Times New Roman" w:cs="Times New Roman"/>
          <w:b/>
          <w:lang w:val="es-MX"/>
        </w:rPr>
      </w:pPr>
    </w:p>
    <w:p w:rsidR="00614999" w:rsidRPr="001863CC" w:rsidRDefault="00614999" w:rsidP="00614999">
      <w:pPr>
        <w:pStyle w:val="Sinespaciado"/>
        <w:jc w:val="both"/>
        <w:rPr>
          <w:rFonts w:ascii="Times New Roman" w:hAnsi="Times New Roman" w:cs="Times New Roman"/>
          <w:color w:val="FF0000"/>
          <w:lang w:val="es-MX"/>
        </w:rPr>
      </w:pPr>
      <w:r>
        <w:rPr>
          <w:rFonts w:ascii="Times New Roman" w:hAnsi="Times New Roman" w:cs="Times New Roman"/>
          <w:lang w:val="es-MX"/>
        </w:rPr>
        <w:t>Por eje estratégico, el eje relacionado a Seguridad y Justicia reporta la mayor ejecución (36.8%), seguido por el Capital Humano (27.9%), Sector Transparencia y Sector Productivo, con el mismo nivel de ejecución (15.7%).</w:t>
      </w:r>
    </w:p>
    <w:p w:rsidR="00BB5426" w:rsidRPr="001863CC" w:rsidRDefault="00BB5426" w:rsidP="00BB5426">
      <w:pPr>
        <w:pStyle w:val="Sinespaciado"/>
        <w:jc w:val="both"/>
        <w:rPr>
          <w:rFonts w:ascii="Times New Roman" w:hAnsi="Times New Roman" w:cs="Times New Roman"/>
          <w:color w:val="FF0000"/>
          <w:lang w:val="es-MX"/>
        </w:rPr>
      </w:pPr>
    </w:p>
    <w:p w:rsidR="00B468EF" w:rsidRPr="001863CC" w:rsidRDefault="00B468EF" w:rsidP="00BB5426">
      <w:pPr>
        <w:pStyle w:val="Sinespaciado"/>
        <w:jc w:val="both"/>
        <w:rPr>
          <w:rFonts w:ascii="Times New Roman" w:hAnsi="Times New Roman" w:cs="Times New Roman"/>
          <w:color w:val="FF0000"/>
          <w:lang w:val="es-MX"/>
        </w:rPr>
      </w:pPr>
    </w:p>
    <w:p w:rsidR="00B468EF" w:rsidRPr="001863CC" w:rsidRDefault="00B468EF" w:rsidP="00BB5426">
      <w:pPr>
        <w:pStyle w:val="Sinespaciado"/>
        <w:jc w:val="both"/>
        <w:rPr>
          <w:rFonts w:ascii="Times New Roman" w:hAnsi="Times New Roman" w:cs="Times New Roman"/>
          <w:color w:val="FF0000"/>
          <w:lang w:val="es-MX"/>
        </w:rPr>
      </w:pPr>
    </w:p>
    <w:p w:rsidR="008C079A" w:rsidRPr="001863CC" w:rsidRDefault="008C079A" w:rsidP="008C079A">
      <w:pPr>
        <w:spacing w:after="0" w:line="240" w:lineRule="auto"/>
        <w:jc w:val="both"/>
        <w:rPr>
          <w:rFonts w:ascii="Times New Roman" w:hAnsi="Times New Roman" w:cs="Times New Roman"/>
          <w:color w:val="FF0000"/>
          <w:lang w:val="es-MX"/>
        </w:rPr>
      </w:pPr>
    </w:p>
    <w:p w:rsidR="00051A92" w:rsidRPr="001863CC" w:rsidRDefault="00051A92" w:rsidP="00E570ED">
      <w:pPr>
        <w:pStyle w:val="Sinespaciado"/>
        <w:jc w:val="both"/>
        <w:rPr>
          <w:rFonts w:ascii="Times New Roman" w:hAnsi="Times New Roman" w:cs="Times New Roman"/>
          <w:color w:val="FF0000"/>
          <w:sz w:val="16"/>
        </w:rPr>
      </w:pPr>
    </w:p>
    <w:p w:rsidR="00051A92" w:rsidRPr="001863CC" w:rsidRDefault="00051A92" w:rsidP="00E570ED">
      <w:pPr>
        <w:pStyle w:val="Sinespaciado"/>
        <w:jc w:val="both"/>
        <w:rPr>
          <w:rFonts w:ascii="Times New Roman" w:hAnsi="Times New Roman" w:cs="Times New Roman"/>
          <w:color w:val="FF0000"/>
          <w:sz w:val="12"/>
        </w:rPr>
        <w:sectPr w:rsidR="00051A92" w:rsidRPr="001863CC" w:rsidSect="00040C99">
          <w:headerReference w:type="default" r:id="rId24"/>
          <w:footerReference w:type="default" r:id="rId25"/>
          <w:type w:val="continuous"/>
          <w:pgSz w:w="12240" w:h="15840" w:code="1"/>
          <w:pgMar w:top="1418" w:right="1418" w:bottom="1418" w:left="1701" w:header="709" w:footer="709" w:gutter="0"/>
          <w:cols w:num="2" w:space="708"/>
          <w:docGrid w:linePitch="360"/>
        </w:sectPr>
      </w:pPr>
    </w:p>
    <w:p w:rsidR="001E4CD2" w:rsidRPr="001863CC" w:rsidRDefault="001E4CD2" w:rsidP="00216605">
      <w:pPr>
        <w:pStyle w:val="Sinespaciado"/>
        <w:jc w:val="both"/>
        <w:rPr>
          <w:rFonts w:ascii="Times New Roman" w:hAnsi="Times New Roman" w:cs="Times New Roman"/>
          <w:color w:val="FF0000"/>
          <w:sz w:val="4"/>
          <w:lang w:val="es-MX"/>
        </w:rPr>
      </w:pPr>
    </w:p>
    <w:p w:rsidR="00216605" w:rsidRPr="00622F43" w:rsidRDefault="00622F43" w:rsidP="00216605">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216605" w:rsidRPr="00622F43" w:rsidSect="00FA3B81">
          <w:type w:val="continuous"/>
          <w:pgSz w:w="12240" w:h="15840" w:code="1"/>
          <w:pgMar w:top="1418" w:right="1418" w:bottom="1418" w:left="1418" w:header="709" w:footer="709" w:gutter="0"/>
          <w:cols w:space="708"/>
          <w:docGrid w:linePitch="360"/>
        </w:sectPr>
      </w:pPr>
      <w:r w:rsidRPr="00622F43">
        <w:rPr>
          <w:rFonts w:ascii="Times New Roman" w:hAnsi="Times New Roman" w:cs="Times New Roman"/>
          <w:b/>
          <w:lang w:val="es-MX"/>
        </w:rPr>
        <w:t>A mayo se ha colocado la tercera parte de emisión aprobada por el Congreso</w:t>
      </w:r>
    </w:p>
    <w:p w:rsidR="00216605" w:rsidRPr="001863CC" w:rsidRDefault="00216605" w:rsidP="00216605">
      <w:pPr>
        <w:pStyle w:val="Sinespaciado"/>
        <w:rPr>
          <w:rFonts w:ascii="Times New Roman" w:hAnsi="Times New Roman" w:cs="Times New Roman"/>
          <w:b/>
          <w:color w:val="FF0000"/>
          <w:sz w:val="24"/>
          <w:lang w:val="es-MX"/>
        </w:rPr>
      </w:pPr>
    </w:p>
    <w:p w:rsidR="00216605" w:rsidRPr="001863CC" w:rsidRDefault="00216605" w:rsidP="00216605">
      <w:pPr>
        <w:pStyle w:val="Sinespaciado"/>
        <w:rPr>
          <w:rFonts w:ascii="Times New Roman" w:hAnsi="Times New Roman" w:cs="Times New Roman"/>
          <w:b/>
          <w:color w:val="FF0000"/>
          <w:lang w:val="es-MX"/>
        </w:rPr>
        <w:sectPr w:rsidR="00216605" w:rsidRPr="001863CC" w:rsidSect="004E358C">
          <w:type w:val="continuous"/>
          <w:pgSz w:w="12240" w:h="15840"/>
          <w:pgMar w:top="1417" w:right="1701" w:bottom="1417" w:left="1701" w:header="708" w:footer="708" w:gutter="0"/>
          <w:cols w:space="708"/>
          <w:docGrid w:linePitch="360"/>
        </w:sectPr>
      </w:pPr>
    </w:p>
    <w:p w:rsidR="00614999" w:rsidRDefault="00614999" w:rsidP="00614999">
      <w:pPr>
        <w:pStyle w:val="Sinespaciado"/>
        <w:jc w:val="both"/>
        <w:rPr>
          <w:rFonts w:ascii="Times New Roman" w:hAnsi="Times New Roman" w:cs="Times New Roman"/>
        </w:rPr>
      </w:pPr>
      <w:r>
        <w:rPr>
          <w:rFonts w:ascii="Times New Roman" w:hAnsi="Times New Roman" w:cs="Times New Roman"/>
        </w:rPr>
        <w:lastRenderedPageBreak/>
        <w:t>En cuanto al financiamiento del déficit de presupuesto, al cierre de mayo 2018 se obtuvo un flujo negativo en el endeudamiento externo neto por el equivalente a Q610.2 millones, derivado de la mayor amortización de préstamos externos en contraste a los desembolsos de los mismos, al cierre de mayo muestran una ejecución de 10.5%.</w:t>
      </w:r>
    </w:p>
    <w:p w:rsidR="00614999" w:rsidRDefault="00614999" w:rsidP="00614999">
      <w:pPr>
        <w:pStyle w:val="Sinespaciado"/>
        <w:jc w:val="both"/>
        <w:rPr>
          <w:rFonts w:ascii="Times New Roman" w:hAnsi="Times New Roman" w:cs="Times New Roman"/>
        </w:rPr>
      </w:pPr>
    </w:p>
    <w:p w:rsidR="00614999" w:rsidRDefault="00614999" w:rsidP="00614999">
      <w:pPr>
        <w:pStyle w:val="Sinespaciado"/>
        <w:jc w:val="both"/>
        <w:rPr>
          <w:rFonts w:ascii="Times New Roman" w:hAnsi="Times New Roman" w:cs="Times New Roman"/>
        </w:rPr>
      </w:pPr>
      <w:r>
        <w:rPr>
          <w:rFonts w:ascii="Times New Roman" w:hAnsi="Times New Roman" w:cs="Times New Roman"/>
        </w:rPr>
        <w:t xml:space="preserve">Asimismo, en mayo se realizaron cinco eventos de colocación de Bonos del Tesoro los cuales mostraron una demanda acumulada de Q17,297.1 de los cuales se adjudicaron Q4,489.0 millones en el mercado interno en moneda nacional, reportando una tasa promedio ponderada de 6.7% a un plazo promedio de 11.9 años. </w:t>
      </w:r>
    </w:p>
    <w:p w:rsidR="00614999" w:rsidRDefault="00614999" w:rsidP="00614999">
      <w:pPr>
        <w:pStyle w:val="Sinespaciado"/>
        <w:jc w:val="both"/>
        <w:rPr>
          <w:rFonts w:ascii="Times New Roman" w:hAnsi="Times New Roman" w:cs="Times New Roman"/>
        </w:rPr>
      </w:pPr>
    </w:p>
    <w:p w:rsidR="00614999" w:rsidRDefault="00614999" w:rsidP="00614999">
      <w:pPr>
        <w:pStyle w:val="Sinespaciado"/>
        <w:jc w:val="both"/>
        <w:rPr>
          <w:rFonts w:ascii="Times New Roman" w:hAnsi="Times New Roman" w:cs="Times New Roman"/>
        </w:rPr>
      </w:pPr>
      <w:r>
        <w:rPr>
          <w:rFonts w:ascii="Times New Roman" w:hAnsi="Times New Roman" w:cs="Times New Roman"/>
        </w:rPr>
        <w:t xml:space="preserve">Derivado del movimiento observado en el mes, la colocación de Bonos del Tesoro pendiente de realizar es de Q9,260.1 </w:t>
      </w:r>
      <w:r>
        <w:rPr>
          <w:rFonts w:ascii="Times New Roman" w:hAnsi="Times New Roman" w:cs="Times New Roman"/>
        </w:rPr>
        <w:lastRenderedPageBreak/>
        <w:t>millones, equivalente al 67.4% del total de la emisión autorizada por el Congreso de la República.</w:t>
      </w:r>
    </w:p>
    <w:p w:rsidR="00614999" w:rsidRDefault="00614999" w:rsidP="00614999">
      <w:pPr>
        <w:pStyle w:val="Sinespaciado"/>
        <w:jc w:val="both"/>
        <w:rPr>
          <w:rFonts w:ascii="Times New Roman" w:hAnsi="Times New Roman" w:cs="Times New Roman"/>
        </w:rPr>
      </w:pPr>
    </w:p>
    <w:p w:rsidR="00614999" w:rsidRPr="00176935" w:rsidRDefault="00614999" w:rsidP="00614999">
      <w:pPr>
        <w:pStyle w:val="Sinespaciado"/>
        <w:jc w:val="center"/>
        <w:rPr>
          <w:rFonts w:ascii="Times New Roman" w:hAnsi="Times New Roman" w:cs="Times New Roman"/>
          <w:b/>
        </w:rPr>
      </w:pPr>
      <w:r w:rsidRPr="00176935">
        <w:rPr>
          <w:rFonts w:ascii="Times New Roman" w:hAnsi="Times New Roman" w:cs="Times New Roman"/>
          <w:b/>
        </w:rPr>
        <w:t>Colocación de Bonos del Tesoro 2018</w:t>
      </w:r>
    </w:p>
    <w:p w:rsidR="00614999" w:rsidRDefault="00614999" w:rsidP="00614999">
      <w:pPr>
        <w:pStyle w:val="Sinespaciado"/>
        <w:jc w:val="center"/>
        <w:rPr>
          <w:rFonts w:ascii="Times New Roman" w:hAnsi="Times New Roman" w:cs="Times New Roman"/>
          <w:sz w:val="18"/>
        </w:rPr>
      </w:pPr>
      <w:r w:rsidRPr="00F51BC3">
        <w:rPr>
          <w:noProof/>
          <w:lang w:val="es-ES" w:eastAsia="es-ES"/>
        </w:rPr>
        <w:drawing>
          <wp:anchor distT="0" distB="0" distL="114300" distR="114300" simplePos="0" relativeHeight="251680768" behindDoc="0" locked="0" layoutInCell="1" allowOverlap="1" wp14:anchorId="0DAF2F13" wp14:editId="14AD97F7">
            <wp:simplePos x="0" y="0"/>
            <wp:positionH relativeFrom="column">
              <wp:posOffset>-43815</wp:posOffset>
            </wp:positionH>
            <wp:positionV relativeFrom="paragraph">
              <wp:posOffset>180340</wp:posOffset>
            </wp:positionV>
            <wp:extent cx="2695575" cy="1990725"/>
            <wp:effectExtent l="0" t="0" r="9525" b="952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2695575" cy="1990725"/>
                    </a:xfrm>
                    <a:prstGeom prst="rect">
                      <a:avLst/>
                    </a:prstGeom>
                  </pic:spPr>
                </pic:pic>
              </a:graphicData>
            </a:graphic>
            <wp14:sizeRelH relativeFrom="page">
              <wp14:pctWidth>0</wp14:pctWidth>
            </wp14:sizeRelH>
            <wp14:sizeRelV relativeFrom="page">
              <wp14:pctHeight>0</wp14:pctHeight>
            </wp14:sizeRelV>
          </wp:anchor>
        </w:drawing>
      </w:r>
      <w:r w:rsidRPr="00176935">
        <w:rPr>
          <w:rFonts w:ascii="Times New Roman" w:hAnsi="Times New Roman" w:cs="Times New Roman"/>
          <w:sz w:val="18"/>
        </w:rPr>
        <w:t>Millones de quetzales y Porcentajes</w:t>
      </w:r>
    </w:p>
    <w:p w:rsidR="00614999" w:rsidRPr="00D81046" w:rsidRDefault="00614999" w:rsidP="00614999">
      <w:pPr>
        <w:pStyle w:val="Sinespaciado"/>
        <w:rPr>
          <w:rFonts w:ascii="Times New Roman" w:hAnsi="Times New Roman" w:cs="Times New Roman"/>
          <w:sz w:val="16"/>
        </w:rPr>
      </w:pPr>
      <w:r w:rsidRPr="00D81046">
        <w:rPr>
          <w:rFonts w:ascii="Times New Roman" w:hAnsi="Times New Roman" w:cs="Times New Roman"/>
          <w:sz w:val="16"/>
        </w:rPr>
        <w:t>Fuente: Dirección de Análisis y Política Fiscal</w:t>
      </w:r>
    </w:p>
    <w:p w:rsidR="001E4CD2" w:rsidRPr="001863CC" w:rsidRDefault="001E4CD2" w:rsidP="00BC7539">
      <w:pPr>
        <w:pStyle w:val="Sinespaciado"/>
        <w:jc w:val="both"/>
        <w:rPr>
          <w:rFonts w:ascii="Times New Roman" w:hAnsi="Times New Roman" w:cs="Times New Roman"/>
          <w:color w:val="FF0000"/>
          <w:sz w:val="14"/>
        </w:rPr>
      </w:pPr>
    </w:p>
    <w:p w:rsidR="00CE75B5" w:rsidRPr="001863CC" w:rsidRDefault="00CE75B5" w:rsidP="00CE75B5">
      <w:pPr>
        <w:pStyle w:val="Sinespaciado"/>
        <w:jc w:val="both"/>
        <w:rPr>
          <w:rFonts w:ascii="Times New Roman" w:hAnsi="Times New Roman" w:cs="Times New Roman"/>
          <w:color w:val="FF0000"/>
          <w:lang w:val="es-MX"/>
        </w:rPr>
        <w:sectPr w:rsidR="00CE75B5" w:rsidRPr="001863CC" w:rsidSect="00D554B2">
          <w:headerReference w:type="default" r:id="rId27"/>
          <w:footerReference w:type="default" r:id="rId28"/>
          <w:type w:val="continuous"/>
          <w:pgSz w:w="12240" w:h="15840"/>
          <w:pgMar w:top="1417" w:right="1701" w:bottom="1417" w:left="1701" w:header="708" w:footer="708" w:gutter="0"/>
          <w:cols w:num="2" w:space="708"/>
          <w:docGrid w:linePitch="360"/>
        </w:sectPr>
      </w:pPr>
    </w:p>
    <w:p w:rsidR="00B96036" w:rsidRPr="001863CC" w:rsidRDefault="00B96036" w:rsidP="00D4202F">
      <w:pPr>
        <w:spacing w:after="0"/>
        <w:rPr>
          <w:rFonts w:ascii="Times New Roman" w:hAnsi="Times New Roman" w:cs="Times New Roman"/>
          <w:color w:val="FF0000"/>
          <w:lang w:val="es-MX"/>
        </w:rPr>
        <w:sectPr w:rsidR="00B96036" w:rsidRPr="001863CC" w:rsidSect="004E358C">
          <w:type w:val="continuous"/>
          <w:pgSz w:w="12240" w:h="15840"/>
          <w:pgMar w:top="1417" w:right="1701" w:bottom="1417" w:left="1701" w:header="708" w:footer="708" w:gutter="0"/>
          <w:cols w:num="2" w:space="708"/>
          <w:docGrid w:linePitch="360"/>
        </w:sectPr>
      </w:pPr>
    </w:p>
    <w:p w:rsidR="00494D1D" w:rsidRPr="001863CC" w:rsidRDefault="0042387A" w:rsidP="00BB4C28">
      <w:pPr>
        <w:pBdr>
          <w:top w:val="single" w:sz="4" w:space="0"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1863CC" w:rsidSect="00FA3B81">
          <w:headerReference w:type="default" r:id="rId29"/>
          <w:footerReference w:type="default" r:id="rId30"/>
          <w:type w:val="continuous"/>
          <w:pgSz w:w="12240" w:h="15840" w:code="1"/>
          <w:pgMar w:top="1418" w:right="1418" w:bottom="1418" w:left="1418" w:header="709" w:footer="709" w:gutter="0"/>
          <w:cols w:space="708"/>
          <w:docGrid w:linePitch="360"/>
        </w:sectPr>
      </w:pPr>
      <w:r w:rsidRPr="001863CC">
        <w:rPr>
          <w:rFonts w:ascii="Times New Roman" w:hAnsi="Times New Roman" w:cs="Times New Roman"/>
          <w:b/>
          <w:lang w:val="es-MX"/>
        </w:rPr>
        <w:lastRenderedPageBreak/>
        <w:t>Ambientes macroeconómicos (externo e interno)</w:t>
      </w:r>
    </w:p>
    <w:p w:rsidR="00494D1D" w:rsidRPr="001863CC" w:rsidRDefault="00494D1D" w:rsidP="00494D1D">
      <w:pPr>
        <w:pStyle w:val="Sinespaciado"/>
        <w:rPr>
          <w:rFonts w:ascii="Times New Roman" w:hAnsi="Times New Roman" w:cs="Times New Roman"/>
          <w:b/>
          <w:sz w:val="18"/>
          <w:lang w:val="es-MX"/>
        </w:rPr>
      </w:pPr>
    </w:p>
    <w:p w:rsidR="00494D1D" w:rsidRPr="001863CC" w:rsidRDefault="00494D1D" w:rsidP="00494D1D">
      <w:pPr>
        <w:pStyle w:val="Sinespaciado"/>
        <w:rPr>
          <w:rFonts w:ascii="Times New Roman" w:hAnsi="Times New Roman" w:cs="Times New Roman"/>
          <w:b/>
          <w:sz w:val="28"/>
          <w:lang w:val="es-MX"/>
        </w:rPr>
        <w:sectPr w:rsidR="00494D1D" w:rsidRPr="001863CC" w:rsidSect="004E358C">
          <w:type w:val="continuous"/>
          <w:pgSz w:w="12240" w:h="15840"/>
          <w:pgMar w:top="1417" w:right="1701" w:bottom="1417" w:left="1701" w:header="708" w:footer="708" w:gutter="0"/>
          <w:cols w:space="708"/>
          <w:docGrid w:linePitch="360"/>
        </w:sectPr>
      </w:pPr>
    </w:p>
    <w:p w:rsidR="00DC1048" w:rsidRPr="001863CC" w:rsidRDefault="008B110A" w:rsidP="001B3EEE">
      <w:pPr>
        <w:spacing w:after="0" w:line="240" w:lineRule="auto"/>
        <w:jc w:val="both"/>
        <w:rPr>
          <w:rFonts w:ascii="Times New Roman" w:hAnsi="Times New Roman" w:cs="Times New Roman"/>
          <w:lang w:val="es-MX"/>
        </w:rPr>
      </w:pPr>
      <w:r w:rsidRPr="001863CC">
        <w:rPr>
          <w:rFonts w:ascii="Times New Roman" w:hAnsi="Times New Roman" w:cs="Times New Roman"/>
          <w:lang w:val="es-MX"/>
        </w:rPr>
        <w:lastRenderedPageBreak/>
        <w:t xml:space="preserve">El </w:t>
      </w:r>
      <w:r w:rsidR="00222598" w:rsidRPr="001863CC">
        <w:rPr>
          <w:rFonts w:ascii="Times New Roman" w:hAnsi="Times New Roman" w:cs="Times New Roman"/>
          <w:lang w:val="es-MX"/>
        </w:rPr>
        <w:t>Banco M</w:t>
      </w:r>
      <w:r w:rsidR="00C56C98" w:rsidRPr="001863CC">
        <w:rPr>
          <w:rFonts w:ascii="Times New Roman" w:hAnsi="Times New Roman" w:cs="Times New Roman"/>
          <w:lang w:val="es-MX"/>
        </w:rPr>
        <w:t xml:space="preserve">undial dio a conocer </w:t>
      </w:r>
      <w:r w:rsidR="00222598" w:rsidRPr="001863CC">
        <w:rPr>
          <w:rFonts w:ascii="Times New Roman" w:hAnsi="Times New Roman" w:cs="Times New Roman"/>
          <w:lang w:val="es-MX"/>
        </w:rPr>
        <w:t>sus previsiones económicas para el segundo semestre del año, en las que advierte una desaceleraci</w:t>
      </w:r>
      <w:r w:rsidR="00C56C98" w:rsidRPr="001863CC">
        <w:rPr>
          <w:rFonts w:ascii="Times New Roman" w:hAnsi="Times New Roman" w:cs="Times New Roman"/>
          <w:lang w:val="es-MX"/>
        </w:rPr>
        <w:t>ón del crecimiento global, al 3.1% en 2018 y 3.0</w:t>
      </w:r>
      <w:r w:rsidR="00222598" w:rsidRPr="001863CC">
        <w:rPr>
          <w:rFonts w:ascii="Times New Roman" w:hAnsi="Times New Roman" w:cs="Times New Roman"/>
          <w:lang w:val="es-MX"/>
        </w:rPr>
        <w:t>% en 2019, ante los crecientes riesgos de tensiones financieras, la escalada del proteccionismo comercial y el aumento de los tipos de interés, según su informe semestral de pe</w:t>
      </w:r>
      <w:r w:rsidR="00C56C98" w:rsidRPr="001863CC">
        <w:rPr>
          <w:rFonts w:ascii="Times New Roman" w:hAnsi="Times New Roman" w:cs="Times New Roman"/>
          <w:lang w:val="es-MX"/>
        </w:rPr>
        <w:t>rspectivas publicado este mes.</w:t>
      </w:r>
      <w:r w:rsidRPr="001863CC">
        <w:rPr>
          <w:rFonts w:ascii="Times New Roman" w:hAnsi="Times New Roman" w:cs="Times New Roman"/>
          <w:lang w:val="es-MX"/>
        </w:rPr>
        <w:t xml:space="preserve">  </w:t>
      </w:r>
      <w:r w:rsidR="00C56C98" w:rsidRPr="001863CC">
        <w:rPr>
          <w:rFonts w:ascii="Times New Roman" w:hAnsi="Times New Roman" w:cs="Times New Roman"/>
          <w:lang w:val="es-MX"/>
        </w:rPr>
        <w:t>El banco</w:t>
      </w:r>
      <w:r w:rsidR="00222598" w:rsidRPr="001863CC">
        <w:rPr>
          <w:rFonts w:ascii="Times New Roman" w:hAnsi="Times New Roman" w:cs="Times New Roman"/>
          <w:lang w:val="es-MX"/>
        </w:rPr>
        <w:t xml:space="preserve"> </w:t>
      </w:r>
      <w:r w:rsidR="00C56C98" w:rsidRPr="001863CC">
        <w:rPr>
          <w:rFonts w:ascii="Times New Roman" w:hAnsi="Times New Roman" w:cs="Times New Roman"/>
          <w:lang w:val="es-MX"/>
        </w:rPr>
        <w:t xml:space="preserve">también </w:t>
      </w:r>
      <w:r w:rsidR="00222598" w:rsidRPr="001863CC">
        <w:rPr>
          <w:rFonts w:ascii="Times New Roman" w:hAnsi="Times New Roman" w:cs="Times New Roman"/>
          <w:lang w:val="es-MX"/>
        </w:rPr>
        <w:t>pronosticó que las economí</w:t>
      </w:r>
      <w:r w:rsidR="00C56C98" w:rsidRPr="001863CC">
        <w:rPr>
          <w:rFonts w:ascii="Times New Roman" w:hAnsi="Times New Roman" w:cs="Times New Roman"/>
          <w:lang w:val="es-MX"/>
        </w:rPr>
        <w:t>as avanzadas se expandirán un 2.2 % en 2018 y 2.0</w:t>
      </w:r>
      <w:r w:rsidR="00222598" w:rsidRPr="001863CC">
        <w:rPr>
          <w:rFonts w:ascii="Times New Roman" w:hAnsi="Times New Roman" w:cs="Times New Roman"/>
          <w:lang w:val="es-MX"/>
        </w:rPr>
        <w:t>% en 20</w:t>
      </w:r>
      <w:r w:rsidR="00C56C98" w:rsidRPr="001863CC">
        <w:rPr>
          <w:rFonts w:ascii="Times New Roman" w:hAnsi="Times New Roman" w:cs="Times New Roman"/>
          <w:lang w:val="es-MX"/>
        </w:rPr>
        <w:t>19 (con EE.UU. registrando un 2.7% y 2.5% y la zona euro un 2.1% y 1.7</w:t>
      </w:r>
      <w:r w:rsidR="00222598" w:rsidRPr="001863CC">
        <w:rPr>
          <w:rFonts w:ascii="Times New Roman" w:hAnsi="Times New Roman" w:cs="Times New Roman"/>
          <w:lang w:val="es-MX"/>
        </w:rPr>
        <w:t>%), a medida que los bancos centrales eliminen gradualmente los estímulos monetarios.</w:t>
      </w:r>
    </w:p>
    <w:p w:rsidR="00B468EF" w:rsidRPr="001863CC" w:rsidRDefault="00B468EF" w:rsidP="00B468EF">
      <w:pPr>
        <w:spacing w:after="0" w:line="240" w:lineRule="auto"/>
        <w:jc w:val="both"/>
        <w:rPr>
          <w:rFonts w:ascii="Times New Roman" w:hAnsi="Times New Roman" w:cs="Times New Roman"/>
          <w:lang w:val="es-MX"/>
        </w:rPr>
      </w:pPr>
    </w:p>
    <w:p w:rsidR="00D436D4" w:rsidRPr="001863CC" w:rsidRDefault="00D436D4" w:rsidP="00B468EF">
      <w:pPr>
        <w:spacing w:after="0" w:line="240" w:lineRule="auto"/>
        <w:jc w:val="both"/>
        <w:rPr>
          <w:rFonts w:ascii="Times New Roman" w:hAnsi="Times New Roman" w:cs="Times New Roman"/>
          <w:lang w:val="es-MX"/>
        </w:rPr>
      </w:pPr>
      <w:r w:rsidRPr="001863CC">
        <w:rPr>
          <w:rFonts w:ascii="Times New Roman" w:hAnsi="Times New Roman" w:cs="Times New Roman"/>
          <w:lang w:val="es-MX"/>
        </w:rPr>
        <w:lastRenderedPageBreak/>
        <w:t xml:space="preserve">En Estados Unidos, el crecimiento económico en el primer trimestre se desaceleró levemente, </w:t>
      </w:r>
      <w:r w:rsidR="001863CC" w:rsidRPr="001863CC">
        <w:rPr>
          <w:rFonts w:ascii="Times New Roman" w:hAnsi="Times New Roman" w:cs="Times New Roman"/>
          <w:lang w:val="es-MX"/>
        </w:rPr>
        <w:t>situación que se evidenció</w:t>
      </w:r>
      <w:r w:rsidRPr="001863CC">
        <w:rPr>
          <w:rFonts w:ascii="Times New Roman" w:hAnsi="Times New Roman" w:cs="Times New Roman"/>
          <w:lang w:val="es-MX"/>
        </w:rPr>
        <w:t xml:space="preserve"> luego de una revisión a la baja en las cifras de inversión en inventarios y en el gasto del consumidor, aunque los recortes de impuestos a la renta probablemente impulsarán la actividad este año.  El PIB se expandió a una tasa anual de 2.2%, según información del Departamento de Comercio en su segunda estimación sobre el</w:t>
      </w:r>
      <w:r w:rsidR="00D36EA4" w:rsidRPr="001863CC">
        <w:rPr>
          <w:rFonts w:ascii="Times New Roman" w:hAnsi="Times New Roman" w:cs="Times New Roman"/>
          <w:lang w:val="es-MX"/>
        </w:rPr>
        <w:t xml:space="preserve"> desempeño económico de Estados </w:t>
      </w:r>
      <w:r w:rsidRPr="001863CC">
        <w:rPr>
          <w:rFonts w:ascii="Times New Roman" w:hAnsi="Times New Roman" w:cs="Times New Roman"/>
          <w:lang w:val="es-MX"/>
        </w:rPr>
        <w:t>Unidos, en vez de la c</w:t>
      </w:r>
      <w:r w:rsidR="00D36EA4" w:rsidRPr="001863CC">
        <w:rPr>
          <w:rFonts w:ascii="Times New Roman" w:hAnsi="Times New Roman" w:cs="Times New Roman"/>
          <w:lang w:val="es-MX"/>
        </w:rPr>
        <w:t>ifra reportada previamente de 2.</w:t>
      </w:r>
      <w:r w:rsidRPr="001863CC">
        <w:rPr>
          <w:rFonts w:ascii="Times New Roman" w:hAnsi="Times New Roman" w:cs="Times New Roman"/>
          <w:lang w:val="es-MX"/>
        </w:rPr>
        <w:t>3%.</w:t>
      </w:r>
    </w:p>
    <w:p w:rsidR="00B468EF" w:rsidRPr="001863CC" w:rsidRDefault="00B468EF" w:rsidP="00B468EF">
      <w:pPr>
        <w:spacing w:after="0" w:line="240" w:lineRule="auto"/>
        <w:jc w:val="both"/>
        <w:rPr>
          <w:rFonts w:ascii="Times New Roman" w:hAnsi="Times New Roman" w:cs="Times New Roman"/>
          <w:lang w:val="es-MX"/>
        </w:rPr>
      </w:pPr>
    </w:p>
    <w:p w:rsidR="001B3EEE" w:rsidRPr="001863CC" w:rsidRDefault="00DC1048" w:rsidP="00B468EF">
      <w:pPr>
        <w:spacing w:after="0" w:line="240" w:lineRule="auto"/>
        <w:jc w:val="both"/>
        <w:rPr>
          <w:rFonts w:ascii="Times New Roman" w:hAnsi="Times New Roman" w:cs="Times New Roman"/>
          <w:lang w:val="es-MX"/>
        </w:rPr>
      </w:pPr>
      <w:r w:rsidRPr="001863CC">
        <w:rPr>
          <w:rFonts w:ascii="Times New Roman" w:hAnsi="Times New Roman" w:cs="Times New Roman"/>
          <w:lang w:val="es-MX"/>
        </w:rPr>
        <w:t>El índice de desempleo de lo</w:t>
      </w:r>
      <w:r w:rsidR="001B3EEE" w:rsidRPr="001863CC">
        <w:rPr>
          <w:rFonts w:ascii="Times New Roman" w:hAnsi="Times New Roman" w:cs="Times New Roman"/>
          <w:lang w:val="es-MX"/>
        </w:rPr>
        <w:t xml:space="preserve">s Estados Unidos se ubicó en 3.8% en mayo, creando 223,000 nuevos empleos; el salario promedio por hora aumentó 0.3% (8 centavos), la más fuerte </w:t>
      </w:r>
      <w:r w:rsidR="001B3EEE" w:rsidRPr="001863CC">
        <w:rPr>
          <w:rFonts w:ascii="Times New Roman" w:hAnsi="Times New Roman" w:cs="Times New Roman"/>
          <w:lang w:val="es-MX"/>
        </w:rPr>
        <w:lastRenderedPageBreak/>
        <w:t>desde enero, y se situó en US$ 26.92 la hora. El Departamento de Trabajo también indicó que el número de parados se situó en 6.1 millones durante mayo, casi 300,</w:t>
      </w:r>
      <w:r w:rsidR="00C3128B" w:rsidRPr="001863CC">
        <w:rPr>
          <w:rFonts w:ascii="Times New Roman" w:hAnsi="Times New Roman" w:cs="Times New Roman"/>
          <w:lang w:val="es-MX"/>
        </w:rPr>
        <w:t xml:space="preserve">000 menos que en abril, situación que podría confirmar que </w:t>
      </w:r>
      <w:r w:rsidR="001B3EEE" w:rsidRPr="001863CC">
        <w:rPr>
          <w:rFonts w:ascii="Times New Roman" w:hAnsi="Times New Roman" w:cs="Times New Roman"/>
          <w:lang w:val="es-MX"/>
        </w:rPr>
        <w:t xml:space="preserve">muchos ciudadanos dejaron de buscar trabajo. </w:t>
      </w:r>
    </w:p>
    <w:p w:rsidR="00B468EF" w:rsidRPr="001863CC" w:rsidRDefault="00B468EF" w:rsidP="00B468EF">
      <w:pPr>
        <w:spacing w:after="0" w:line="240" w:lineRule="auto"/>
        <w:jc w:val="both"/>
        <w:rPr>
          <w:rFonts w:ascii="Times New Roman" w:hAnsi="Times New Roman" w:cs="Times New Roman"/>
          <w:lang w:val="es-MX"/>
        </w:rPr>
      </w:pPr>
    </w:p>
    <w:p w:rsidR="003A1300" w:rsidRPr="001863CC" w:rsidRDefault="00F03418" w:rsidP="003A1300">
      <w:pPr>
        <w:spacing w:after="0" w:line="240" w:lineRule="auto"/>
        <w:jc w:val="both"/>
        <w:rPr>
          <w:rFonts w:ascii="Times New Roman" w:hAnsi="Times New Roman" w:cs="Times New Roman"/>
          <w:lang w:val="es-MX"/>
        </w:rPr>
      </w:pPr>
      <w:r w:rsidRPr="001863CC">
        <w:rPr>
          <w:rFonts w:ascii="Times New Roman" w:hAnsi="Times New Roman" w:cs="Times New Roman"/>
          <w:lang w:val="es-MX"/>
        </w:rPr>
        <w:t>En la zona euro,</w:t>
      </w:r>
      <w:r w:rsidR="00DC1048" w:rsidRPr="001863CC">
        <w:rPr>
          <w:rFonts w:ascii="Times New Roman" w:hAnsi="Times New Roman" w:cs="Times New Roman"/>
          <w:lang w:val="es-MX"/>
        </w:rPr>
        <w:t xml:space="preserve"> </w:t>
      </w:r>
      <w:r w:rsidR="00714E40" w:rsidRPr="001863CC">
        <w:rPr>
          <w:rFonts w:ascii="Times New Roman" w:hAnsi="Times New Roman" w:cs="Times New Roman"/>
          <w:lang w:val="es-MX"/>
        </w:rPr>
        <w:t xml:space="preserve">la actividad económica </w:t>
      </w:r>
      <w:r w:rsidR="00222598" w:rsidRPr="001863CC">
        <w:rPr>
          <w:rFonts w:ascii="Times New Roman" w:hAnsi="Times New Roman" w:cs="Times New Roman"/>
          <w:lang w:val="es-MX"/>
        </w:rPr>
        <w:t>se ralentizó en mayo</w:t>
      </w:r>
      <w:r w:rsidR="00714E40" w:rsidRPr="001863CC">
        <w:rPr>
          <w:rFonts w:ascii="Times New Roman" w:hAnsi="Times New Roman" w:cs="Times New Roman"/>
          <w:lang w:val="es-MX"/>
        </w:rPr>
        <w:t xml:space="preserve"> </w:t>
      </w:r>
      <w:r w:rsidR="00222598" w:rsidRPr="001863CC">
        <w:rPr>
          <w:rFonts w:ascii="Times New Roman" w:hAnsi="Times New Roman" w:cs="Times New Roman"/>
          <w:lang w:val="es-MX"/>
        </w:rPr>
        <w:t>y los indicadores de futuro sugieren una mayor pérdida de ritmo en los próximos meses.</w:t>
      </w:r>
      <w:r w:rsidR="00714E40" w:rsidRPr="001863CC">
        <w:rPr>
          <w:rFonts w:ascii="Times New Roman" w:hAnsi="Times New Roman" w:cs="Times New Roman"/>
          <w:lang w:val="es-MX"/>
        </w:rPr>
        <w:t xml:space="preserve">  La inflación se situó en el 1.</w:t>
      </w:r>
      <w:r w:rsidR="00222598" w:rsidRPr="001863CC">
        <w:rPr>
          <w:rFonts w:ascii="Times New Roman" w:hAnsi="Times New Roman" w:cs="Times New Roman"/>
          <w:lang w:val="es-MX"/>
        </w:rPr>
        <w:t>9</w:t>
      </w:r>
      <w:r w:rsidR="00714E40" w:rsidRPr="001863CC">
        <w:rPr>
          <w:rFonts w:ascii="Times New Roman" w:hAnsi="Times New Roman" w:cs="Times New Roman"/>
          <w:lang w:val="es-MX"/>
        </w:rPr>
        <w:t xml:space="preserve">% en mayo según </w:t>
      </w:r>
      <w:r w:rsidR="00222598" w:rsidRPr="001863CC">
        <w:rPr>
          <w:rFonts w:ascii="Times New Roman" w:hAnsi="Times New Roman" w:cs="Times New Roman"/>
          <w:lang w:val="es-MX"/>
        </w:rPr>
        <w:t xml:space="preserve">mostraron datos oficiales </w:t>
      </w:r>
      <w:r w:rsidR="00714E40" w:rsidRPr="001863CC">
        <w:rPr>
          <w:rFonts w:ascii="Times New Roman" w:hAnsi="Times New Roman" w:cs="Times New Roman"/>
          <w:lang w:val="es-MX"/>
        </w:rPr>
        <w:t>que continúan</w:t>
      </w:r>
      <w:r w:rsidR="00222598" w:rsidRPr="001863CC">
        <w:rPr>
          <w:rFonts w:ascii="Times New Roman" w:hAnsi="Times New Roman" w:cs="Times New Roman"/>
          <w:lang w:val="es-MX"/>
        </w:rPr>
        <w:t xml:space="preserve"> en línea con el objetivo del BCE</w:t>
      </w:r>
      <w:r w:rsidR="00714E40" w:rsidRPr="001863CC">
        <w:rPr>
          <w:rFonts w:ascii="Times New Roman" w:hAnsi="Times New Roman" w:cs="Times New Roman"/>
          <w:lang w:val="es-MX"/>
        </w:rPr>
        <w:t>.</w:t>
      </w:r>
      <w:r w:rsidR="00222598" w:rsidRPr="001863CC">
        <w:rPr>
          <w:rFonts w:ascii="Times New Roman" w:hAnsi="Times New Roman" w:cs="Times New Roman"/>
          <w:lang w:val="es-MX"/>
        </w:rPr>
        <w:t xml:space="preserve">  </w:t>
      </w:r>
      <w:r w:rsidR="00714E40" w:rsidRPr="001863CC">
        <w:rPr>
          <w:rFonts w:ascii="Times New Roman" w:hAnsi="Times New Roman" w:cs="Times New Roman"/>
          <w:lang w:val="es-MX"/>
        </w:rPr>
        <w:t>Por su parte, el Índice de Gerentes de Compra (</w:t>
      </w:r>
      <w:r w:rsidR="00222598" w:rsidRPr="001863CC">
        <w:rPr>
          <w:rFonts w:ascii="Times New Roman" w:hAnsi="Times New Roman" w:cs="Times New Roman"/>
          <w:lang w:val="es-MX"/>
        </w:rPr>
        <w:t>PMI, por su</w:t>
      </w:r>
      <w:r w:rsidR="00714E40" w:rsidRPr="001863CC">
        <w:rPr>
          <w:rFonts w:ascii="Times New Roman" w:hAnsi="Times New Roman" w:cs="Times New Roman"/>
          <w:lang w:val="es-MX"/>
        </w:rPr>
        <w:t>s</w:t>
      </w:r>
      <w:r w:rsidR="00222598" w:rsidRPr="001863CC">
        <w:rPr>
          <w:rFonts w:ascii="Times New Roman" w:hAnsi="Times New Roman" w:cs="Times New Roman"/>
          <w:lang w:val="es-MX"/>
        </w:rPr>
        <w:t xml:space="preserve"> sigla</w:t>
      </w:r>
      <w:r w:rsidR="00714E40" w:rsidRPr="001863CC">
        <w:rPr>
          <w:rFonts w:ascii="Times New Roman" w:hAnsi="Times New Roman" w:cs="Times New Roman"/>
          <w:lang w:val="es-MX"/>
        </w:rPr>
        <w:t>s</w:t>
      </w:r>
      <w:r w:rsidR="00222598" w:rsidRPr="001863CC">
        <w:rPr>
          <w:rFonts w:ascii="Times New Roman" w:hAnsi="Times New Roman" w:cs="Times New Roman"/>
          <w:lang w:val="es-MX"/>
        </w:rPr>
        <w:t xml:space="preserve"> en inglés) de IHS Markit definitivo, considerado un buen indicador general sobr</w:t>
      </w:r>
      <w:r w:rsidR="00714E40" w:rsidRPr="001863CC">
        <w:rPr>
          <w:rFonts w:ascii="Times New Roman" w:hAnsi="Times New Roman" w:cs="Times New Roman"/>
          <w:lang w:val="es-MX"/>
        </w:rPr>
        <w:t>e el crecimiento de la zona</w:t>
      </w:r>
      <w:r w:rsidR="00222598" w:rsidRPr="001863CC">
        <w:rPr>
          <w:rFonts w:ascii="Times New Roman" w:hAnsi="Times New Roman" w:cs="Times New Roman"/>
          <w:lang w:val="es-MX"/>
        </w:rPr>
        <w:t xml:space="preserve">, bajó a un mínimo de </w:t>
      </w:r>
      <w:r w:rsidR="00714E40" w:rsidRPr="001863CC">
        <w:rPr>
          <w:rFonts w:ascii="Times New Roman" w:hAnsi="Times New Roman" w:cs="Times New Roman"/>
          <w:lang w:val="es-MX"/>
        </w:rPr>
        <w:t>18 meses en 54.1 en mayo frente al 55.1 del mes anterior</w:t>
      </w:r>
      <w:r w:rsidR="00222598" w:rsidRPr="001863CC">
        <w:rPr>
          <w:rFonts w:ascii="Times New Roman" w:hAnsi="Times New Roman" w:cs="Times New Roman"/>
          <w:lang w:val="es-MX"/>
        </w:rPr>
        <w:t>, aún por encima de la marca de 50 que separa el crecimiento de la contracción.</w:t>
      </w:r>
    </w:p>
    <w:p w:rsidR="003A1300" w:rsidRPr="001863CC" w:rsidRDefault="003A1300" w:rsidP="003A1300">
      <w:pPr>
        <w:spacing w:after="0" w:line="240" w:lineRule="auto"/>
        <w:jc w:val="both"/>
        <w:rPr>
          <w:rFonts w:ascii="Times New Roman" w:hAnsi="Times New Roman" w:cs="Times New Roman"/>
          <w:lang w:val="es-MX"/>
        </w:rPr>
      </w:pPr>
    </w:p>
    <w:p w:rsidR="003A1300" w:rsidRPr="001863CC" w:rsidRDefault="00222598" w:rsidP="003A1300">
      <w:pPr>
        <w:spacing w:after="0" w:line="240" w:lineRule="auto"/>
        <w:jc w:val="both"/>
        <w:rPr>
          <w:rFonts w:ascii="Times New Roman" w:hAnsi="Times New Roman" w:cs="Times New Roman"/>
        </w:rPr>
      </w:pPr>
      <w:r w:rsidRPr="001863CC">
        <w:rPr>
          <w:rFonts w:ascii="Times New Roman" w:hAnsi="Times New Roman" w:cs="Times New Roman"/>
        </w:rPr>
        <w:t xml:space="preserve">La economía de Japón se contrajo un 0.6% a ritmo anual en el período enero-marzo, atribuido principalmente a la debilidad del consumo doméstico y de la inversión empresarial.  De acuerdo a los datos revisados, esta recaída llega cuando todo apuntaba a que el Ejecutivo liderado por Shinzo Abe había logrado encausar el rumbo económico del país tras décadas de estancamiento con la ayuda de las agresivas medidas de flexibilización monetaria del banco central de Japón.  El consumo doméstico, que representa el 60% de la economía japonesa y cuya modesta recuperación había favorecido los recientes avances del PIB, se mantuvo plano en el mismo periodo tanto a ritmo anual como inter trimestral.  </w:t>
      </w:r>
    </w:p>
    <w:p w:rsidR="003A1300" w:rsidRPr="001863CC" w:rsidRDefault="003A1300" w:rsidP="003A1300">
      <w:pPr>
        <w:spacing w:after="0" w:line="240" w:lineRule="auto"/>
        <w:jc w:val="both"/>
        <w:rPr>
          <w:rFonts w:ascii="Times New Roman" w:hAnsi="Times New Roman" w:cs="Times New Roman"/>
        </w:rPr>
      </w:pPr>
    </w:p>
    <w:p w:rsidR="003A1300" w:rsidRPr="001863CC" w:rsidRDefault="00222598" w:rsidP="003A1300">
      <w:pPr>
        <w:spacing w:after="0" w:line="240" w:lineRule="auto"/>
        <w:jc w:val="both"/>
        <w:rPr>
          <w:rFonts w:ascii="Times New Roman" w:hAnsi="Times New Roman" w:cs="Times New Roman"/>
        </w:rPr>
      </w:pPr>
      <w:r w:rsidRPr="001863CC">
        <w:rPr>
          <w:rFonts w:ascii="Times New Roman" w:hAnsi="Times New Roman" w:cs="Times New Roman"/>
          <w:lang w:val="es-MX"/>
        </w:rPr>
        <w:t xml:space="preserve">Colombia fue admitido como el país número 36 de la OCDE, una de las metas de política internacional que más perseguía dicho gobierno y un proceso que le tomó más de </w:t>
      </w:r>
      <w:r w:rsidRPr="001863CC">
        <w:rPr>
          <w:rFonts w:ascii="Times New Roman" w:hAnsi="Times New Roman" w:cs="Times New Roman"/>
          <w:lang w:val="es-MX"/>
        </w:rPr>
        <w:lastRenderedPageBreak/>
        <w:t xml:space="preserve">cinco años en llevar a buen término.  La decisión fue tomada por el Consejo Ministerial del organismo, luego de pasar por 23 comités que buscaban asegurarse que cumpliera los estándares de la organización en temas como el respeto de los derechos sindicales, tributación, pensiones y propiedad intelectual, entre una larga lista de ítems.   La entrada a la OCDE es vista, sin duda, como un logro de política exterior que apertura </w:t>
      </w:r>
      <w:r w:rsidRPr="001863CC">
        <w:rPr>
          <w:rFonts w:ascii="Times New Roman" w:hAnsi="Times New Roman" w:cs="Times New Roman"/>
        </w:rPr>
        <w:t xml:space="preserve">inmensas posibilidades para avanzar en temas como salud, educación, lucha contra la corrupción y la protección del medio ambiente. </w:t>
      </w:r>
    </w:p>
    <w:p w:rsidR="0021693D" w:rsidRPr="001863CC" w:rsidRDefault="0021693D" w:rsidP="00633616">
      <w:pPr>
        <w:pStyle w:val="Sinespaciado"/>
        <w:ind w:right="-188"/>
        <w:jc w:val="both"/>
        <w:rPr>
          <w:rFonts w:ascii="Times New Roman" w:hAnsi="Times New Roman" w:cs="Times New Roman"/>
          <w:lang w:val="es-MX"/>
        </w:rPr>
      </w:pPr>
    </w:p>
    <w:p w:rsidR="003A1300" w:rsidRPr="001863CC" w:rsidRDefault="006014EC" w:rsidP="003A1300">
      <w:pPr>
        <w:pStyle w:val="Sinespaciado"/>
        <w:jc w:val="both"/>
        <w:rPr>
          <w:rFonts w:ascii="Times New Roman" w:hAnsi="Times New Roman" w:cs="Times New Roman"/>
        </w:rPr>
      </w:pPr>
      <w:r w:rsidRPr="001863CC">
        <w:rPr>
          <w:rFonts w:ascii="Times New Roman" w:hAnsi="Times New Roman" w:cs="Times New Roman"/>
          <w:lang w:val="es-MX"/>
        </w:rPr>
        <w:t>El entorno interno, en mayo</w:t>
      </w:r>
      <w:r w:rsidR="00C2773E" w:rsidRPr="001863CC">
        <w:rPr>
          <w:rFonts w:ascii="Times New Roman" w:hAnsi="Times New Roman" w:cs="Times New Roman"/>
          <w:lang w:val="es-MX"/>
        </w:rPr>
        <w:t xml:space="preserve"> la percepción sobre la situación económica actual y el ambiente para los negocios</w:t>
      </w:r>
      <w:r w:rsidRPr="001863CC">
        <w:rPr>
          <w:rFonts w:ascii="Times New Roman" w:hAnsi="Times New Roman" w:cs="Times New Roman"/>
          <w:lang w:val="es-MX"/>
        </w:rPr>
        <w:t xml:space="preserve"> disminuyó</w:t>
      </w:r>
      <w:r w:rsidR="00C2773E" w:rsidRPr="001863CC">
        <w:rPr>
          <w:rFonts w:ascii="Times New Roman" w:hAnsi="Times New Roman" w:cs="Times New Roman"/>
          <w:lang w:val="es-MX"/>
        </w:rPr>
        <w:t>, el nivel del Índice de Confianza de la Actividad Económica se situó en 3</w:t>
      </w:r>
      <w:r w:rsidRPr="001863CC">
        <w:rPr>
          <w:rFonts w:ascii="Times New Roman" w:hAnsi="Times New Roman" w:cs="Times New Roman"/>
          <w:lang w:val="es-MX"/>
        </w:rPr>
        <w:t>1.25</w:t>
      </w:r>
      <w:r w:rsidR="00366770" w:rsidRPr="001863CC">
        <w:rPr>
          <w:rFonts w:ascii="Times New Roman" w:hAnsi="Times New Roman" w:cs="Times New Roman"/>
          <w:lang w:val="es-MX"/>
        </w:rPr>
        <w:t xml:space="preserve"> puntos, inferior en 1.</w:t>
      </w:r>
      <w:r w:rsidR="00C2773E" w:rsidRPr="001863CC">
        <w:rPr>
          <w:rFonts w:ascii="Times New Roman" w:hAnsi="Times New Roman" w:cs="Times New Roman"/>
          <w:lang w:val="es-MX"/>
        </w:rPr>
        <w:t>5</w:t>
      </w:r>
      <w:r w:rsidR="00366770" w:rsidRPr="001863CC">
        <w:rPr>
          <w:rFonts w:ascii="Times New Roman" w:hAnsi="Times New Roman" w:cs="Times New Roman"/>
          <w:lang w:val="es-MX"/>
        </w:rPr>
        <w:t>1</w:t>
      </w:r>
      <w:r w:rsidR="00C2773E" w:rsidRPr="001863CC">
        <w:rPr>
          <w:rFonts w:ascii="Times New Roman" w:hAnsi="Times New Roman" w:cs="Times New Roman"/>
          <w:lang w:val="es-MX"/>
        </w:rPr>
        <w:t>% con respecto al registrado el me</w:t>
      </w:r>
      <w:r w:rsidR="00366770" w:rsidRPr="001863CC">
        <w:rPr>
          <w:rFonts w:ascii="Times New Roman" w:hAnsi="Times New Roman" w:cs="Times New Roman"/>
          <w:lang w:val="es-MX"/>
        </w:rPr>
        <w:t>s anterior y menor en 41.68</w:t>
      </w:r>
      <w:r w:rsidR="00C2773E" w:rsidRPr="001863CC">
        <w:rPr>
          <w:rFonts w:ascii="Times New Roman" w:hAnsi="Times New Roman" w:cs="Times New Roman"/>
          <w:lang w:val="es-MX"/>
        </w:rPr>
        <w:t>%</w:t>
      </w:r>
      <w:r w:rsidR="00366770" w:rsidRPr="001863CC">
        <w:rPr>
          <w:rFonts w:ascii="Times New Roman" w:hAnsi="Times New Roman" w:cs="Times New Roman"/>
          <w:lang w:val="es-MX"/>
        </w:rPr>
        <w:t xml:space="preserve"> respecto al registrado en mayo 2017.  El 75.0</w:t>
      </w:r>
      <w:r w:rsidR="00C2773E" w:rsidRPr="001863CC">
        <w:rPr>
          <w:rFonts w:ascii="Times New Roman" w:hAnsi="Times New Roman" w:cs="Times New Roman"/>
          <w:lang w:val="es-MX"/>
        </w:rPr>
        <w:t xml:space="preserve">% de los analistas económicos entrevistados para la elaboración del indicador, consideran que no </w:t>
      </w:r>
      <w:r w:rsidR="00C2773E" w:rsidRPr="001863CC">
        <w:rPr>
          <w:rFonts w:ascii="Times New Roman" w:hAnsi="Times New Roman" w:cs="Times New Roman"/>
        </w:rPr>
        <w:t>existirá cambio en el clima de los negocios para las actividades productivas del sector privado en los próximos</w:t>
      </w:r>
      <w:r w:rsidR="00366770" w:rsidRPr="001863CC">
        <w:rPr>
          <w:rFonts w:ascii="Times New Roman" w:hAnsi="Times New Roman" w:cs="Times New Roman"/>
        </w:rPr>
        <w:t xml:space="preserve"> seis meses; el 93.8</w:t>
      </w:r>
      <w:r w:rsidR="00C2773E" w:rsidRPr="001863CC">
        <w:rPr>
          <w:rFonts w:ascii="Times New Roman" w:hAnsi="Times New Roman" w:cs="Times New Roman"/>
        </w:rPr>
        <w:t>% considera que la economía no es</w:t>
      </w:r>
      <w:r w:rsidR="00366770" w:rsidRPr="001863CC">
        <w:rPr>
          <w:rFonts w:ascii="Times New Roman" w:hAnsi="Times New Roman" w:cs="Times New Roman"/>
        </w:rPr>
        <w:t>tá mejor que hace un año y el 68.8</w:t>
      </w:r>
      <w:r w:rsidR="00C2773E" w:rsidRPr="001863CC">
        <w:rPr>
          <w:rFonts w:ascii="Times New Roman" w:hAnsi="Times New Roman" w:cs="Times New Roman"/>
        </w:rPr>
        <w:t>% no espera que la evolución económica del país mejore durante los próximos seis meses.  Así mismo, se espera un ritmo inflacionario de 4.</w:t>
      </w:r>
      <w:r w:rsidR="00366770" w:rsidRPr="001863CC">
        <w:rPr>
          <w:rFonts w:ascii="Times New Roman" w:hAnsi="Times New Roman" w:cs="Times New Roman"/>
        </w:rPr>
        <w:t>09</w:t>
      </w:r>
      <w:r w:rsidR="00C2773E" w:rsidRPr="001863CC">
        <w:rPr>
          <w:rFonts w:ascii="Times New Roman" w:hAnsi="Times New Roman" w:cs="Times New Roman"/>
        </w:rPr>
        <w:t xml:space="preserve">% </w:t>
      </w:r>
      <w:r w:rsidR="00366770" w:rsidRPr="001863CC">
        <w:rPr>
          <w:rFonts w:ascii="Times New Roman" w:hAnsi="Times New Roman" w:cs="Times New Roman"/>
        </w:rPr>
        <w:t>para mayo, 4.12</w:t>
      </w:r>
      <w:r w:rsidR="00C2773E" w:rsidRPr="001863CC">
        <w:rPr>
          <w:rFonts w:ascii="Times New Roman" w:hAnsi="Times New Roman" w:cs="Times New Roman"/>
        </w:rPr>
        <w:t xml:space="preserve">% para </w:t>
      </w:r>
      <w:r w:rsidR="00366770" w:rsidRPr="001863CC">
        <w:rPr>
          <w:rFonts w:ascii="Times New Roman" w:hAnsi="Times New Roman" w:cs="Times New Roman"/>
        </w:rPr>
        <w:t>junio</w:t>
      </w:r>
      <w:r w:rsidR="00C2773E" w:rsidRPr="001863CC">
        <w:rPr>
          <w:rFonts w:ascii="Times New Roman" w:hAnsi="Times New Roman" w:cs="Times New Roman"/>
        </w:rPr>
        <w:t xml:space="preserve"> y</w:t>
      </w:r>
      <w:r w:rsidR="00366770" w:rsidRPr="001863CC">
        <w:rPr>
          <w:rFonts w:ascii="Times New Roman" w:hAnsi="Times New Roman" w:cs="Times New Roman"/>
        </w:rPr>
        <w:t xml:space="preserve"> 4.09</w:t>
      </w:r>
      <w:r w:rsidR="00C2773E" w:rsidRPr="001863CC">
        <w:rPr>
          <w:rFonts w:ascii="Times New Roman" w:hAnsi="Times New Roman" w:cs="Times New Roman"/>
        </w:rPr>
        <w:t xml:space="preserve">% para </w:t>
      </w:r>
      <w:r w:rsidR="00366770" w:rsidRPr="001863CC">
        <w:rPr>
          <w:rFonts w:ascii="Times New Roman" w:hAnsi="Times New Roman" w:cs="Times New Roman"/>
        </w:rPr>
        <w:t>jul</w:t>
      </w:r>
      <w:r w:rsidR="00C2773E" w:rsidRPr="001863CC">
        <w:rPr>
          <w:rFonts w:ascii="Times New Roman" w:hAnsi="Times New Roman" w:cs="Times New Roman"/>
        </w:rPr>
        <w:t>io 2018; en un horizonte de 12 y 24 meses se esperaría un ritmo de 4.</w:t>
      </w:r>
      <w:r w:rsidR="00366770" w:rsidRPr="001863CC">
        <w:rPr>
          <w:rFonts w:ascii="Times New Roman" w:hAnsi="Times New Roman" w:cs="Times New Roman"/>
        </w:rPr>
        <w:t>31% y 4.48</w:t>
      </w:r>
      <w:r w:rsidR="00C2773E" w:rsidRPr="001863CC">
        <w:rPr>
          <w:rFonts w:ascii="Times New Roman" w:hAnsi="Times New Roman" w:cs="Times New Roman"/>
        </w:rPr>
        <w:t xml:space="preserve">% respectivamente. </w:t>
      </w:r>
    </w:p>
    <w:p w:rsidR="003A1300" w:rsidRPr="001863CC" w:rsidRDefault="003A1300" w:rsidP="003A1300">
      <w:pPr>
        <w:pStyle w:val="Sinespaciado"/>
        <w:jc w:val="both"/>
        <w:rPr>
          <w:rFonts w:ascii="Times New Roman" w:hAnsi="Times New Roman" w:cs="Times New Roman"/>
        </w:rPr>
      </w:pPr>
    </w:p>
    <w:p w:rsidR="003A1300" w:rsidRPr="001863CC" w:rsidRDefault="0038488D" w:rsidP="003A1300">
      <w:pPr>
        <w:pStyle w:val="Sinespaciado"/>
        <w:jc w:val="both"/>
        <w:rPr>
          <w:rFonts w:ascii="Times New Roman" w:hAnsi="Times New Roman" w:cs="Times New Roman"/>
        </w:rPr>
      </w:pPr>
      <w:r w:rsidRPr="001863CC">
        <w:rPr>
          <w:rFonts w:ascii="Times New Roman" w:hAnsi="Times New Roman" w:cs="Times New Roman"/>
        </w:rPr>
        <w:t>La</w:t>
      </w:r>
      <w:r w:rsidR="0017454D" w:rsidRPr="001863CC">
        <w:rPr>
          <w:rFonts w:ascii="Times New Roman" w:hAnsi="Times New Roman" w:cs="Times New Roman"/>
        </w:rPr>
        <w:t xml:space="preserve"> actividad</w:t>
      </w:r>
      <w:r w:rsidR="00C95BFB" w:rsidRPr="001863CC">
        <w:rPr>
          <w:rFonts w:ascii="Times New Roman" w:hAnsi="Times New Roman" w:cs="Times New Roman"/>
        </w:rPr>
        <w:t xml:space="preserve"> económica medida a través del </w:t>
      </w:r>
      <w:r w:rsidRPr="001863CC">
        <w:rPr>
          <w:rFonts w:ascii="Times New Roman" w:hAnsi="Times New Roman" w:cs="Times New Roman"/>
        </w:rPr>
        <w:t>IMAE</w:t>
      </w:r>
      <w:r w:rsidR="0017454D" w:rsidRPr="001863CC">
        <w:rPr>
          <w:rFonts w:ascii="Times New Roman" w:hAnsi="Times New Roman" w:cs="Times New Roman"/>
        </w:rPr>
        <w:t xml:space="preserve"> muestra</w:t>
      </w:r>
      <w:r w:rsidR="00C95BFB" w:rsidRPr="001863CC">
        <w:rPr>
          <w:rFonts w:ascii="Times New Roman" w:hAnsi="Times New Roman" w:cs="Times New Roman"/>
        </w:rPr>
        <w:t xml:space="preserve"> q</w:t>
      </w:r>
      <w:r w:rsidR="00366770" w:rsidRPr="001863CC">
        <w:rPr>
          <w:rFonts w:ascii="Times New Roman" w:hAnsi="Times New Roman" w:cs="Times New Roman"/>
        </w:rPr>
        <w:t>ue existió un crecimiento de 2.3</w:t>
      </w:r>
      <w:r w:rsidR="00C95BFB" w:rsidRPr="001863CC">
        <w:rPr>
          <w:rFonts w:ascii="Times New Roman" w:hAnsi="Times New Roman" w:cs="Times New Roman"/>
        </w:rPr>
        <w:t xml:space="preserve">% en </w:t>
      </w:r>
      <w:r w:rsidR="00366770" w:rsidRPr="001863CC">
        <w:rPr>
          <w:rFonts w:ascii="Times New Roman" w:hAnsi="Times New Roman" w:cs="Times New Roman"/>
        </w:rPr>
        <w:t>abril</w:t>
      </w:r>
      <w:r w:rsidR="00C95BFB" w:rsidRPr="001863CC">
        <w:rPr>
          <w:rFonts w:ascii="Times New Roman" w:hAnsi="Times New Roman" w:cs="Times New Roman"/>
        </w:rPr>
        <w:t xml:space="preserve"> 2018</w:t>
      </w:r>
      <w:r w:rsidR="0017454D" w:rsidRPr="001863CC">
        <w:rPr>
          <w:rFonts w:ascii="Times New Roman" w:hAnsi="Times New Roman" w:cs="Times New Roman"/>
        </w:rPr>
        <w:t xml:space="preserve">, </w:t>
      </w:r>
      <w:r w:rsidR="00366770" w:rsidRPr="001863CC">
        <w:rPr>
          <w:rFonts w:ascii="Times New Roman" w:hAnsi="Times New Roman" w:cs="Times New Roman"/>
        </w:rPr>
        <w:t>mayor al 1.7</w:t>
      </w:r>
      <w:r w:rsidRPr="001863CC">
        <w:rPr>
          <w:rFonts w:ascii="Times New Roman" w:hAnsi="Times New Roman" w:cs="Times New Roman"/>
        </w:rPr>
        <w:t>% de</w:t>
      </w:r>
      <w:r w:rsidR="00A15244" w:rsidRPr="001863CC">
        <w:rPr>
          <w:rFonts w:ascii="Times New Roman" w:hAnsi="Times New Roman" w:cs="Times New Roman"/>
        </w:rPr>
        <w:t xml:space="preserve"> </w:t>
      </w:r>
      <w:r w:rsidR="00366770" w:rsidRPr="001863CC">
        <w:rPr>
          <w:rFonts w:ascii="Times New Roman" w:hAnsi="Times New Roman" w:cs="Times New Roman"/>
        </w:rPr>
        <w:t>abril</w:t>
      </w:r>
      <w:r w:rsidR="00C95BFB" w:rsidRPr="001863CC">
        <w:rPr>
          <w:rFonts w:ascii="Times New Roman" w:hAnsi="Times New Roman" w:cs="Times New Roman"/>
        </w:rPr>
        <w:t xml:space="preserve"> del 2017</w:t>
      </w:r>
      <w:r w:rsidR="0017454D" w:rsidRPr="001863CC">
        <w:rPr>
          <w:rFonts w:ascii="Times New Roman" w:hAnsi="Times New Roman" w:cs="Times New Roman"/>
        </w:rPr>
        <w:t>; el resultado, de a</w:t>
      </w:r>
      <w:r w:rsidR="00C95BFB" w:rsidRPr="001863CC">
        <w:rPr>
          <w:rFonts w:ascii="Times New Roman" w:hAnsi="Times New Roman" w:cs="Times New Roman"/>
        </w:rPr>
        <w:t>cu</w:t>
      </w:r>
      <w:r w:rsidRPr="001863CC">
        <w:rPr>
          <w:rFonts w:ascii="Times New Roman" w:hAnsi="Times New Roman" w:cs="Times New Roman"/>
        </w:rPr>
        <w:t xml:space="preserve">erdo a la publicación </w:t>
      </w:r>
      <w:r w:rsidR="0017454D" w:rsidRPr="001863CC">
        <w:rPr>
          <w:rFonts w:ascii="Times New Roman" w:hAnsi="Times New Roman" w:cs="Times New Roman"/>
        </w:rPr>
        <w:t>del Banco de Guatemala</w:t>
      </w:r>
      <w:r w:rsidR="00366770" w:rsidRPr="001863CC">
        <w:rPr>
          <w:rFonts w:ascii="Times New Roman" w:hAnsi="Times New Roman" w:cs="Times New Roman"/>
        </w:rPr>
        <w:t xml:space="preserve"> en mayo</w:t>
      </w:r>
      <w:r w:rsidR="0017454D" w:rsidRPr="001863CC">
        <w:rPr>
          <w:rFonts w:ascii="Times New Roman" w:hAnsi="Times New Roman" w:cs="Times New Roman"/>
        </w:rPr>
        <w:t xml:space="preserve">, estuvo impulsado por el desempeño positivo de las actividades económicas </w:t>
      </w:r>
      <w:r w:rsidR="00C95BFB" w:rsidRPr="001863CC">
        <w:rPr>
          <w:rFonts w:ascii="Times New Roman" w:hAnsi="Times New Roman" w:cs="Times New Roman"/>
        </w:rPr>
        <w:t xml:space="preserve">como </w:t>
      </w:r>
      <w:r w:rsidRPr="001863CC">
        <w:rPr>
          <w:rFonts w:ascii="Times New Roman" w:hAnsi="Times New Roman" w:cs="Times New Roman"/>
        </w:rPr>
        <w:t xml:space="preserve">Comercio al por mayor y menor, Servicios privados y </w:t>
      </w:r>
      <w:r w:rsidR="0017454D" w:rsidRPr="001863CC">
        <w:rPr>
          <w:rFonts w:ascii="Times New Roman" w:hAnsi="Times New Roman" w:cs="Times New Roman"/>
        </w:rPr>
        <w:t xml:space="preserve">Transporte, </w:t>
      </w:r>
      <w:r w:rsidRPr="001863CC">
        <w:rPr>
          <w:rFonts w:ascii="Times New Roman" w:hAnsi="Times New Roman" w:cs="Times New Roman"/>
        </w:rPr>
        <w:t>almacenamiento y comunicaciones</w:t>
      </w:r>
      <w:r w:rsidR="00C95BFB" w:rsidRPr="001863CC">
        <w:rPr>
          <w:rFonts w:ascii="Times New Roman" w:hAnsi="Times New Roman" w:cs="Times New Roman"/>
        </w:rPr>
        <w:t xml:space="preserve">.   </w:t>
      </w:r>
    </w:p>
    <w:p w:rsidR="003A1300" w:rsidRPr="001863CC" w:rsidRDefault="003A1300" w:rsidP="003A1300">
      <w:pPr>
        <w:pStyle w:val="Sinespaciado"/>
        <w:jc w:val="both"/>
        <w:rPr>
          <w:rFonts w:ascii="Times New Roman" w:hAnsi="Times New Roman" w:cs="Times New Roman"/>
          <w:color w:val="FF0000"/>
        </w:rPr>
      </w:pPr>
    </w:p>
    <w:p w:rsidR="00751CCA" w:rsidRPr="001863CC" w:rsidRDefault="00751CCA" w:rsidP="00D00E78">
      <w:pPr>
        <w:pStyle w:val="Sinespaciado"/>
        <w:ind w:right="-188"/>
        <w:jc w:val="both"/>
        <w:rPr>
          <w:rFonts w:ascii="Times New Roman" w:hAnsi="Times New Roman" w:cs="Times New Roman"/>
          <w:color w:val="FF0000"/>
          <w:sz w:val="16"/>
        </w:rPr>
      </w:pPr>
    </w:p>
    <w:p w:rsidR="00751CCA" w:rsidRPr="001863CC" w:rsidRDefault="00751CCA" w:rsidP="00D00E78">
      <w:pPr>
        <w:pStyle w:val="Sinespaciado"/>
        <w:ind w:right="-188"/>
        <w:jc w:val="both"/>
        <w:rPr>
          <w:rFonts w:ascii="Times New Roman" w:hAnsi="Times New Roman" w:cs="Times New Roman"/>
          <w:color w:val="FF0000"/>
          <w:sz w:val="16"/>
        </w:rPr>
        <w:sectPr w:rsidR="00751CCA" w:rsidRPr="001863CC" w:rsidSect="00040C99">
          <w:headerReference w:type="default" r:id="rId31"/>
          <w:footerReference w:type="default" r:id="rId32"/>
          <w:type w:val="continuous"/>
          <w:pgSz w:w="12240" w:h="15840" w:code="1"/>
          <w:pgMar w:top="1418" w:right="1467" w:bottom="1418" w:left="1560" w:header="709" w:footer="709" w:gutter="0"/>
          <w:cols w:num="2" w:space="802"/>
          <w:docGrid w:linePitch="360"/>
        </w:sectPr>
      </w:pPr>
    </w:p>
    <w:p w:rsidR="001F34AD" w:rsidRPr="001863CC" w:rsidRDefault="001F34AD" w:rsidP="00AD5816">
      <w:pPr>
        <w:spacing w:after="0" w:line="240" w:lineRule="auto"/>
        <w:rPr>
          <w:rFonts w:ascii="Times New Roman" w:hAnsi="Times New Roman" w:cs="Times New Roman"/>
          <w:noProof/>
          <w:color w:val="FF0000"/>
          <w:sz w:val="16"/>
          <w:lang w:eastAsia="es-GT"/>
        </w:rPr>
      </w:pPr>
    </w:p>
    <w:p w:rsidR="00751CCA" w:rsidRPr="001863CC" w:rsidRDefault="00751CCA" w:rsidP="00AD5816">
      <w:pPr>
        <w:spacing w:after="0" w:line="240" w:lineRule="auto"/>
        <w:rPr>
          <w:rFonts w:ascii="Times New Roman" w:hAnsi="Times New Roman" w:cs="Times New Roman"/>
          <w:noProof/>
          <w:color w:val="FF0000"/>
          <w:sz w:val="16"/>
          <w:lang w:eastAsia="es-GT"/>
        </w:rPr>
      </w:pPr>
    </w:p>
    <w:p w:rsidR="00751CCA" w:rsidRPr="001863CC" w:rsidRDefault="00751CCA" w:rsidP="00AD5816">
      <w:pPr>
        <w:spacing w:after="0" w:line="240" w:lineRule="auto"/>
        <w:rPr>
          <w:rFonts w:ascii="Times New Roman" w:hAnsi="Times New Roman" w:cs="Times New Roman"/>
          <w:noProof/>
          <w:color w:val="FF0000"/>
          <w:sz w:val="16"/>
          <w:lang w:eastAsia="es-GT"/>
        </w:rPr>
      </w:pPr>
    </w:p>
    <w:p w:rsidR="00751CCA" w:rsidRPr="001863CC" w:rsidRDefault="00751CCA" w:rsidP="00AD5816">
      <w:pPr>
        <w:spacing w:after="0" w:line="240" w:lineRule="auto"/>
        <w:rPr>
          <w:rFonts w:ascii="Times New Roman" w:hAnsi="Times New Roman" w:cs="Times New Roman"/>
          <w:noProof/>
          <w:color w:val="FF0000"/>
          <w:sz w:val="16"/>
          <w:lang w:eastAsia="es-GT"/>
        </w:rPr>
      </w:pPr>
    </w:p>
    <w:p w:rsidR="000C65AB" w:rsidRPr="001863CC" w:rsidRDefault="000C65AB" w:rsidP="00AD5816">
      <w:pPr>
        <w:spacing w:after="0" w:line="240" w:lineRule="auto"/>
        <w:rPr>
          <w:rFonts w:ascii="Times New Roman" w:hAnsi="Times New Roman" w:cs="Times New Roman"/>
          <w:noProof/>
          <w:color w:val="FF0000"/>
          <w:sz w:val="16"/>
          <w:lang w:eastAsia="es-GT"/>
        </w:rPr>
      </w:pPr>
    </w:p>
    <w:p w:rsidR="00751CCA" w:rsidRPr="001863CC" w:rsidRDefault="00751CCA" w:rsidP="00AD5816">
      <w:pPr>
        <w:spacing w:after="0" w:line="240" w:lineRule="auto"/>
        <w:rPr>
          <w:rFonts w:ascii="Times New Roman" w:hAnsi="Times New Roman" w:cs="Times New Roman"/>
          <w:noProof/>
          <w:color w:val="FF0000"/>
          <w:sz w:val="16"/>
          <w:lang w:eastAsia="es-GT"/>
        </w:rPr>
      </w:pPr>
    </w:p>
    <w:p w:rsidR="001F5581" w:rsidRPr="00614999" w:rsidRDefault="001F5581" w:rsidP="001F558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1F5581" w:rsidRPr="00614999" w:rsidSect="00FA3B81">
          <w:headerReference w:type="default" r:id="rId33"/>
          <w:footerReference w:type="default" r:id="rId34"/>
          <w:type w:val="continuous"/>
          <w:pgSz w:w="12240" w:h="15840" w:code="1"/>
          <w:pgMar w:top="1418" w:right="1418" w:bottom="1418" w:left="1418" w:header="709" w:footer="709" w:gutter="0"/>
          <w:cols w:space="708"/>
          <w:docGrid w:linePitch="360"/>
        </w:sectPr>
      </w:pPr>
      <w:r w:rsidRPr="00614999">
        <w:rPr>
          <w:rFonts w:ascii="Times New Roman" w:hAnsi="Times New Roman" w:cs="Times New Roman"/>
          <w:b/>
          <w:lang w:val="es-MX"/>
        </w:rPr>
        <w:t>Anexo</w:t>
      </w:r>
    </w:p>
    <w:p w:rsidR="001F5581" w:rsidRPr="001863CC" w:rsidRDefault="001F5581" w:rsidP="001F5581">
      <w:pPr>
        <w:pStyle w:val="Sinespaciado"/>
        <w:rPr>
          <w:rFonts w:ascii="Times New Roman" w:hAnsi="Times New Roman" w:cs="Times New Roman"/>
          <w:b/>
          <w:color w:val="FF0000"/>
          <w:sz w:val="18"/>
          <w:lang w:val="es-MX"/>
        </w:rPr>
      </w:pPr>
    </w:p>
    <w:p w:rsidR="001F5581" w:rsidRPr="001863CC" w:rsidRDefault="001F5581" w:rsidP="00AD5816">
      <w:pPr>
        <w:spacing w:after="0" w:line="240" w:lineRule="auto"/>
        <w:rPr>
          <w:rFonts w:ascii="Times New Roman" w:hAnsi="Times New Roman" w:cs="Times New Roman"/>
          <w:noProof/>
          <w:color w:val="FF0000"/>
          <w:sz w:val="16"/>
          <w:lang w:val="es-MX" w:eastAsia="es-GT"/>
        </w:rPr>
      </w:pPr>
    </w:p>
    <w:p w:rsidR="001F5581" w:rsidRPr="001863CC" w:rsidRDefault="001F5581" w:rsidP="00AD5816">
      <w:pPr>
        <w:spacing w:after="0" w:line="240" w:lineRule="auto"/>
        <w:rPr>
          <w:rFonts w:ascii="Times New Roman" w:hAnsi="Times New Roman" w:cs="Times New Roman"/>
          <w:noProof/>
          <w:color w:val="FF0000"/>
          <w:sz w:val="16"/>
          <w:lang w:val="es-MX" w:eastAsia="es-GT"/>
        </w:rPr>
        <w:sectPr w:rsidR="001F5581" w:rsidRPr="001863CC" w:rsidSect="00986297">
          <w:headerReference w:type="default" r:id="rId35"/>
          <w:footerReference w:type="default" r:id="rId36"/>
          <w:type w:val="continuous"/>
          <w:pgSz w:w="12240" w:h="15840" w:code="1"/>
          <w:pgMar w:top="1418" w:right="1418" w:bottom="1418" w:left="1418" w:header="709" w:footer="709" w:gutter="0"/>
          <w:cols w:num="2" w:space="708"/>
          <w:docGrid w:linePitch="360"/>
        </w:sectPr>
      </w:pPr>
    </w:p>
    <w:p w:rsidR="001F5581" w:rsidRPr="001863CC" w:rsidRDefault="001F5581" w:rsidP="001F5581">
      <w:pPr>
        <w:spacing w:after="0" w:line="240" w:lineRule="auto"/>
        <w:jc w:val="center"/>
        <w:rPr>
          <w:rFonts w:ascii="Times New Roman" w:hAnsi="Times New Roman" w:cs="Times New Roman"/>
          <w:noProof/>
          <w:color w:val="FF0000"/>
          <w:sz w:val="16"/>
          <w:lang w:val="es-MX" w:eastAsia="es-GT"/>
        </w:rPr>
        <w:sectPr w:rsidR="001F5581" w:rsidRPr="001863CC" w:rsidSect="001F5581">
          <w:type w:val="continuous"/>
          <w:pgSz w:w="12240" w:h="15840" w:code="1"/>
          <w:pgMar w:top="1418" w:right="1418" w:bottom="1418" w:left="1418" w:header="709" w:footer="709" w:gutter="0"/>
          <w:cols w:space="708"/>
          <w:docGrid w:linePitch="360"/>
        </w:sectPr>
      </w:pPr>
    </w:p>
    <w:p w:rsidR="00AD5816" w:rsidRPr="001863CC" w:rsidRDefault="00AD5816" w:rsidP="00AD5816">
      <w:pPr>
        <w:spacing w:after="0" w:line="240" w:lineRule="auto"/>
        <w:rPr>
          <w:rFonts w:ascii="Times New Roman" w:hAnsi="Times New Roman" w:cs="Times New Roman"/>
          <w:noProof/>
          <w:color w:val="FF0000"/>
          <w:sz w:val="16"/>
          <w:lang w:val="es-MX" w:eastAsia="es-GT"/>
        </w:rPr>
      </w:pPr>
    </w:p>
    <w:p w:rsidR="00D00E78" w:rsidRPr="001863CC" w:rsidRDefault="00614999" w:rsidP="00AD5816">
      <w:pPr>
        <w:spacing w:after="0" w:line="240" w:lineRule="auto"/>
        <w:rPr>
          <w:rFonts w:ascii="Times New Roman" w:hAnsi="Times New Roman" w:cs="Times New Roman"/>
          <w:noProof/>
          <w:color w:val="FF0000"/>
          <w:sz w:val="16"/>
          <w:lang w:eastAsia="es-GT"/>
        </w:rPr>
        <w:sectPr w:rsidR="00D00E78" w:rsidRPr="001863CC" w:rsidSect="00D00E78">
          <w:type w:val="continuous"/>
          <w:pgSz w:w="12240" w:h="15840" w:code="1"/>
          <w:pgMar w:top="1418" w:right="1418" w:bottom="1418" w:left="1418" w:header="709" w:footer="709" w:gutter="0"/>
          <w:cols w:space="708"/>
          <w:docGrid w:linePitch="360"/>
        </w:sectPr>
      </w:pPr>
      <w:r w:rsidRPr="00405DDD">
        <w:rPr>
          <w:noProof/>
          <w:lang w:val="es-ES" w:eastAsia="es-ES"/>
        </w:rPr>
        <w:drawing>
          <wp:inline distT="0" distB="0" distL="0" distR="0" wp14:anchorId="69F559DB" wp14:editId="04851C6D">
            <wp:extent cx="6077733" cy="48577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83959" cy="4862726"/>
                    </a:xfrm>
                    <a:prstGeom prst="rect">
                      <a:avLst/>
                    </a:prstGeom>
                    <a:noFill/>
                    <a:ln>
                      <a:noFill/>
                    </a:ln>
                  </pic:spPr>
                </pic:pic>
              </a:graphicData>
            </a:graphic>
          </wp:inline>
        </w:drawing>
      </w:r>
    </w:p>
    <w:p w:rsidR="00AD5816" w:rsidRPr="001863CC" w:rsidRDefault="00AD5816" w:rsidP="00AD5816">
      <w:pPr>
        <w:spacing w:after="0" w:line="240" w:lineRule="auto"/>
        <w:rPr>
          <w:rFonts w:ascii="Times New Roman" w:hAnsi="Times New Roman" w:cs="Times New Roman"/>
          <w:noProof/>
          <w:color w:val="FF0000"/>
          <w:sz w:val="16"/>
          <w:lang w:eastAsia="es-GT"/>
        </w:rPr>
      </w:pPr>
    </w:p>
    <w:p w:rsidR="00AD5816" w:rsidRPr="001863CC" w:rsidRDefault="00AD5816" w:rsidP="00AD5816">
      <w:pPr>
        <w:spacing w:after="0" w:line="240" w:lineRule="auto"/>
        <w:rPr>
          <w:rFonts w:ascii="Times New Roman" w:hAnsi="Times New Roman" w:cs="Times New Roman"/>
          <w:noProof/>
          <w:color w:val="FF0000"/>
          <w:sz w:val="16"/>
          <w:lang w:eastAsia="es-GT"/>
        </w:rPr>
      </w:pPr>
    </w:p>
    <w:p w:rsidR="007703A2" w:rsidRPr="001863CC" w:rsidRDefault="007703A2" w:rsidP="00986297">
      <w:pPr>
        <w:pStyle w:val="Sinespaciado"/>
        <w:jc w:val="both"/>
        <w:rPr>
          <w:rFonts w:ascii="Times New Roman" w:hAnsi="Times New Roman" w:cs="Times New Roman"/>
          <w:color w:val="FF0000"/>
        </w:rPr>
      </w:pPr>
    </w:p>
    <w:sectPr w:rsidR="007703A2" w:rsidRPr="001863CC" w:rsidSect="00986297">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0D" w:rsidRDefault="0092100D" w:rsidP="007D4651">
      <w:pPr>
        <w:spacing w:after="0" w:line="240" w:lineRule="auto"/>
      </w:pPr>
      <w:r>
        <w:separator/>
      </w:r>
    </w:p>
  </w:endnote>
  <w:endnote w:type="continuationSeparator" w:id="0">
    <w:p w:rsidR="0092100D" w:rsidRDefault="0092100D"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23403932"/>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3360" behindDoc="0" locked="0" layoutInCell="1" allowOverlap="1" wp14:anchorId="40FAAFB7" wp14:editId="6C33E7B4">
                  <wp:simplePos x="0" y="0"/>
                  <wp:positionH relativeFrom="column">
                    <wp:posOffset>1755792</wp:posOffset>
                  </wp:positionH>
                  <wp:positionV relativeFrom="paragraph">
                    <wp:posOffset>70485</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24376B7" id="3 Rectángulo" o:spid="_x0000_s1026" style="position:absolute;margin-left:138.25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71030" w:rsidRPr="00D71030">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87236705"/>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83840" behindDoc="0" locked="0" layoutInCell="1" allowOverlap="1" wp14:anchorId="1FA8FBD4" wp14:editId="30D1A47F">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DDF196B"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14999" w:rsidRPr="00614999">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329748143"/>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67456" behindDoc="0" locked="0" layoutInCell="1" allowOverlap="1" wp14:anchorId="77FB2C5C" wp14:editId="79E1ADA5">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2CCD15"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1B36BC" w:rsidRPr="001B36BC">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498739790"/>
      <w:docPartObj>
        <w:docPartGallery w:val="Page Numbers (Bottom of Page)"/>
        <w:docPartUnique/>
      </w:docPartObj>
    </w:sdtPr>
    <w:sdtEndPr/>
    <w:sdtContent>
      <w:p w:rsidR="00EB1910" w:rsidRDefault="00EB1910">
        <w:pPr>
          <w:pStyle w:val="Piedepgina"/>
          <w:jc w:val="right"/>
          <w:rPr>
            <w:lang w:val="es-ES"/>
          </w:rPr>
        </w:pPr>
      </w:p>
      <w:p w:rsidR="00EB1910" w:rsidRDefault="00EB1910"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08416" behindDoc="0" locked="0" layoutInCell="1" allowOverlap="1" wp14:anchorId="7D60AF61" wp14:editId="01351181">
                  <wp:simplePos x="0" y="0"/>
                  <wp:positionH relativeFrom="column">
                    <wp:posOffset>1759602</wp:posOffset>
                  </wp:positionH>
                  <wp:positionV relativeFrom="paragraph">
                    <wp:posOffset>70485</wp:posOffset>
                  </wp:positionV>
                  <wp:extent cx="5155565" cy="45719"/>
                  <wp:effectExtent l="38100" t="38100" r="64135" b="88265"/>
                  <wp:wrapNone/>
                  <wp:docPr id="32" name="32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19D10AC3" id="32 Rectángulo" o:spid="_x0000_s1026" style="position:absolute;margin-left:138.55pt;margin-top:5.55pt;width:405.95pt;height:3.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tG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STFSJAWcjRJ0Q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A9YC0Y+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B1910" w:rsidRDefault="00EB1910">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71030" w:rsidRPr="00D71030">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EB1910" w:rsidRDefault="00EB1910" w:rsidP="007D4651">
    <w:pPr>
      <w:pStyle w:val="Piedepgina"/>
      <w:tabs>
        <w:tab w:val="clear" w:pos="4419"/>
        <w:tab w:val="clear" w:pos="8838"/>
        <w:tab w:val="left" w:pos="5777"/>
      </w:tabs>
    </w:pPr>
  </w:p>
  <w:p w:rsidR="00EB1910" w:rsidRDefault="00EB191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782992078"/>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1552" behindDoc="0" locked="0" layoutInCell="1" allowOverlap="1" wp14:anchorId="14E2A7D0" wp14:editId="564C8ADD">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DF52E76"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73E45" w:rsidRPr="00A73E45">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231090985"/>
      <w:docPartObj>
        <w:docPartGallery w:val="Page Numbers (Bottom of Page)"/>
        <w:docPartUnique/>
      </w:docPartObj>
    </w:sdtPr>
    <w:sdtEndPr/>
    <w:sdtContent>
      <w:p w:rsidR="00216605" w:rsidRDefault="00216605">
        <w:pPr>
          <w:pStyle w:val="Piedepgina"/>
          <w:jc w:val="right"/>
          <w:rPr>
            <w:lang w:val="es-ES"/>
          </w:rPr>
        </w:pPr>
      </w:p>
      <w:p w:rsidR="00216605" w:rsidRDefault="00216605"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28896" behindDoc="0" locked="0" layoutInCell="1" allowOverlap="1" wp14:anchorId="70C7F83B" wp14:editId="428AE4EC">
                  <wp:simplePos x="0" y="0"/>
                  <wp:positionH relativeFrom="column">
                    <wp:posOffset>1751347</wp:posOffset>
                  </wp:positionH>
                  <wp:positionV relativeFrom="paragraph">
                    <wp:posOffset>72390</wp:posOffset>
                  </wp:positionV>
                  <wp:extent cx="5155565" cy="45719"/>
                  <wp:effectExtent l="38100" t="38100" r="64135" b="88265"/>
                  <wp:wrapNone/>
                  <wp:docPr id="55"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E55086B" id="23 Rectángulo" o:spid="_x0000_s1026" style="position:absolute;margin-left:137.9pt;margin-top:5.7pt;width:405.95pt;height:3.6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216605" w:rsidRDefault="0021660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71030" w:rsidRPr="00D71030">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216605" w:rsidRDefault="00216605" w:rsidP="007D4651">
    <w:pPr>
      <w:pStyle w:val="Piedepgina"/>
      <w:tabs>
        <w:tab w:val="clear" w:pos="4419"/>
        <w:tab w:val="clear" w:pos="8838"/>
        <w:tab w:val="left" w:pos="5777"/>
      </w:tabs>
    </w:pPr>
  </w:p>
  <w:p w:rsidR="00216605" w:rsidRDefault="0021660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62041822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5648" behindDoc="0" locked="0" layoutInCell="1" allowOverlap="1" wp14:anchorId="52A22349" wp14:editId="31308914">
                  <wp:simplePos x="0" y="0"/>
                  <wp:positionH relativeFrom="column">
                    <wp:posOffset>1751347</wp:posOffset>
                  </wp:positionH>
                  <wp:positionV relativeFrom="paragraph">
                    <wp:posOffset>72390</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A863166" id="23 Rectángulo" o:spid="_x0000_s1026" style="position:absolute;margin-left:137.9pt;margin-top:5.7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14999" w:rsidRPr="00614999">
          <w:rPr>
            <w:rFonts w:ascii="Times New Roman" w:hAnsi="Times New Roman" w:cs="Times New Roman"/>
            <w:b/>
            <w:noProof/>
            <w:color w:val="1F497D" w:themeColor="text2"/>
            <w:lang w:val="es-ES"/>
          </w:rPr>
          <w:t>5</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67338240"/>
      <w:docPartObj>
        <w:docPartGallery w:val="Page Numbers (Bottom of Page)"/>
        <w:docPartUnique/>
      </w:docPartObj>
    </w:sdtPr>
    <w:sdtEndPr/>
    <w:sdtContent>
      <w:p w:rsidR="00AF68D3" w:rsidRDefault="00AF68D3">
        <w:pPr>
          <w:pStyle w:val="Piedepgina"/>
          <w:jc w:val="right"/>
          <w:rPr>
            <w:lang w:val="es-ES"/>
          </w:rPr>
        </w:pPr>
      </w:p>
      <w:p w:rsidR="00AF68D3" w:rsidRDefault="00AF68D3"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679744" behindDoc="0" locked="0" layoutInCell="1" allowOverlap="1" wp14:anchorId="6FF3127C" wp14:editId="5B1903F9">
                  <wp:simplePos x="0" y="0"/>
                  <wp:positionH relativeFrom="column">
                    <wp:posOffset>1759602</wp:posOffset>
                  </wp:positionH>
                  <wp:positionV relativeFrom="paragraph">
                    <wp:posOffset>70485</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02BD53A2" id="26 Rectángulo" o:spid="_x0000_s1026" style="position:absolute;margin-left:138.55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C4DNAA+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F68D3" w:rsidRDefault="00AF68D3">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14999" w:rsidRPr="00614999">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AF68D3" w:rsidRDefault="00AF68D3" w:rsidP="007D4651">
    <w:pPr>
      <w:pStyle w:val="Piedepgina"/>
      <w:tabs>
        <w:tab w:val="clear" w:pos="4419"/>
        <w:tab w:val="clear" w:pos="8838"/>
        <w:tab w:val="left" w:pos="5777"/>
      </w:tabs>
    </w:pPr>
  </w:p>
  <w:p w:rsidR="00AF68D3" w:rsidRDefault="00AF68D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47607362"/>
      <w:docPartObj>
        <w:docPartGallery w:val="Page Numbers (Bottom of Page)"/>
        <w:docPartUnique/>
      </w:docPartObj>
    </w:sdtPr>
    <w:sdtEndPr/>
    <w:sdtContent>
      <w:p w:rsidR="00AD5816" w:rsidRDefault="00AD5816">
        <w:pPr>
          <w:pStyle w:val="Piedepgina"/>
          <w:jc w:val="right"/>
          <w:rPr>
            <w:lang w:val="es-ES"/>
          </w:rPr>
        </w:pPr>
      </w:p>
      <w:p w:rsidR="00AD5816" w:rsidRDefault="00AD5816" w:rsidP="00AF4290">
        <w:pPr>
          <w:pStyle w:val="Piedepgina"/>
          <w:tabs>
            <w:tab w:val="left" w:pos="2694"/>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24800" behindDoc="0" locked="0" layoutInCell="1" allowOverlap="1" wp14:anchorId="394A98AE" wp14:editId="7DD0202D">
                  <wp:simplePos x="0" y="0"/>
                  <wp:positionH relativeFrom="column">
                    <wp:posOffset>1776669</wp:posOffset>
                  </wp:positionH>
                  <wp:positionV relativeFrom="paragraph">
                    <wp:posOffset>70516</wp:posOffset>
                  </wp:positionV>
                  <wp:extent cx="5155565" cy="45719"/>
                  <wp:effectExtent l="38100" t="38100" r="64135" b="88265"/>
                  <wp:wrapNone/>
                  <wp:docPr id="7" name="24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E04EA3C" id="24 Rectángulo" o:spid="_x0000_s1026" style="position:absolute;margin-left:139.9pt;margin-top:5.55pt;width:405.95pt;height:3.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&#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CTfsNYPQMAAKY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AD5816" w:rsidRDefault="00AD5816">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D71030" w:rsidRPr="00D71030">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AD5816" w:rsidRDefault="00AD5816" w:rsidP="007D4651">
    <w:pPr>
      <w:pStyle w:val="Piedepgina"/>
      <w:tabs>
        <w:tab w:val="clear" w:pos="4419"/>
        <w:tab w:val="clear" w:pos="8838"/>
        <w:tab w:val="left" w:pos="5777"/>
      </w:tabs>
    </w:pPr>
  </w:p>
  <w:p w:rsidR="00AD5816" w:rsidRDefault="00AD5816"/>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711402051"/>
      <w:docPartObj>
        <w:docPartGallery w:val="Page Numbers (Bottom of Page)"/>
        <w:docPartUnique/>
      </w:docPartObj>
    </w:sdtPr>
    <w:sdtEndPr/>
    <w:sdtContent>
      <w:p w:rsidR="001F5581" w:rsidRDefault="001F5581">
        <w:pPr>
          <w:pStyle w:val="Piedepgina"/>
          <w:jc w:val="right"/>
          <w:rPr>
            <w:lang w:val="es-ES"/>
          </w:rPr>
        </w:pPr>
      </w:p>
      <w:p w:rsidR="001F5581" w:rsidRDefault="001F5581" w:rsidP="007D4651">
        <w:pPr>
          <w:pStyle w:val="Piedepgina"/>
          <w:tabs>
            <w:tab w:val="left" w:pos="6489"/>
          </w:tabs>
          <w:rPr>
            <w:lang w:val="es-ES"/>
          </w:rPr>
        </w:pPr>
        <w:r>
          <w:rPr>
            <w:rFonts w:ascii="Times New Roman" w:hAnsi="Times New Roman" w:cs="Times New Roman"/>
            <w:noProof/>
            <w:lang w:val="es-ES" w:eastAsia="es-ES"/>
          </w:rPr>
          <mc:AlternateContent>
            <mc:Choice Requires="wps">
              <w:drawing>
                <wp:anchor distT="0" distB="0" distL="114300" distR="114300" simplePos="0" relativeHeight="251730944" behindDoc="0" locked="0" layoutInCell="1" allowOverlap="1" wp14:anchorId="4F6F2153" wp14:editId="755E43D7">
                  <wp:simplePos x="0" y="0"/>
                  <wp:positionH relativeFrom="column">
                    <wp:posOffset>1759602</wp:posOffset>
                  </wp:positionH>
                  <wp:positionV relativeFrom="paragraph">
                    <wp:posOffset>70485</wp:posOffset>
                  </wp:positionV>
                  <wp:extent cx="5155565" cy="45719"/>
                  <wp:effectExtent l="38100" t="38100" r="64135" b="88265"/>
                  <wp:wrapNone/>
                  <wp:docPr id="48"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A4D50C4" id="26 Rectángulo" o:spid="_x0000_s1026" style="position:absolute;margin-left:138.55pt;margin-top:5.55pt;width:405.95pt;height:3.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1F5581" w:rsidRDefault="001F55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73E45" w:rsidRPr="00A73E45">
          <w:rPr>
            <w:rFonts w:ascii="Times New Roman" w:hAnsi="Times New Roman" w:cs="Times New Roman"/>
            <w:b/>
            <w:noProof/>
            <w:color w:val="1F497D" w:themeColor="text2"/>
            <w:lang w:val="es-ES"/>
          </w:rPr>
          <w:t>7</w:t>
        </w:r>
        <w:r w:rsidRPr="007D4651">
          <w:rPr>
            <w:rFonts w:ascii="Times New Roman" w:hAnsi="Times New Roman" w:cs="Times New Roman"/>
            <w:b/>
            <w:color w:val="1F497D" w:themeColor="text2"/>
          </w:rPr>
          <w:fldChar w:fldCharType="end"/>
        </w:r>
        <w:r>
          <w:rPr>
            <w:lang w:val="es-ES"/>
          </w:rPr>
          <w:t xml:space="preserve"> </w:t>
        </w:r>
      </w:p>
    </w:sdtContent>
  </w:sdt>
  <w:p w:rsidR="001F5581" w:rsidRDefault="001F5581" w:rsidP="007D4651">
    <w:pPr>
      <w:pStyle w:val="Piedepgina"/>
      <w:tabs>
        <w:tab w:val="clear" w:pos="4419"/>
        <w:tab w:val="clear" w:pos="8838"/>
        <w:tab w:val="left" w:pos="5777"/>
      </w:tabs>
    </w:pPr>
  </w:p>
  <w:p w:rsidR="001F5581" w:rsidRDefault="001F55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0D" w:rsidRDefault="0092100D" w:rsidP="007D4651">
      <w:pPr>
        <w:spacing w:after="0" w:line="240" w:lineRule="auto"/>
      </w:pPr>
      <w:r>
        <w:separator/>
      </w:r>
    </w:p>
  </w:footnote>
  <w:footnote w:type="continuationSeparator" w:id="0">
    <w:p w:rsidR="0092100D" w:rsidRDefault="0092100D" w:rsidP="007D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6608" behindDoc="1" locked="0" layoutInCell="1" allowOverlap="1" wp14:anchorId="54D5C70C" wp14:editId="2841FF49">
          <wp:simplePos x="0" y="0"/>
          <wp:positionH relativeFrom="column">
            <wp:posOffset>-86360</wp:posOffset>
          </wp:positionH>
          <wp:positionV relativeFrom="paragraph">
            <wp:posOffset>-165718</wp:posOffset>
          </wp:positionV>
          <wp:extent cx="1697990" cy="914400"/>
          <wp:effectExtent l="0" t="0" r="0" b="0"/>
          <wp:wrapNone/>
          <wp:docPr id="50" name="Imagen 5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CB220A"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73581B">
      <w:rPr>
        <w:rFonts w:ascii="Times New Roman" w:hAnsi="Times New Roman" w:cs="Times New Roman"/>
        <w:color w:val="1F497D" w:themeColor="text2"/>
        <w:lang w:val="es-MX"/>
      </w:rPr>
      <w:t xml:space="preserve">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4560" behindDoc="0" locked="0" layoutInCell="1" allowOverlap="1" wp14:anchorId="06EB6AE4" wp14:editId="1070585D">
              <wp:simplePos x="0" y="0"/>
              <wp:positionH relativeFrom="column">
                <wp:posOffset>1720884</wp:posOffset>
              </wp:positionH>
              <wp:positionV relativeFrom="paragraph">
                <wp:posOffset>7980</wp:posOffset>
              </wp:positionV>
              <wp:extent cx="5155894" cy="45719"/>
              <wp:effectExtent l="38100" t="38100" r="64135" b="88265"/>
              <wp:wrapNone/>
              <wp:docPr id="11" name="1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3F70B63" id="11 Rectángulo" o:spid="_x0000_s1026" style="position:absolute;margin-left:135.5pt;margin-top:.65pt;width:406pt;height:3.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73581B" w:rsidRDefault="00AF68D3" w:rsidP="00E16925">
    <w:pPr>
      <w:pStyle w:val="Encabezado"/>
      <w:rPr>
        <w:rFonts w:ascii="Times New Roman" w:hAnsi="Times New Roman" w:cs="Times New Roman"/>
        <w:b/>
        <w:lang w:val="es-MX"/>
      </w:rPr>
    </w:pPr>
    <w:r>
      <w:rPr>
        <w:rFonts w:ascii="Times New Roman" w:hAnsi="Times New Roman" w:cs="Times New Roman"/>
        <w:lang w:val="es-MX"/>
      </w:rPr>
      <w:tab/>
    </w:r>
    <w:r w:rsidRPr="0073581B">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2816" behindDoc="1" locked="0" layoutInCell="1" allowOverlap="1" wp14:anchorId="3C5D9561" wp14:editId="6D3870E5">
          <wp:simplePos x="0" y="0"/>
          <wp:positionH relativeFrom="column">
            <wp:posOffset>-89849</wp:posOffset>
          </wp:positionH>
          <wp:positionV relativeFrom="paragraph">
            <wp:posOffset>-163027</wp:posOffset>
          </wp:positionV>
          <wp:extent cx="1697990" cy="914400"/>
          <wp:effectExtent l="0" t="0" r="0" b="0"/>
          <wp:wrapNone/>
          <wp:docPr id="69" name="Imagen 6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CE75B5"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Marzo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81792" behindDoc="0" locked="0" layoutInCell="1" allowOverlap="1" wp14:anchorId="294FE60C" wp14:editId="793920B7">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09B3EFB"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89984" behindDoc="1" locked="0" layoutInCell="1" allowOverlap="1" wp14:anchorId="1E4CD7A2" wp14:editId="04F9236B">
          <wp:simplePos x="0" y="0"/>
          <wp:positionH relativeFrom="column">
            <wp:posOffset>-434119</wp:posOffset>
          </wp:positionH>
          <wp:positionV relativeFrom="paragraph">
            <wp:posOffset>-5080</wp:posOffset>
          </wp:positionV>
          <wp:extent cx="1365775" cy="735496"/>
          <wp:effectExtent l="0" t="0" r="6350" b="7620"/>
          <wp:wrapNone/>
          <wp:docPr id="30" name="Imagen 3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AF68D3" w:rsidRDefault="00BC2768"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AF68D3">
      <w:rPr>
        <w:rFonts w:ascii="Times New Roman" w:hAnsi="Times New Roman" w:cs="Times New Roman"/>
        <w:color w:val="1F497D" w:themeColor="text2"/>
        <w:lang w:val="es-MX"/>
      </w:rPr>
      <w:t xml:space="preserve"> 2017</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val="es-ES" w:eastAsia="es-ES"/>
      </w:rPr>
      <mc:AlternateContent>
        <mc:Choice Requires="wps">
          <w:drawing>
            <wp:anchor distT="0" distB="0" distL="114300" distR="114300" simplePos="0" relativeHeight="251696128" behindDoc="0" locked="0" layoutInCell="1" allowOverlap="1" wp14:anchorId="64D070DF" wp14:editId="2B871346">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oundrect w14:anchorId="596DE2C8"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910" w:rsidRPr="007D4651" w:rsidRDefault="00EB1910"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07392" behindDoc="1" locked="0" layoutInCell="1" allowOverlap="1" wp14:anchorId="61CF8641" wp14:editId="715E5A6E">
          <wp:simplePos x="0" y="0"/>
          <wp:positionH relativeFrom="column">
            <wp:posOffset>-89849</wp:posOffset>
          </wp:positionH>
          <wp:positionV relativeFrom="paragraph">
            <wp:posOffset>-163027</wp:posOffset>
          </wp:positionV>
          <wp:extent cx="1697990" cy="914400"/>
          <wp:effectExtent l="0" t="0" r="0" b="0"/>
          <wp:wrapNone/>
          <wp:docPr id="52" name="Imagen 5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EB1910" w:rsidRPr="007D4651" w:rsidRDefault="00CB220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73581B">
      <w:rPr>
        <w:rFonts w:ascii="Times New Roman" w:hAnsi="Times New Roman" w:cs="Times New Roman"/>
        <w:color w:val="1F497D" w:themeColor="text2"/>
        <w:lang w:val="es-MX"/>
      </w:rPr>
      <w:t xml:space="preserve"> 2018</w:t>
    </w:r>
  </w:p>
  <w:p w:rsidR="00EB1910" w:rsidRDefault="00EB191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06368" behindDoc="0" locked="0" layoutInCell="1" allowOverlap="1" wp14:anchorId="4BC0209A" wp14:editId="24AF8A7D">
              <wp:simplePos x="0" y="0"/>
              <wp:positionH relativeFrom="column">
                <wp:posOffset>1710568</wp:posOffset>
              </wp:positionH>
              <wp:positionV relativeFrom="paragraph">
                <wp:posOffset>29118</wp:posOffset>
              </wp:positionV>
              <wp:extent cx="5155894" cy="45719"/>
              <wp:effectExtent l="38100" t="38100" r="64135" b="88265"/>
              <wp:wrapNone/>
              <wp:docPr id="31" name="3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0EE2BB6" id="31 Rectángulo" o:spid="_x0000_s1026" style="position:absolute;margin-left:134.7pt;margin-top:2.3pt;width:406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dAedcD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EB1910" w:rsidRDefault="00EB1910"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B1910" w:rsidRPr="00E16925" w:rsidRDefault="00EB1910"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18656" behindDoc="1" locked="0" layoutInCell="1" allowOverlap="1" wp14:anchorId="6BED3FAD" wp14:editId="07B0CA6F">
          <wp:simplePos x="0" y="0"/>
          <wp:positionH relativeFrom="column">
            <wp:posOffset>-58403</wp:posOffset>
          </wp:positionH>
          <wp:positionV relativeFrom="paragraph">
            <wp:posOffset>-162560</wp:posOffset>
          </wp:positionV>
          <wp:extent cx="1697990" cy="914400"/>
          <wp:effectExtent l="0" t="0" r="0" b="0"/>
          <wp:wrapNone/>
          <wp:docPr id="56"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A73E4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 2018</w:t>
    </w:r>
  </w:p>
  <w:p w:rsidR="00AF68D3" w:rsidRDefault="00AF4290"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12512" behindDoc="0" locked="0" layoutInCell="1" allowOverlap="1" wp14:anchorId="2452C9A3" wp14:editId="170E265E">
              <wp:simplePos x="0" y="0"/>
              <wp:positionH relativeFrom="column">
                <wp:posOffset>1736708</wp:posOffset>
              </wp:positionH>
              <wp:positionV relativeFrom="paragraph">
                <wp:posOffset>32385</wp:posOffset>
              </wp:positionV>
              <wp:extent cx="5155894" cy="45719"/>
              <wp:effectExtent l="38100" t="38100" r="64135" b="88265"/>
              <wp:wrapNone/>
              <wp:docPr id="6" name="6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A00308F" id="6 Rectángulo" o:spid="_x0000_s1026" style="position:absolute;margin-left:136.75pt;margin-top:2.55pt;width:406pt;height:3.6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AF4290">
      <w:rPr>
        <w:rFonts w:ascii="Times New Roman" w:hAnsi="Times New Roman" w:cs="Times New Roman"/>
        <w:lang w:val="es-MX"/>
      </w:rPr>
      <w:t xml:space="preserve">       </w:t>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605" w:rsidRPr="007D4651" w:rsidRDefault="00216605"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7872" behindDoc="1" locked="0" layoutInCell="1" allowOverlap="1" wp14:anchorId="517811E2" wp14:editId="0652DD87">
          <wp:simplePos x="0" y="0"/>
          <wp:positionH relativeFrom="column">
            <wp:posOffset>-89849</wp:posOffset>
          </wp:positionH>
          <wp:positionV relativeFrom="paragraph">
            <wp:posOffset>-163027</wp:posOffset>
          </wp:positionV>
          <wp:extent cx="1697990" cy="914400"/>
          <wp:effectExtent l="0" t="0" r="0" b="0"/>
          <wp:wrapNone/>
          <wp:docPr id="57"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216605" w:rsidRPr="007D4651" w:rsidRDefault="00CB220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73581B">
      <w:rPr>
        <w:rFonts w:ascii="Times New Roman" w:hAnsi="Times New Roman" w:cs="Times New Roman"/>
        <w:color w:val="1F497D" w:themeColor="text2"/>
        <w:lang w:val="es-MX"/>
      </w:rPr>
      <w:t xml:space="preserve"> 2018</w:t>
    </w:r>
  </w:p>
  <w:p w:rsidR="00216605" w:rsidRDefault="00216605"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26848" behindDoc="0" locked="0" layoutInCell="1" allowOverlap="1" wp14:anchorId="34093007" wp14:editId="5F8447EB">
              <wp:simplePos x="0" y="0"/>
              <wp:positionH relativeFrom="column">
                <wp:posOffset>1710568</wp:posOffset>
              </wp:positionH>
              <wp:positionV relativeFrom="paragraph">
                <wp:posOffset>29118</wp:posOffset>
              </wp:positionV>
              <wp:extent cx="5155894" cy="45719"/>
              <wp:effectExtent l="38100" t="38100" r="64135" b="88265"/>
              <wp:wrapNone/>
              <wp:docPr id="54"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BB6938B" id="22 Rectángulo" o:spid="_x0000_s1026" style="position:absolute;margin-left:134.7pt;margin-top:2.3pt;width:406pt;height:3.6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216605" w:rsidRDefault="00216605"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216605" w:rsidRPr="00E16925" w:rsidRDefault="00216605"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68D3"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674624" behindDoc="1" locked="0" layoutInCell="1" allowOverlap="1" wp14:anchorId="657D0461" wp14:editId="081DE47E">
          <wp:simplePos x="0" y="0"/>
          <wp:positionH relativeFrom="column">
            <wp:posOffset>-89849</wp:posOffset>
          </wp:positionH>
          <wp:positionV relativeFrom="paragraph">
            <wp:posOffset>-163027</wp:posOffset>
          </wp:positionV>
          <wp:extent cx="1697990" cy="914400"/>
          <wp:effectExtent l="0" t="0" r="0" b="0"/>
          <wp:wrapNone/>
          <wp:docPr id="43" name="Imagen 42"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F68D3" w:rsidRPr="007D4651" w:rsidRDefault="00CB220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73581B">
      <w:rPr>
        <w:rFonts w:ascii="Times New Roman" w:hAnsi="Times New Roman" w:cs="Times New Roman"/>
        <w:color w:val="1F497D" w:themeColor="text2"/>
        <w:lang w:val="es-MX"/>
      </w:rPr>
      <w:t xml:space="preserve"> 2018</w:t>
    </w:r>
  </w:p>
  <w:p w:rsidR="00AF68D3" w:rsidRDefault="00AF68D3"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673600" behindDoc="0" locked="0" layoutInCell="1" allowOverlap="1" wp14:anchorId="7DD374C9" wp14:editId="34343A02">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7877FD9"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Default="00AF68D3" w:rsidP="00E16925">
    <w:pPr>
      <w:pStyle w:val="Encabezado"/>
      <w:rPr>
        <w:rFonts w:ascii="Times New Roman" w:hAnsi="Times New Roman" w:cs="Times New Roman"/>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AF68D3" w:rsidRPr="00E16925" w:rsidRDefault="00AF68D3" w:rsidP="00E16925">
    <w:pPr>
      <w:pStyle w:val="Encabezado"/>
      <w:rPr>
        <w:rFonts w:ascii="Times New Roman" w:hAnsi="Times New Roman" w:cs="Times New Roman"/>
        <w:lang w:val="es-MX"/>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8D3" w:rsidRPr="007D4651" w:rsidRDefault="00AF4290"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0704" behindDoc="1" locked="0" layoutInCell="1" allowOverlap="1" wp14:anchorId="2E078AC6" wp14:editId="7263A4D8">
          <wp:simplePos x="0" y="0"/>
          <wp:positionH relativeFrom="column">
            <wp:posOffset>-93997</wp:posOffset>
          </wp:positionH>
          <wp:positionV relativeFrom="paragraph">
            <wp:posOffset>-177800</wp:posOffset>
          </wp:positionV>
          <wp:extent cx="1697990" cy="914400"/>
          <wp:effectExtent l="0" t="0" r="0" b="0"/>
          <wp:wrapNone/>
          <wp:docPr id="66" name="Imagen 66"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00AF68D3" w:rsidRPr="007D4651">
      <w:rPr>
        <w:rFonts w:ascii="Times New Roman" w:hAnsi="Times New Roman" w:cs="Times New Roman"/>
        <w:b/>
        <w:color w:val="1F497D" w:themeColor="text2"/>
        <w:sz w:val="24"/>
        <w:lang w:val="es-MX"/>
      </w:rPr>
      <w:t>Informe de las Finanzas Públicas</w:t>
    </w:r>
  </w:p>
  <w:p w:rsidR="00AF68D3" w:rsidRDefault="00F23065"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Septiembre</w:t>
    </w:r>
    <w:r w:rsidR="00AF68D3">
      <w:rPr>
        <w:rFonts w:ascii="Times New Roman" w:hAnsi="Times New Roman" w:cs="Times New Roman"/>
        <w:color w:val="1F497D" w:themeColor="text2"/>
        <w:lang w:val="es-MX"/>
      </w:rPr>
      <w:t xml:space="preserve"> 2017</w:t>
    </w:r>
  </w:p>
  <w:p w:rsidR="00AF68D3" w:rsidRPr="004A73AA" w:rsidRDefault="00AF4290"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10464" behindDoc="0" locked="0" layoutInCell="1" allowOverlap="1" wp14:anchorId="73B7E747" wp14:editId="713095E3">
              <wp:simplePos x="0" y="0"/>
              <wp:positionH relativeFrom="column">
                <wp:posOffset>1711308</wp:posOffset>
              </wp:positionH>
              <wp:positionV relativeFrom="paragraph">
                <wp:posOffset>12065</wp:posOffset>
              </wp:positionV>
              <wp:extent cx="5155894" cy="45719"/>
              <wp:effectExtent l="38100" t="38100" r="64135" b="88265"/>
              <wp:wrapNone/>
              <wp:docPr id="1"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8D18F7D" id="1 Rectángulo" o:spid="_x0000_s1026" style="position:absolute;margin-left:134.75pt;margin-top:.95pt;width:406pt;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F68D3" w:rsidRPr="004A73AA" w:rsidRDefault="00AF68D3"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AF4290">
      <w:rPr>
        <w:rFonts w:ascii="Times New Roman" w:hAnsi="Times New Roman" w:cs="Times New Roman"/>
        <w:color w:val="1F497D" w:themeColor="text2"/>
        <w:lang w:val="es-MX"/>
      </w:rPr>
      <w:t xml:space="preserve">      </w:t>
    </w:r>
    <w:r w:rsidR="00AF4290" w:rsidRPr="009F164F">
      <w:rPr>
        <w:rFonts w:ascii="Times New Roman" w:hAnsi="Times New Roman" w:cs="Times New Roman"/>
        <w:b/>
        <w:color w:val="4F81BD" w:themeColor="accent1"/>
        <w:lang w:val="es-MX"/>
      </w:rPr>
      <w:t>Dirección de Análisis y Política Fiscal</w:t>
    </w:r>
  </w:p>
  <w:p w:rsidR="00AF68D3" w:rsidRPr="007452E2" w:rsidRDefault="00AF68D3" w:rsidP="00E16925">
    <w:pPr>
      <w:pStyle w:val="Encabezado"/>
      <w:rPr>
        <w:rFonts w:ascii="Times New Roman" w:hAnsi="Times New Roman" w:cs="Times New Roman"/>
        <w:lang w:val="es-MX"/>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16" w:rsidRPr="007D4651" w:rsidRDefault="00AD5816" w:rsidP="007D4651">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23776" behindDoc="1" locked="0" layoutInCell="1" allowOverlap="1" wp14:anchorId="69BA5B12" wp14:editId="2D44A5CB">
          <wp:simplePos x="0" y="0"/>
          <wp:positionH relativeFrom="column">
            <wp:posOffset>-89849</wp:posOffset>
          </wp:positionH>
          <wp:positionV relativeFrom="paragraph">
            <wp:posOffset>-163027</wp:posOffset>
          </wp:positionV>
          <wp:extent cx="1697990" cy="914400"/>
          <wp:effectExtent l="0" t="0" r="0" b="0"/>
          <wp:wrapNone/>
          <wp:docPr id="49" name="Imagen 49"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AD5816" w:rsidRPr="007D4651" w:rsidRDefault="00CB220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73581B">
      <w:rPr>
        <w:rFonts w:ascii="Times New Roman" w:hAnsi="Times New Roman" w:cs="Times New Roman"/>
        <w:color w:val="1F497D" w:themeColor="text2"/>
        <w:lang w:val="es-MX"/>
      </w:rPr>
      <w:t xml:space="preserve"> 2018</w:t>
    </w:r>
  </w:p>
  <w:p w:rsidR="00AD5816" w:rsidRDefault="00AD5816" w:rsidP="007D4651">
    <w:pPr>
      <w:pStyle w:val="Encabezado"/>
      <w:jc w:val="right"/>
      <w:rPr>
        <w:rFonts w:ascii="Times New Roman" w:hAnsi="Times New Roman" w:cs="Times New Roman"/>
        <w:lang w:val="es-MX"/>
      </w:rPr>
    </w:pPr>
    <w:r>
      <w:rPr>
        <w:rFonts w:ascii="Times New Roman" w:hAnsi="Times New Roman" w:cs="Times New Roman"/>
        <w:noProof/>
        <w:lang w:val="es-ES" w:eastAsia="es-ES"/>
      </w:rPr>
      <mc:AlternateContent>
        <mc:Choice Requires="wps">
          <w:drawing>
            <wp:anchor distT="0" distB="0" distL="114300" distR="114300" simplePos="0" relativeHeight="251722752" behindDoc="0" locked="0" layoutInCell="1" allowOverlap="1" wp14:anchorId="3D9937EF" wp14:editId="3A03A7D6">
              <wp:simplePos x="0" y="0"/>
              <wp:positionH relativeFrom="column">
                <wp:posOffset>1710568</wp:posOffset>
              </wp:positionH>
              <wp:positionV relativeFrom="paragraph">
                <wp:posOffset>29118</wp:posOffset>
              </wp:positionV>
              <wp:extent cx="5155894" cy="45719"/>
              <wp:effectExtent l="38100" t="38100" r="64135" b="88265"/>
              <wp:wrapNone/>
              <wp:docPr id="20" name="20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6515217" id="20 Rectángulo" o:spid="_x0000_s1026" style="position:absolute;margin-left:134.7pt;margin-top:2.3pt;width:406pt;height:3.6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&#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b1NSo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AD5816" w:rsidRDefault="00AD5816" w:rsidP="00E16925">
    <w:pPr>
      <w:pStyle w:val="Encabezado"/>
      <w:rPr>
        <w:rFonts w:ascii="Times New Roman" w:hAnsi="Times New Roman" w:cs="Times New Roman"/>
        <w:lang w:val="es-MX"/>
      </w:rPr>
    </w:pPr>
    <w:r>
      <w:rPr>
        <w:rFonts w:ascii="Times New Roman" w:hAnsi="Times New Roman" w:cs="Times New Roman"/>
        <w:lang w:val="es-MX"/>
      </w:rPr>
      <w:tab/>
      <w:t xml:space="preserve"> </w:t>
    </w:r>
    <w:r w:rsidRPr="009F164F">
      <w:rPr>
        <w:rFonts w:ascii="Times New Roman" w:hAnsi="Times New Roman" w:cs="Times New Roman"/>
        <w:b/>
        <w:color w:val="4F81BD" w:themeColor="accent1"/>
        <w:lang w:val="es-MX"/>
      </w:rPr>
      <w:t>Dirección de Análisis y Política Fiscal</w:t>
    </w:r>
  </w:p>
  <w:p w:rsidR="00AD5816" w:rsidRPr="00E16925" w:rsidRDefault="00AD5816" w:rsidP="00E16925">
    <w:pPr>
      <w:pStyle w:val="Encabezado"/>
      <w:rPr>
        <w:rFonts w:ascii="Times New Roman" w:hAnsi="Times New Roman" w:cs="Times New Roman"/>
        <w:lang w:val="es-MX"/>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81" w:rsidRPr="007D4651" w:rsidRDefault="001F5581" w:rsidP="00BD3A7C">
    <w:pPr>
      <w:pStyle w:val="Encabezado"/>
      <w:jc w:val="right"/>
      <w:rPr>
        <w:rFonts w:ascii="Times New Roman" w:hAnsi="Times New Roman" w:cs="Times New Roman"/>
        <w:b/>
        <w:color w:val="1F497D" w:themeColor="text2"/>
        <w:sz w:val="24"/>
        <w:lang w:val="es-MX"/>
      </w:rPr>
    </w:pPr>
    <w:r w:rsidRPr="008B1B52">
      <w:rPr>
        <w:noProof/>
        <w:lang w:val="es-ES" w:eastAsia="es-ES"/>
      </w:rPr>
      <w:drawing>
        <wp:anchor distT="0" distB="0" distL="114300" distR="114300" simplePos="0" relativeHeight="251732992" behindDoc="1" locked="0" layoutInCell="1" allowOverlap="1" wp14:anchorId="346F5DCD" wp14:editId="2F6E5A44">
          <wp:simplePos x="0" y="0"/>
          <wp:positionH relativeFrom="column">
            <wp:posOffset>-93997</wp:posOffset>
          </wp:positionH>
          <wp:positionV relativeFrom="paragraph">
            <wp:posOffset>-177800</wp:posOffset>
          </wp:positionV>
          <wp:extent cx="1697990" cy="914400"/>
          <wp:effectExtent l="0" t="0" r="0" b="0"/>
          <wp:wrapNone/>
          <wp:docPr id="68" name="Imagen 2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1F5581" w:rsidRDefault="00CB220A"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Mayo</w:t>
    </w:r>
    <w:r w:rsidR="0073581B">
      <w:rPr>
        <w:rFonts w:ascii="Times New Roman" w:hAnsi="Times New Roman" w:cs="Times New Roman"/>
        <w:color w:val="1F497D" w:themeColor="text2"/>
        <w:lang w:val="es-MX"/>
      </w:rPr>
      <w:t xml:space="preserve"> 2018</w:t>
    </w:r>
  </w:p>
  <w:p w:rsidR="001F5581" w:rsidRPr="004A73AA" w:rsidRDefault="001F5581"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lang w:val="es-ES" w:eastAsia="es-ES"/>
      </w:rPr>
      <mc:AlternateContent>
        <mc:Choice Requires="wps">
          <w:drawing>
            <wp:anchor distT="0" distB="0" distL="114300" distR="114300" simplePos="0" relativeHeight="251731968" behindDoc="0" locked="0" layoutInCell="1" allowOverlap="1" wp14:anchorId="37899F8C" wp14:editId="35BA8438">
              <wp:simplePos x="0" y="0"/>
              <wp:positionH relativeFrom="column">
                <wp:posOffset>1711308</wp:posOffset>
              </wp:positionH>
              <wp:positionV relativeFrom="paragraph">
                <wp:posOffset>12065</wp:posOffset>
              </wp:positionV>
              <wp:extent cx="5155894" cy="45719"/>
              <wp:effectExtent l="38100" t="38100" r="64135" b="88265"/>
              <wp:wrapNone/>
              <wp:docPr id="46" name="1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9F19121" id="1 Rectángulo" o:spid="_x0000_s1026" style="position:absolute;margin-left:134.75pt;margin-top:.95pt;width:406pt;height:3.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1F5581" w:rsidRPr="004A73AA" w:rsidRDefault="001F5581"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Pr="009F164F">
      <w:rPr>
        <w:rFonts w:ascii="Times New Roman" w:hAnsi="Times New Roman" w:cs="Times New Roman"/>
        <w:b/>
        <w:color w:val="4F81BD" w:themeColor="accent1"/>
        <w:lang w:val="es-MX"/>
      </w:rPr>
      <w:t>Dirección de Análisis y Política Fiscal</w:t>
    </w:r>
  </w:p>
  <w:p w:rsidR="001F5581" w:rsidRPr="007452E2" w:rsidRDefault="001F558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2DA43097"/>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2216C57"/>
    <w:multiLevelType w:val="hybridMultilevel"/>
    <w:tmpl w:val="4C9095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10"/>
  </w:num>
  <w:num w:numId="7">
    <w:abstractNumId w:val="9"/>
  </w:num>
  <w:num w:numId="8">
    <w:abstractNumId w:val="1"/>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53A7"/>
    <w:rsid w:val="00006489"/>
    <w:rsid w:val="000064C3"/>
    <w:rsid w:val="00013A7F"/>
    <w:rsid w:val="00013C63"/>
    <w:rsid w:val="00020E23"/>
    <w:rsid w:val="00022E98"/>
    <w:rsid w:val="00025788"/>
    <w:rsid w:val="000378CF"/>
    <w:rsid w:val="00040C99"/>
    <w:rsid w:val="00042B27"/>
    <w:rsid w:val="00045D14"/>
    <w:rsid w:val="00051A92"/>
    <w:rsid w:val="00053517"/>
    <w:rsid w:val="000723B2"/>
    <w:rsid w:val="00072EEB"/>
    <w:rsid w:val="00074BC6"/>
    <w:rsid w:val="00076AB4"/>
    <w:rsid w:val="00076AD2"/>
    <w:rsid w:val="0008348D"/>
    <w:rsid w:val="00087ADE"/>
    <w:rsid w:val="000A0A4F"/>
    <w:rsid w:val="000A6E8E"/>
    <w:rsid w:val="000C1547"/>
    <w:rsid w:val="000C65AB"/>
    <w:rsid w:val="000D016D"/>
    <w:rsid w:val="000D2FA4"/>
    <w:rsid w:val="000D489E"/>
    <w:rsid w:val="000F1314"/>
    <w:rsid w:val="000F5F87"/>
    <w:rsid w:val="000F68EB"/>
    <w:rsid w:val="00102939"/>
    <w:rsid w:val="00103DA9"/>
    <w:rsid w:val="001045CE"/>
    <w:rsid w:val="00111B77"/>
    <w:rsid w:val="001178B6"/>
    <w:rsid w:val="001259BA"/>
    <w:rsid w:val="001339A4"/>
    <w:rsid w:val="00133DBA"/>
    <w:rsid w:val="00136D08"/>
    <w:rsid w:val="00142BF3"/>
    <w:rsid w:val="00143620"/>
    <w:rsid w:val="00145313"/>
    <w:rsid w:val="00152798"/>
    <w:rsid w:val="001549AB"/>
    <w:rsid w:val="00157402"/>
    <w:rsid w:val="00160EAC"/>
    <w:rsid w:val="00171909"/>
    <w:rsid w:val="001735EE"/>
    <w:rsid w:val="0017454D"/>
    <w:rsid w:val="00185253"/>
    <w:rsid w:val="001863CC"/>
    <w:rsid w:val="001913A4"/>
    <w:rsid w:val="00196A44"/>
    <w:rsid w:val="001A3185"/>
    <w:rsid w:val="001A79F4"/>
    <w:rsid w:val="001B36BC"/>
    <w:rsid w:val="001B3EEE"/>
    <w:rsid w:val="001C2FF5"/>
    <w:rsid w:val="001C3649"/>
    <w:rsid w:val="001D0065"/>
    <w:rsid w:val="001D46C3"/>
    <w:rsid w:val="001D4C8E"/>
    <w:rsid w:val="001D5A5B"/>
    <w:rsid w:val="001E0E10"/>
    <w:rsid w:val="001E0F86"/>
    <w:rsid w:val="001E3B99"/>
    <w:rsid w:val="001E4CD2"/>
    <w:rsid w:val="001F34AD"/>
    <w:rsid w:val="001F4EE1"/>
    <w:rsid w:val="001F4F78"/>
    <w:rsid w:val="001F5240"/>
    <w:rsid w:val="001F5581"/>
    <w:rsid w:val="001F7141"/>
    <w:rsid w:val="00200FB1"/>
    <w:rsid w:val="00202594"/>
    <w:rsid w:val="0020377F"/>
    <w:rsid w:val="002101C9"/>
    <w:rsid w:val="00212A2C"/>
    <w:rsid w:val="00213C92"/>
    <w:rsid w:val="00216605"/>
    <w:rsid w:val="0021693D"/>
    <w:rsid w:val="00216DA8"/>
    <w:rsid w:val="00222598"/>
    <w:rsid w:val="002302ED"/>
    <w:rsid w:val="002335EE"/>
    <w:rsid w:val="0023642A"/>
    <w:rsid w:val="00240D86"/>
    <w:rsid w:val="00242202"/>
    <w:rsid w:val="00244AAA"/>
    <w:rsid w:val="002512EC"/>
    <w:rsid w:val="00256F02"/>
    <w:rsid w:val="00262E76"/>
    <w:rsid w:val="00263007"/>
    <w:rsid w:val="00264C3A"/>
    <w:rsid w:val="00264FC5"/>
    <w:rsid w:val="002672D5"/>
    <w:rsid w:val="00270CAB"/>
    <w:rsid w:val="00273E2C"/>
    <w:rsid w:val="00276250"/>
    <w:rsid w:val="00276A28"/>
    <w:rsid w:val="00281439"/>
    <w:rsid w:val="00281FB7"/>
    <w:rsid w:val="0028212F"/>
    <w:rsid w:val="0029321A"/>
    <w:rsid w:val="00296D57"/>
    <w:rsid w:val="002977ED"/>
    <w:rsid w:val="002B7644"/>
    <w:rsid w:val="002C2547"/>
    <w:rsid w:val="002C482A"/>
    <w:rsid w:val="002C6478"/>
    <w:rsid w:val="002C68B8"/>
    <w:rsid w:val="002C7F2B"/>
    <w:rsid w:val="002D3469"/>
    <w:rsid w:val="002D54E6"/>
    <w:rsid w:val="002E3F4C"/>
    <w:rsid w:val="002F29DE"/>
    <w:rsid w:val="002F2A42"/>
    <w:rsid w:val="002F7E08"/>
    <w:rsid w:val="00302D40"/>
    <w:rsid w:val="0030695C"/>
    <w:rsid w:val="00321745"/>
    <w:rsid w:val="0032198D"/>
    <w:rsid w:val="00322ECC"/>
    <w:rsid w:val="00330A9D"/>
    <w:rsid w:val="00334324"/>
    <w:rsid w:val="00343A5D"/>
    <w:rsid w:val="00345216"/>
    <w:rsid w:val="0034700C"/>
    <w:rsid w:val="0035279B"/>
    <w:rsid w:val="003531E5"/>
    <w:rsid w:val="003551C3"/>
    <w:rsid w:val="003649D9"/>
    <w:rsid w:val="00364DD6"/>
    <w:rsid w:val="00366770"/>
    <w:rsid w:val="00367E12"/>
    <w:rsid w:val="00374D44"/>
    <w:rsid w:val="00376802"/>
    <w:rsid w:val="00376FE9"/>
    <w:rsid w:val="0038008D"/>
    <w:rsid w:val="00381A4F"/>
    <w:rsid w:val="0038488D"/>
    <w:rsid w:val="00385BA8"/>
    <w:rsid w:val="00393E59"/>
    <w:rsid w:val="0039499F"/>
    <w:rsid w:val="003968DB"/>
    <w:rsid w:val="003A1300"/>
    <w:rsid w:val="003A3726"/>
    <w:rsid w:val="003A72C9"/>
    <w:rsid w:val="003B00D2"/>
    <w:rsid w:val="003B13B4"/>
    <w:rsid w:val="003B1A93"/>
    <w:rsid w:val="003C3922"/>
    <w:rsid w:val="003C7085"/>
    <w:rsid w:val="003D05CE"/>
    <w:rsid w:val="003D38A7"/>
    <w:rsid w:val="003D60E4"/>
    <w:rsid w:val="003D72D3"/>
    <w:rsid w:val="003E28F4"/>
    <w:rsid w:val="003E591D"/>
    <w:rsid w:val="003F0660"/>
    <w:rsid w:val="003F4609"/>
    <w:rsid w:val="0040361C"/>
    <w:rsid w:val="00413FBE"/>
    <w:rsid w:val="00416D41"/>
    <w:rsid w:val="0042387A"/>
    <w:rsid w:val="00426F4F"/>
    <w:rsid w:val="00443336"/>
    <w:rsid w:val="00443385"/>
    <w:rsid w:val="00443621"/>
    <w:rsid w:val="00447F4F"/>
    <w:rsid w:val="00450531"/>
    <w:rsid w:val="00452A5A"/>
    <w:rsid w:val="004575BA"/>
    <w:rsid w:val="004606FD"/>
    <w:rsid w:val="00464DB9"/>
    <w:rsid w:val="004650C5"/>
    <w:rsid w:val="00474EC2"/>
    <w:rsid w:val="00480824"/>
    <w:rsid w:val="004830FD"/>
    <w:rsid w:val="004835C8"/>
    <w:rsid w:val="00483632"/>
    <w:rsid w:val="0048385B"/>
    <w:rsid w:val="00494BC6"/>
    <w:rsid w:val="00494D1D"/>
    <w:rsid w:val="00495F43"/>
    <w:rsid w:val="004A3D32"/>
    <w:rsid w:val="004A6705"/>
    <w:rsid w:val="004A73AA"/>
    <w:rsid w:val="004B336D"/>
    <w:rsid w:val="004B4B9F"/>
    <w:rsid w:val="004B5B0F"/>
    <w:rsid w:val="004C1D68"/>
    <w:rsid w:val="004C208F"/>
    <w:rsid w:val="004C3B4E"/>
    <w:rsid w:val="004D1F76"/>
    <w:rsid w:val="004D7482"/>
    <w:rsid w:val="004E358C"/>
    <w:rsid w:val="004E4FDE"/>
    <w:rsid w:val="004E54B7"/>
    <w:rsid w:val="004F02B2"/>
    <w:rsid w:val="004F4F4D"/>
    <w:rsid w:val="004F72F9"/>
    <w:rsid w:val="005004C9"/>
    <w:rsid w:val="005016F6"/>
    <w:rsid w:val="005077A5"/>
    <w:rsid w:val="005104DC"/>
    <w:rsid w:val="005364DE"/>
    <w:rsid w:val="005428C6"/>
    <w:rsid w:val="00544E9A"/>
    <w:rsid w:val="00546650"/>
    <w:rsid w:val="005537D0"/>
    <w:rsid w:val="00573AB0"/>
    <w:rsid w:val="005755E9"/>
    <w:rsid w:val="00582F9F"/>
    <w:rsid w:val="00586745"/>
    <w:rsid w:val="005879A5"/>
    <w:rsid w:val="00591D14"/>
    <w:rsid w:val="005925BD"/>
    <w:rsid w:val="00592D6E"/>
    <w:rsid w:val="0059421A"/>
    <w:rsid w:val="005948F0"/>
    <w:rsid w:val="005979EB"/>
    <w:rsid w:val="005A03A9"/>
    <w:rsid w:val="005A1EFC"/>
    <w:rsid w:val="005A6ACE"/>
    <w:rsid w:val="005B0E84"/>
    <w:rsid w:val="005B1B53"/>
    <w:rsid w:val="005B4E4C"/>
    <w:rsid w:val="005B6D05"/>
    <w:rsid w:val="005C103A"/>
    <w:rsid w:val="005D2336"/>
    <w:rsid w:val="005D51CA"/>
    <w:rsid w:val="005E6BD0"/>
    <w:rsid w:val="005E7E89"/>
    <w:rsid w:val="0060094A"/>
    <w:rsid w:val="006014EC"/>
    <w:rsid w:val="00603743"/>
    <w:rsid w:val="00606D70"/>
    <w:rsid w:val="00610F84"/>
    <w:rsid w:val="00614999"/>
    <w:rsid w:val="00622F43"/>
    <w:rsid w:val="00623EC9"/>
    <w:rsid w:val="00625AA5"/>
    <w:rsid w:val="00632EE6"/>
    <w:rsid w:val="00633616"/>
    <w:rsid w:val="00637AC9"/>
    <w:rsid w:val="00640B12"/>
    <w:rsid w:val="0064258A"/>
    <w:rsid w:val="00643685"/>
    <w:rsid w:val="00643FB6"/>
    <w:rsid w:val="00651522"/>
    <w:rsid w:val="006525C5"/>
    <w:rsid w:val="00654855"/>
    <w:rsid w:val="006553D6"/>
    <w:rsid w:val="00660888"/>
    <w:rsid w:val="006630B2"/>
    <w:rsid w:val="00663EB3"/>
    <w:rsid w:val="00665BB7"/>
    <w:rsid w:val="00666477"/>
    <w:rsid w:val="006668D4"/>
    <w:rsid w:val="0066791B"/>
    <w:rsid w:val="00670F33"/>
    <w:rsid w:val="0067132B"/>
    <w:rsid w:val="00674EAE"/>
    <w:rsid w:val="00676765"/>
    <w:rsid w:val="00685A33"/>
    <w:rsid w:val="00685C3A"/>
    <w:rsid w:val="006A1473"/>
    <w:rsid w:val="006B0D82"/>
    <w:rsid w:val="006D1857"/>
    <w:rsid w:val="006D7B6E"/>
    <w:rsid w:val="006D7BB6"/>
    <w:rsid w:val="006E1D11"/>
    <w:rsid w:val="006E27A5"/>
    <w:rsid w:val="006E4937"/>
    <w:rsid w:val="006E63F3"/>
    <w:rsid w:val="006E6A13"/>
    <w:rsid w:val="006F157C"/>
    <w:rsid w:val="006F202E"/>
    <w:rsid w:val="006F20A4"/>
    <w:rsid w:val="006F3FF3"/>
    <w:rsid w:val="006F5EA0"/>
    <w:rsid w:val="006F7575"/>
    <w:rsid w:val="00714E40"/>
    <w:rsid w:val="00715C88"/>
    <w:rsid w:val="00715D8F"/>
    <w:rsid w:val="00725F93"/>
    <w:rsid w:val="0073367E"/>
    <w:rsid w:val="0073437F"/>
    <w:rsid w:val="0073581B"/>
    <w:rsid w:val="00741591"/>
    <w:rsid w:val="00741F6B"/>
    <w:rsid w:val="007452E2"/>
    <w:rsid w:val="00747C79"/>
    <w:rsid w:val="00751CCA"/>
    <w:rsid w:val="00754057"/>
    <w:rsid w:val="0075770C"/>
    <w:rsid w:val="0076028F"/>
    <w:rsid w:val="00762722"/>
    <w:rsid w:val="00762FE3"/>
    <w:rsid w:val="0076667B"/>
    <w:rsid w:val="00767573"/>
    <w:rsid w:val="007703A2"/>
    <w:rsid w:val="007814D6"/>
    <w:rsid w:val="007846C7"/>
    <w:rsid w:val="00784AF8"/>
    <w:rsid w:val="007859CD"/>
    <w:rsid w:val="007A6523"/>
    <w:rsid w:val="007A7272"/>
    <w:rsid w:val="007A7814"/>
    <w:rsid w:val="007B26CD"/>
    <w:rsid w:val="007B3D0C"/>
    <w:rsid w:val="007B5BA5"/>
    <w:rsid w:val="007B720C"/>
    <w:rsid w:val="007C0C8C"/>
    <w:rsid w:val="007C4E46"/>
    <w:rsid w:val="007C6F35"/>
    <w:rsid w:val="007D0566"/>
    <w:rsid w:val="007D268B"/>
    <w:rsid w:val="007D38A9"/>
    <w:rsid w:val="007D4651"/>
    <w:rsid w:val="007D7CFE"/>
    <w:rsid w:val="007E314A"/>
    <w:rsid w:val="007E5841"/>
    <w:rsid w:val="007E6F28"/>
    <w:rsid w:val="007F4528"/>
    <w:rsid w:val="007F6F57"/>
    <w:rsid w:val="008010A6"/>
    <w:rsid w:val="00804E1C"/>
    <w:rsid w:val="00810A4C"/>
    <w:rsid w:val="00813E3C"/>
    <w:rsid w:val="0081609E"/>
    <w:rsid w:val="00822C6B"/>
    <w:rsid w:val="00826AEC"/>
    <w:rsid w:val="00826D9D"/>
    <w:rsid w:val="008277A9"/>
    <w:rsid w:val="00842FFE"/>
    <w:rsid w:val="008501C7"/>
    <w:rsid w:val="00851B4B"/>
    <w:rsid w:val="0085741B"/>
    <w:rsid w:val="00861640"/>
    <w:rsid w:val="008718E5"/>
    <w:rsid w:val="008844B1"/>
    <w:rsid w:val="00891B11"/>
    <w:rsid w:val="00892181"/>
    <w:rsid w:val="00892DE1"/>
    <w:rsid w:val="00895722"/>
    <w:rsid w:val="008A2427"/>
    <w:rsid w:val="008B110A"/>
    <w:rsid w:val="008C079A"/>
    <w:rsid w:val="008D5E9E"/>
    <w:rsid w:val="008E0F73"/>
    <w:rsid w:val="008E5C4F"/>
    <w:rsid w:val="008E7869"/>
    <w:rsid w:val="008E7927"/>
    <w:rsid w:val="008F312E"/>
    <w:rsid w:val="008F4BCE"/>
    <w:rsid w:val="008F5DBB"/>
    <w:rsid w:val="00910163"/>
    <w:rsid w:val="009121F7"/>
    <w:rsid w:val="00916532"/>
    <w:rsid w:val="0092100D"/>
    <w:rsid w:val="00924E88"/>
    <w:rsid w:val="0093522C"/>
    <w:rsid w:val="00935D14"/>
    <w:rsid w:val="00942163"/>
    <w:rsid w:val="0094219B"/>
    <w:rsid w:val="00950874"/>
    <w:rsid w:val="00951347"/>
    <w:rsid w:val="00956270"/>
    <w:rsid w:val="00964466"/>
    <w:rsid w:val="00965F44"/>
    <w:rsid w:val="00972FCF"/>
    <w:rsid w:val="00981FB0"/>
    <w:rsid w:val="00986297"/>
    <w:rsid w:val="0099341E"/>
    <w:rsid w:val="00993857"/>
    <w:rsid w:val="00995540"/>
    <w:rsid w:val="00997A06"/>
    <w:rsid w:val="009A12F9"/>
    <w:rsid w:val="009A1EA3"/>
    <w:rsid w:val="009A3187"/>
    <w:rsid w:val="009A47FE"/>
    <w:rsid w:val="009A5380"/>
    <w:rsid w:val="009A7441"/>
    <w:rsid w:val="009B7148"/>
    <w:rsid w:val="009B7429"/>
    <w:rsid w:val="009C0583"/>
    <w:rsid w:val="009C0B93"/>
    <w:rsid w:val="009C361A"/>
    <w:rsid w:val="009C3938"/>
    <w:rsid w:val="009C4027"/>
    <w:rsid w:val="009D0D94"/>
    <w:rsid w:val="009D1232"/>
    <w:rsid w:val="009D25F9"/>
    <w:rsid w:val="009D2C22"/>
    <w:rsid w:val="009D72CF"/>
    <w:rsid w:val="009F164F"/>
    <w:rsid w:val="009F1C62"/>
    <w:rsid w:val="009F530C"/>
    <w:rsid w:val="009F628A"/>
    <w:rsid w:val="00A0113A"/>
    <w:rsid w:val="00A15244"/>
    <w:rsid w:val="00A159B6"/>
    <w:rsid w:val="00A2151F"/>
    <w:rsid w:val="00A21A6A"/>
    <w:rsid w:val="00A25906"/>
    <w:rsid w:val="00A26C76"/>
    <w:rsid w:val="00A305E5"/>
    <w:rsid w:val="00A32AA1"/>
    <w:rsid w:val="00A446DB"/>
    <w:rsid w:val="00A46630"/>
    <w:rsid w:val="00A53877"/>
    <w:rsid w:val="00A54CC2"/>
    <w:rsid w:val="00A64AE4"/>
    <w:rsid w:val="00A706A2"/>
    <w:rsid w:val="00A7383F"/>
    <w:rsid w:val="00A73E45"/>
    <w:rsid w:val="00A74F16"/>
    <w:rsid w:val="00A75E19"/>
    <w:rsid w:val="00A775C6"/>
    <w:rsid w:val="00A875EE"/>
    <w:rsid w:val="00A900E8"/>
    <w:rsid w:val="00A92D6E"/>
    <w:rsid w:val="00A970F8"/>
    <w:rsid w:val="00AA11B9"/>
    <w:rsid w:val="00AA54A5"/>
    <w:rsid w:val="00AA6C6B"/>
    <w:rsid w:val="00AA7DB0"/>
    <w:rsid w:val="00AB2522"/>
    <w:rsid w:val="00AB52BE"/>
    <w:rsid w:val="00AC7961"/>
    <w:rsid w:val="00AD5816"/>
    <w:rsid w:val="00AE2039"/>
    <w:rsid w:val="00AE50A8"/>
    <w:rsid w:val="00AF073D"/>
    <w:rsid w:val="00AF4290"/>
    <w:rsid w:val="00AF68D3"/>
    <w:rsid w:val="00AF7ACE"/>
    <w:rsid w:val="00B00205"/>
    <w:rsid w:val="00B04D97"/>
    <w:rsid w:val="00B05AC1"/>
    <w:rsid w:val="00B136D6"/>
    <w:rsid w:val="00B21010"/>
    <w:rsid w:val="00B26014"/>
    <w:rsid w:val="00B2709E"/>
    <w:rsid w:val="00B35FDC"/>
    <w:rsid w:val="00B43892"/>
    <w:rsid w:val="00B468EF"/>
    <w:rsid w:val="00B5017E"/>
    <w:rsid w:val="00B5079C"/>
    <w:rsid w:val="00B579BB"/>
    <w:rsid w:val="00B57AAB"/>
    <w:rsid w:val="00B57CED"/>
    <w:rsid w:val="00B606D0"/>
    <w:rsid w:val="00B632B3"/>
    <w:rsid w:val="00B667BC"/>
    <w:rsid w:val="00B7136E"/>
    <w:rsid w:val="00B83CAC"/>
    <w:rsid w:val="00B84995"/>
    <w:rsid w:val="00B86812"/>
    <w:rsid w:val="00B917E5"/>
    <w:rsid w:val="00B9286A"/>
    <w:rsid w:val="00B95BBF"/>
    <w:rsid w:val="00B96036"/>
    <w:rsid w:val="00BA3920"/>
    <w:rsid w:val="00BB1AAC"/>
    <w:rsid w:val="00BB4C28"/>
    <w:rsid w:val="00BB5426"/>
    <w:rsid w:val="00BC2768"/>
    <w:rsid w:val="00BC4F9E"/>
    <w:rsid w:val="00BC647C"/>
    <w:rsid w:val="00BC7539"/>
    <w:rsid w:val="00BC79C1"/>
    <w:rsid w:val="00BD1088"/>
    <w:rsid w:val="00BD3A7C"/>
    <w:rsid w:val="00BD4961"/>
    <w:rsid w:val="00BF1481"/>
    <w:rsid w:val="00BF2610"/>
    <w:rsid w:val="00C02FE1"/>
    <w:rsid w:val="00C069B8"/>
    <w:rsid w:val="00C074EF"/>
    <w:rsid w:val="00C12720"/>
    <w:rsid w:val="00C15432"/>
    <w:rsid w:val="00C15AC4"/>
    <w:rsid w:val="00C2773E"/>
    <w:rsid w:val="00C3128B"/>
    <w:rsid w:val="00C33674"/>
    <w:rsid w:val="00C3385B"/>
    <w:rsid w:val="00C41470"/>
    <w:rsid w:val="00C41FF2"/>
    <w:rsid w:val="00C54747"/>
    <w:rsid w:val="00C56C98"/>
    <w:rsid w:val="00C6254D"/>
    <w:rsid w:val="00C646C4"/>
    <w:rsid w:val="00C76463"/>
    <w:rsid w:val="00C85696"/>
    <w:rsid w:val="00C9002C"/>
    <w:rsid w:val="00C91204"/>
    <w:rsid w:val="00C922D7"/>
    <w:rsid w:val="00C935C2"/>
    <w:rsid w:val="00C93727"/>
    <w:rsid w:val="00C95BFB"/>
    <w:rsid w:val="00CA19F5"/>
    <w:rsid w:val="00CA57D4"/>
    <w:rsid w:val="00CA6173"/>
    <w:rsid w:val="00CA65FF"/>
    <w:rsid w:val="00CB0938"/>
    <w:rsid w:val="00CB220A"/>
    <w:rsid w:val="00CC2800"/>
    <w:rsid w:val="00CC3420"/>
    <w:rsid w:val="00CC3BC7"/>
    <w:rsid w:val="00CC547C"/>
    <w:rsid w:val="00CC60FF"/>
    <w:rsid w:val="00CD7760"/>
    <w:rsid w:val="00CE0468"/>
    <w:rsid w:val="00CE123C"/>
    <w:rsid w:val="00CE13DA"/>
    <w:rsid w:val="00CE3C39"/>
    <w:rsid w:val="00CE75B5"/>
    <w:rsid w:val="00CF0F94"/>
    <w:rsid w:val="00CF2D98"/>
    <w:rsid w:val="00CF5AB1"/>
    <w:rsid w:val="00CF73B4"/>
    <w:rsid w:val="00D00E78"/>
    <w:rsid w:val="00D01738"/>
    <w:rsid w:val="00D1383A"/>
    <w:rsid w:val="00D24DA4"/>
    <w:rsid w:val="00D26F28"/>
    <w:rsid w:val="00D30D15"/>
    <w:rsid w:val="00D32839"/>
    <w:rsid w:val="00D33EE3"/>
    <w:rsid w:val="00D343EC"/>
    <w:rsid w:val="00D36EA4"/>
    <w:rsid w:val="00D40769"/>
    <w:rsid w:val="00D4202F"/>
    <w:rsid w:val="00D43052"/>
    <w:rsid w:val="00D436D4"/>
    <w:rsid w:val="00D466D2"/>
    <w:rsid w:val="00D50ABF"/>
    <w:rsid w:val="00D51EBD"/>
    <w:rsid w:val="00D532B4"/>
    <w:rsid w:val="00D616E2"/>
    <w:rsid w:val="00D63CFC"/>
    <w:rsid w:val="00D66D34"/>
    <w:rsid w:val="00D71030"/>
    <w:rsid w:val="00D716E4"/>
    <w:rsid w:val="00D73D1A"/>
    <w:rsid w:val="00D7427C"/>
    <w:rsid w:val="00D75C74"/>
    <w:rsid w:val="00D858E5"/>
    <w:rsid w:val="00DA53C7"/>
    <w:rsid w:val="00DA5809"/>
    <w:rsid w:val="00DA7B48"/>
    <w:rsid w:val="00DA7C18"/>
    <w:rsid w:val="00DB2350"/>
    <w:rsid w:val="00DB4551"/>
    <w:rsid w:val="00DC1048"/>
    <w:rsid w:val="00DC44CF"/>
    <w:rsid w:val="00DC6DE1"/>
    <w:rsid w:val="00DD01C5"/>
    <w:rsid w:val="00DD23C0"/>
    <w:rsid w:val="00DD4AB3"/>
    <w:rsid w:val="00DD4D5D"/>
    <w:rsid w:val="00DE4D85"/>
    <w:rsid w:val="00DE6D9A"/>
    <w:rsid w:val="00DE6DD3"/>
    <w:rsid w:val="00DF18B6"/>
    <w:rsid w:val="00DF317F"/>
    <w:rsid w:val="00DF3C7A"/>
    <w:rsid w:val="00DF70C1"/>
    <w:rsid w:val="00DF71A8"/>
    <w:rsid w:val="00E027B0"/>
    <w:rsid w:val="00E02A24"/>
    <w:rsid w:val="00E11403"/>
    <w:rsid w:val="00E16925"/>
    <w:rsid w:val="00E27247"/>
    <w:rsid w:val="00E31CA5"/>
    <w:rsid w:val="00E3382E"/>
    <w:rsid w:val="00E3492D"/>
    <w:rsid w:val="00E3753A"/>
    <w:rsid w:val="00E42E28"/>
    <w:rsid w:val="00E43BF3"/>
    <w:rsid w:val="00E45C4B"/>
    <w:rsid w:val="00E47525"/>
    <w:rsid w:val="00E47720"/>
    <w:rsid w:val="00E47F91"/>
    <w:rsid w:val="00E5126C"/>
    <w:rsid w:val="00E545F1"/>
    <w:rsid w:val="00E570ED"/>
    <w:rsid w:val="00E627ED"/>
    <w:rsid w:val="00E63798"/>
    <w:rsid w:val="00E6619D"/>
    <w:rsid w:val="00E7442E"/>
    <w:rsid w:val="00E82188"/>
    <w:rsid w:val="00E825A1"/>
    <w:rsid w:val="00E85293"/>
    <w:rsid w:val="00E94F03"/>
    <w:rsid w:val="00EA37FC"/>
    <w:rsid w:val="00EA68DF"/>
    <w:rsid w:val="00EB0687"/>
    <w:rsid w:val="00EB0FC5"/>
    <w:rsid w:val="00EB1910"/>
    <w:rsid w:val="00EB317F"/>
    <w:rsid w:val="00EB335D"/>
    <w:rsid w:val="00EB62F2"/>
    <w:rsid w:val="00ED2C29"/>
    <w:rsid w:val="00ED3624"/>
    <w:rsid w:val="00ED7253"/>
    <w:rsid w:val="00EE02F0"/>
    <w:rsid w:val="00EE2F16"/>
    <w:rsid w:val="00EE72DB"/>
    <w:rsid w:val="00EF56F9"/>
    <w:rsid w:val="00F03418"/>
    <w:rsid w:val="00F0775B"/>
    <w:rsid w:val="00F10A29"/>
    <w:rsid w:val="00F10ACE"/>
    <w:rsid w:val="00F16658"/>
    <w:rsid w:val="00F16692"/>
    <w:rsid w:val="00F20D0D"/>
    <w:rsid w:val="00F229CE"/>
    <w:rsid w:val="00F23065"/>
    <w:rsid w:val="00F26087"/>
    <w:rsid w:val="00F27024"/>
    <w:rsid w:val="00F341FB"/>
    <w:rsid w:val="00F37AD2"/>
    <w:rsid w:val="00F4680E"/>
    <w:rsid w:val="00F46EBB"/>
    <w:rsid w:val="00F47088"/>
    <w:rsid w:val="00F51B37"/>
    <w:rsid w:val="00F641E1"/>
    <w:rsid w:val="00F644EA"/>
    <w:rsid w:val="00F70871"/>
    <w:rsid w:val="00F75C84"/>
    <w:rsid w:val="00F762E5"/>
    <w:rsid w:val="00F76491"/>
    <w:rsid w:val="00FA3B81"/>
    <w:rsid w:val="00FA5DE4"/>
    <w:rsid w:val="00FA5E7B"/>
    <w:rsid w:val="00FB2C2F"/>
    <w:rsid w:val="00FB5F5C"/>
    <w:rsid w:val="00FC3884"/>
    <w:rsid w:val="00FC5617"/>
    <w:rsid w:val="00FD61B9"/>
    <w:rsid w:val="00FE56B8"/>
    <w:rsid w:val="00FE65DB"/>
    <w:rsid w:val="00FE6FD3"/>
    <w:rsid w:val="00FF0C96"/>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AF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4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51055">
      <w:bodyDiv w:val="1"/>
      <w:marLeft w:val="0"/>
      <w:marRight w:val="0"/>
      <w:marTop w:val="0"/>
      <w:marBottom w:val="0"/>
      <w:divBdr>
        <w:top w:val="none" w:sz="0" w:space="0" w:color="auto"/>
        <w:left w:val="none" w:sz="0" w:space="0" w:color="auto"/>
        <w:bottom w:val="none" w:sz="0" w:space="0" w:color="auto"/>
        <w:right w:val="none" w:sz="0" w:space="0" w:color="auto"/>
      </w:divBdr>
    </w:div>
    <w:div w:id="528221259">
      <w:bodyDiv w:val="1"/>
      <w:marLeft w:val="0"/>
      <w:marRight w:val="0"/>
      <w:marTop w:val="0"/>
      <w:marBottom w:val="0"/>
      <w:divBdr>
        <w:top w:val="none" w:sz="0" w:space="0" w:color="auto"/>
        <w:left w:val="none" w:sz="0" w:space="0" w:color="auto"/>
        <w:bottom w:val="none" w:sz="0" w:space="0" w:color="auto"/>
        <w:right w:val="none" w:sz="0" w:space="0" w:color="auto"/>
      </w:divBdr>
    </w:div>
    <w:div w:id="1241788255">
      <w:bodyDiv w:val="1"/>
      <w:marLeft w:val="0"/>
      <w:marRight w:val="0"/>
      <w:marTop w:val="0"/>
      <w:marBottom w:val="0"/>
      <w:divBdr>
        <w:top w:val="none" w:sz="0" w:space="0" w:color="auto"/>
        <w:left w:val="none" w:sz="0" w:space="0" w:color="auto"/>
        <w:bottom w:val="none" w:sz="0" w:space="0" w:color="auto"/>
        <w:right w:val="none" w:sz="0" w:space="0" w:color="auto"/>
      </w:divBdr>
    </w:div>
    <w:div w:id="1562714576">
      <w:bodyDiv w:val="1"/>
      <w:marLeft w:val="0"/>
      <w:marRight w:val="0"/>
      <w:marTop w:val="0"/>
      <w:marBottom w:val="0"/>
      <w:divBdr>
        <w:top w:val="none" w:sz="0" w:space="0" w:color="auto"/>
        <w:left w:val="none" w:sz="0" w:space="0" w:color="auto"/>
        <w:bottom w:val="none" w:sz="0" w:space="0" w:color="auto"/>
        <w:right w:val="none" w:sz="0" w:space="0" w:color="auto"/>
      </w:divBdr>
      <w:divsChild>
        <w:div w:id="330841121">
          <w:marLeft w:val="150"/>
          <w:marRight w:val="0"/>
          <w:marTop w:val="90"/>
          <w:marBottom w:val="0"/>
          <w:divBdr>
            <w:top w:val="none" w:sz="0" w:space="0" w:color="auto"/>
            <w:left w:val="none" w:sz="0" w:space="0" w:color="auto"/>
            <w:bottom w:val="none" w:sz="0" w:space="0" w:color="auto"/>
            <w:right w:val="none" w:sz="0" w:space="0" w:color="auto"/>
          </w:divBdr>
        </w:div>
        <w:div w:id="1742369145">
          <w:marLeft w:val="0"/>
          <w:marRight w:val="0"/>
          <w:marTop w:val="0"/>
          <w:marBottom w:val="0"/>
          <w:divBdr>
            <w:top w:val="none" w:sz="0" w:space="0" w:color="auto"/>
            <w:left w:val="none" w:sz="0" w:space="0" w:color="auto"/>
            <w:bottom w:val="none" w:sz="0" w:space="0" w:color="auto"/>
            <w:right w:val="none" w:sz="0" w:space="0" w:color="auto"/>
          </w:divBdr>
        </w:div>
      </w:divsChild>
    </w:div>
    <w:div w:id="198950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image" Target="media/image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image" Target="media/image8.emf"/><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image" Target="media/image6.png"/><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image" Target="media/image5.png"/><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9498225939067"/>
          <c:y val="5.5791123124534804E-2"/>
          <c:w val="0.83391271175769066"/>
          <c:h val="0.80126062600383918"/>
        </c:manualLayout>
      </c:layout>
      <c:barChart>
        <c:barDir val="col"/>
        <c:grouping val="clustered"/>
        <c:varyColors val="0"/>
        <c:ser>
          <c:idx val="0"/>
          <c:order val="0"/>
          <c:tx>
            <c:strRef>
              <c:f>Hoja1!$B$1</c:f>
              <c:strCache>
                <c:ptCount val="1"/>
                <c:pt idx="0">
                  <c:v>Meta </c:v>
                </c:pt>
              </c:strCache>
            </c:strRef>
          </c:tx>
          <c:spPr>
            <a:solidFill>
              <a:schemeClr val="accent1"/>
            </a:solidFill>
            <a:ln w="19050">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E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Ene</c:v>
                </c:pt>
                <c:pt idx="1">
                  <c:v>Feb</c:v>
                </c:pt>
                <c:pt idx="2">
                  <c:v>Mar</c:v>
                </c:pt>
                <c:pt idx="3">
                  <c:v>Abr</c:v>
                </c:pt>
                <c:pt idx="4">
                  <c:v>Mayo</c:v>
                </c:pt>
              </c:strCache>
            </c:strRef>
          </c:cat>
          <c:val>
            <c:numRef>
              <c:f>Hoja1!$B$2:$B$6</c:f>
              <c:numCache>
                <c:formatCode>General</c:formatCode>
                <c:ptCount val="5"/>
                <c:pt idx="0">
                  <c:v>5627.4079276378061</c:v>
                </c:pt>
                <c:pt idx="1">
                  <c:v>9420.3649598502616</c:v>
                </c:pt>
                <c:pt idx="2">
                  <c:v>14443.607339051541</c:v>
                </c:pt>
                <c:pt idx="3" formatCode="#,##0.0">
                  <c:v>20153.724834818382</c:v>
                </c:pt>
                <c:pt idx="4">
                  <c:v>24224.79805819508</c:v>
                </c:pt>
              </c:numCache>
            </c:numRef>
          </c:val>
          <c:extLst xmlns:c16r2="http://schemas.microsoft.com/office/drawing/2015/06/chart">
            <c:ext xmlns:c16="http://schemas.microsoft.com/office/drawing/2014/chart" uri="{C3380CC4-5D6E-409C-BE32-E72D297353CC}">
              <c16:uniqueId val="{00000000-7D77-45B9-B875-2A4D6B3024AF}"/>
            </c:ext>
          </c:extLst>
        </c:ser>
        <c:ser>
          <c:idx val="1"/>
          <c:order val="1"/>
          <c:tx>
            <c:strRef>
              <c:f>Hoja1!$C$1</c:f>
              <c:strCache>
                <c:ptCount val="1"/>
                <c:pt idx="0">
                  <c:v>Obs</c:v>
                </c:pt>
              </c:strCache>
            </c:strRef>
          </c:tx>
          <c:spPr>
            <a:solidFill>
              <a:schemeClr val="accent6">
                <a:lumMod val="75000"/>
              </a:schemeClr>
            </a:solidFill>
            <a:ln w="19050">
              <a:noFill/>
            </a:ln>
            <a:effectLst/>
          </c:spPr>
          <c:invertIfNegative val="0"/>
          <c:dLbls>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E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Ene</c:v>
                </c:pt>
                <c:pt idx="1">
                  <c:v>Feb</c:v>
                </c:pt>
                <c:pt idx="2">
                  <c:v>Mar</c:v>
                </c:pt>
                <c:pt idx="3">
                  <c:v>Abr</c:v>
                </c:pt>
                <c:pt idx="4">
                  <c:v>Mayo</c:v>
                </c:pt>
              </c:strCache>
            </c:strRef>
          </c:cat>
          <c:val>
            <c:numRef>
              <c:f>Hoja1!$C$2:$C$6</c:f>
              <c:numCache>
                <c:formatCode>General</c:formatCode>
                <c:ptCount val="5"/>
                <c:pt idx="0">
                  <c:v>5745.0720704000005</c:v>
                </c:pt>
                <c:pt idx="1">
                  <c:v>9531.9678450500014</c:v>
                </c:pt>
                <c:pt idx="2">
                  <c:v>14323.354197380002</c:v>
                </c:pt>
                <c:pt idx="3" formatCode="#,##0.0">
                  <c:v>20384.614494810005</c:v>
                </c:pt>
                <c:pt idx="4">
                  <c:v>24684.786471670002</c:v>
                </c:pt>
              </c:numCache>
            </c:numRef>
          </c:val>
          <c:extLst xmlns:c16r2="http://schemas.microsoft.com/office/drawing/2015/06/chart">
            <c:ext xmlns:c16="http://schemas.microsoft.com/office/drawing/2014/chart" uri="{C3380CC4-5D6E-409C-BE32-E72D297353CC}">
              <c16:uniqueId val="{00000001-7D77-45B9-B875-2A4D6B3024AF}"/>
            </c:ext>
          </c:extLst>
        </c:ser>
        <c:dLbls>
          <c:showLegendKey val="0"/>
          <c:showVal val="0"/>
          <c:showCatName val="0"/>
          <c:showSerName val="0"/>
          <c:showPercent val="0"/>
          <c:showBubbleSize val="0"/>
        </c:dLbls>
        <c:gapWidth val="40"/>
        <c:overlap val="-13"/>
        <c:axId val="79572352"/>
        <c:axId val="79574144"/>
      </c:barChart>
      <c:catAx>
        <c:axId val="795723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9574144"/>
        <c:crosses val="autoZero"/>
        <c:auto val="1"/>
        <c:lblAlgn val="ctr"/>
        <c:lblOffset val="100"/>
        <c:noMultiLvlLbl val="0"/>
      </c:catAx>
      <c:valAx>
        <c:axId val="79574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9572352"/>
        <c:crosses val="autoZero"/>
        <c:crossBetween val="between"/>
        <c:majorUnit val="2500"/>
      </c:valAx>
      <c:spPr>
        <a:noFill/>
        <a:ln>
          <a:noFill/>
        </a:ln>
        <a:effectLst/>
      </c:spPr>
    </c:plotArea>
    <c:legend>
      <c:legendPos val="b"/>
      <c:layout>
        <c:manualLayout>
          <c:xMode val="edge"/>
          <c:yMode val="edge"/>
          <c:x val="0.29094969666891357"/>
          <c:y val="0.92076468053433624"/>
          <c:w val="0.31426433878267568"/>
          <c:h val="7.893211109805303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legend>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9498225939067"/>
          <c:y val="2.5242165242165243E-2"/>
          <c:w val="0.83391271175769066"/>
          <c:h val="0.8983188639881553"/>
        </c:manualLayout>
      </c:layout>
      <c:barChart>
        <c:barDir val="col"/>
        <c:grouping val="clustered"/>
        <c:varyColors val="0"/>
        <c:ser>
          <c:idx val="0"/>
          <c:order val="0"/>
          <c:tx>
            <c:strRef>
              <c:f>Hoja1!$B$1</c:f>
              <c:strCache>
                <c:ptCount val="1"/>
                <c:pt idx="0">
                  <c:v>Aduanas</c:v>
                </c:pt>
              </c:strCache>
            </c:strRef>
          </c:tx>
          <c:spPr>
            <a:solidFill>
              <a:schemeClr val="accent1"/>
            </a:solidFill>
            <a:ln w="19050">
              <a:noFill/>
            </a:ln>
            <a:effectLst/>
          </c:spPr>
          <c:invertIfNegative val="0"/>
          <c:dPt>
            <c:idx val="0"/>
            <c:invertIfNegative val="0"/>
            <c:bubble3D val="0"/>
            <c:spPr>
              <a:solidFill>
                <a:schemeClr val="accent5">
                  <a:lumMod val="20000"/>
                  <a:lumOff val="80000"/>
                </a:schemeClr>
              </a:solidFill>
              <a:ln w="19050">
                <a:noFill/>
              </a:ln>
              <a:effectLst/>
            </c:spPr>
            <c:extLst xmlns:c16r2="http://schemas.microsoft.com/office/drawing/2015/06/chart">
              <c:ext xmlns:c16="http://schemas.microsoft.com/office/drawing/2014/chart" uri="{C3380CC4-5D6E-409C-BE32-E72D297353CC}">
                <c16:uniqueId val="{00000001-898E-4800-BC5F-F6265E882CC7}"/>
              </c:ext>
            </c:extLst>
          </c:dPt>
          <c:dPt>
            <c:idx val="1"/>
            <c:invertIfNegative val="0"/>
            <c:bubble3D val="0"/>
            <c:spPr>
              <a:solidFill>
                <a:schemeClr val="accent5">
                  <a:lumMod val="20000"/>
                  <a:lumOff val="80000"/>
                </a:schemeClr>
              </a:solidFill>
              <a:ln w="19050">
                <a:noFill/>
              </a:ln>
              <a:effectLst/>
            </c:spPr>
            <c:extLst xmlns:c16r2="http://schemas.microsoft.com/office/drawing/2015/06/chart">
              <c:ext xmlns:c16="http://schemas.microsoft.com/office/drawing/2014/chart" uri="{C3380CC4-5D6E-409C-BE32-E72D297353CC}">
                <c16:uniqueId val="{00000003-898E-4800-BC5F-F6265E882CC7}"/>
              </c:ext>
            </c:extLst>
          </c:dPt>
          <c:dPt>
            <c:idx val="3"/>
            <c:invertIfNegative val="0"/>
            <c:bubble3D val="0"/>
            <c:spPr>
              <a:solidFill>
                <a:srgbClr val="00B050"/>
              </a:solidFill>
              <a:ln w="19050">
                <a:noFill/>
              </a:ln>
              <a:effectLst/>
            </c:spPr>
            <c:extLst xmlns:c16r2="http://schemas.microsoft.com/office/drawing/2015/06/chart">
              <c:ext xmlns:c16="http://schemas.microsoft.com/office/drawing/2014/chart" uri="{C3380CC4-5D6E-409C-BE32-E72D297353CC}">
                <c16:uniqueId val="{00000005-898E-4800-BC5F-F6265E882CC7}"/>
              </c:ext>
            </c:extLst>
          </c:dPt>
          <c:dPt>
            <c:idx val="4"/>
            <c:invertIfNegative val="0"/>
            <c:bubble3D val="0"/>
            <c:spPr>
              <a:solidFill>
                <a:srgbClr val="FF0000"/>
              </a:solidFill>
              <a:ln w="19050">
                <a:noFill/>
              </a:ln>
              <a:effectLst/>
            </c:spPr>
            <c:extLst xmlns:c16r2="http://schemas.microsoft.com/office/drawing/2015/06/chart">
              <c:ext xmlns:c16="http://schemas.microsoft.com/office/drawing/2014/chart" uri="{C3380CC4-5D6E-409C-BE32-E72D297353CC}">
                <c16:uniqueId val="{00000007-898E-4800-BC5F-F6265E882CC7}"/>
              </c:ext>
            </c:extLst>
          </c:dPt>
          <c:dLbls>
            <c:dLbl>
              <c:idx val="0"/>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inBase"/>
              <c:showLegendKey val="0"/>
              <c:showVal val="1"/>
              <c:showCatName val="0"/>
              <c:showSerName val="0"/>
              <c:showPercent val="0"/>
              <c:showBubbleSize val="0"/>
            </c:dLbl>
            <c:dLbl>
              <c:idx val="1"/>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ES"/>
                </a:p>
              </c:txPr>
              <c:dLblPos val="inBase"/>
              <c:showLegendKey val="0"/>
              <c:showVal val="1"/>
              <c:showCatName val="0"/>
              <c:showSerName val="0"/>
              <c:showPercent val="0"/>
              <c:showBubbleSize val="0"/>
            </c:dLbl>
            <c:numFmt formatCode="#,##0.0" sourceLinked="0"/>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s-ES"/>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Hoja1!$A$2:$A$6</c:f>
              <c:strCache>
                <c:ptCount val="5"/>
                <c:pt idx="0">
                  <c:v>2016</c:v>
                </c:pt>
                <c:pt idx="1">
                  <c:v>2017</c:v>
                </c:pt>
                <c:pt idx="2">
                  <c:v>2018</c:v>
                </c:pt>
                <c:pt idx="3">
                  <c:v>Pres</c:v>
                </c:pt>
                <c:pt idx="4">
                  <c:v>Cierre SAT</c:v>
                </c:pt>
              </c:strCache>
            </c:strRef>
          </c:cat>
          <c:val>
            <c:numRef>
              <c:f>Hoja1!$B$2:$B$6</c:f>
              <c:numCache>
                <c:formatCode>General</c:formatCode>
                <c:ptCount val="5"/>
                <c:pt idx="0">
                  <c:v>5811.8578637700002</c:v>
                </c:pt>
                <c:pt idx="1">
                  <c:v>6012.7678454699999</c:v>
                </c:pt>
                <c:pt idx="2">
                  <c:v>6621.8022225300001</c:v>
                </c:pt>
                <c:pt idx="3">
                  <c:v>6499.7190247100007</c:v>
                </c:pt>
                <c:pt idx="4">
                  <c:v>6674.7963512700917</c:v>
                </c:pt>
              </c:numCache>
            </c:numRef>
          </c:val>
          <c:extLst xmlns:c16r2="http://schemas.microsoft.com/office/drawing/2015/06/chart">
            <c:ext xmlns:c16="http://schemas.microsoft.com/office/drawing/2014/chart" uri="{C3380CC4-5D6E-409C-BE32-E72D297353CC}">
              <c16:uniqueId val="{00000008-898E-4800-BC5F-F6265E882CC7}"/>
            </c:ext>
          </c:extLst>
        </c:ser>
        <c:dLbls>
          <c:showLegendKey val="0"/>
          <c:showVal val="0"/>
          <c:showCatName val="0"/>
          <c:showSerName val="0"/>
          <c:showPercent val="0"/>
          <c:showBubbleSize val="0"/>
        </c:dLbls>
        <c:gapWidth val="40"/>
        <c:overlap val="-13"/>
        <c:axId val="79599104"/>
        <c:axId val="79600640"/>
      </c:barChart>
      <c:catAx>
        <c:axId val="795991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9600640"/>
        <c:crosses val="autoZero"/>
        <c:auto val="1"/>
        <c:lblAlgn val="ctr"/>
        <c:lblOffset val="100"/>
        <c:noMultiLvlLbl val="0"/>
      </c:catAx>
      <c:valAx>
        <c:axId val="79600640"/>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ES"/>
          </a:p>
        </c:txPr>
        <c:crossAx val="795991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56817-8A37-4503-A7A7-7683C8E9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2155</Words>
  <Characters>11854</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René Augusto Castro González</cp:lastModifiedBy>
  <cp:revision>2</cp:revision>
  <dcterms:created xsi:type="dcterms:W3CDTF">2018-06-29T21:11:00Z</dcterms:created>
  <dcterms:modified xsi:type="dcterms:W3CDTF">2018-06-29T21:11:00Z</dcterms:modified>
</cp:coreProperties>
</file>