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EF" w:rsidRDefault="0011301B" w:rsidP="002B40DA">
      <w:pPr>
        <w:spacing w:after="0" w:line="240" w:lineRule="auto"/>
        <w:jc w:val="both"/>
        <w:rPr>
          <w:rFonts w:ascii="Times New Roman" w:hAnsi="Times New Roman" w:cs="Times New Roman"/>
          <w:color w:val="FF0000"/>
        </w:rPr>
      </w:pPr>
    </w:p>
    <w:p w:rsidR="00604391" w:rsidRPr="00C500EE" w:rsidRDefault="00604391" w:rsidP="002B40DA">
      <w:pPr>
        <w:spacing w:after="0" w:line="240" w:lineRule="auto"/>
        <w:jc w:val="both"/>
        <w:rPr>
          <w:rFonts w:ascii="Times New Roman" w:hAnsi="Times New Roman" w:cs="Times New Roman"/>
          <w:color w:val="FF0000"/>
        </w:rPr>
      </w:pPr>
    </w:p>
    <w:p w:rsidR="002B40DA" w:rsidRPr="00712FAC" w:rsidRDefault="002B40DA"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2B40DA" w:rsidRPr="00712FAC" w:rsidSect="002B40DA">
          <w:headerReference w:type="default" r:id="rId7"/>
          <w:footerReference w:type="default" r:id="rId8"/>
          <w:pgSz w:w="12240" w:h="15840"/>
          <w:pgMar w:top="1417" w:right="1701" w:bottom="1417" w:left="1701" w:header="708" w:footer="708" w:gutter="0"/>
          <w:cols w:space="708"/>
          <w:docGrid w:linePitch="360"/>
        </w:sectPr>
      </w:pPr>
      <w:r w:rsidRPr="00712FAC">
        <w:rPr>
          <w:rFonts w:ascii="Times New Roman" w:hAnsi="Times New Roman" w:cs="Times New Roman"/>
          <w:b/>
        </w:rPr>
        <w:t>Aumento de recaudación mejora resultado fiscal</w:t>
      </w:r>
    </w:p>
    <w:p w:rsidR="002B40DA" w:rsidRPr="00C500EE" w:rsidRDefault="002B40DA" w:rsidP="002B40DA">
      <w:pPr>
        <w:spacing w:after="0" w:line="240" w:lineRule="auto"/>
        <w:jc w:val="both"/>
        <w:rPr>
          <w:rFonts w:ascii="Times New Roman" w:hAnsi="Times New Roman" w:cs="Times New Roman"/>
          <w:color w:val="FF0000"/>
        </w:rPr>
        <w:sectPr w:rsidR="002B40DA" w:rsidRPr="00C500EE" w:rsidSect="002B40DA">
          <w:type w:val="continuous"/>
          <w:pgSz w:w="12240" w:h="15840"/>
          <w:pgMar w:top="1417" w:right="1701" w:bottom="1417" w:left="1701" w:header="708" w:footer="708" w:gutter="0"/>
          <w:cols w:num="2" w:space="708"/>
          <w:docGrid w:linePitch="360"/>
        </w:sectPr>
      </w:pPr>
    </w:p>
    <w:p w:rsidR="002B40DA" w:rsidRPr="00712FAC" w:rsidRDefault="00C500EE" w:rsidP="002B40DA">
      <w:pPr>
        <w:spacing w:after="0" w:line="240" w:lineRule="auto"/>
        <w:jc w:val="both"/>
        <w:rPr>
          <w:rFonts w:ascii="Times New Roman" w:hAnsi="Times New Roman" w:cs="Times New Roman"/>
        </w:rPr>
        <w:sectPr w:rsidR="002B40DA" w:rsidRPr="00712FAC" w:rsidSect="002B40DA">
          <w:type w:val="continuous"/>
          <w:pgSz w:w="12240" w:h="15840"/>
          <w:pgMar w:top="1417" w:right="1701" w:bottom="1417" w:left="1701" w:header="708" w:footer="708" w:gutter="0"/>
          <w:cols w:num="2" w:space="708"/>
          <w:docGrid w:linePitch="360"/>
        </w:sect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como en años anteriores,</w:t>
      </w:r>
      <w:r w:rsidRPr="00F92177">
        <w:rPr>
          <w:rFonts w:ascii="Times New Roman" w:hAnsi="Times New Roman" w:cs="Times New Roman"/>
          <w:lang w:val="es-MX"/>
        </w:rPr>
        <w:t xml:space="preserve"> un </w:t>
      </w:r>
      <w:r>
        <w:rPr>
          <w:rFonts w:ascii="Times New Roman" w:hAnsi="Times New Roman" w:cs="Times New Roman"/>
          <w:lang w:val="es-MX"/>
        </w:rPr>
        <w:t>superávit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28 de febrero </w:t>
      </w:r>
      <w:r w:rsidRPr="00712FAC">
        <w:rPr>
          <w:rFonts w:ascii="Times New Roman" w:hAnsi="Times New Roman" w:cs="Times New Roman"/>
          <w:lang w:val="es-MX"/>
        </w:rPr>
        <w:t xml:space="preserve">de 2018 en Q1,037.6 millones.  Este superávit está determinado por el incremento en la recaudación tributaria que muestra prácticamente el mismo desempeño del año anterior resaltando el mayor dinamismo en el </w:t>
      </w:r>
      <w:r w:rsidRPr="00712FAC">
        <w:rPr>
          <w:rFonts w:ascii="Times New Roman" w:hAnsi="Times New Roman" w:cs="Times New Roman"/>
          <w:lang w:val="es-MX"/>
        </w:rPr>
        <w:lastRenderedPageBreak/>
        <w:t>impuesto sobre la renta y el IVA doméstico.    Por su parte, el gasto público sigue mostrando un comportamiento bastante moderado, pero con expectativas que la ejecución aumentará en los próximos meses a pesar que no fue aprobado el presupuesto para este año, lo que introduce limitantes en la ejecución.</w:t>
      </w:r>
      <w:r w:rsidRPr="00712FAC">
        <w:rPr>
          <w:rFonts w:ascii="Times New Roman" w:hAnsi="Times New Roman" w:cs="Times New Roman"/>
        </w:rPr>
        <w:t xml:space="preserve"> </w:t>
      </w:r>
    </w:p>
    <w:p w:rsidR="002B40DA" w:rsidRPr="00712FAC" w:rsidRDefault="002B40DA" w:rsidP="002B40DA">
      <w:pPr>
        <w:spacing w:after="0" w:line="240" w:lineRule="auto"/>
        <w:jc w:val="both"/>
        <w:rPr>
          <w:rFonts w:ascii="Times New Roman" w:hAnsi="Times New Roman" w:cs="Times New Roman"/>
        </w:rPr>
        <w:sectPr w:rsidR="002B40DA" w:rsidRPr="00712FAC" w:rsidSect="002B40DA">
          <w:type w:val="continuous"/>
          <w:pgSz w:w="12240" w:h="15840"/>
          <w:pgMar w:top="1417" w:right="1701" w:bottom="1417" w:left="1701" w:header="708" w:footer="708" w:gutter="0"/>
          <w:cols w:space="708"/>
          <w:docGrid w:linePitch="360"/>
        </w:sectPr>
      </w:pPr>
    </w:p>
    <w:p w:rsidR="002B40DA" w:rsidRPr="00712FAC" w:rsidRDefault="002B40DA" w:rsidP="002B40DA">
      <w:pPr>
        <w:spacing w:after="0" w:line="240" w:lineRule="auto"/>
        <w:jc w:val="center"/>
        <w:rPr>
          <w:rFonts w:ascii="Times New Roman" w:hAnsi="Times New Roman" w:cs="Times New Roman"/>
          <w:b/>
          <w:sz w:val="24"/>
        </w:rPr>
      </w:pPr>
      <w:r w:rsidRPr="00712FAC">
        <w:rPr>
          <w:rFonts w:ascii="Times New Roman" w:hAnsi="Times New Roman" w:cs="Times New Roman"/>
          <w:b/>
          <w:sz w:val="24"/>
        </w:rPr>
        <w:lastRenderedPageBreak/>
        <w:t>Resultado Presupuestario</w:t>
      </w:r>
    </w:p>
    <w:p w:rsidR="002B40DA" w:rsidRPr="00712FAC" w:rsidRDefault="00712FAC" w:rsidP="002B40DA">
      <w:pPr>
        <w:spacing w:after="0" w:line="240" w:lineRule="auto"/>
        <w:jc w:val="center"/>
        <w:rPr>
          <w:rFonts w:ascii="Times New Roman" w:hAnsi="Times New Roman" w:cs="Times New Roman"/>
          <w:sz w:val="18"/>
        </w:rPr>
      </w:pPr>
      <w:r w:rsidRPr="00712FAC">
        <w:rPr>
          <w:rFonts w:ascii="Times New Roman" w:hAnsi="Times New Roman" w:cs="Times New Roman"/>
          <w:sz w:val="18"/>
        </w:rPr>
        <w:t>Al 28</w:t>
      </w:r>
      <w:r w:rsidR="002B40DA" w:rsidRPr="00712FAC">
        <w:rPr>
          <w:rFonts w:ascii="Times New Roman" w:hAnsi="Times New Roman" w:cs="Times New Roman"/>
          <w:sz w:val="18"/>
        </w:rPr>
        <w:t xml:space="preserve"> de </w:t>
      </w:r>
      <w:r w:rsidRPr="00712FAC">
        <w:rPr>
          <w:rFonts w:ascii="Times New Roman" w:hAnsi="Times New Roman" w:cs="Times New Roman"/>
          <w:sz w:val="18"/>
        </w:rPr>
        <w:t>febr</w:t>
      </w:r>
      <w:r w:rsidR="002B40DA" w:rsidRPr="00712FAC">
        <w:rPr>
          <w:rFonts w:ascii="Times New Roman" w:hAnsi="Times New Roman" w:cs="Times New Roman"/>
          <w:sz w:val="18"/>
        </w:rPr>
        <w:t>ero de cada año</w:t>
      </w:r>
    </w:p>
    <w:p w:rsidR="002B40DA" w:rsidRPr="00712FAC" w:rsidRDefault="002B40DA" w:rsidP="002B40DA">
      <w:pPr>
        <w:spacing w:after="0" w:line="240" w:lineRule="auto"/>
        <w:jc w:val="center"/>
        <w:rPr>
          <w:rFonts w:ascii="Times New Roman" w:hAnsi="Times New Roman" w:cs="Times New Roman"/>
          <w:sz w:val="18"/>
        </w:rPr>
      </w:pPr>
      <w:r w:rsidRPr="00712FAC">
        <w:rPr>
          <w:rFonts w:ascii="Times New Roman" w:hAnsi="Times New Roman" w:cs="Times New Roman"/>
          <w:sz w:val="18"/>
        </w:rPr>
        <w:t>Millones de quetzales</w:t>
      </w:r>
    </w:p>
    <w:p w:rsidR="002B40DA" w:rsidRPr="00712FAC" w:rsidRDefault="00C500EE" w:rsidP="002B40DA">
      <w:pPr>
        <w:spacing w:after="0" w:line="240" w:lineRule="auto"/>
        <w:jc w:val="both"/>
        <w:rPr>
          <w:rFonts w:ascii="Times New Roman" w:hAnsi="Times New Roman" w:cs="Times New Roman"/>
        </w:rPr>
      </w:pPr>
      <w:r w:rsidRPr="00712FAC">
        <w:rPr>
          <w:rFonts w:ascii="Times New Roman" w:hAnsi="Times New Roman" w:cs="Times New Roman"/>
          <w:noProof/>
          <w:lang w:eastAsia="es-GT"/>
        </w:rPr>
        <w:drawing>
          <wp:inline distT="0" distB="0" distL="0" distR="0" wp14:anchorId="21DECF38" wp14:editId="7BC05F46">
            <wp:extent cx="5570220" cy="2838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45" cy="2857215"/>
                    </a:xfrm>
                    <a:prstGeom prst="rect">
                      <a:avLst/>
                    </a:prstGeom>
                    <a:noFill/>
                  </pic:spPr>
                </pic:pic>
              </a:graphicData>
            </a:graphic>
          </wp:inline>
        </w:drawing>
      </w:r>
    </w:p>
    <w:p w:rsidR="002B40DA" w:rsidRPr="00712FAC" w:rsidRDefault="002B40DA" w:rsidP="00C500EE">
      <w:pPr>
        <w:spacing w:after="0" w:line="240" w:lineRule="auto"/>
        <w:jc w:val="both"/>
        <w:rPr>
          <w:rFonts w:ascii="Times New Roman" w:hAnsi="Times New Roman" w:cs="Times New Roman"/>
          <w:sz w:val="16"/>
        </w:rPr>
      </w:pPr>
      <w:r w:rsidRPr="00712FAC">
        <w:rPr>
          <w:rFonts w:ascii="Times New Roman" w:hAnsi="Times New Roman" w:cs="Times New Roman"/>
          <w:sz w:val="16"/>
        </w:rPr>
        <w:t>Fuente: Dirección de Análisis y Política Fiscal</w:t>
      </w:r>
    </w:p>
    <w:p w:rsidR="002B40DA" w:rsidRPr="00712FAC" w:rsidRDefault="002B40DA" w:rsidP="002B40DA">
      <w:pPr>
        <w:spacing w:after="0" w:line="240" w:lineRule="auto"/>
        <w:jc w:val="both"/>
        <w:rPr>
          <w:rFonts w:ascii="Times New Roman" w:hAnsi="Times New Roman" w:cs="Times New Roman"/>
        </w:rPr>
        <w:sectPr w:rsidR="002B40DA" w:rsidRPr="00712FAC" w:rsidSect="002B40DA">
          <w:type w:val="continuous"/>
          <w:pgSz w:w="12240" w:h="15840"/>
          <w:pgMar w:top="1417" w:right="1701" w:bottom="1417" w:left="1701" w:header="708" w:footer="708" w:gutter="0"/>
          <w:cols w:space="708"/>
          <w:docGrid w:linePitch="360"/>
        </w:sectPr>
      </w:pPr>
    </w:p>
    <w:p w:rsidR="002B40DA" w:rsidRPr="00C500EE" w:rsidRDefault="002B40DA" w:rsidP="002B40DA">
      <w:pPr>
        <w:spacing w:after="0" w:line="240" w:lineRule="auto"/>
        <w:jc w:val="both"/>
        <w:rPr>
          <w:rFonts w:ascii="Times New Roman" w:hAnsi="Times New Roman" w:cs="Times New Roman"/>
          <w:color w:val="FF0000"/>
        </w:rPr>
      </w:pPr>
    </w:p>
    <w:p w:rsidR="002B40DA" w:rsidRPr="000D1ABA" w:rsidRDefault="000D1ABA"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2B40DA" w:rsidRPr="000D1ABA" w:rsidSect="002B40DA">
          <w:type w:val="continuous"/>
          <w:pgSz w:w="12240" w:h="15840"/>
          <w:pgMar w:top="1417" w:right="1701" w:bottom="1417" w:left="1701" w:header="708" w:footer="708" w:gutter="0"/>
          <w:cols w:space="708"/>
          <w:docGrid w:linePitch="360"/>
        </w:sectPr>
      </w:pPr>
      <w:r w:rsidRPr="000D1ABA">
        <w:rPr>
          <w:rFonts w:ascii="Times New Roman" w:hAnsi="Times New Roman" w:cs="Times New Roman"/>
          <w:b/>
        </w:rPr>
        <w:t>La meta mensual de recaudación no se alcanz</w:t>
      </w:r>
      <w:r w:rsidR="006D0964" w:rsidRPr="000D1ABA">
        <w:rPr>
          <w:rFonts w:ascii="Times New Roman" w:hAnsi="Times New Roman" w:cs="Times New Roman"/>
          <w:b/>
        </w:rPr>
        <w:t>ó</w:t>
      </w:r>
    </w:p>
    <w:p w:rsidR="002B40DA" w:rsidRPr="00C500EE" w:rsidRDefault="002B40DA" w:rsidP="002B40DA">
      <w:pPr>
        <w:spacing w:after="0" w:line="240" w:lineRule="auto"/>
        <w:jc w:val="both"/>
        <w:rPr>
          <w:rFonts w:ascii="Times New Roman" w:hAnsi="Times New Roman" w:cs="Times New Roman"/>
          <w:color w:val="FF0000"/>
        </w:rPr>
        <w:sectPr w:rsidR="002B40DA" w:rsidRPr="00C500EE" w:rsidSect="002B40DA">
          <w:type w:val="continuous"/>
          <w:pgSz w:w="12240" w:h="15840"/>
          <w:pgMar w:top="1417" w:right="1701" w:bottom="1417" w:left="1701" w:header="708" w:footer="708" w:gutter="0"/>
          <w:cols w:num="2" w:space="708"/>
          <w:docGrid w:linePitch="360"/>
        </w:sectPr>
      </w:pPr>
    </w:p>
    <w:p w:rsidR="000D1ABA" w:rsidRPr="000D1ABA" w:rsidRDefault="000D1ABA" w:rsidP="00604391">
      <w:pPr>
        <w:spacing w:after="0" w:line="240" w:lineRule="auto"/>
        <w:jc w:val="both"/>
        <w:rPr>
          <w:rFonts w:ascii="Times New Roman" w:hAnsi="Times New Roman" w:cs="Times New Roman"/>
          <w:szCs w:val="20"/>
          <w:lang w:val="es-MX"/>
        </w:rPr>
      </w:pPr>
      <w:r w:rsidRPr="000D1ABA">
        <w:rPr>
          <w:rFonts w:ascii="Times New Roman" w:hAnsi="Times New Roman" w:cs="Times New Roman"/>
          <w:szCs w:val="20"/>
          <w:lang w:val="es-MX"/>
        </w:rPr>
        <w:lastRenderedPageBreak/>
        <w:t xml:space="preserve">Cifras preliminares de febrero generaron una brecha negativa de recaudación de Q6.1 millones, aspectos a considerar de este resultado son la brecha positiva en impuestos como el ISR, patrimonio, IETAAP,  el IVA doméstico, derivados del petróleo, el impuesto al timbre y el de regalías e hidrocarburos compartibles que en conjunto suman Q58.8 millones, el resto de impuestos generaron una brecha negativa de 64.9 millones, con relación a febrero 2017 se observa un crecimiento de 4.6% (Q167.8 millones) que fueron </w:t>
      </w:r>
      <w:r w:rsidRPr="000D1ABA">
        <w:rPr>
          <w:rFonts w:ascii="Times New Roman" w:hAnsi="Times New Roman" w:cs="Times New Roman"/>
          <w:szCs w:val="20"/>
          <w:lang w:val="es-MX"/>
        </w:rPr>
        <w:lastRenderedPageBreak/>
        <w:t>impulsados principalmente por el resultado en IVA total.</w:t>
      </w:r>
    </w:p>
    <w:p w:rsidR="000D1ABA" w:rsidRPr="000D1ABA" w:rsidRDefault="000D1ABA" w:rsidP="00604391">
      <w:pPr>
        <w:spacing w:after="0" w:line="240" w:lineRule="auto"/>
        <w:jc w:val="both"/>
        <w:rPr>
          <w:rFonts w:ascii="Times New Roman" w:hAnsi="Times New Roman" w:cs="Times New Roman"/>
          <w:szCs w:val="20"/>
          <w:lang w:val="es-MX"/>
        </w:rPr>
      </w:pPr>
    </w:p>
    <w:p w:rsidR="000D1ABA" w:rsidRPr="000D1ABA" w:rsidRDefault="000D1ABA" w:rsidP="00604391">
      <w:pPr>
        <w:spacing w:after="0" w:line="240" w:lineRule="auto"/>
        <w:jc w:val="both"/>
        <w:rPr>
          <w:rFonts w:ascii="Times New Roman" w:hAnsi="Times New Roman" w:cs="Times New Roman"/>
          <w:szCs w:val="20"/>
          <w:lang w:val="es-MX"/>
        </w:rPr>
      </w:pPr>
      <w:r w:rsidRPr="000D1ABA">
        <w:rPr>
          <w:rFonts w:ascii="Times New Roman" w:hAnsi="Times New Roman" w:cs="Times New Roman"/>
          <w:szCs w:val="20"/>
          <w:lang w:val="es-MX"/>
        </w:rPr>
        <w:t xml:space="preserve">Para febrero se consideró una recaudación diaria de comercio exterior de Q44.4 millones, de la cual se recaudaron en promedio diario Q43.5 millones, la meta de estos impuestos asociados a comercio exterior no se alcanzó, con relación al año anterior los impuestos asociados al comercio exterior de febrero tienen un crecimiento de 6% que significan </w:t>
      </w:r>
      <w:r>
        <w:rPr>
          <w:rFonts w:ascii="Times New Roman" w:hAnsi="Times New Roman" w:cs="Times New Roman"/>
          <w:szCs w:val="20"/>
          <w:lang w:val="es-MX"/>
        </w:rPr>
        <w:t xml:space="preserve">     </w:t>
      </w:r>
      <w:r w:rsidRPr="000D1ABA">
        <w:rPr>
          <w:rFonts w:ascii="Times New Roman" w:hAnsi="Times New Roman" w:cs="Times New Roman"/>
          <w:szCs w:val="20"/>
          <w:lang w:val="es-MX"/>
        </w:rPr>
        <w:t>Q 69.3 millones.</w:t>
      </w:r>
    </w:p>
    <w:p w:rsidR="00604391" w:rsidRDefault="00604391" w:rsidP="000D1ABA">
      <w:pPr>
        <w:spacing w:after="0" w:line="240" w:lineRule="auto"/>
        <w:rPr>
          <w:rFonts w:ascii="Times New Roman" w:hAnsi="Times New Roman" w:cs="Times New Roman"/>
          <w:b/>
          <w:color w:val="FF0000"/>
          <w:sz w:val="24"/>
        </w:rPr>
      </w:pPr>
    </w:p>
    <w:p w:rsidR="000D1ABA" w:rsidRPr="000D1ABA" w:rsidRDefault="000D1ABA" w:rsidP="000D1ABA">
      <w:pPr>
        <w:spacing w:after="0" w:line="240" w:lineRule="auto"/>
        <w:jc w:val="center"/>
        <w:rPr>
          <w:rFonts w:ascii="Times New Roman" w:hAnsi="Times New Roman" w:cs="Times New Roman"/>
          <w:b/>
          <w:sz w:val="24"/>
        </w:rPr>
      </w:pPr>
      <w:r w:rsidRPr="000D1ABA">
        <w:rPr>
          <w:rFonts w:ascii="Times New Roman" w:hAnsi="Times New Roman" w:cs="Times New Roman"/>
          <w:b/>
          <w:sz w:val="24"/>
        </w:rPr>
        <w:lastRenderedPageBreak/>
        <w:t xml:space="preserve">Recaudación Tributaria </w:t>
      </w:r>
    </w:p>
    <w:p w:rsidR="006D0964" w:rsidRPr="000D1ABA" w:rsidRDefault="006D0964" w:rsidP="006D0964">
      <w:pPr>
        <w:spacing w:after="0" w:line="240" w:lineRule="auto"/>
        <w:jc w:val="center"/>
        <w:rPr>
          <w:rFonts w:ascii="Times New Roman" w:hAnsi="Times New Roman" w:cs="Times New Roman"/>
          <w:sz w:val="18"/>
        </w:rPr>
      </w:pPr>
      <w:r w:rsidRPr="000D1ABA">
        <w:rPr>
          <w:rFonts w:ascii="Times New Roman" w:hAnsi="Times New Roman" w:cs="Times New Roman"/>
          <w:sz w:val="18"/>
        </w:rPr>
        <w:t>Millones de quetzales</w:t>
      </w:r>
    </w:p>
    <w:p w:rsidR="000D1ABA" w:rsidRPr="000D1ABA" w:rsidRDefault="000D1ABA" w:rsidP="006D0964">
      <w:pPr>
        <w:spacing w:after="0" w:line="240" w:lineRule="auto"/>
        <w:jc w:val="center"/>
        <w:rPr>
          <w:rFonts w:ascii="Times New Roman" w:hAnsi="Times New Roman" w:cs="Times New Roman"/>
          <w:sz w:val="18"/>
        </w:rPr>
      </w:pPr>
      <w:r w:rsidRPr="000D1ABA">
        <w:rPr>
          <w:noProof/>
          <w:lang w:eastAsia="es-GT"/>
        </w:rPr>
        <w:drawing>
          <wp:inline distT="0" distB="0" distL="0" distR="0" wp14:anchorId="57A37F34" wp14:editId="3653C6C2">
            <wp:extent cx="2638425" cy="234315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0964" w:rsidRPr="000D1ABA" w:rsidRDefault="006D0964" w:rsidP="006D0964">
      <w:pPr>
        <w:spacing w:after="0" w:line="240" w:lineRule="auto"/>
        <w:jc w:val="both"/>
        <w:rPr>
          <w:rFonts w:ascii="Times New Roman" w:hAnsi="Times New Roman" w:cs="Times New Roman"/>
          <w:sz w:val="16"/>
        </w:rPr>
      </w:pPr>
      <w:r w:rsidRPr="000D1ABA">
        <w:rPr>
          <w:rFonts w:ascii="Times New Roman" w:hAnsi="Times New Roman" w:cs="Times New Roman"/>
          <w:sz w:val="16"/>
        </w:rPr>
        <w:t>Fuente: Dirección de Análisis y Política Fiscal</w:t>
      </w:r>
    </w:p>
    <w:p w:rsidR="006D0964" w:rsidRPr="000D1ABA" w:rsidRDefault="006D0964" w:rsidP="006D0964">
      <w:pPr>
        <w:spacing w:after="0" w:line="240" w:lineRule="auto"/>
        <w:jc w:val="both"/>
        <w:rPr>
          <w:rFonts w:ascii="Times New Roman" w:hAnsi="Times New Roman" w:cs="Times New Roman"/>
          <w:color w:val="FF0000"/>
          <w:sz w:val="24"/>
          <w:szCs w:val="24"/>
        </w:rPr>
      </w:pPr>
    </w:p>
    <w:p w:rsidR="000D1ABA" w:rsidRDefault="000D1ABA" w:rsidP="000D1ABA">
      <w:pPr>
        <w:spacing w:after="0" w:line="240" w:lineRule="auto"/>
        <w:jc w:val="both"/>
        <w:rPr>
          <w:rFonts w:ascii="Times New Roman" w:hAnsi="Times New Roman" w:cs="Times New Roman"/>
          <w:szCs w:val="20"/>
          <w:lang w:val="es-MX"/>
        </w:rPr>
      </w:pPr>
      <w:r w:rsidRPr="000D1ABA">
        <w:rPr>
          <w:rFonts w:ascii="Times New Roman" w:hAnsi="Times New Roman" w:cs="Times New Roman"/>
          <w:szCs w:val="20"/>
          <w:lang w:val="es-MX"/>
        </w:rPr>
        <w:t>De manera acumulada al mes de febrero se observa una brecha positiva de Q111.6 millones la cual esta generada principalmente por el desempeño positivo en ISR, IVA doméstico, el timbre y las regalías e hidrocarburos compartibles, con relación al año anterior se observa un crecimiento de 7.3% (Q649.2 millones) que están explicados por el crecimiento en casi todos los impuestos.</w:t>
      </w:r>
    </w:p>
    <w:p w:rsidR="000D1ABA" w:rsidRPr="000D1ABA" w:rsidRDefault="000D1ABA" w:rsidP="000D1ABA">
      <w:pPr>
        <w:spacing w:after="0" w:line="240" w:lineRule="auto"/>
        <w:jc w:val="both"/>
        <w:rPr>
          <w:rFonts w:ascii="Times New Roman" w:hAnsi="Times New Roman" w:cs="Times New Roman"/>
          <w:color w:val="FF0000"/>
        </w:rPr>
      </w:pPr>
    </w:p>
    <w:p w:rsidR="000D1ABA" w:rsidRPr="000D1ABA" w:rsidRDefault="000D1ABA" w:rsidP="000D1ABA">
      <w:pPr>
        <w:spacing w:after="0" w:line="240" w:lineRule="auto"/>
        <w:jc w:val="both"/>
        <w:rPr>
          <w:rFonts w:ascii="Times New Roman" w:hAnsi="Times New Roman" w:cs="Times New Roman"/>
          <w:color w:val="FF0000"/>
          <w:sz w:val="24"/>
        </w:rPr>
      </w:pPr>
      <w:r w:rsidRPr="000D1ABA">
        <w:rPr>
          <w:rFonts w:ascii="Times New Roman" w:hAnsi="Times New Roman" w:cs="Times New Roman"/>
          <w:szCs w:val="20"/>
          <w:lang w:val="es-MX"/>
        </w:rPr>
        <w:t xml:space="preserve">De los impuestos asociados a los productos industriales únicamente el de bebidas no alcanza la meta acumulada dejando de </w:t>
      </w:r>
      <w:r w:rsidRPr="000D1ABA">
        <w:rPr>
          <w:rFonts w:ascii="Times New Roman" w:hAnsi="Times New Roman" w:cs="Times New Roman"/>
          <w:szCs w:val="20"/>
          <w:lang w:val="es-MX"/>
        </w:rPr>
        <w:lastRenderedPageBreak/>
        <w:t>recaudar Q10.1 millones el de cemento y tabacos en conjunto generan una brecha positiva de Q5.9 millones, los impuestos no administrados por SAT generan una brecha positiva de Q13.7 millones.</w:t>
      </w:r>
      <w:r w:rsidRPr="000D1ABA">
        <w:rPr>
          <w:rFonts w:ascii="Times New Roman" w:hAnsi="Times New Roman" w:cs="Times New Roman"/>
          <w:color w:val="FF0000"/>
          <w:sz w:val="24"/>
          <w:lang w:val="es-MX"/>
        </w:rPr>
        <w:t xml:space="preserve"> </w:t>
      </w:r>
    </w:p>
    <w:p w:rsidR="000D1ABA" w:rsidRPr="000D1ABA" w:rsidRDefault="000D1ABA" w:rsidP="000D1ABA">
      <w:pPr>
        <w:spacing w:after="0" w:line="240" w:lineRule="auto"/>
        <w:jc w:val="both"/>
        <w:rPr>
          <w:rFonts w:ascii="Times New Roman" w:hAnsi="Times New Roman" w:cs="Times New Roman"/>
          <w:color w:val="FF0000"/>
          <w:sz w:val="24"/>
        </w:rPr>
      </w:pPr>
    </w:p>
    <w:p w:rsidR="006D0964" w:rsidRPr="000D1ABA" w:rsidRDefault="006D0964" w:rsidP="00474BAD">
      <w:pPr>
        <w:spacing w:after="0" w:line="240" w:lineRule="auto"/>
        <w:jc w:val="center"/>
        <w:rPr>
          <w:rFonts w:ascii="Times New Roman" w:hAnsi="Times New Roman" w:cs="Times New Roman"/>
          <w:b/>
          <w:sz w:val="24"/>
        </w:rPr>
      </w:pPr>
      <w:r w:rsidRPr="000D1ABA">
        <w:rPr>
          <w:rFonts w:ascii="Times New Roman" w:hAnsi="Times New Roman" w:cs="Times New Roman"/>
          <w:b/>
          <w:sz w:val="24"/>
        </w:rPr>
        <w:t>Variación de recaudación tributaria</w:t>
      </w:r>
    </w:p>
    <w:p w:rsidR="006D0964" w:rsidRPr="000D1ABA" w:rsidRDefault="006D0964" w:rsidP="00474BAD">
      <w:pPr>
        <w:spacing w:after="0" w:line="240" w:lineRule="auto"/>
        <w:jc w:val="center"/>
        <w:rPr>
          <w:rFonts w:ascii="Times New Roman" w:hAnsi="Times New Roman" w:cs="Times New Roman"/>
          <w:sz w:val="18"/>
        </w:rPr>
      </w:pPr>
      <w:r w:rsidRPr="000D1ABA">
        <w:rPr>
          <w:rFonts w:ascii="Times New Roman" w:hAnsi="Times New Roman" w:cs="Times New Roman"/>
          <w:sz w:val="18"/>
        </w:rPr>
        <w:t>Millones de quetzales</w:t>
      </w:r>
    </w:p>
    <w:p w:rsidR="006D0964" w:rsidRPr="000D1ABA" w:rsidRDefault="000D1ABA" w:rsidP="006D0964">
      <w:pPr>
        <w:spacing w:after="0" w:line="240" w:lineRule="auto"/>
        <w:jc w:val="both"/>
        <w:rPr>
          <w:rFonts w:ascii="Times New Roman" w:hAnsi="Times New Roman" w:cs="Times New Roman"/>
        </w:rPr>
      </w:pPr>
      <w:r w:rsidRPr="000D1ABA">
        <w:rPr>
          <w:rFonts w:ascii="Times New Roman" w:hAnsi="Times New Roman" w:cs="Times New Roman"/>
          <w:noProof/>
          <w:highlight w:val="red"/>
          <w:lang w:eastAsia="es-GT"/>
        </w:rPr>
        <w:drawing>
          <wp:inline distT="0" distB="0" distL="0" distR="0" wp14:anchorId="34E14F60" wp14:editId="42AEE333">
            <wp:extent cx="2581275" cy="35623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0964" w:rsidRPr="000D1ABA" w:rsidRDefault="006D0964" w:rsidP="006D0964">
      <w:pPr>
        <w:spacing w:after="0" w:line="240" w:lineRule="auto"/>
        <w:jc w:val="both"/>
        <w:rPr>
          <w:rFonts w:ascii="Times New Roman" w:hAnsi="Times New Roman" w:cs="Times New Roman"/>
          <w:sz w:val="16"/>
        </w:rPr>
      </w:pPr>
      <w:r w:rsidRPr="000D1ABA">
        <w:rPr>
          <w:rFonts w:ascii="Times New Roman" w:hAnsi="Times New Roman" w:cs="Times New Roman"/>
          <w:sz w:val="16"/>
        </w:rPr>
        <w:t>Fuente: Dirección de Análisis y Política Fiscal</w:t>
      </w:r>
    </w:p>
    <w:p w:rsidR="006D0964" w:rsidRPr="00C500EE" w:rsidRDefault="006D0964" w:rsidP="002B40DA">
      <w:pPr>
        <w:spacing w:after="0" w:line="240" w:lineRule="auto"/>
        <w:jc w:val="both"/>
        <w:rPr>
          <w:rFonts w:ascii="Times New Roman" w:hAnsi="Times New Roman" w:cs="Times New Roman"/>
          <w:color w:val="FF0000"/>
        </w:rPr>
      </w:pPr>
    </w:p>
    <w:p w:rsidR="002B40DA" w:rsidRPr="000D1ABA" w:rsidRDefault="002B40DA" w:rsidP="002B40DA">
      <w:pPr>
        <w:spacing w:after="0" w:line="240" w:lineRule="auto"/>
        <w:jc w:val="both"/>
        <w:rPr>
          <w:rFonts w:ascii="Times New Roman" w:hAnsi="Times New Roman" w:cs="Times New Roman"/>
          <w:color w:val="FF0000"/>
          <w:sz w:val="18"/>
        </w:rPr>
        <w:sectPr w:rsidR="002B40DA" w:rsidRPr="000D1ABA" w:rsidSect="002B40DA">
          <w:type w:val="continuous"/>
          <w:pgSz w:w="12240" w:h="15840"/>
          <w:pgMar w:top="1417" w:right="1701" w:bottom="1417" w:left="1701" w:header="708" w:footer="708" w:gutter="0"/>
          <w:cols w:num="2" w:space="708"/>
          <w:docGrid w:linePitch="360"/>
        </w:sectPr>
      </w:pPr>
    </w:p>
    <w:p w:rsidR="002B40DA" w:rsidRPr="00C500EE" w:rsidRDefault="002B40DA" w:rsidP="002B40DA">
      <w:pPr>
        <w:spacing w:after="0" w:line="240" w:lineRule="auto"/>
        <w:jc w:val="both"/>
        <w:rPr>
          <w:rFonts w:ascii="Times New Roman" w:hAnsi="Times New Roman" w:cs="Times New Roman"/>
          <w:color w:val="FF0000"/>
        </w:rPr>
      </w:pPr>
    </w:p>
    <w:p w:rsidR="002B40DA" w:rsidRPr="00C500EE" w:rsidRDefault="00474BAD"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color w:val="FF0000"/>
        </w:rPr>
        <w:sectPr w:rsidR="002B40DA" w:rsidRPr="00C500EE" w:rsidSect="002B40DA">
          <w:type w:val="continuous"/>
          <w:pgSz w:w="12240" w:h="15840"/>
          <w:pgMar w:top="1417" w:right="1701" w:bottom="1417" w:left="1701" w:header="708" w:footer="708" w:gutter="0"/>
          <w:cols w:space="708"/>
          <w:docGrid w:linePitch="360"/>
        </w:sectPr>
      </w:pPr>
      <w:r w:rsidRPr="00712FAC">
        <w:rPr>
          <w:rFonts w:ascii="Times New Roman" w:hAnsi="Times New Roman" w:cs="Times New Roman"/>
          <w:b/>
        </w:rPr>
        <w:t xml:space="preserve">Ejecución </w:t>
      </w:r>
      <w:r w:rsidR="00712FAC" w:rsidRPr="00712FAC">
        <w:rPr>
          <w:rFonts w:ascii="Times New Roman" w:hAnsi="Times New Roman" w:cs="Times New Roman"/>
          <w:b/>
        </w:rPr>
        <w:t>mantiene un ritmo moderado</w:t>
      </w:r>
      <w:r w:rsidRPr="00C500EE">
        <w:rPr>
          <w:rFonts w:ascii="Times New Roman" w:hAnsi="Times New Roman" w:cs="Times New Roman"/>
          <w:b/>
          <w:color w:val="FF0000"/>
        </w:rPr>
        <w:t xml:space="preserve"> </w:t>
      </w:r>
    </w:p>
    <w:p w:rsidR="002B40DA" w:rsidRPr="00C500EE" w:rsidRDefault="002B40DA" w:rsidP="002B40DA">
      <w:pPr>
        <w:spacing w:after="0" w:line="240" w:lineRule="auto"/>
        <w:jc w:val="both"/>
        <w:rPr>
          <w:rFonts w:ascii="Times New Roman" w:hAnsi="Times New Roman" w:cs="Times New Roman"/>
          <w:color w:val="FF0000"/>
        </w:rPr>
        <w:sectPr w:rsidR="002B40DA" w:rsidRPr="00C500EE" w:rsidSect="002B40DA">
          <w:type w:val="continuous"/>
          <w:pgSz w:w="12240" w:h="15840"/>
          <w:pgMar w:top="1417" w:right="1701" w:bottom="1417" w:left="1701" w:header="708" w:footer="708" w:gutter="0"/>
          <w:cols w:num="2" w:space="708"/>
          <w:docGrid w:linePitch="360"/>
        </w:sectPr>
      </w:pPr>
    </w:p>
    <w:p w:rsidR="00C500EE" w:rsidRDefault="00C500EE" w:rsidP="00C500EE">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El efecto de la readecuación presupuestaria producto de la no aprobación del presupuesto general de ingresos y egresos del Estado para este ejercicio, ha impactado en la ejecución de gasto público que ha hecho que este se mantenga con un dinamismo moderado, aunque para febrero muestra una leve aceleración resultado de las adjudicaciones de contratos realizados el año anterior lo que impulsó algunos rubros de gasto.  </w:t>
      </w:r>
    </w:p>
    <w:p w:rsidR="00C500EE" w:rsidRDefault="00C500EE" w:rsidP="00C500EE">
      <w:pPr>
        <w:pStyle w:val="Sinespaciado"/>
        <w:jc w:val="both"/>
        <w:rPr>
          <w:rFonts w:ascii="Times New Roman" w:hAnsi="Times New Roman" w:cs="Times New Roman"/>
          <w:lang w:val="es-MX"/>
        </w:rPr>
      </w:pPr>
    </w:p>
    <w:p w:rsidR="00C500EE" w:rsidRDefault="00C500EE" w:rsidP="00C500EE">
      <w:pPr>
        <w:pStyle w:val="Sinespaciado"/>
        <w:jc w:val="both"/>
        <w:rPr>
          <w:rFonts w:ascii="Times New Roman" w:hAnsi="Times New Roman" w:cs="Times New Roman"/>
          <w:lang w:val="es-MX"/>
        </w:rPr>
      </w:pPr>
      <w:r>
        <w:rPr>
          <w:rFonts w:ascii="Times New Roman" w:hAnsi="Times New Roman" w:cs="Times New Roman"/>
          <w:lang w:val="es-MX"/>
        </w:rPr>
        <w:t xml:space="preserve">En ese sentido, la ejecución al 28 </w:t>
      </w:r>
      <w:r w:rsidRPr="00F92177">
        <w:rPr>
          <w:rFonts w:ascii="Times New Roman" w:hAnsi="Times New Roman" w:cs="Times New Roman"/>
          <w:lang w:val="es-MX"/>
        </w:rPr>
        <w:t xml:space="preserve">de </w:t>
      </w:r>
      <w:r>
        <w:rPr>
          <w:rFonts w:ascii="Times New Roman" w:hAnsi="Times New Roman" w:cs="Times New Roman"/>
          <w:lang w:val="es-MX"/>
        </w:rPr>
        <w:t>febrero de 2018, se situó en Q8,981.5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mostrando un</w:t>
      </w:r>
      <w:r w:rsidRPr="00F92177">
        <w:rPr>
          <w:rFonts w:ascii="Times New Roman" w:hAnsi="Times New Roman" w:cs="Times New Roman"/>
          <w:lang w:val="es-MX"/>
        </w:rPr>
        <w:t xml:space="preserve"> crecimiento interanual </w:t>
      </w:r>
      <w:r>
        <w:rPr>
          <w:rFonts w:ascii="Times New Roman" w:hAnsi="Times New Roman" w:cs="Times New Roman"/>
          <w:lang w:val="es-MX"/>
        </w:rPr>
        <w:t>del 3.2</w:t>
      </w:r>
      <w:r w:rsidRPr="00F92177">
        <w:rPr>
          <w:rFonts w:ascii="Times New Roman" w:hAnsi="Times New Roman" w:cs="Times New Roman"/>
          <w:lang w:val="es-MX"/>
        </w:rPr>
        <w:t>%</w:t>
      </w:r>
      <w:r>
        <w:rPr>
          <w:rFonts w:ascii="Times New Roman" w:hAnsi="Times New Roman" w:cs="Times New Roman"/>
          <w:lang w:val="es-MX"/>
        </w:rPr>
        <w:t xml:space="preserve"> con</w:t>
      </w:r>
      <w:r w:rsidRPr="00F92177">
        <w:rPr>
          <w:rFonts w:ascii="Times New Roman" w:hAnsi="Times New Roman" w:cs="Times New Roman"/>
          <w:lang w:val="es-MX"/>
        </w:rPr>
        <w:t xml:space="preserve"> respecto </w:t>
      </w:r>
      <w:r>
        <w:rPr>
          <w:rFonts w:ascii="Times New Roman" w:hAnsi="Times New Roman" w:cs="Times New Roman"/>
          <w:lang w:val="es-MX"/>
        </w:rPr>
        <w:t xml:space="preserve">al mismo período de 2017. </w:t>
      </w:r>
    </w:p>
    <w:p w:rsidR="00C500EE" w:rsidRPr="009D459C" w:rsidRDefault="00C500EE" w:rsidP="00C500EE">
      <w:pPr>
        <w:pStyle w:val="Sinespaciado"/>
        <w:jc w:val="center"/>
        <w:rPr>
          <w:rFonts w:ascii="Times New Roman" w:hAnsi="Times New Roman" w:cs="Times New Roman"/>
          <w:b/>
          <w:lang w:val="es-MX"/>
        </w:rPr>
      </w:pPr>
      <w:r w:rsidRPr="009D459C">
        <w:rPr>
          <w:rFonts w:ascii="Times New Roman" w:hAnsi="Times New Roman" w:cs="Times New Roman"/>
          <w:b/>
          <w:lang w:val="es-MX"/>
        </w:rPr>
        <w:lastRenderedPageBreak/>
        <w:t>Ritmo de Ejecución del Gasto</w:t>
      </w:r>
    </w:p>
    <w:p w:rsidR="00C500EE" w:rsidRDefault="00C500EE" w:rsidP="00C500EE">
      <w:pPr>
        <w:pStyle w:val="Sinespaciado"/>
        <w:jc w:val="center"/>
        <w:rPr>
          <w:noProof/>
          <w:lang w:eastAsia="es-GT"/>
        </w:rPr>
      </w:pPr>
      <w:r w:rsidRPr="009D459C">
        <w:rPr>
          <w:rFonts w:ascii="Times New Roman" w:hAnsi="Times New Roman" w:cs="Times New Roman"/>
          <w:sz w:val="18"/>
          <w:lang w:val="es-MX"/>
        </w:rPr>
        <w:t>Variación Interanual</w:t>
      </w:r>
    </w:p>
    <w:p w:rsidR="00C500EE" w:rsidRDefault="00C500EE" w:rsidP="00C500EE">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2095E462" wp14:editId="316749F6">
            <wp:extent cx="2686050" cy="2143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9855" cy="2162118"/>
                    </a:xfrm>
                    <a:prstGeom prst="rect">
                      <a:avLst/>
                    </a:prstGeom>
                    <a:noFill/>
                  </pic:spPr>
                </pic:pic>
              </a:graphicData>
            </a:graphic>
          </wp:inline>
        </w:drawing>
      </w:r>
    </w:p>
    <w:p w:rsidR="00C500EE" w:rsidRDefault="00C500EE" w:rsidP="00C500EE">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500EE" w:rsidRDefault="00C500EE" w:rsidP="00C500EE">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Los rubros de gasto que muestran una menor ejecución con respecto a lo observado en febrero de 2017, son los intereses de la deuda pública como resultado de que en diciembre de 2017 se adelantaron algunas amortizaciones de la deuda que redujeron el pago de intereses, igualmente se explica por la reducción gradual en las tasas de interés de los títulos de deuda pública.  Asimismo, las transferencias corrientes y de capital se han reducido en buena medida asociado a que </w:t>
      </w:r>
      <w:r>
        <w:rPr>
          <w:rFonts w:ascii="Times New Roman" w:hAnsi="Times New Roman" w:cs="Times New Roman"/>
          <w:lang w:val="es-MX"/>
        </w:rPr>
        <w:t>los requerimientos por parte de las entidades descentralizadas son</w:t>
      </w:r>
      <w:r>
        <w:rPr>
          <w:rFonts w:ascii="Times New Roman" w:hAnsi="Times New Roman" w:cs="Times New Roman"/>
          <w:lang w:val="es-MX"/>
        </w:rPr>
        <w:t xml:space="preserve"> menor</w:t>
      </w:r>
      <w:r>
        <w:rPr>
          <w:rFonts w:ascii="Times New Roman" w:hAnsi="Times New Roman" w:cs="Times New Roman"/>
          <w:lang w:val="es-MX"/>
        </w:rPr>
        <w:t>es</w:t>
      </w:r>
      <w:r>
        <w:rPr>
          <w:rFonts w:ascii="Times New Roman" w:hAnsi="Times New Roman" w:cs="Times New Roman"/>
          <w:lang w:val="es-MX"/>
        </w:rPr>
        <w:t xml:space="preserve">. </w:t>
      </w:r>
    </w:p>
    <w:p w:rsidR="00C500EE" w:rsidRDefault="00C500EE" w:rsidP="00C500EE">
      <w:pPr>
        <w:pStyle w:val="Sinespaciado"/>
        <w:jc w:val="both"/>
        <w:rPr>
          <w:rFonts w:ascii="Times New Roman" w:hAnsi="Times New Roman" w:cs="Times New Roman"/>
          <w:lang w:val="es-MX"/>
        </w:rPr>
      </w:pPr>
    </w:p>
    <w:p w:rsidR="00C500EE" w:rsidRDefault="00C500EE" w:rsidP="00C500EE">
      <w:pPr>
        <w:pStyle w:val="Sinespaciado"/>
        <w:jc w:val="both"/>
        <w:rPr>
          <w:rFonts w:ascii="Times New Roman" w:hAnsi="Times New Roman" w:cs="Times New Roman"/>
          <w:lang w:val="es-MX"/>
        </w:rPr>
      </w:pPr>
      <w:r>
        <w:rPr>
          <w:rFonts w:ascii="Times New Roman" w:hAnsi="Times New Roman" w:cs="Times New Roman"/>
          <w:lang w:val="es-MX"/>
        </w:rPr>
        <w:t xml:space="preserve">Por su parte, los rubros que mostraron un aumento en la ejecución están las remuneraciones, bienes y servicios, las prestaciones a la seguridad social y la inversión real directa.  A este respecto, es importante indicar que el comportamiento en estos rubros se debe entre otros aspectos al aumento que tuvieron las adjudicaciones de contratos en 2017.  </w:t>
      </w:r>
    </w:p>
    <w:p w:rsidR="00C500EE" w:rsidRDefault="00C500EE" w:rsidP="00C500EE">
      <w:pPr>
        <w:pStyle w:val="Sinespaciado"/>
        <w:jc w:val="both"/>
        <w:rPr>
          <w:rFonts w:ascii="Times New Roman" w:hAnsi="Times New Roman" w:cs="Times New Roman"/>
          <w:lang w:val="es-MX"/>
        </w:rPr>
      </w:pPr>
    </w:p>
    <w:p w:rsidR="00C500EE" w:rsidRPr="003C0B21" w:rsidRDefault="00C500EE" w:rsidP="00C500EE">
      <w:pPr>
        <w:pStyle w:val="Sinespaciado"/>
        <w:jc w:val="center"/>
        <w:rPr>
          <w:rFonts w:ascii="Times New Roman" w:hAnsi="Times New Roman" w:cs="Times New Roman"/>
          <w:b/>
          <w:lang w:val="es-MX"/>
        </w:rPr>
      </w:pPr>
      <w:r w:rsidRPr="003C0B21">
        <w:rPr>
          <w:rFonts w:ascii="Times New Roman" w:hAnsi="Times New Roman" w:cs="Times New Roman"/>
          <w:b/>
          <w:lang w:val="es-MX"/>
        </w:rPr>
        <w:t>Variación Nominal del Gasto Económico</w:t>
      </w:r>
    </w:p>
    <w:p w:rsidR="00C500EE" w:rsidRPr="003C0B21" w:rsidRDefault="00C500EE" w:rsidP="00C500EE">
      <w:pPr>
        <w:pStyle w:val="Sinespaciado"/>
        <w:jc w:val="center"/>
        <w:rPr>
          <w:rFonts w:ascii="Times New Roman" w:hAnsi="Times New Roman" w:cs="Times New Roman"/>
          <w:sz w:val="18"/>
          <w:lang w:val="es-MX"/>
        </w:rPr>
      </w:pPr>
      <w:r w:rsidRPr="003C0B21">
        <w:rPr>
          <w:rFonts w:ascii="Times New Roman" w:hAnsi="Times New Roman" w:cs="Times New Roman"/>
          <w:sz w:val="18"/>
          <w:lang w:val="es-MX"/>
        </w:rPr>
        <w:t>Millones de quetzales</w:t>
      </w:r>
    </w:p>
    <w:p w:rsidR="00C500EE" w:rsidRDefault="00C500EE" w:rsidP="00C500EE">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628D2B58" wp14:editId="5CC4CC06">
            <wp:extent cx="2666431" cy="22669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824" cy="2306393"/>
                    </a:xfrm>
                    <a:prstGeom prst="rect">
                      <a:avLst/>
                    </a:prstGeom>
                    <a:noFill/>
                  </pic:spPr>
                </pic:pic>
              </a:graphicData>
            </a:graphic>
          </wp:inline>
        </w:drawing>
      </w:r>
    </w:p>
    <w:p w:rsidR="00C500EE" w:rsidRDefault="00C500EE" w:rsidP="00C500EE">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C500EE" w:rsidRDefault="00C500EE" w:rsidP="00C500EE">
      <w:pPr>
        <w:pStyle w:val="Sinespaciado"/>
        <w:jc w:val="both"/>
        <w:rPr>
          <w:rFonts w:ascii="Times New Roman" w:hAnsi="Times New Roman" w:cs="Times New Roman"/>
          <w:lang w:val="es-MX"/>
        </w:rPr>
      </w:pPr>
    </w:p>
    <w:p w:rsidR="00C500EE" w:rsidRDefault="00C500EE" w:rsidP="00C500EE">
      <w:pPr>
        <w:pStyle w:val="Sinespaciado"/>
        <w:jc w:val="both"/>
        <w:rPr>
          <w:rFonts w:ascii="Times New Roman" w:hAnsi="Times New Roman" w:cs="Times New Roman"/>
          <w:lang w:val="es-MX"/>
        </w:rPr>
      </w:pPr>
      <w:r>
        <w:rPr>
          <w:rFonts w:ascii="Times New Roman" w:hAnsi="Times New Roman" w:cs="Times New Roman"/>
          <w:lang w:val="es-MX"/>
        </w:rPr>
        <w:t>El comportamiento del gasto realizado, permitió que el grado de ejecución presupuestaria, se ubicara al cierre de febrero de 2018 en 12.2%, por arriba del promedio de los años (2013-2017) que fue de 12.1%, por lo cual se considera que este nivel es bastante aceptable.</w:t>
      </w:r>
    </w:p>
    <w:p w:rsidR="00C500EE" w:rsidRDefault="00C500EE" w:rsidP="00C500EE">
      <w:pPr>
        <w:pStyle w:val="Sinespaciado"/>
        <w:jc w:val="both"/>
        <w:rPr>
          <w:rFonts w:ascii="Times New Roman" w:hAnsi="Times New Roman" w:cs="Times New Roman"/>
          <w:lang w:val="es-MX"/>
        </w:rPr>
      </w:pPr>
    </w:p>
    <w:p w:rsidR="00C500EE" w:rsidRPr="002A1B95" w:rsidRDefault="00C500EE" w:rsidP="00C500EE">
      <w:pPr>
        <w:pStyle w:val="Sinespaciado"/>
        <w:jc w:val="center"/>
        <w:rPr>
          <w:rFonts w:ascii="Times New Roman" w:hAnsi="Times New Roman" w:cs="Times New Roman"/>
          <w:b/>
          <w:lang w:val="es-MX"/>
        </w:rPr>
      </w:pPr>
      <w:r>
        <w:rPr>
          <w:rFonts w:ascii="Times New Roman" w:hAnsi="Times New Roman" w:cs="Times New Roman"/>
          <w:lang w:val="es-MX"/>
        </w:rPr>
        <w:t xml:space="preserve"> </w:t>
      </w:r>
      <w:r>
        <w:rPr>
          <w:rFonts w:ascii="Times New Roman" w:hAnsi="Times New Roman" w:cs="Times New Roman"/>
          <w:b/>
          <w:lang w:val="es-MX"/>
        </w:rPr>
        <w:t xml:space="preserve">Grado de </w:t>
      </w:r>
      <w:r w:rsidRPr="002A1B95">
        <w:rPr>
          <w:rFonts w:ascii="Times New Roman" w:hAnsi="Times New Roman" w:cs="Times New Roman"/>
          <w:b/>
          <w:lang w:val="es-MX"/>
        </w:rPr>
        <w:t>Ejecución por Entidad</w:t>
      </w:r>
    </w:p>
    <w:p w:rsidR="00C500EE" w:rsidRPr="009D459C" w:rsidRDefault="00C500EE" w:rsidP="00C500EE">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28 de f</w:t>
      </w:r>
      <w:r>
        <w:rPr>
          <w:rFonts w:ascii="Times New Roman" w:hAnsi="Times New Roman" w:cs="Times New Roman"/>
          <w:sz w:val="18"/>
          <w:szCs w:val="18"/>
          <w:lang w:val="es-MX"/>
        </w:rPr>
        <w:t>ebrero de 2018</w:t>
      </w:r>
    </w:p>
    <w:p w:rsidR="00C500EE" w:rsidRPr="009D459C" w:rsidRDefault="00C500EE" w:rsidP="00C500EE">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C500EE" w:rsidRDefault="00C500EE" w:rsidP="00C500EE">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4D3E218" wp14:editId="4F955303">
            <wp:extent cx="2654935" cy="2381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407" cy="2390642"/>
                    </a:xfrm>
                    <a:prstGeom prst="rect">
                      <a:avLst/>
                    </a:prstGeom>
                    <a:noFill/>
                  </pic:spPr>
                </pic:pic>
              </a:graphicData>
            </a:graphic>
          </wp:inline>
        </w:drawing>
      </w:r>
    </w:p>
    <w:p w:rsidR="00C500EE" w:rsidRDefault="00C500EE" w:rsidP="00C500EE">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C500EE" w:rsidRDefault="00C500EE" w:rsidP="00C500EE">
      <w:pPr>
        <w:pStyle w:val="Sinespaciado"/>
        <w:jc w:val="both"/>
        <w:rPr>
          <w:rFonts w:ascii="Times New Roman" w:hAnsi="Times New Roman" w:cs="Times New Roman"/>
        </w:rPr>
      </w:pPr>
    </w:p>
    <w:p w:rsidR="00C500EE" w:rsidRPr="00C500EE" w:rsidRDefault="00C500EE" w:rsidP="00C500EE">
      <w:pPr>
        <w:spacing w:after="0" w:line="240" w:lineRule="auto"/>
        <w:jc w:val="both"/>
        <w:rPr>
          <w:rFonts w:ascii="Times New Roman" w:hAnsi="Times New Roman" w:cs="Times New Roman"/>
          <w:color w:val="FF0000"/>
          <w:sz w:val="16"/>
          <w:lang w:val="es-MX"/>
        </w:rPr>
      </w:pPr>
      <w:r>
        <w:rPr>
          <w:rFonts w:ascii="Times New Roman" w:hAnsi="Times New Roman" w:cs="Times New Roman"/>
        </w:rPr>
        <w:t>La ejecución de gasto incluyendo las amortizaciones de la deuda pública, al 28 de febrero de 2018, se ubicó en Q9,402.3 millones.  Dentro de las entidades que muestran mayor ejecución a febrero de este año, destacan los ministerios de educación, la PGN, presidencia y defensa.   Por su parte, los ministerios cuya ejecución fue relativamente baja se encuentran Economía, Desarrollo y Comunicaciones.</w:t>
      </w:r>
    </w:p>
    <w:p w:rsidR="00474BAD" w:rsidRPr="00C500EE" w:rsidRDefault="00474BAD" w:rsidP="00474BAD">
      <w:pPr>
        <w:spacing w:after="0" w:line="240" w:lineRule="auto"/>
        <w:jc w:val="both"/>
        <w:rPr>
          <w:rFonts w:ascii="Times New Roman" w:hAnsi="Times New Roman" w:cs="Times New Roman"/>
          <w:color w:val="FF0000"/>
          <w:sz w:val="16"/>
          <w:lang w:val="es-MX"/>
        </w:rPr>
      </w:pPr>
    </w:p>
    <w:p w:rsidR="00474BAD" w:rsidRPr="00C500EE" w:rsidRDefault="00474BAD" w:rsidP="00474BAD">
      <w:pPr>
        <w:spacing w:after="0" w:line="240" w:lineRule="auto"/>
        <w:jc w:val="both"/>
        <w:rPr>
          <w:rFonts w:ascii="Times New Roman" w:hAnsi="Times New Roman" w:cs="Times New Roman"/>
          <w:color w:val="FF0000"/>
          <w:lang w:val="es-MX"/>
        </w:rPr>
      </w:pPr>
    </w:p>
    <w:p w:rsidR="002B40DA" w:rsidRPr="00C500EE" w:rsidRDefault="002B40DA" w:rsidP="002B40DA">
      <w:pPr>
        <w:spacing w:after="0" w:line="240" w:lineRule="auto"/>
        <w:jc w:val="both"/>
        <w:rPr>
          <w:rFonts w:ascii="Times New Roman" w:hAnsi="Times New Roman" w:cs="Times New Roman"/>
          <w:color w:val="FF0000"/>
        </w:rPr>
        <w:sectPr w:rsidR="002B40DA" w:rsidRPr="00C500EE" w:rsidSect="002B40DA">
          <w:type w:val="continuous"/>
          <w:pgSz w:w="12240" w:h="15840"/>
          <w:pgMar w:top="1417" w:right="1701" w:bottom="1417" w:left="1701" w:header="708" w:footer="708" w:gutter="0"/>
          <w:cols w:num="2" w:space="708"/>
          <w:docGrid w:linePitch="360"/>
        </w:sectPr>
      </w:pPr>
    </w:p>
    <w:p w:rsidR="002B40DA" w:rsidRPr="00C500EE" w:rsidRDefault="002B40DA" w:rsidP="002B40DA">
      <w:pPr>
        <w:spacing w:after="0" w:line="240" w:lineRule="auto"/>
        <w:jc w:val="both"/>
        <w:rPr>
          <w:rFonts w:ascii="Times New Roman" w:hAnsi="Times New Roman" w:cs="Times New Roman"/>
          <w:color w:val="FF0000"/>
        </w:rPr>
      </w:pPr>
    </w:p>
    <w:p w:rsidR="002B40DA" w:rsidRPr="00712FAC" w:rsidRDefault="00712FAC"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2B40DA" w:rsidRPr="00712FAC" w:rsidSect="002B40DA">
          <w:type w:val="continuous"/>
          <w:pgSz w:w="12240" w:h="15840"/>
          <w:pgMar w:top="1417" w:right="1701" w:bottom="1417" w:left="1701" w:header="708" w:footer="708" w:gutter="0"/>
          <w:cols w:space="708"/>
          <w:docGrid w:linePitch="360"/>
        </w:sectPr>
      </w:pPr>
      <w:r w:rsidRPr="00712FAC">
        <w:rPr>
          <w:rFonts w:ascii="Times New Roman" w:hAnsi="Times New Roman" w:cs="Times New Roman"/>
          <w:b/>
        </w:rPr>
        <w:t>Se mantiene una alta demanda de Bonos del Tesoro</w:t>
      </w:r>
    </w:p>
    <w:p w:rsidR="002B40DA" w:rsidRPr="00C500EE" w:rsidRDefault="002B40DA" w:rsidP="002B40DA">
      <w:pPr>
        <w:spacing w:after="0" w:line="240" w:lineRule="auto"/>
        <w:jc w:val="both"/>
        <w:rPr>
          <w:rFonts w:ascii="Times New Roman" w:hAnsi="Times New Roman" w:cs="Times New Roman"/>
          <w:color w:val="FF0000"/>
        </w:rPr>
        <w:sectPr w:rsidR="002B40DA" w:rsidRPr="00C500EE" w:rsidSect="002B40DA">
          <w:type w:val="continuous"/>
          <w:pgSz w:w="12240" w:h="15840"/>
          <w:pgMar w:top="1417" w:right="1701" w:bottom="1417" w:left="1701" w:header="708" w:footer="708" w:gutter="0"/>
          <w:cols w:num="2" w:space="708"/>
          <w:docGrid w:linePitch="360"/>
        </w:sectPr>
      </w:pPr>
    </w:p>
    <w:p w:rsidR="002B40DA" w:rsidRPr="00C500EE" w:rsidRDefault="00C500EE" w:rsidP="002B40DA">
      <w:pPr>
        <w:spacing w:after="0" w:line="240" w:lineRule="auto"/>
        <w:jc w:val="both"/>
        <w:rPr>
          <w:rFonts w:ascii="Times New Roman" w:hAnsi="Times New Roman" w:cs="Times New Roman"/>
          <w:color w:val="FF0000"/>
        </w:rPr>
        <w:sectPr w:rsidR="002B40DA" w:rsidRPr="00C500EE" w:rsidSect="002B40DA">
          <w:type w:val="continuous"/>
          <w:pgSz w:w="12240" w:h="15840"/>
          <w:pgMar w:top="1417" w:right="1701" w:bottom="1417" w:left="1701" w:header="708" w:footer="708" w:gutter="0"/>
          <w:cols w:num="2" w:space="708"/>
          <w:docGrid w:linePitch="360"/>
        </w:sectPr>
      </w:pPr>
      <w:r>
        <w:rPr>
          <w:rFonts w:ascii="Times New Roman" w:hAnsi="Times New Roman" w:cs="Times New Roman"/>
        </w:rPr>
        <w:lastRenderedPageBreak/>
        <w:t xml:space="preserve">En cuanto al financiamiento del déficit de presupuesto, al cierre de febrero 2018 se obtuvo un flujo negativo en el endeudamiento externo neto por el equivalente a Q256.6 millones. A pesar que el nivel de desembolsos de préstamos externos en lo que va del año es el más alto desde 2015.    Asimismo, se han </w:t>
      </w:r>
      <w:r>
        <w:rPr>
          <w:rFonts w:ascii="Times New Roman" w:hAnsi="Times New Roman" w:cs="Times New Roman"/>
        </w:rPr>
        <w:lastRenderedPageBreak/>
        <w:t xml:space="preserve">realizado varios eventos de colocación de Bonos del Tesoro los cuales muestran una demanda acumulada de 8,115.3 de los cuales se adjudicaron Q1,200 millones en el mercado interno en moneda nacional, reportando una tasa promedio ponderada de 6.7% a </w:t>
      </w:r>
      <w:r w:rsidR="00C561C3">
        <w:rPr>
          <w:rFonts w:ascii="Times New Roman" w:hAnsi="Times New Roman" w:cs="Times New Roman"/>
        </w:rPr>
        <w:t>un plazo promedio de 11.8 años.</w:t>
      </w:r>
    </w:p>
    <w:p w:rsidR="002B40DA" w:rsidRPr="00C561C3" w:rsidRDefault="002B40DA" w:rsidP="002B40DA">
      <w:pPr>
        <w:spacing w:after="0" w:line="240" w:lineRule="auto"/>
        <w:jc w:val="both"/>
        <w:rPr>
          <w:rFonts w:ascii="Times New Roman" w:hAnsi="Times New Roman" w:cs="Times New Roman"/>
          <w:color w:val="FF0000"/>
          <w:sz w:val="10"/>
        </w:rPr>
      </w:pPr>
    </w:p>
    <w:p w:rsidR="00474BAD" w:rsidRPr="00C561C3" w:rsidRDefault="009F0FE4"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474BAD" w:rsidRPr="00C561C3" w:rsidSect="002B40DA">
          <w:type w:val="continuous"/>
          <w:pgSz w:w="12240" w:h="15840"/>
          <w:pgMar w:top="1417" w:right="1701" w:bottom="1417" w:left="1701" w:header="708" w:footer="708" w:gutter="0"/>
          <w:cols w:space="708"/>
          <w:docGrid w:linePitch="360"/>
        </w:sectPr>
      </w:pPr>
      <w:r w:rsidRPr="00C561C3">
        <w:rPr>
          <w:rFonts w:ascii="Times New Roman" w:hAnsi="Times New Roman" w:cs="Times New Roman"/>
          <w:b/>
        </w:rPr>
        <w:lastRenderedPageBreak/>
        <w:t>Ambientes macroeconómicos (externo e interno)</w:t>
      </w:r>
    </w:p>
    <w:p w:rsidR="00474BAD" w:rsidRPr="00C500EE" w:rsidRDefault="00474BAD" w:rsidP="00474BAD">
      <w:pPr>
        <w:spacing w:after="0" w:line="240" w:lineRule="auto"/>
        <w:jc w:val="both"/>
        <w:rPr>
          <w:rFonts w:ascii="Times New Roman" w:hAnsi="Times New Roman" w:cs="Times New Roman"/>
          <w:color w:val="FF0000"/>
        </w:rPr>
        <w:sectPr w:rsidR="00474BAD" w:rsidRPr="00C500EE" w:rsidSect="002B40DA">
          <w:type w:val="continuous"/>
          <w:pgSz w:w="12240" w:h="15840"/>
          <w:pgMar w:top="1417" w:right="1701" w:bottom="1417" w:left="1701" w:header="708" w:footer="708" w:gutter="0"/>
          <w:cols w:num="2" w:space="708"/>
          <w:docGrid w:linePitch="360"/>
        </w:sectPr>
      </w:pPr>
    </w:p>
    <w:p w:rsidR="00FF0124" w:rsidRPr="00604391" w:rsidRDefault="00FF0124" w:rsidP="00FF0124">
      <w:pPr>
        <w:pStyle w:val="Sinespaciado"/>
        <w:ind w:right="-188"/>
        <w:jc w:val="both"/>
        <w:rPr>
          <w:rFonts w:ascii="Times New Roman" w:hAnsi="Times New Roman" w:cs="Times New Roman"/>
        </w:rPr>
      </w:pPr>
      <w:r w:rsidRPr="00604391">
        <w:rPr>
          <w:rFonts w:ascii="Times New Roman" w:hAnsi="Times New Roman" w:cs="Times New Roman"/>
        </w:rPr>
        <w:lastRenderedPageBreak/>
        <w:t xml:space="preserve">Entre lo más relevante acontecido en febrero </w:t>
      </w:r>
      <w:r w:rsidR="00C561C3" w:rsidRPr="00604391">
        <w:rPr>
          <w:rFonts w:ascii="Times New Roman" w:hAnsi="Times New Roman" w:cs="Times New Roman"/>
        </w:rPr>
        <w:t>se</w:t>
      </w:r>
      <w:bookmarkStart w:id="0" w:name="_GoBack"/>
      <w:bookmarkEnd w:id="0"/>
      <w:r w:rsidR="00C561C3" w:rsidRPr="00604391">
        <w:rPr>
          <w:rFonts w:ascii="Times New Roman" w:hAnsi="Times New Roman" w:cs="Times New Roman"/>
        </w:rPr>
        <w:t xml:space="preserve"> </w:t>
      </w:r>
      <w:r w:rsidRPr="00604391">
        <w:rPr>
          <w:rFonts w:ascii="Times New Roman" w:hAnsi="Times New Roman" w:cs="Times New Roman"/>
        </w:rPr>
        <w:t>destaca el resultado del denominado Libro Beige de la Fed, elaborado por los doce bancos centrales estadounidenses, en donde señala que la actividad económica continuó expandiéndose en lo que va del año a un ritmo de crecimiento de "modesto a moderado" y que las presiones salariales y de precios están aumentando. En todo el país se observó la rigidez persistente del mercado laboral, fuerte demanda de trabajadores calificados y una mayor actividad de los servicios de colocación.  El gasto del consumidor fue "mixto", ya que las ventas minoristas no automotrices aumentaron en poco más de la mitad de los distritos, mientras que las ventas de automóviles disminuyeron o se mantuvieron estables.</w:t>
      </w:r>
    </w:p>
    <w:p w:rsidR="00FF0124" w:rsidRPr="00604391" w:rsidRDefault="00FF0124" w:rsidP="00FF0124">
      <w:pPr>
        <w:pStyle w:val="Sinespaciado"/>
        <w:ind w:right="-188"/>
        <w:jc w:val="both"/>
        <w:rPr>
          <w:rFonts w:ascii="Times New Roman" w:hAnsi="Times New Roman" w:cs="Times New Roman"/>
        </w:rPr>
      </w:pPr>
    </w:p>
    <w:p w:rsidR="00FF0124" w:rsidRPr="00604391" w:rsidRDefault="00FF0124" w:rsidP="00FF0124">
      <w:pPr>
        <w:pStyle w:val="Sinespaciado"/>
        <w:ind w:right="-188"/>
        <w:jc w:val="both"/>
        <w:rPr>
          <w:rFonts w:ascii="Times New Roman" w:hAnsi="Times New Roman" w:cs="Times New Roman"/>
        </w:rPr>
      </w:pPr>
      <w:r w:rsidRPr="00604391">
        <w:rPr>
          <w:rFonts w:ascii="Times New Roman" w:hAnsi="Times New Roman" w:cs="Times New Roman"/>
        </w:rPr>
        <w:t xml:space="preserve">El índice de desempleo de los Estados Unidos se mantuvo estable en 4.1% en febrero, creando 313,000 nuevos empleos, lo que supone una notable mejora en relación con enero, cuando se crearon 239,000 puestos de trabajo, según la cifra revisada y divulgada por el Departamento de Trabajo. </w:t>
      </w:r>
    </w:p>
    <w:p w:rsidR="00FF0124" w:rsidRPr="00604391" w:rsidRDefault="00FF0124" w:rsidP="00FF0124">
      <w:pPr>
        <w:pStyle w:val="Sinespaciado"/>
        <w:ind w:right="-188"/>
        <w:jc w:val="both"/>
        <w:rPr>
          <w:rFonts w:ascii="Times New Roman" w:hAnsi="Times New Roman" w:cs="Times New Roman"/>
        </w:rPr>
      </w:pPr>
    </w:p>
    <w:p w:rsidR="00FF0124" w:rsidRPr="00604391" w:rsidRDefault="00FF0124" w:rsidP="00FF0124">
      <w:pPr>
        <w:pStyle w:val="Sinespaciado"/>
        <w:ind w:right="-188"/>
        <w:jc w:val="both"/>
        <w:rPr>
          <w:rFonts w:ascii="Times New Roman" w:hAnsi="Times New Roman" w:cs="Times New Roman"/>
        </w:rPr>
      </w:pPr>
      <w:r w:rsidRPr="00604391">
        <w:rPr>
          <w:rFonts w:ascii="Times New Roman" w:hAnsi="Times New Roman" w:cs="Times New Roman"/>
        </w:rPr>
        <w:t>En la zona euro, el BCE dejó casi sin cambios este mes sus proyecciones de crecimiento e inflación para la zona y espera un avance a ritmo lento en los precios en el corto y mediano plazo, lo que probablemente influirá negativamente en la consecución del objetivo establecido para fines de esta década a pesar de años de estímulos monetarios.  El BCE, que tiene un objetivo de inflación justo por debajo del 2%, prevé que los precios suban a un ritmo de 1.4% este año y el próximo, con un repunte de 1.7% en 2020</w:t>
      </w:r>
      <w:r w:rsidR="00C561C3" w:rsidRPr="00604391">
        <w:rPr>
          <w:rFonts w:ascii="Times New Roman" w:hAnsi="Times New Roman" w:cs="Times New Roman"/>
        </w:rPr>
        <w:t>.</w:t>
      </w:r>
      <w:r w:rsidRPr="00604391">
        <w:rPr>
          <w:rFonts w:ascii="Times New Roman" w:hAnsi="Times New Roman" w:cs="Times New Roman"/>
        </w:rPr>
        <w:t xml:space="preserve">  </w:t>
      </w:r>
    </w:p>
    <w:p w:rsidR="00FF0124" w:rsidRPr="00604391" w:rsidRDefault="00FF0124" w:rsidP="00FF0124">
      <w:pPr>
        <w:pStyle w:val="Sinespaciado"/>
        <w:ind w:right="-188"/>
        <w:jc w:val="both"/>
        <w:rPr>
          <w:rFonts w:ascii="Times New Roman" w:hAnsi="Times New Roman" w:cs="Times New Roman"/>
        </w:rPr>
      </w:pPr>
    </w:p>
    <w:p w:rsidR="00FF0124" w:rsidRPr="00604391" w:rsidRDefault="00FF0124" w:rsidP="00FF0124">
      <w:pPr>
        <w:pStyle w:val="Sinespaciado"/>
        <w:ind w:right="-188"/>
        <w:jc w:val="both"/>
        <w:rPr>
          <w:rFonts w:ascii="Times New Roman" w:hAnsi="Times New Roman" w:cs="Times New Roman"/>
        </w:rPr>
      </w:pPr>
      <w:r w:rsidRPr="00604391">
        <w:rPr>
          <w:rFonts w:ascii="Times New Roman" w:hAnsi="Times New Roman" w:cs="Times New Roman"/>
        </w:rPr>
        <w:t xml:space="preserve">En China, los datos revisados publicados este mes, indican que el PIB correspondiente a 2017 alcanzó el 6.9%, y se espera que en 2018 se mantenga en 6.5% debido a que los datos de la industria permanecen positivos, sobre todo en cuanto a la importación de materias primas, mientras que es probable que la inflación suba de niveles bajos hasta permanecer dentro de los objetivos fijados por el Banco Popular de China, de acuerdo a Deutsche AM.   </w:t>
      </w:r>
    </w:p>
    <w:p w:rsidR="00FF0124" w:rsidRPr="00604391" w:rsidRDefault="00FF0124" w:rsidP="00FF0124">
      <w:pPr>
        <w:pStyle w:val="Sinespaciado"/>
        <w:ind w:right="-188"/>
        <w:jc w:val="both"/>
        <w:rPr>
          <w:rFonts w:ascii="Times New Roman" w:hAnsi="Times New Roman" w:cs="Times New Roman"/>
        </w:rPr>
      </w:pPr>
    </w:p>
    <w:p w:rsidR="00FF0124" w:rsidRPr="00604391" w:rsidRDefault="00FF0124" w:rsidP="00FF0124">
      <w:pPr>
        <w:pStyle w:val="Sinespaciado"/>
        <w:ind w:right="-188"/>
        <w:jc w:val="both"/>
        <w:rPr>
          <w:rFonts w:ascii="Times New Roman" w:hAnsi="Times New Roman" w:cs="Times New Roman"/>
        </w:rPr>
      </w:pPr>
      <w:r w:rsidRPr="00604391">
        <w:rPr>
          <w:rFonts w:ascii="Times New Roman" w:hAnsi="Times New Roman" w:cs="Times New Roman"/>
        </w:rPr>
        <w:lastRenderedPageBreak/>
        <w:t>En Brasil, la agencia calificadora Fitch Ratings rebajó la calificación crediticia a “BB-”, reflejando los persistentes y grandes déficits fiscales, una alta y creciente carga de deuda del Gobierno y su fracaso en conseguir la aprobación de reformas que mejorarían el desempeño estructural de las finanzas públicas.   Además, la agencia colocó el panorama de la nota de la mayor economía de América Latina en “estable”, e indicó que la baja de calificación se debe a la decisión del Gobierno de no colocar la reforma a la seguridad social en una votación en el Congreso.</w:t>
      </w:r>
    </w:p>
    <w:p w:rsidR="00FF0124" w:rsidRPr="00604391" w:rsidRDefault="00FF0124" w:rsidP="00FF0124">
      <w:pPr>
        <w:pStyle w:val="Sinespaciado"/>
        <w:ind w:right="-188"/>
        <w:jc w:val="both"/>
        <w:rPr>
          <w:rFonts w:ascii="Times New Roman" w:hAnsi="Times New Roman" w:cs="Times New Roman"/>
        </w:rPr>
      </w:pPr>
    </w:p>
    <w:p w:rsidR="00FF0124" w:rsidRPr="00604391" w:rsidRDefault="00FF0124" w:rsidP="00FF0124">
      <w:pPr>
        <w:pStyle w:val="Sinespaciado"/>
        <w:ind w:right="-188"/>
        <w:jc w:val="both"/>
        <w:rPr>
          <w:rFonts w:ascii="Times New Roman" w:hAnsi="Times New Roman" w:cs="Times New Roman"/>
        </w:rPr>
      </w:pPr>
      <w:r w:rsidRPr="00604391">
        <w:rPr>
          <w:rFonts w:ascii="Times New Roman" w:hAnsi="Times New Roman" w:cs="Times New Roman"/>
        </w:rPr>
        <w:t xml:space="preserve">La OPEP durante febrero modificó al alza su previsión sobre la demanda mundial de crudo para 2018, cifrándola en 98.60 millones de barriles diarios, 90,000 barriles diarios más de lo calculado el mes anterior.  Dicha nueva estimación, publicada en el informe mensual de la OPEP, implica que el consumo mundial de petróleo superará este año en 1.59 millones de barriles diarios, un 1.64% superior al de 2017.  </w:t>
      </w:r>
    </w:p>
    <w:p w:rsidR="00FF0124" w:rsidRPr="00604391" w:rsidRDefault="00FF0124" w:rsidP="00FF0124">
      <w:pPr>
        <w:pStyle w:val="Sinespaciado"/>
        <w:ind w:right="-188"/>
        <w:jc w:val="both"/>
        <w:rPr>
          <w:rFonts w:ascii="Times New Roman" w:hAnsi="Times New Roman" w:cs="Times New Roman"/>
        </w:rPr>
      </w:pPr>
    </w:p>
    <w:p w:rsidR="00FF0124" w:rsidRPr="00604391" w:rsidRDefault="00FF0124" w:rsidP="00FF0124">
      <w:pPr>
        <w:pStyle w:val="Sinespaciado"/>
        <w:ind w:right="-188"/>
        <w:jc w:val="both"/>
        <w:rPr>
          <w:rFonts w:ascii="Times New Roman" w:hAnsi="Times New Roman" w:cs="Times New Roman"/>
        </w:rPr>
      </w:pPr>
      <w:r w:rsidRPr="00604391">
        <w:rPr>
          <w:rFonts w:ascii="Times New Roman" w:hAnsi="Times New Roman" w:cs="Times New Roman"/>
        </w:rPr>
        <w:t>En el entorno interno, la percepción sobre la situación económica actual y el ambiente para los negocios continúa nublada, en febrero el nivel de Confianza de la Actividad Económica se situó en 34.17 puntos, inferior en 14.25% con respecto al registrado en enero y menor en 37.87% respecto a los 55 puntos registrados en febrero de 2017. El panel de analistas entrevistados para elaborar el indicador espera un ritmo inflacionario de 4.69% para febrero, 4.64% para marzo y 4.60% para abril 2018; en un horizonte de 12 y 24 meses se esperaría un ritmo de 4.67% y 4.56% respectivamente.</w:t>
      </w:r>
    </w:p>
    <w:p w:rsidR="00C561C3" w:rsidRPr="00604391" w:rsidRDefault="00C561C3" w:rsidP="00FF0124">
      <w:pPr>
        <w:pStyle w:val="Sinespaciado"/>
        <w:ind w:right="-188"/>
        <w:jc w:val="both"/>
        <w:rPr>
          <w:rFonts w:ascii="Times New Roman" w:hAnsi="Times New Roman" w:cs="Times New Roman"/>
        </w:rPr>
      </w:pPr>
    </w:p>
    <w:p w:rsidR="00FF0124" w:rsidRPr="00604391" w:rsidRDefault="00FF0124" w:rsidP="00FF0124">
      <w:pPr>
        <w:pStyle w:val="Sinespaciado"/>
        <w:ind w:right="-188"/>
        <w:jc w:val="both"/>
        <w:rPr>
          <w:rFonts w:ascii="Times New Roman" w:hAnsi="Times New Roman" w:cs="Times New Roman"/>
        </w:rPr>
      </w:pPr>
      <w:r w:rsidRPr="00604391">
        <w:rPr>
          <w:rFonts w:ascii="Times New Roman" w:hAnsi="Times New Roman" w:cs="Times New Roman"/>
        </w:rPr>
        <w:t xml:space="preserve">El comportamiento de la actividad económica medida a través del IMAE, muestra que existió un crecimiento de 2.1% en enero 2018, menor que el 2.8% del mismo mes del 2017; el resultado, de acuerdo a la publicación de febrero del Banco de Guatemala, estuvo impulsado por el desempeño positivo de las actividades económicas como Transporte, almacenamiento y comunicaciones, Servicios privados y Comercio al por mayor y menor.   </w:t>
      </w:r>
    </w:p>
    <w:p w:rsidR="00FF0124" w:rsidRPr="00633616" w:rsidRDefault="00FF0124" w:rsidP="00FF0124">
      <w:pPr>
        <w:pStyle w:val="Sinespaciado"/>
        <w:ind w:right="-188"/>
        <w:jc w:val="both"/>
        <w:rPr>
          <w:rFonts w:ascii="Times New Roman" w:hAnsi="Times New Roman" w:cs="Times New Roman"/>
        </w:rPr>
      </w:pPr>
    </w:p>
    <w:p w:rsidR="00474BAD" w:rsidRPr="00C500EE" w:rsidRDefault="00474BAD" w:rsidP="00474BAD">
      <w:pPr>
        <w:spacing w:after="0" w:line="240" w:lineRule="auto"/>
        <w:jc w:val="both"/>
        <w:rPr>
          <w:rFonts w:ascii="Times New Roman" w:hAnsi="Times New Roman" w:cs="Times New Roman"/>
          <w:color w:val="FF0000"/>
        </w:rPr>
      </w:pPr>
    </w:p>
    <w:p w:rsidR="00D244A1" w:rsidRPr="00C500EE" w:rsidRDefault="00D244A1" w:rsidP="00474BAD">
      <w:pPr>
        <w:spacing w:after="0" w:line="240" w:lineRule="auto"/>
        <w:jc w:val="both"/>
        <w:rPr>
          <w:rFonts w:ascii="Times New Roman" w:hAnsi="Times New Roman" w:cs="Times New Roman"/>
          <w:color w:val="FF0000"/>
        </w:rPr>
        <w:sectPr w:rsidR="00D244A1" w:rsidRPr="00C500EE" w:rsidSect="002B40DA">
          <w:type w:val="continuous"/>
          <w:pgSz w:w="12240" w:h="15840"/>
          <w:pgMar w:top="1417" w:right="1701" w:bottom="1417" w:left="1701" w:header="708" w:footer="708" w:gutter="0"/>
          <w:cols w:num="2" w:space="708"/>
          <w:docGrid w:linePitch="360"/>
        </w:sectPr>
      </w:pPr>
    </w:p>
    <w:p w:rsidR="00D244A1" w:rsidRPr="00C500EE" w:rsidRDefault="00D244A1" w:rsidP="00474BAD">
      <w:pPr>
        <w:spacing w:after="0" w:line="240" w:lineRule="auto"/>
        <w:jc w:val="both"/>
        <w:rPr>
          <w:rFonts w:ascii="Times New Roman" w:hAnsi="Times New Roman" w:cs="Times New Roman"/>
          <w:color w:val="FF0000"/>
        </w:rPr>
      </w:pPr>
    </w:p>
    <w:p w:rsidR="00474BAD" w:rsidRPr="000D1ABA" w:rsidRDefault="00474BAD"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474BAD" w:rsidRPr="000D1ABA" w:rsidSect="002B40DA">
          <w:type w:val="continuous"/>
          <w:pgSz w:w="12240" w:h="15840"/>
          <w:pgMar w:top="1417" w:right="1701" w:bottom="1417" w:left="1701" w:header="708" w:footer="708" w:gutter="0"/>
          <w:cols w:space="708"/>
          <w:docGrid w:linePitch="360"/>
        </w:sectPr>
      </w:pPr>
      <w:r w:rsidRPr="000D1ABA">
        <w:rPr>
          <w:rFonts w:ascii="Times New Roman" w:hAnsi="Times New Roman" w:cs="Times New Roman"/>
          <w:b/>
        </w:rPr>
        <w:t>Anexo</w:t>
      </w:r>
    </w:p>
    <w:p w:rsidR="009F0FE4" w:rsidRDefault="009F0FE4" w:rsidP="009F0FE4">
      <w:pPr>
        <w:spacing w:after="0" w:line="240" w:lineRule="auto"/>
        <w:jc w:val="both"/>
        <w:rPr>
          <w:rFonts w:ascii="Times New Roman" w:hAnsi="Times New Roman" w:cs="Times New Roman"/>
          <w:color w:val="FF0000"/>
        </w:rPr>
      </w:pPr>
    </w:p>
    <w:p w:rsidR="000D1ABA" w:rsidRDefault="000D1ABA" w:rsidP="009F0FE4">
      <w:pPr>
        <w:spacing w:after="0" w:line="240" w:lineRule="auto"/>
        <w:jc w:val="both"/>
        <w:rPr>
          <w:rFonts w:ascii="Times New Roman" w:hAnsi="Times New Roman" w:cs="Times New Roman"/>
          <w:color w:val="FF0000"/>
        </w:rPr>
      </w:pPr>
    </w:p>
    <w:p w:rsidR="00474BAD" w:rsidRPr="00C500EE" w:rsidRDefault="000D1ABA" w:rsidP="000D1ABA">
      <w:pPr>
        <w:spacing w:after="0" w:line="240" w:lineRule="auto"/>
        <w:jc w:val="center"/>
        <w:rPr>
          <w:rFonts w:ascii="Times New Roman" w:hAnsi="Times New Roman" w:cs="Times New Roman"/>
          <w:color w:val="FF0000"/>
        </w:rPr>
      </w:pPr>
      <w:r w:rsidRPr="00623884">
        <w:rPr>
          <w:noProof/>
          <w:lang w:eastAsia="es-GT"/>
        </w:rPr>
        <w:drawing>
          <wp:inline distT="0" distB="0" distL="0" distR="0" wp14:anchorId="3C59C4BD" wp14:editId="5ADD545C">
            <wp:extent cx="5638503" cy="5210175"/>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47045" cy="5218068"/>
                    </a:xfrm>
                    <a:prstGeom prst="rect">
                      <a:avLst/>
                    </a:prstGeom>
                    <a:noFill/>
                    <a:ln>
                      <a:noFill/>
                    </a:ln>
                  </pic:spPr>
                </pic:pic>
              </a:graphicData>
            </a:graphic>
          </wp:inline>
        </w:drawing>
      </w:r>
    </w:p>
    <w:p w:rsidR="009F0FE4" w:rsidRDefault="009F0FE4" w:rsidP="009F0FE4">
      <w:pPr>
        <w:spacing w:after="0" w:line="240" w:lineRule="auto"/>
        <w:jc w:val="both"/>
        <w:rPr>
          <w:rFonts w:ascii="Times New Roman" w:hAnsi="Times New Roman" w:cs="Times New Roman"/>
          <w:color w:val="FF0000"/>
        </w:rPr>
      </w:pPr>
    </w:p>
    <w:p w:rsidR="00712FAC" w:rsidRDefault="00712FAC" w:rsidP="009F0FE4">
      <w:pPr>
        <w:spacing w:after="0" w:line="240" w:lineRule="auto"/>
        <w:jc w:val="both"/>
        <w:rPr>
          <w:rFonts w:ascii="Times New Roman" w:hAnsi="Times New Roman" w:cs="Times New Roman"/>
          <w:color w:val="FF0000"/>
        </w:rPr>
      </w:pPr>
    </w:p>
    <w:p w:rsidR="00712FAC" w:rsidRDefault="00712FAC" w:rsidP="009F0FE4">
      <w:pPr>
        <w:spacing w:after="0" w:line="240" w:lineRule="auto"/>
        <w:jc w:val="both"/>
        <w:rPr>
          <w:rFonts w:ascii="Times New Roman" w:hAnsi="Times New Roman" w:cs="Times New Roman"/>
          <w:color w:val="FF0000"/>
        </w:rPr>
      </w:pPr>
    </w:p>
    <w:p w:rsidR="00712FAC" w:rsidRDefault="00712FAC" w:rsidP="009F0FE4">
      <w:pPr>
        <w:spacing w:after="0" w:line="240" w:lineRule="auto"/>
        <w:jc w:val="both"/>
        <w:rPr>
          <w:rFonts w:ascii="Times New Roman" w:hAnsi="Times New Roman" w:cs="Times New Roman"/>
          <w:color w:val="FF0000"/>
        </w:rPr>
      </w:pPr>
    </w:p>
    <w:p w:rsidR="00712FAC" w:rsidRPr="00C500EE" w:rsidRDefault="00712FAC" w:rsidP="009F0FE4">
      <w:pPr>
        <w:spacing w:after="0" w:line="240" w:lineRule="auto"/>
        <w:jc w:val="both"/>
        <w:rPr>
          <w:rFonts w:ascii="Times New Roman" w:hAnsi="Times New Roman" w:cs="Times New Roman"/>
          <w:color w:val="FF0000"/>
        </w:rPr>
      </w:pPr>
    </w:p>
    <w:sectPr w:rsidR="00712FAC" w:rsidRPr="00C500EE" w:rsidSect="000D1AB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1B" w:rsidRDefault="0011301B" w:rsidP="00FD525D">
      <w:pPr>
        <w:spacing w:after="0" w:line="240" w:lineRule="auto"/>
      </w:pPr>
      <w:r>
        <w:separator/>
      </w:r>
    </w:p>
  </w:endnote>
  <w:endnote w:type="continuationSeparator" w:id="0">
    <w:p w:rsidR="0011301B" w:rsidRDefault="0011301B" w:rsidP="00FD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37644125"/>
      <w:docPartObj>
        <w:docPartGallery w:val="Page Numbers (Bottom of Page)"/>
        <w:docPartUnique/>
      </w:docPartObj>
    </w:sdtPr>
    <w:sdtEndPr>
      <w:rPr>
        <w:rFonts w:ascii="Times New Roman" w:hAnsi="Times New Roman" w:cs="Times New Roman"/>
        <w:b/>
        <w:i/>
        <w:color w:val="4472C4" w:themeColor="accent5"/>
        <w:sz w:val="18"/>
        <w:lang w:val="es-GT"/>
      </w:rPr>
    </w:sdtEndPr>
    <w:sdtContent>
      <w:p w:rsidR="00854AF4" w:rsidRPr="00854AF4" w:rsidRDefault="00854AF4">
        <w:pPr>
          <w:pStyle w:val="Piedepgina"/>
          <w:jc w:val="right"/>
          <w:rPr>
            <w:rFonts w:ascii="Times New Roman" w:hAnsi="Times New Roman" w:cs="Times New Roman"/>
            <w:b/>
            <w:i/>
            <w:color w:val="4472C4" w:themeColor="accent5"/>
            <w:sz w:val="18"/>
          </w:rPr>
        </w:pPr>
        <w:r>
          <w:rPr>
            <w:noProof/>
            <w:lang w:eastAsia="es-GT"/>
          </w:rPr>
          <mc:AlternateContent>
            <mc:Choice Requires="wps">
              <w:drawing>
                <wp:anchor distT="0" distB="0" distL="114300" distR="114300" simplePos="0" relativeHeight="251665408" behindDoc="0" locked="0" layoutInCell="1" allowOverlap="1" wp14:anchorId="29B96C9C" wp14:editId="4988699F">
                  <wp:simplePos x="0" y="0"/>
                  <wp:positionH relativeFrom="column">
                    <wp:posOffset>1310592</wp:posOffset>
                  </wp:positionH>
                  <wp:positionV relativeFrom="paragraph">
                    <wp:posOffset>-103517</wp:posOffset>
                  </wp:positionV>
                  <wp:extent cx="5365750" cy="45719"/>
                  <wp:effectExtent l="0" t="0" r="6350" b="0"/>
                  <wp:wrapNone/>
                  <wp:docPr id="17" name="Rectángulo 17"/>
                  <wp:cNvGraphicFramePr/>
                  <a:graphic xmlns:a="http://schemas.openxmlformats.org/drawingml/2006/main">
                    <a:graphicData uri="http://schemas.microsoft.com/office/word/2010/wordprocessingShape">
                      <wps:wsp>
                        <wps:cNvSpPr/>
                        <wps:spPr>
                          <a:xfrm>
                            <a:off x="0" y="0"/>
                            <a:ext cx="5365750" cy="45719"/>
                          </a:xfrm>
                          <a:prstGeom prst="rect">
                            <a:avLst/>
                          </a:prstGeom>
                          <a:gradFill flip="none" rotWithShape="1">
                            <a:gsLst>
                              <a:gs pos="0">
                                <a:schemeClr val="accent1">
                                  <a:lumMod val="5000"/>
                                  <a:lumOff val="95000"/>
                                </a:schemeClr>
                              </a:gs>
                              <a:gs pos="62500">
                                <a:schemeClr val="accent5">
                                  <a:lumMod val="40000"/>
                                  <a:lumOff val="60000"/>
                                </a:schemeClr>
                              </a:gs>
                              <a:gs pos="40000">
                                <a:schemeClr val="accent1">
                                  <a:lumMod val="20000"/>
                                  <a:lumOff val="80000"/>
                                </a:schemeClr>
                              </a:gs>
                              <a:gs pos="88000">
                                <a:schemeClr val="accent5"/>
                              </a:gs>
                              <a:gs pos="75000">
                                <a:schemeClr val="accent5">
                                  <a:lumMod val="75000"/>
                                </a:schemeClr>
                              </a:gs>
                            </a:gsLst>
                            <a:lin ang="0" scaled="1"/>
                            <a:tileRect/>
                          </a:gradFill>
                          <a:ln w="3175" cap="rnd">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44323" id="Rectángulo 17" o:spid="_x0000_s1026" style="position:absolute;margin-left:103.2pt;margin-top:-8.15pt;width:42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" fillcolor="#f7fafd [180]" stroked="f" strokeweight=".25pt">
                  <v:fill color2="#4472c4 [3208]" rotate="t" angle="90" colors="0 #f7fafd;26214f #deebf7;.625 #b4c7e7;.75 #2f5597;57672f #4472c4" focus="100%" type="gradient"/>
                  <v:stroke joinstyle="round" endcap="round"/>
                </v:rect>
              </w:pict>
            </mc:Fallback>
          </mc:AlternateContent>
        </w:r>
        <w:r w:rsidRPr="00854AF4">
          <w:rPr>
            <w:rFonts w:ascii="Times New Roman" w:hAnsi="Times New Roman" w:cs="Times New Roman"/>
            <w:b/>
            <w:i/>
            <w:color w:val="4472C4" w:themeColor="accent5"/>
            <w:sz w:val="18"/>
          </w:rPr>
          <w:t xml:space="preserve">Página | </w:t>
        </w:r>
        <w:r w:rsidRPr="00854AF4">
          <w:rPr>
            <w:rFonts w:ascii="Times New Roman" w:hAnsi="Times New Roman" w:cs="Times New Roman"/>
            <w:b/>
            <w:i/>
            <w:color w:val="4472C4" w:themeColor="accent5"/>
            <w:sz w:val="18"/>
          </w:rPr>
          <w:fldChar w:fldCharType="begin"/>
        </w:r>
        <w:r w:rsidRPr="00854AF4">
          <w:rPr>
            <w:rFonts w:ascii="Times New Roman" w:hAnsi="Times New Roman" w:cs="Times New Roman"/>
            <w:b/>
            <w:i/>
            <w:color w:val="4472C4" w:themeColor="accent5"/>
            <w:sz w:val="18"/>
          </w:rPr>
          <w:instrText>PAGE   \* MERGEFORMAT</w:instrText>
        </w:r>
        <w:r w:rsidRPr="00854AF4">
          <w:rPr>
            <w:rFonts w:ascii="Times New Roman" w:hAnsi="Times New Roman" w:cs="Times New Roman"/>
            <w:b/>
            <w:i/>
            <w:color w:val="4472C4" w:themeColor="accent5"/>
            <w:sz w:val="18"/>
          </w:rPr>
          <w:fldChar w:fldCharType="separate"/>
        </w:r>
        <w:r w:rsidR="00604391">
          <w:rPr>
            <w:rFonts w:ascii="Times New Roman" w:hAnsi="Times New Roman" w:cs="Times New Roman"/>
            <w:b/>
            <w:i/>
            <w:noProof/>
            <w:color w:val="4472C4" w:themeColor="accent5"/>
            <w:sz w:val="18"/>
          </w:rPr>
          <w:t>1</w:t>
        </w:r>
        <w:r w:rsidRPr="00854AF4">
          <w:rPr>
            <w:rFonts w:ascii="Times New Roman" w:hAnsi="Times New Roman" w:cs="Times New Roman"/>
            <w:b/>
            <w:i/>
            <w:color w:val="4472C4" w:themeColor="accent5"/>
            <w:sz w:val="18"/>
          </w:rPr>
          <w:fldChar w:fldCharType="end"/>
        </w:r>
        <w:r w:rsidRPr="00854AF4">
          <w:rPr>
            <w:rFonts w:ascii="Times New Roman" w:hAnsi="Times New Roman" w:cs="Times New Roman"/>
            <w:b/>
            <w:i/>
            <w:color w:val="4472C4" w:themeColor="accent5"/>
            <w:sz w:val="18"/>
          </w:rPr>
          <w:t xml:space="preserve"> </w:t>
        </w:r>
      </w:p>
    </w:sdtContent>
  </w:sdt>
  <w:p w:rsidR="00FD525D" w:rsidRDefault="00FD52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1B" w:rsidRDefault="0011301B" w:rsidP="00FD525D">
      <w:pPr>
        <w:spacing w:after="0" w:line="240" w:lineRule="auto"/>
      </w:pPr>
      <w:r>
        <w:separator/>
      </w:r>
    </w:p>
  </w:footnote>
  <w:footnote w:type="continuationSeparator" w:id="0">
    <w:p w:rsidR="0011301B" w:rsidRDefault="0011301B" w:rsidP="00FD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5D" w:rsidRDefault="00D244A1">
    <w:pPr>
      <w:pStyle w:val="Encabezado"/>
    </w:pPr>
    <w:r>
      <w:rPr>
        <w:noProof/>
        <w:lang w:eastAsia="es-GT"/>
      </w:rPr>
      <mc:AlternateContent>
        <mc:Choice Requires="wps">
          <w:drawing>
            <wp:anchor distT="0" distB="0" distL="114300" distR="114300" simplePos="0" relativeHeight="251663360" behindDoc="0" locked="0" layoutInCell="1" allowOverlap="1" wp14:anchorId="5DCEBAB4" wp14:editId="5EDD60B7">
              <wp:simplePos x="0" y="0"/>
              <wp:positionH relativeFrom="column">
                <wp:posOffset>3543887</wp:posOffset>
              </wp:positionH>
              <wp:positionV relativeFrom="paragraph">
                <wp:posOffset>178830</wp:posOffset>
              </wp:positionV>
              <wp:extent cx="2785110" cy="256181"/>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785110" cy="256181"/>
                      </a:xfrm>
                      <a:prstGeom prst="rect">
                        <a:avLst/>
                      </a:prstGeom>
                      <a:solidFill>
                        <a:schemeClr val="lt1"/>
                      </a:solidFill>
                      <a:ln w="6350">
                        <a:noFill/>
                      </a:ln>
                    </wps:spPr>
                    <wps:txbx>
                      <w:txbxContent>
                        <w:p w:rsidR="00FD525D" w:rsidRPr="00D244A1" w:rsidRDefault="00FD525D" w:rsidP="00D244A1">
                          <w:pPr>
                            <w:spacing w:after="0"/>
                            <w:jc w:val="right"/>
                            <w:rPr>
                              <w:rFonts w:ascii="Times New Roman" w:hAnsi="Times New Roman" w:cs="Times New Roman"/>
                              <w:b/>
                              <w:i/>
                              <w:color w:val="2F5496" w:themeColor="accent5" w:themeShade="BF"/>
                              <w:sz w:val="18"/>
                            </w:rPr>
                          </w:pPr>
                          <w:r w:rsidRPr="00D244A1">
                            <w:rPr>
                              <w:rFonts w:ascii="Times New Roman" w:hAnsi="Times New Roman" w:cs="Times New Roman"/>
                              <w:b/>
                              <w:i/>
                              <w:color w:val="2F5496" w:themeColor="accent5" w:themeShade="BF"/>
                              <w:sz w:val="18"/>
                            </w:rPr>
                            <w:t>Dirección de Análisis y Política Fiscal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EBAB4" id="_x0000_t202" coordsize="21600,21600" o:spt="202" path="m,l,21600r21600,l21600,xe">
              <v:stroke joinstyle="miter"/>
              <v:path gradientshapeok="t" o:connecttype="rect"/>
            </v:shapetype>
            <v:shape id="Cuadro de texto 15" o:spid="_x0000_s1026" type="#_x0000_t202" style="position:absolute;margin-left:279.05pt;margin-top:14.1pt;width:219.3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" fillcolor="white [3201]" stroked="f" strokeweight=".5pt">
              <v:textbox>
                <w:txbxContent>
                  <w:p w:rsidR="00FD525D" w:rsidRPr="00D244A1" w:rsidRDefault="00FD525D" w:rsidP="00D244A1">
                    <w:pPr>
                      <w:spacing w:after="0"/>
                      <w:jc w:val="right"/>
                      <w:rPr>
                        <w:rFonts w:ascii="Times New Roman" w:hAnsi="Times New Roman" w:cs="Times New Roman"/>
                        <w:b/>
                        <w:i/>
                        <w:color w:val="2F5496" w:themeColor="accent5" w:themeShade="BF"/>
                        <w:sz w:val="18"/>
                      </w:rPr>
                    </w:pPr>
                    <w:r w:rsidRPr="00D244A1">
                      <w:rPr>
                        <w:rFonts w:ascii="Times New Roman" w:hAnsi="Times New Roman" w:cs="Times New Roman"/>
                        <w:b/>
                        <w:i/>
                        <w:color w:val="2F5496" w:themeColor="accent5" w:themeShade="BF"/>
                        <w:sz w:val="18"/>
                      </w:rPr>
                      <w:t>Dirección de Análisis y Política Fiscal</w:t>
                    </w:r>
                  </w:p>
                </w:txbxContent>
              </v:textbox>
            </v:shape>
          </w:pict>
        </mc:Fallback>
      </mc:AlternateContent>
    </w:r>
    <w:r w:rsidR="00854AF4" w:rsidRPr="008B1B52">
      <w:rPr>
        <w:noProof/>
        <w:lang w:eastAsia="es-GT"/>
      </w:rPr>
      <w:drawing>
        <wp:anchor distT="0" distB="0" distL="114300" distR="114300" simplePos="0" relativeHeight="251659264" behindDoc="1" locked="0" layoutInCell="1" allowOverlap="1" wp14:anchorId="6DD429EA" wp14:editId="7F58E340">
          <wp:simplePos x="0" y="0"/>
          <wp:positionH relativeFrom="column">
            <wp:posOffset>41298</wp:posOffset>
          </wp:positionH>
          <wp:positionV relativeFrom="paragraph">
            <wp:posOffset>-285678</wp:posOffset>
          </wp:positionV>
          <wp:extent cx="1354347" cy="729341"/>
          <wp:effectExtent l="0" t="0" r="0" b="0"/>
          <wp:wrapNone/>
          <wp:docPr id="50" name="Imagen 5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020" cy="73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AF4">
      <w:rPr>
        <w:noProof/>
        <w:lang w:eastAsia="es-GT"/>
      </w:rPr>
      <mc:AlternateContent>
        <mc:Choice Requires="wps">
          <w:drawing>
            <wp:anchor distT="0" distB="0" distL="114300" distR="114300" simplePos="0" relativeHeight="251660288" behindDoc="0" locked="0" layoutInCell="1" allowOverlap="1" wp14:anchorId="10130829" wp14:editId="452CD4C0">
              <wp:simplePos x="0" y="0"/>
              <wp:positionH relativeFrom="column">
                <wp:posOffset>1309382</wp:posOffset>
              </wp:positionH>
              <wp:positionV relativeFrom="paragraph">
                <wp:posOffset>119763</wp:posOffset>
              </wp:positionV>
              <wp:extent cx="5365750" cy="45719"/>
              <wp:effectExtent l="0" t="0" r="6350" b="0"/>
              <wp:wrapNone/>
              <wp:docPr id="13" name="Rectángulo 13"/>
              <wp:cNvGraphicFramePr/>
              <a:graphic xmlns:a="http://schemas.openxmlformats.org/drawingml/2006/main">
                <a:graphicData uri="http://schemas.microsoft.com/office/word/2010/wordprocessingShape">
                  <wps:wsp>
                    <wps:cNvSpPr/>
                    <wps:spPr>
                      <a:xfrm>
                        <a:off x="0" y="0"/>
                        <a:ext cx="5365750" cy="45719"/>
                      </a:xfrm>
                      <a:prstGeom prst="rect">
                        <a:avLst/>
                      </a:prstGeom>
                      <a:gradFill flip="none" rotWithShape="1">
                        <a:gsLst>
                          <a:gs pos="0">
                            <a:schemeClr val="accent1">
                              <a:lumMod val="5000"/>
                              <a:lumOff val="95000"/>
                            </a:schemeClr>
                          </a:gs>
                          <a:gs pos="62500">
                            <a:schemeClr val="accent5">
                              <a:lumMod val="40000"/>
                              <a:lumOff val="60000"/>
                            </a:schemeClr>
                          </a:gs>
                          <a:gs pos="40000">
                            <a:schemeClr val="accent1">
                              <a:lumMod val="20000"/>
                              <a:lumOff val="80000"/>
                            </a:schemeClr>
                          </a:gs>
                          <a:gs pos="88000">
                            <a:schemeClr val="accent5"/>
                          </a:gs>
                          <a:gs pos="75000">
                            <a:schemeClr val="accent5">
                              <a:lumMod val="75000"/>
                            </a:schemeClr>
                          </a:gs>
                        </a:gsLst>
                        <a:lin ang="0" scaled="1"/>
                        <a:tileRect/>
                      </a:gradFill>
                      <a:ln w="3175" cap="rnd">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D091D" id="Rectángulo 13" o:spid="_x0000_s1026" style="position:absolute;margin-left:103.1pt;margin-top:9.45pt;width:42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" fillcolor="#f7fafd [180]" stroked="f" strokeweight=".25pt">
              <v:fill color2="#4472c4 [3208]" rotate="t" angle="90" colors="0 #f7fafd;26214f #deebf7;.625 #b4c7e7;.75 #2f5597;57672f #4472c4" focus="100%" type="gradient"/>
              <v:stroke joinstyle="round" endcap="round"/>
            </v:rect>
          </w:pict>
        </mc:Fallback>
      </mc:AlternateContent>
    </w:r>
    <w:r w:rsidR="00FD525D">
      <w:rPr>
        <w:noProof/>
        <w:lang w:eastAsia="es-GT"/>
      </w:rPr>
      <mc:AlternateContent>
        <mc:Choice Requires="wps">
          <w:drawing>
            <wp:anchor distT="0" distB="0" distL="114300" distR="114300" simplePos="0" relativeHeight="251661312" behindDoc="0" locked="0" layoutInCell="1" allowOverlap="1" wp14:anchorId="63EAAB01" wp14:editId="3CAF3CB9">
              <wp:simplePos x="0" y="0"/>
              <wp:positionH relativeFrom="column">
                <wp:posOffset>2508454</wp:posOffset>
              </wp:positionH>
              <wp:positionV relativeFrom="paragraph">
                <wp:posOffset>-285678</wp:posOffset>
              </wp:positionV>
              <wp:extent cx="3821430" cy="405441"/>
              <wp:effectExtent l="0" t="0" r="7620" b="0"/>
              <wp:wrapNone/>
              <wp:docPr id="14" name="Cuadro de texto 14"/>
              <wp:cNvGraphicFramePr/>
              <a:graphic xmlns:a="http://schemas.openxmlformats.org/drawingml/2006/main">
                <a:graphicData uri="http://schemas.microsoft.com/office/word/2010/wordprocessingShape">
                  <wps:wsp>
                    <wps:cNvSpPr txBox="1"/>
                    <wps:spPr>
                      <a:xfrm>
                        <a:off x="0" y="0"/>
                        <a:ext cx="3821430" cy="405441"/>
                      </a:xfrm>
                      <a:prstGeom prst="rect">
                        <a:avLst/>
                      </a:prstGeom>
                      <a:solidFill>
                        <a:schemeClr val="lt1"/>
                      </a:solidFill>
                      <a:ln w="6350">
                        <a:noFill/>
                      </a:ln>
                    </wps:spPr>
                    <wps:txbx>
                      <w:txbxContent>
                        <w:p w:rsidR="00FD525D" w:rsidRPr="00FD525D" w:rsidRDefault="00FD525D" w:rsidP="00FD525D">
                          <w:pPr>
                            <w:spacing w:after="0"/>
                            <w:jc w:val="right"/>
                            <w:rPr>
                              <w:rFonts w:ascii="Times New Roman" w:hAnsi="Times New Roman" w:cs="Times New Roman"/>
                              <w:b/>
                              <w:i/>
                              <w:color w:val="44546A" w:themeColor="text2"/>
                              <w:sz w:val="20"/>
                            </w:rPr>
                          </w:pPr>
                          <w:r w:rsidRPr="00FD525D">
                            <w:rPr>
                              <w:rFonts w:ascii="Times New Roman" w:hAnsi="Times New Roman" w:cs="Times New Roman"/>
                              <w:b/>
                              <w:i/>
                              <w:color w:val="44546A" w:themeColor="text2"/>
                              <w:sz w:val="20"/>
                            </w:rPr>
                            <w:t>Informe de las Finanzas Públicas</w:t>
                          </w:r>
                        </w:p>
                        <w:p w:rsidR="00FD525D" w:rsidRPr="00FD525D" w:rsidRDefault="00E745F0" w:rsidP="00FD525D">
                          <w:pPr>
                            <w:jc w:val="right"/>
                            <w:rPr>
                              <w:rFonts w:ascii="Times New Roman" w:hAnsi="Times New Roman" w:cs="Times New Roman"/>
                              <w:i/>
                              <w:color w:val="44546A" w:themeColor="text2"/>
                            </w:rPr>
                          </w:pPr>
                          <w:r>
                            <w:rPr>
                              <w:rFonts w:ascii="Times New Roman" w:hAnsi="Times New Roman" w:cs="Times New Roman"/>
                              <w:i/>
                              <w:color w:val="44546A" w:themeColor="text2"/>
                            </w:rPr>
                            <w:t>Febrero</w:t>
                          </w:r>
                          <w:r w:rsidR="00FD525D">
                            <w:rPr>
                              <w:rFonts w:ascii="Times New Roman" w:hAnsi="Times New Roman" w:cs="Times New Roman"/>
                              <w:i/>
                              <w:color w:val="44546A" w:themeColor="text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AAB01" id="Cuadro de texto 14" o:spid="_x0000_s1027" type="#_x0000_t202" style="position:absolute;margin-left:197.5pt;margin-top:-22.5pt;width:300.9pt;height:3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" fillcolor="white [3201]" stroked="f" strokeweight=".5pt">
              <v:textbox>
                <w:txbxContent>
                  <w:p w:rsidR="00FD525D" w:rsidRPr="00FD525D" w:rsidRDefault="00FD525D" w:rsidP="00FD525D">
                    <w:pPr>
                      <w:spacing w:after="0"/>
                      <w:jc w:val="right"/>
                      <w:rPr>
                        <w:rFonts w:ascii="Times New Roman" w:hAnsi="Times New Roman" w:cs="Times New Roman"/>
                        <w:b/>
                        <w:i/>
                        <w:color w:val="44546A" w:themeColor="text2"/>
                        <w:sz w:val="20"/>
                      </w:rPr>
                    </w:pPr>
                    <w:r w:rsidRPr="00FD525D">
                      <w:rPr>
                        <w:rFonts w:ascii="Times New Roman" w:hAnsi="Times New Roman" w:cs="Times New Roman"/>
                        <w:b/>
                        <w:i/>
                        <w:color w:val="44546A" w:themeColor="text2"/>
                        <w:sz w:val="20"/>
                      </w:rPr>
                      <w:t>Informe de las Finanzas Públicas</w:t>
                    </w:r>
                  </w:p>
                  <w:p w:rsidR="00FD525D" w:rsidRPr="00FD525D" w:rsidRDefault="00E745F0" w:rsidP="00FD525D">
                    <w:pPr>
                      <w:jc w:val="right"/>
                      <w:rPr>
                        <w:rFonts w:ascii="Times New Roman" w:hAnsi="Times New Roman" w:cs="Times New Roman"/>
                        <w:i/>
                        <w:color w:val="44546A" w:themeColor="text2"/>
                      </w:rPr>
                    </w:pPr>
                    <w:r>
                      <w:rPr>
                        <w:rFonts w:ascii="Times New Roman" w:hAnsi="Times New Roman" w:cs="Times New Roman"/>
                        <w:i/>
                        <w:color w:val="44546A" w:themeColor="text2"/>
                      </w:rPr>
                      <w:t>Febrero</w:t>
                    </w:r>
                    <w:r w:rsidR="00FD525D">
                      <w:rPr>
                        <w:rFonts w:ascii="Times New Roman" w:hAnsi="Times New Roman" w:cs="Times New Roman"/>
                        <w:i/>
                        <w:color w:val="44546A" w:themeColor="text2"/>
                      </w:rPr>
                      <w:t xml:space="preserve"> 2018</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DA"/>
    <w:rsid w:val="0000552C"/>
    <w:rsid w:val="000D1ABA"/>
    <w:rsid w:val="0011301B"/>
    <w:rsid w:val="001A341D"/>
    <w:rsid w:val="002B40DA"/>
    <w:rsid w:val="00474BAD"/>
    <w:rsid w:val="00604391"/>
    <w:rsid w:val="006D0964"/>
    <w:rsid w:val="00712FAC"/>
    <w:rsid w:val="00854AF4"/>
    <w:rsid w:val="009820B3"/>
    <w:rsid w:val="00985716"/>
    <w:rsid w:val="009E42B7"/>
    <w:rsid w:val="009F0FE4"/>
    <w:rsid w:val="00AA6B72"/>
    <w:rsid w:val="00C500EE"/>
    <w:rsid w:val="00C561C3"/>
    <w:rsid w:val="00D244A1"/>
    <w:rsid w:val="00E745F0"/>
    <w:rsid w:val="00FD525D"/>
    <w:rsid w:val="00FF012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2598"/>
  <w15:chartTrackingRefBased/>
  <w15:docId w15:val="{E103BA1F-1629-4FB4-B54E-08C4191A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2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25D"/>
  </w:style>
  <w:style w:type="paragraph" w:styleId="Piedepgina">
    <w:name w:val="footer"/>
    <w:basedOn w:val="Normal"/>
    <w:link w:val="PiedepginaCar"/>
    <w:uiPriority w:val="99"/>
    <w:unhideWhenUsed/>
    <w:rsid w:val="00FD52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25D"/>
  </w:style>
  <w:style w:type="paragraph" w:styleId="Sinespaciado">
    <w:name w:val="No Spacing"/>
    <w:link w:val="SinespaciadoCar"/>
    <w:uiPriority w:val="1"/>
    <w:qFormat/>
    <w:rsid w:val="00C500EE"/>
    <w:pPr>
      <w:spacing w:after="0" w:line="240" w:lineRule="auto"/>
    </w:pPr>
  </w:style>
  <w:style w:type="character" w:customStyle="1" w:styleId="SinespaciadoCar">
    <w:name w:val="Sin espaciado Car"/>
    <w:basedOn w:val="Fuentedeprrafopredeter"/>
    <w:link w:val="Sinespaciado"/>
    <w:uiPriority w:val="1"/>
    <w:locked/>
    <w:rsid w:val="00C500EE"/>
  </w:style>
  <w:style w:type="paragraph" w:styleId="Prrafodelista">
    <w:name w:val="List Paragraph"/>
    <w:basedOn w:val="Normal"/>
    <w:uiPriority w:val="34"/>
    <w:qFormat/>
    <w:rsid w:val="00FF012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51007738423841"/>
          <c:y val="6.2150523867443401E-2"/>
          <c:w val="0.80906063863788225"/>
          <c:h val="0.82624159784904927"/>
        </c:manualLayout>
      </c:layout>
      <c:barChart>
        <c:barDir val="col"/>
        <c:grouping val="clustered"/>
        <c:varyColors val="0"/>
        <c:ser>
          <c:idx val="0"/>
          <c:order val="0"/>
          <c:tx>
            <c:strRef>
              <c:f>Hoja1!$B$1</c:f>
              <c:strCache>
                <c:ptCount val="1"/>
                <c:pt idx="0">
                  <c:v>Obs</c:v>
                </c:pt>
              </c:strCache>
            </c:strRef>
          </c:tx>
          <c:spPr>
            <a:solidFill>
              <a:schemeClr val="accent1"/>
            </a:solidFill>
            <a:ln>
              <a:noFill/>
            </a:ln>
            <a:effectLst/>
          </c:spPr>
          <c:invertIfNegative val="0"/>
          <c:dLbls>
            <c:dLbl>
              <c:idx val="1"/>
              <c:layout>
                <c:manualLayout>
                  <c:x val="0"/>
                  <c:y val="1.6260162601625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DE-47C5-B8ED-55614E1FF51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Hoja1!$A$2:$A$3</c:f>
              <c:strCache>
                <c:ptCount val="2"/>
                <c:pt idx="0">
                  <c:v>Ene</c:v>
                </c:pt>
                <c:pt idx="1">
                  <c:v>Feb</c:v>
                </c:pt>
              </c:strCache>
            </c:strRef>
          </c:cat>
          <c:val>
            <c:numRef>
              <c:f>Hoja1!$B$2:$B$3</c:f>
              <c:numCache>
                <c:formatCode>General</c:formatCode>
                <c:ptCount val="2"/>
                <c:pt idx="0">
                  <c:v>5745.0720704000005</c:v>
                </c:pt>
                <c:pt idx="1">
                  <c:v>3786.8957746500005</c:v>
                </c:pt>
              </c:numCache>
            </c:numRef>
          </c:val>
          <c:extLst>
            <c:ext xmlns:c16="http://schemas.microsoft.com/office/drawing/2014/chart" uri="{C3380CC4-5D6E-409C-BE32-E72D297353CC}">
              <c16:uniqueId val="{00000001-5CDE-47C5-B8ED-55614E1FF51C}"/>
            </c:ext>
          </c:extLst>
        </c:ser>
        <c:ser>
          <c:idx val="1"/>
          <c:order val="1"/>
          <c:tx>
            <c:strRef>
              <c:f>Hoja1!$C$1</c:f>
              <c:strCache>
                <c:ptCount val="1"/>
                <c:pt idx="0">
                  <c:v>Meta</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Hoja1!$A$2:$A$3</c:f>
              <c:strCache>
                <c:ptCount val="2"/>
                <c:pt idx="0">
                  <c:v>Ene</c:v>
                </c:pt>
                <c:pt idx="1">
                  <c:v>Feb</c:v>
                </c:pt>
              </c:strCache>
            </c:strRef>
          </c:cat>
          <c:val>
            <c:numRef>
              <c:f>Hoja1!$C$2:$C$3</c:f>
              <c:numCache>
                <c:formatCode>General</c:formatCode>
                <c:ptCount val="2"/>
                <c:pt idx="0">
                  <c:v>5627.4079276378061</c:v>
                </c:pt>
                <c:pt idx="1">
                  <c:v>3792.9570322124555</c:v>
                </c:pt>
              </c:numCache>
            </c:numRef>
          </c:val>
          <c:extLst>
            <c:ext xmlns:c16="http://schemas.microsoft.com/office/drawing/2014/chart" uri="{C3380CC4-5D6E-409C-BE32-E72D297353CC}">
              <c16:uniqueId val="{00000002-5CDE-47C5-B8ED-55614E1FF51C}"/>
            </c:ext>
          </c:extLst>
        </c:ser>
        <c:dLbls>
          <c:showLegendKey val="0"/>
          <c:showVal val="0"/>
          <c:showCatName val="0"/>
          <c:showSerName val="0"/>
          <c:showPercent val="0"/>
          <c:showBubbleSize val="0"/>
        </c:dLbls>
        <c:gapWidth val="20"/>
        <c:overlap val="-43"/>
        <c:axId val="329293960"/>
        <c:axId val="329290024"/>
      </c:barChart>
      <c:catAx>
        <c:axId val="3292939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29290024"/>
        <c:crosses val="autoZero"/>
        <c:auto val="1"/>
        <c:lblAlgn val="ctr"/>
        <c:lblOffset val="100"/>
        <c:noMultiLvlLbl val="0"/>
      </c:catAx>
      <c:valAx>
        <c:axId val="329290024"/>
        <c:scaling>
          <c:orientation val="minMax"/>
          <c:min val="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2929396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71111989230128525"/>
          <c:y val="9.0107760920128871E-2"/>
          <c:w val="0.21244656226089825"/>
          <c:h val="0.1998651388088683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77888026038252"/>
          <c:y val="1.9462879640044995E-2"/>
          <c:w val="0.74066160696295291"/>
          <c:h val="0.8571753530808649"/>
        </c:manualLayout>
      </c:layout>
      <c:barChart>
        <c:barDir val="bar"/>
        <c:grouping val="clustered"/>
        <c:varyColors val="0"/>
        <c:ser>
          <c:idx val="0"/>
          <c:order val="0"/>
          <c:tx>
            <c:strRef>
              <c:f>Hoja1!$B$1</c:f>
              <c:strCache>
                <c:ptCount val="1"/>
                <c:pt idx="0">
                  <c:v>2018-2017</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Hoja1!$A$2:$A$18</c:f>
              <c:strCache>
                <c:ptCount val="17"/>
                <c:pt idx="0">
                  <c:v>ISR</c:v>
                </c:pt>
                <c:pt idx="1">
                  <c:v>IVA Dom</c:v>
                </c:pt>
                <c:pt idx="2">
                  <c:v>Regalías</c:v>
                </c:pt>
                <c:pt idx="3">
                  <c:v>Tabacos</c:v>
                </c:pt>
                <c:pt idx="4">
                  <c:v>Cemento</c:v>
                </c:pt>
                <c:pt idx="5">
                  <c:v>Timbres</c:v>
                </c:pt>
                <c:pt idx="6">
                  <c:v>IETAAP</c:v>
                </c:pt>
                <c:pt idx="7">
                  <c:v>Otros</c:v>
                </c:pt>
                <c:pt idx="8">
                  <c:v>Propiedad</c:v>
                </c:pt>
                <c:pt idx="9">
                  <c:v>Salidas</c:v>
                </c:pt>
                <c:pt idx="10">
                  <c:v>Petróleo</c:v>
                </c:pt>
                <c:pt idx="11">
                  <c:v>IVA Imp</c:v>
                </c:pt>
                <c:pt idx="12">
                  <c:v>Bebidas</c:v>
                </c:pt>
                <c:pt idx="13">
                  <c:v>IPRIMA</c:v>
                </c:pt>
                <c:pt idx="14">
                  <c:v>Vehículos</c:v>
                </c:pt>
                <c:pt idx="15">
                  <c:v>DAI</c:v>
                </c:pt>
                <c:pt idx="16">
                  <c:v>ISO</c:v>
                </c:pt>
              </c:strCache>
            </c:strRef>
          </c:cat>
          <c:val>
            <c:numRef>
              <c:f>Hoja1!$B$2:$B$18</c:f>
              <c:numCache>
                <c:formatCode>#,##0.0</c:formatCode>
                <c:ptCount val="17"/>
                <c:pt idx="0">
                  <c:v>97.508011529999749</c:v>
                </c:pt>
                <c:pt idx="1">
                  <c:v>242.17098337000061</c:v>
                </c:pt>
                <c:pt idx="2">
                  <c:v>16.238852210000005</c:v>
                </c:pt>
                <c:pt idx="3">
                  <c:v>8.7023144499999958</c:v>
                </c:pt>
                <c:pt idx="4">
                  <c:v>-0.37910816000000125</c:v>
                </c:pt>
                <c:pt idx="5">
                  <c:v>16.113170730000007</c:v>
                </c:pt>
                <c:pt idx="6">
                  <c:v>-5.9397172500000011</c:v>
                </c:pt>
                <c:pt idx="7">
                  <c:v>7.1040239999999866E-2</c:v>
                </c:pt>
                <c:pt idx="8">
                  <c:v>-0.43550376999999996</c:v>
                </c:pt>
                <c:pt idx="9">
                  <c:v>-3.4670825500000078</c:v>
                </c:pt>
                <c:pt idx="10">
                  <c:v>33.495195839999951</c:v>
                </c:pt>
                <c:pt idx="11">
                  <c:v>150.71670979999999</c:v>
                </c:pt>
                <c:pt idx="12">
                  <c:v>-3.2276313299999799</c:v>
                </c:pt>
                <c:pt idx="13">
                  <c:v>6.1717795499999966</c:v>
                </c:pt>
                <c:pt idx="14">
                  <c:v>4.4508394100000004</c:v>
                </c:pt>
                <c:pt idx="15">
                  <c:v>18.763455439999973</c:v>
                </c:pt>
                <c:pt idx="16">
                  <c:v>68.207097240000166</c:v>
                </c:pt>
              </c:numCache>
            </c:numRef>
          </c:val>
          <c:extLst>
            <c:ext xmlns:c16="http://schemas.microsoft.com/office/drawing/2014/chart" uri="{C3380CC4-5D6E-409C-BE32-E72D297353CC}">
              <c16:uniqueId val="{00000000-33ED-4A83-857B-F8E653ACD81D}"/>
            </c:ext>
          </c:extLst>
        </c:ser>
        <c:ser>
          <c:idx val="1"/>
          <c:order val="1"/>
          <c:tx>
            <c:strRef>
              <c:f>Hoja1!$C$1</c:f>
              <c:strCache>
                <c:ptCount val="1"/>
                <c:pt idx="0">
                  <c:v>2018-Pres</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Hoja1!$A$2:$A$18</c:f>
              <c:strCache>
                <c:ptCount val="17"/>
                <c:pt idx="0">
                  <c:v>ISR</c:v>
                </c:pt>
                <c:pt idx="1">
                  <c:v>IVA Dom</c:v>
                </c:pt>
                <c:pt idx="2">
                  <c:v>Regalías</c:v>
                </c:pt>
                <c:pt idx="3">
                  <c:v>Tabacos</c:v>
                </c:pt>
                <c:pt idx="4">
                  <c:v>Cemento</c:v>
                </c:pt>
                <c:pt idx="5">
                  <c:v>Timbres</c:v>
                </c:pt>
                <c:pt idx="6">
                  <c:v>IETAAP</c:v>
                </c:pt>
                <c:pt idx="7">
                  <c:v>Otros</c:v>
                </c:pt>
                <c:pt idx="8">
                  <c:v>Propiedad</c:v>
                </c:pt>
                <c:pt idx="9">
                  <c:v>Salidas</c:v>
                </c:pt>
                <c:pt idx="10">
                  <c:v>Petróleo</c:v>
                </c:pt>
                <c:pt idx="11">
                  <c:v>IVA Imp</c:v>
                </c:pt>
                <c:pt idx="12">
                  <c:v>Bebidas</c:v>
                </c:pt>
                <c:pt idx="13">
                  <c:v>IPRIMA</c:v>
                </c:pt>
                <c:pt idx="14">
                  <c:v>Vehículos</c:v>
                </c:pt>
                <c:pt idx="15">
                  <c:v>DAI</c:v>
                </c:pt>
                <c:pt idx="16">
                  <c:v>ISO</c:v>
                </c:pt>
              </c:strCache>
            </c:strRef>
          </c:cat>
          <c:val>
            <c:numRef>
              <c:f>Hoja1!$C$2:$C$18</c:f>
              <c:numCache>
                <c:formatCode>#,##0.0</c:formatCode>
                <c:ptCount val="17"/>
                <c:pt idx="0">
                  <c:v>163.39480599999979</c:v>
                </c:pt>
                <c:pt idx="1">
                  <c:v>91.894401340000513</c:v>
                </c:pt>
                <c:pt idx="2">
                  <c:v>16.85089556208267</c:v>
                </c:pt>
                <c:pt idx="3">
                  <c:v>3.6268355099999923</c:v>
                </c:pt>
                <c:pt idx="4">
                  <c:v>2.2449336899999999</c:v>
                </c:pt>
                <c:pt idx="5">
                  <c:v>1.8375679700000092</c:v>
                </c:pt>
                <c:pt idx="6">
                  <c:v>1.7742930800000001</c:v>
                </c:pt>
                <c:pt idx="7">
                  <c:v>0.24588062999999982</c:v>
                </c:pt>
                <c:pt idx="8">
                  <c:v>-0.21908889000000009</c:v>
                </c:pt>
                <c:pt idx="9">
                  <c:v>-3.1602782823446844</c:v>
                </c:pt>
                <c:pt idx="10">
                  <c:v>-5.0367646199999854</c:v>
                </c:pt>
                <c:pt idx="11">
                  <c:v>-8.4473768699999709</c:v>
                </c:pt>
                <c:pt idx="12">
                  <c:v>-10.080303320000013</c:v>
                </c:pt>
                <c:pt idx="13">
                  <c:v>-11.292482580000012</c:v>
                </c:pt>
                <c:pt idx="14">
                  <c:v>-12.664084450000004</c:v>
                </c:pt>
                <c:pt idx="15">
                  <c:v>-30.824937900000009</c:v>
                </c:pt>
                <c:pt idx="16">
                  <c:v>-88.541411669999889</c:v>
                </c:pt>
              </c:numCache>
            </c:numRef>
          </c:val>
          <c:extLst>
            <c:ext xmlns:c16="http://schemas.microsoft.com/office/drawing/2014/chart" uri="{C3380CC4-5D6E-409C-BE32-E72D297353CC}">
              <c16:uniqueId val="{00000001-33ED-4A83-857B-F8E653ACD81D}"/>
            </c:ext>
          </c:extLst>
        </c:ser>
        <c:dLbls>
          <c:showLegendKey val="0"/>
          <c:showVal val="0"/>
          <c:showCatName val="0"/>
          <c:showSerName val="0"/>
          <c:showPercent val="0"/>
          <c:showBubbleSize val="0"/>
        </c:dLbls>
        <c:gapWidth val="50"/>
        <c:axId val="135836416"/>
        <c:axId val="135909376"/>
      </c:barChart>
      <c:catAx>
        <c:axId val="1358364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35909376"/>
        <c:crosses val="autoZero"/>
        <c:auto val="1"/>
        <c:lblAlgn val="ctr"/>
        <c:lblOffset val="100"/>
        <c:noMultiLvlLbl val="0"/>
      </c:catAx>
      <c:valAx>
        <c:axId val="135909376"/>
        <c:scaling>
          <c:orientation val="minMax"/>
          <c:min val="-150"/>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35836416"/>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
          <c:y val="0.92409381663112988"/>
          <c:w val="1"/>
          <c:h val="7.39695152784801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sz="700"/>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60EF-542A-4552-B5D6-46369627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1539</Words>
  <Characters>8466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Enrique De León Meneses</dc:creator>
  <cp:keywords/>
  <dc:description/>
  <cp:lastModifiedBy>Saul Enrique De León Meneses</cp:lastModifiedBy>
  <cp:revision>6</cp:revision>
  <dcterms:created xsi:type="dcterms:W3CDTF">2018-03-26T16:11:00Z</dcterms:created>
  <dcterms:modified xsi:type="dcterms:W3CDTF">2018-03-26T16:53:00Z</dcterms:modified>
</cp:coreProperties>
</file>