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651" w:rsidRPr="000813C5" w:rsidRDefault="00AF68D3" w:rsidP="008F312E">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sectPr w:rsidR="007D4651" w:rsidRPr="000813C5" w:rsidSect="00754057">
          <w:headerReference w:type="default" r:id="rId9"/>
          <w:footerReference w:type="default" r:id="rId10"/>
          <w:pgSz w:w="12240" w:h="15840" w:code="1"/>
          <w:pgMar w:top="1418" w:right="1418" w:bottom="1418" w:left="1418" w:header="709" w:footer="709" w:gutter="0"/>
          <w:cols w:space="708"/>
          <w:docGrid w:linePitch="360"/>
        </w:sectPr>
      </w:pPr>
      <w:r w:rsidRPr="000813C5">
        <w:rPr>
          <w:rFonts w:ascii="Times New Roman" w:hAnsi="Times New Roman" w:cs="Times New Roman"/>
          <w:b/>
          <w:lang w:val="es-MX"/>
        </w:rPr>
        <w:t>Abril</w:t>
      </w:r>
      <w:r w:rsidR="00276250" w:rsidRPr="000813C5">
        <w:rPr>
          <w:rFonts w:ascii="Times New Roman" w:hAnsi="Times New Roman" w:cs="Times New Roman"/>
          <w:b/>
          <w:lang w:val="es-MX"/>
        </w:rPr>
        <w:t xml:space="preserve"> continúa</w:t>
      </w:r>
      <w:r w:rsidR="00C646C4" w:rsidRPr="000813C5">
        <w:rPr>
          <w:rFonts w:ascii="Times New Roman" w:hAnsi="Times New Roman" w:cs="Times New Roman"/>
          <w:b/>
          <w:lang w:val="es-MX"/>
        </w:rPr>
        <w:t xml:space="preserve"> con superávit</w:t>
      </w:r>
      <w:r w:rsidR="00157402" w:rsidRPr="000813C5">
        <w:rPr>
          <w:rFonts w:ascii="Times New Roman" w:hAnsi="Times New Roman" w:cs="Times New Roman"/>
          <w:b/>
          <w:lang w:val="es-MX"/>
        </w:rPr>
        <w:t xml:space="preserve"> fiscal </w:t>
      </w:r>
    </w:p>
    <w:p w:rsidR="007D4651" w:rsidRPr="000813C5" w:rsidRDefault="007D4651" w:rsidP="007D4651">
      <w:pPr>
        <w:pStyle w:val="Sinespaciado"/>
        <w:rPr>
          <w:rFonts w:ascii="Times New Roman" w:hAnsi="Times New Roman" w:cs="Times New Roman"/>
          <w:b/>
          <w:color w:val="FF0000"/>
          <w:sz w:val="6"/>
          <w:lang w:val="es-MX"/>
        </w:rPr>
      </w:pPr>
    </w:p>
    <w:p w:rsidR="007D4651" w:rsidRPr="000813C5" w:rsidRDefault="007D4651" w:rsidP="007D4651">
      <w:pPr>
        <w:pStyle w:val="Sinespaciado"/>
        <w:jc w:val="center"/>
        <w:rPr>
          <w:rFonts w:ascii="Times New Roman" w:hAnsi="Times New Roman" w:cs="Times New Roman"/>
          <w:b/>
          <w:color w:val="FF0000"/>
          <w:lang w:val="es-MX"/>
        </w:rPr>
      </w:pPr>
    </w:p>
    <w:p w:rsidR="009C4027" w:rsidRPr="000813C5" w:rsidRDefault="009C4027" w:rsidP="007D4651">
      <w:pPr>
        <w:pStyle w:val="Sinespaciado"/>
        <w:jc w:val="center"/>
        <w:rPr>
          <w:rFonts w:ascii="Times New Roman" w:hAnsi="Times New Roman" w:cs="Times New Roman"/>
          <w:b/>
          <w:color w:val="FF0000"/>
          <w:lang w:val="es-MX"/>
        </w:rPr>
        <w:sectPr w:rsidR="009C4027" w:rsidRPr="000813C5" w:rsidSect="004E358C">
          <w:type w:val="continuous"/>
          <w:pgSz w:w="12240" w:h="15840"/>
          <w:pgMar w:top="1417" w:right="1701" w:bottom="1417" w:left="1701" w:header="708" w:footer="708" w:gutter="0"/>
          <w:cols w:space="708"/>
          <w:docGrid w:linePitch="360"/>
        </w:sectPr>
      </w:pPr>
    </w:p>
    <w:p w:rsidR="000813C5" w:rsidRDefault="000813C5" w:rsidP="000813C5">
      <w:pPr>
        <w:pStyle w:val="Sinespaciado"/>
        <w:jc w:val="both"/>
        <w:rPr>
          <w:rFonts w:ascii="Times New Roman" w:hAnsi="Times New Roman" w:cs="Times New Roman"/>
          <w:lang w:val="es-MX"/>
        </w:rPr>
      </w:pPr>
      <w:r>
        <w:rPr>
          <w:rFonts w:ascii="Times New Roman" w:hAnsi="Times New Roman" w:cs="Times New Roman"/>
          <w:lang w:val="es-MX"/>
        </w:rPr>
        <w:lastRenderedPageBreak/>
        <w:t>E</w:t>
      </w:r>
      <w:r w:rsidRPr="00F92177">
        <w:rPr>
          <w:rFonts w:ascii="Times New Roman" w:hAnsi="Times New Roman" w:cs="Times New Roman"/>
          <w:lang w:val="es-MX"/>
        </w:rPr>
        <w:t>l resultado pr</w:t>
      </w:r>
      <w:r>
        <w:rPr>
          <w:rFonts w:ascii="Times New Roman" w:hAnsi="Times New Roman" w:cs="Times New Roman"/>
          <w:lang w:val="es-MX"/>
        </w:rPr>
        <w:t>esupuestario del gobierno muestra, como en años anteriores,</w:t>
      </w:r>
      <w:r w:rsidRPr="00F92177">
        <w:rPr>
          <w:rFonts w:ascii="Times New Roman" w:hAnsi="Times New Roman" w:cs="Times New Roman"/>
          <w:lang w:val="es-MX"/>
        </w:rPr>
        <w:t xml:space="preserve"> un </w:t>
      </w:r>
      <w:r>
        <w:rPr>
          <w:rFonts w:ascii="Times New Roman" w:hAnsi="Times New Roman" w:cs="Times New Roman"/>
          <w:lang w:val="es-MX"/>
        </w:rPr>
        <w:t>superávit</w:t>
      </w:r>
      <w:r w:rsidRPr="00F92177">
        <w:rPr>
          <w:rFonts w:ascii="Times New Roman" w:hAnsi="Times New Roman" w:cs="Times New Roman"/>
          <w:lang w:val="es-MX"/>
        </w:rPr>
        <w:t xml:space="preserve"> fiscal</w:t>
      </w:r>
      <w:r>
        <w:rPr>
          <w:rFonts w:ascii="Times New Roman" w:hAnsi="Times New Roman" w:cs="Times New Roman"/>
          <w:lang w:val="es-MX"/>
        </w:rPr>
        <w:t xml:space="preserve"> que se sitúa al 30 de abril de 2017 en</w:t>
      </w:r>
      <w:r w:rsidRPr="00F92177">
        <w:rPr>
          <w:rFonts w:ascii="Times New Roman" w:hAnsi="Times New Roman" w:cs="Times New Roman"/>
          <w:lang w:val="es-MX"/>
        </w:rPr>
        <w:t xml:space="preserve"> Q</w:t>
      </w:r>
      <w:r>
        <w:rPr>
          <w:rFonts w:ascii="Times New Roman" w:hAnsi="Times New Roman" w:cs="Times New Roman"/>
          <w:lang w:val="es-MX"/>
        </w:rPr>
        <w:t xml:space="preserve"> </w:t>
      </w:r>
      <w:r>
        <w:rPr>
          <w:rFonts w:ascii="Times New Roman" w:hAnsi="Times New Roman" w:cs="Times New Roman"/>
          <w:lang w:val="es-MX"/>
        </w:rPr>
        <w:t xml:space="preserve">1,185.7 </w:t>
      </w:r>
      <w:r w:rsidRPr="00F92177">
        <w:rPr>
          <w:rFonts w:ascii="Times New Roman" w:hAnsi="Times New Roman" w:cs="Times New Roman"/>
          <w:lang w:val="es-MX"/>
        </w:rPr>
        <w:t>millones</w:t>
      </w:r>
      <w:r>
        <w:rPr>
          <w:rFonts w:ascii="Times New Roman" w:hAnsi="Times New Roman" w:cs="Times New Roman"/>
          <w:lang w:val="es-MX"/>
        </w:rPr>
        <w:t xml:space="preserve">. </w:t>
      </w:r>
      <w:r w:rsidRPr="00F92177">
        <w:rPr>
          <w:rFonts w:ascii="Times New Roman" w:hAnsi="Times New Roman" w:cs="Times New Roman"/>
          <w:lang w:val="es-MX"/>
        </w:rPr>
        <w:t xml:space="preserve"> </w:t>
      </w:r>
      <w:r>
        <w:rPr>
          <w:rFonts w:ascii="Times New Roman" w:hAnsi="Times New Roman" w:cs="Times New Roman"/>
          <w:lang w:val="es-MX"/>
        </w:rPr>
        <w:t xml:space="preserve">Este resultado </w:t>
      </w:r>
      <w:r>
        <w:rPr>
          <w:rFonts w:ascii="Times New Roman" w:hAnsi="Times New Roman" w:cs="Times New Roman"/>
          <w:lang w:val="es-MX"/>
        </w:rPr>
        <w:t>está</w:t>
      </w:r>
      <w:r>
        <w:rPr>
          <w:rFonts w:ascii="Times New Roman" w:hAnsi="Times New Roman" w:cs="Times New Roman"/>
          <w:lang w:val="es-MX"/>
        </w:rPr>
        <w:t xml:space="preserve"> influenciado por el nivel de recaudación tributaria que sigue mostrando un buen dinamismo aunque no se haya cumplido la meta establecida, además la ejecución de gasto público, si bien mejoró en este mes,   sigue siendo bastante moderada, debido a que la ejecución quedó por debajo de lo programado en el cuatrimestre y además es </w:t>
      </w:r>
      <w:r>
        <w:rPr>
          <w:rFonts w:ascii="Times New Roman" w:hAnsi="Times New Roman" w:cs="Times New Roman"/>
          <w:lang w:val="es-MX"/>
        </w:rPr>
        <w:lastRenderedPageBreak/>
        <w:t xml:space="preserve">inferior al grado de ejecución presupuestaria promedio de los últimos 5 años.  </w:t>
      </w:r>
    </w:p>
    <w:p w:rsidR="000813C5" w:rsidRDefault="000813C5" w:rsidP="000813C5">
      <w:pPr>
        <w:pStyle w:val="Sinespaciado"/>
        <w:jc w:val="both"/>
        <w:rPr>
          <w:rFonts w:ascii="Times New Roman" w:hAnsi="Times New Roman" w:cs="Times New Roman"/>
          <w:lang w:val="es-MX"/>
        </w:rPr>
      </w:pPr>
    </w:p>
    <w:p w:rsidR="007D4651" w:rsidRPr="000813C5" w:rsidRDefault="000813C5" w:rsidP="000813C5">
      <w:pPr>
        <w:pStyle w:val="Sinespaciado"/>
        <w:jc w:val="both"/>
        <w:rPr>
          <w:rFonts w:ascii="Times New Roman" w:hAnsi="Times New Roman" w:cs="Times New Roman"/>
          <w:color w:val="FF0000"/>
          <w:lang w:val="es-MX"/>
        </w:rPr>
      </w:pPr>
      <w:r>
        <w:rPr>
          <w:rFonts w:ascii="Times New Roman" w:hAnsi="Times New Roman" w:cs="Times New Roman"/>
          <w:lang w:val="es-MX"/>
        </w:rPr>
        <w:t>Se espera que la ejecución se acelere en los próximos meses y la recaudación tributaria mejore aún más ya que se tiene la expectativa de mayores ingresos por adeudos tributarios y por el efecto del Acuerdo Gubernativo de exoneración de multas, mora, interés y recargos.</w:t>
      </w:r>
    </w:p>
    <w:p w:rsidR="007D4651" w:rsidRPr="000813C5" w:rsidRDefault="007D4651" w:rsidP="007D4651">
      <w:pPr>
        <w:pStyle w:val="Sinespaciado"/>
        <w:jc w:val="both"/>
        <w:rPr>
          <w:rFonts w:ascii="Times New Roman" w:hAnsi="Times New Roman" w:cs="Times New Roman"/>
          <w:color w:val="FF0000"/>
          <w:lang w:val="es-MX"/>
        </w:rPr>
      </w:pPr>
    </w:p>
    <w:p w:rsidR="007D4651" w:rsidRPr="000813C5" w:rsidRDefault="007D4651" w:rsidP="007D4651">
      <w:pPr>
        <w:pStyle w:val="Sinespaciado"/>
        <w:jc w:val="center"/>
        <w:rPr>
          <w:rFonts w:ascii="Times New Roman" w:hAnsi="Times New Roman" w:cs="Times New Roman"/>
          <w:b/>
          <w:color w:val="FF0000"/>
          <w:lang w:val="es-MX"/>
        </w:rPr>
        <w:sectPr w:rsidR="007D4651" w:rsidRPr="000813C5" w:rsidSect="004E358C">
          <w:type w:val="continuous"/>
          <w:pgSz w:w="12240" w:h="15840"/>
          <w:pgMar w:top="1417" w:right="1701" w:bottom="1417" w:left="1701" w:header="708" w:footer="708" w:gutter="0"/>
          <w:cols w:num="2" w:space="708"/>
          <w:docGrid w:linePitch="360"/>
        </w:sectPr>
      </w:pPr>
    </w:p>
    <w:p w:rsidR="007D4651" w:rsidRPr="004277D4" w:rsidRDefault="007D4651" w:rsidP="00B9286A">
      <w:pPr>
        <w:pStyle w:val="Sinespaciado"/>
        <w:rPr>
          <w:rFonts w:ascii="Times New Roman" w:hAnsi="Times New Roman" w:cs="Times New Roman"/>
          <w:b/>
          <w:lang w:val="es-MX"/>
        </w:rPr>
      </w:pPr>
    </w:p>
    <w:p w:rsidR="009C4027" w:rsidRPr="004277D4" w:rsidRDefault="009C4027" w:rsidP="007D4651">
      <w:pPr>
        <w:pStyle w:val="Sinespaciado"/>
        <w:jc w:val="center"/>
        <w:rPr>
          <w:rFonts w:ascii="Times New Roman" w:hAnsi="Times New Roman" w:cs="Times New Roman"/>
          <w:b/>
          <w:lang w:val="es-MX"/>
        </w:rPr>
      </w:pPr>
    </w:p>
    <w:p w:rsidR="009C4027" w:rsidRPr="004277D4" w:rsidRDefault="009C4027" w:rsidP="007D4651">
      <w:pPr>
        <w:pStyle w:val="Sinespaciado"/>
        <w:jc w:val="center"/>
        <w:rPr>
          <w:rFonts w:ascii="Times New Roman" w:hAnsi="Times New Roman" w:cs="Times New Roman"/>
          <w:b/>
          <w:lang w:val="es-MX"/>
        </w:rPr>
        <w:sectPr w:rsidR="009C4027" w:rsidRPr="004277D4" w:rsidSect="007D4651">
          <w:type w:val="continuous"/>
          <w:pgSz w:w="12240" w:h="15840" w:code="1"/>
          <w:pgMar w:top="1418" w:right="1418" w:bottom="1418" w:left="1418" w:header="709" w:footer="709" w:gutter="0"/>
          <w:cols w:num="2" w:space="708"/>
          <w:docGrid w:linePitch="360"/>
        </w:sectPr>
      </w:pPr>
    </w:p>
    <w:p w:rsidR="00950874" w:rsidRPr="004277D4" w:rsidRDefault="00950874" w:rsidP="00950874">
      <w:pPr>
        <w:pStyle w:val="Sinespaciado"/>
        <w:jc w:val="center"/>
        <w:rPr>
          <w:rFonts w:ascii="Times New Roman" w:hAnsi="Times New Roman" w:cs="Times New Roman"/>
          <w:b/>
          <w:lang w:val="es-MX"/>
        </w:rPr>
      </w:pPr>
      <w:r w:rsidRPr="004277D4">
        <w:rPr>
          <w:rFonts w:ascii="Times New Roman" w:hAnsi="Times New Roman" w:cs="Times New Roman"/>
          <w:b/>
          <w:lang w:val="es-MX"/>
        </w:rPr>
        <w:lastRenderedPageBreak/>
        <w:t>Resultado Presupuestario</w:t>
      </w:r>
    </w:p>
    <w:p w:rsidR="009C4027" w:rsidRPr="004277D4" w:rsidRDefault="00950874" w:rsidP="00AF68D3">
      <w:pPr>
        <w:pStyle w:val="Sinespaciado"/>
        <w:jc w:val="center"/>
        <w:rPr>
          <w:rFonts w:ascii="Times New Roman" w:hAnsi="Times New Roman" w:cs="Times New Roman"/>
          <w:sz w:val="18"/>
          <w:lang w:val="es-MX"/>
        </w:rPr>
      </w:pPr>
      <w:r w:rsidRPr="004277D4">
        <w:rPr>
          <w:rFonts w:ascii="Times New Roman" w:hAnsi="Times New Roman" w:cs="Times New Roman"/>
          <w:sz w:val="18"/>
          <w:lang w:val="es-MX"/>
        </w:rPr>
        <w:t>Millones de quetzales</w:t>
      </w:r>
    </w:p>
    <w:p w:rsidR="00AF68D3" w:rsidRPr="004277D4" w:rsidRDefault="00AF68D3" w:rsidP="00AF68D3">
      <w:pPr>
        <w:pStyle w:val="Sinespaciado"/>
        <w:jc w:val="center"/>
        <w:rPr>
          <w:rFonts w:ascii="Times New Roman" w:hAnsi="Times New Roman" w:cs="Times New Roman"/>
          <w:sz w:val="18"/>
          <w:lang w:val="es-MX"/>
        </w:rPr>
      </w:pPr>
    </w:p>
    <w:p w:rsidR="007D4651" w:rsidRPr="004277D4" w:rsidRDefault="000813C5" w:rsidP="007D4651">
      <w:pPr>
        <w:pStyle w:val="Sinespaciado"/>
        <w:jc w:val="center"/>
        <w:rPr>
          <w:rFonts w:ascii="Times New Roman" w:hAnsi="Times New Roman" w:cs="Times New Roman"/>
          <w:lang w:val="es-MX"/>
        </w:rPr>
      </w:pPr>
      <w:r w:rsidRPr="004277D4">
        <w:rPr>
          <w:rFonts w:ascii="Times New Roman" w:hAnsi="Times New Roman" w:cs="Times New Roman"/>
          <w:noProof/>
          <w:lang w:eastAsia="es-GT"/>
        </w:rPr>
        <w:drawing>
          <wp:inline distT="0" distB="0" distL="0" distR="0" wp14:anchorId="3CA1BADA" wp14:editId="238A1E9B">
            <wp:extent cx="4809694" cy="2405269"/>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07351" cy="2404098"/>
                    </a:xfrm>
                    <a:prstGeom prst="rect">
                      <a:avLst/>
                    </a:prstGeom>
                    <a:noFill/>
                  </pic:spPr>
                </pic:pic>
              </a:graphicData>
            </a:graphic>
          </wp:inline>
        </w:drawing>
      </w:r>
    </w:p>
    <w:p w:rsidR="00DF71A8" w:rsidRPr="004277D4" w:rsidRDefault="00AF68D3" w:rsidP="00AF68D3">
      <w:pPr>
        <w:pStyle w:val="Sinespaciado"/>
        <w:jc w:val="both"/>
        <w:rPr>
          <w:rFonts w:ascii="Times New Roman" w:hAnsi="Times New Roman" w:cs="Times New Roman"/>
          <w:sz w:val="16"/>
        </w:rPr>
      </w:pPr>
      <w:r w:rsidRPr="004277D4">
        <w:rPr>
          <w:rFonts w:ascii="Times New Roman" w:hAnsi="Times New Roman" w:cs="Times New Roman"/>
          <w:sz w:val="16"/>
        </w:rPr>
        <w:t xml:space="preserve">                      </w:t>
      </w:r>
      <w:r w:rsidR="007D4651" w:rsidRPr="004277D4">
        <w:rPr>
          <w:rFonts w:ascii="Times New Roman" w:hAnsi="Times New Roman" w:cs="Times New Roman"/>
          <w:sz w:val="16"/>
        </w:rPr>
        <w:t>Fuente: Dirección de Análisis y Política fiscal</w:t>
      </w:r>
    </w:p>
    <w:p w:rsidR="009C4027" w:rsidRPr="000813C5" w:rsidRDefault="009C4027" w:rsidP="007D4651">
      <w:pPr>
        <w:spacing w:after="0" w:line="240" w:lineRule="auto"/>
        <w:rPr>
          <w:rFonts w:ascii="Times New Roman" w:hAnsi="Times New Roman" w:cs="Times New Roman"/>
          <w:color w:val="FF0000"/>
          <w:lang w:val="es-MX"/>
        </w:rPr>
      </w:pPr>
    </w:p>
    <w:p w:rsidR="009C4027" w:rsidRPr="000813C5" w:rsidRDefault="009C4027" w:rsidP="007D4651">
      <w:pPr>
        <w:spacing w:after="0" w:line="240" w:lineRule="auto"/>
        <w:rPr>
          <w:rFonts w:ascii="Times New Roman" w:hAnsi="Times New Roman" w:cs="Times New Roman"/>
          <w:color w:val="FF0000"/>
          <w:lang w:val="es-MX"/>
        </w:rPr>
        <w:sectPr w:rsidR="009C4027" w:rsidRPr="000813C5" w:rsidSect="007D4651">
          <w:type w:val="continuous"/>
          <w:pgSz w:w="12240" w:h="15840" w:code="1"/>
          <w:pgMar w:top="1418" w:right="1418" w:bottom="1418" w:left="1418" w:header="709" w:footer="709" w:gutter="0"/>
          <w:cols w:space="708"/>
          <w:docGrid w:linePitch="360"/>
        </w:sectPr>
      </w:pPr>
    </w:p>
    <w:p w:rsidR="00E16925" w:rsidRPr="004277D4" w:rsidRDefault="00E545F1" w:rsidP="00270CAB">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sectPr w:rsidR="00E16925" w:rsidRPr="004277D4" w:rsidSect="00E16925">
          <w:headerReference w:type="default" r:id="rId12"/>
          <w:footerReference w:type="default" r:id="rId13"/>
          <w:type w:val="continuous"/>
          <w:pgSz w:w="12240" w:h="15840" w:code="1"/>
          <w:pgMar w:top="1418" w:right="1418" w:bottom="1418" w:left="1418" w:header="709" w:footer="709" w:gutter="0"/>
          <w:cols w:space="708"/>
          <w:docGrid w:linePitch="360"/>
        </w:sectPr>
      </w:pPr>
      <w:r w:rsidRPr="004277D4">
        <w:rPr>
          <w:rFonts w:ascii="Times New Roman" w:hAnsi="Times New Roman" w:cs="Times New Roman"/>
          <w:b/>
          <w:lang w:val="es-MX"/>
        </w:rPr>
        <w:lastRenderedPageBreak/>
        <w:t xml:space="preserve">La meta mensual se superó </w:t>
      </w:r>
    </w:p>
    <w:p w:rsidR="00E16925" w:rsidRPr="000813C5" w:rsidRDefault="00E16925" w:rsidP="00E16925">
      <w:pPr>
        <w:pStyle w:val="Sinespaciado"/>
        <w:rPr>
          <w:rFonts w:ascii="Times New Roman" w:hAnsi="Times New Roman" w:cs="Times New Roman"/>
          <w:b/>
          <w:color w:val="FF0000"/>
          <w:sz w:val="8"/>
          <w:lang w:val="es-MX"/>
        </w:rPr>
      </w:pPr>
    </w:p>
    <w:p w:rsidR="00E16925" w:rsidRPr="000813C5" w:rsidRDefault="00E16925" w:rsidP="004277D4">
      <w:pPr>
        <w:pStyle w:val="Sinespaciado"/>
        <w:jc w:val="center"/>
        <w:rPr>
          <w:rFonts w:ascii="Times New Roman" w:hAnsi="Times New Roman" w:cs="Times New Roman"/>
          <w:b/>
          <w:color w:val="FF0000"/>
          <w:lang w:val="es-MX"/>
        </w:rPr>
      </w:pPr>
    </w:p>
    <w:p w:rsidR="00343A5D" w:rsidRPr="000813C5" w:rsidRDefault="00343A5D" w:rsidP="004277D4">
      <w:pPr>
        <w:pStyle w:val="Sinespaciado"/>
        <w:jc w:val="center"/>
        <w:rPr>
          <w:rFonts w:ascii="Times New Roman" w:hAnsi="Times New Roman" w:cs="Times New Roman"/>
          <w:b/>
          <w:color w:val="FF0000"/>
          <w:sz w:val="28"/>
          <w:lang w:val="es-MX"/>
        </w:rPr>
        <w:sectPr w:rsidR="00343A5D" w:rsidRPr="000813C5" w:rsidSect="004E358C">
          <w:type w:val="continuous"/>
          <w:pgSz w:w="12240" w:h="15840"/>
          <w:pgMar w:top="1417" w:right="1701" w:bottom="1417" w:left="1701" w:header="708" w:footer="708" w:gutter="0"/>
          <w:cols w:space="708"/>
          <w:docGrid w:linePitch="360"/>
        </w:sectPr>
      </w:pPr>
    </w:p>
    <w:p w:rsidR="004277D4" w:rsidRDefault="004277D4" w:rsidP="004277D4">
      <w:pPr>
        <w:spacing w:after="0" w:line="240" w:lineRule="auto"/>
        <w:jc w:val="both"/>
        <w:rPr>
          <w:rFonts w:ascii="Times New Roman" w:hAnsi="Times New Roman" w:cs="Times New Roman"/>
          <w:lang w:val="es-MX"/>
        </w:rPr>
      </w:pPr>
      <w:r>
        <w:rPr>
          <w:rFonts w:ascii="Times New Roman" w:hAnsi="Times New Roman" w:cs="Times New Roman"/>
          <w:lang w:val="es-MX"/>
        </w:rPr>
        <w:lastRenderedPageBreak/>
        <w:t>La recaudación observada de abril supero la meta establecida por Q</w:t>
      </w:r>
      <w:r>
        <w:rPr>
          <w:rFonts w:ascii="Times New Roman" w:hAnsi="Times New Roman" w:cs="Times New Roman"/>
          <w:lang w:val="es-MX"/>
        </w:rPr>
        <w:t xml:space="preserve"> </w:t>
      </w:r>
      <w:r>
        <w:rPr>
          <w:rFonts w:ascii="Times New Roman" w:hAnsi="Times New Roman" w:cs="Times New Roman"/>
          <w:lang w:val="es-MX"/>
        </w:rPr>
        <w:t xml:space="preserve">8.9 millones, dicho logro está sustentado en el desempeño positivo en el impuesto a la renta  el cual superó la ejecución de la meta en 14.5% </w:t>
      </w:r>
      <w:r>
        <w:rPr>
          <w:rFonts w:ascii="Times New Roman" w:hAnsi="Times New Roman" w:cs="Times New Roman"/>
          <w:lang w:val="es-MX"/>
        </w:rPr>
        <w:t xml:space="preserve">      </w:t>
      </w:r>
      <w:r>
        <w:rPr>
          <w:rFonts w:ascii="Times New Roman" w:hAnsi="Times New Roman" w:cs="Times New Roman"/>
          <w:lang w:val="es-MX"/>
        </w:rPr>
        <w:t>(Q</w:t>
      </w:r>
      <w:r>
        <w:rPr>
          <w:rFonts w:ascii="Times New Roman" w:hAnsi="Times New Roman" w:cs="Times New Roman"/>
          <w:lang w:val="es-MX"/>
        </w:rPr>
        <w:t xml:space="preserve"> </w:t>
      </w:r>
      <w:r>
        <w:rPr>
          <w:rFonts w:ascii="Times New Roman" w:hAnsi="Times New Roman" w:cs="Times New Roman"/>
          <w:lang w:val="es-MX"/>
        </w:rPr>
        <w:t>263.7), de manera acumulada se observa una brecha fiscal negativa respecto a la meta de Q</w:t>
      </w:r>
      <w:r>
        <w:rPr>
          <w:rFonts w:ascii="Times New Roman" w:hAnsi="Times New Roman" w:cs="Times New Roman"/>
          <w:lang w:val="es-MX"/>
        </w:rPr>
        <w:t xml:space="preserve"> </w:t>
      </w:r>
      <w:r>
        <w:rPr>
          <w:rFonts w:ascii="Times New Roman" w:hAnsi="Times New Roman" w:cs="Times New Roman"/>
          <w:lang w:val="es-MX"/>
        </w:rPr>
        <w:t xml:space="preserve">662.3 millones, es preciso indicar que la </w:t>
      </w:r>
      <w:r>
        <w:rPr>
          <w:rFonts w:ascii="Times New Roman" w:hAnsi="Times New Roman" w:cs="Times New Roman"/>
          <w:lang w:val="es-MX"/>
        </w:rPr>
        <w:lastRenderedPageBreak/>
        <w:t>meta de presupuesto incluye Q</w:t>
      </w:r>
      <w:r>
        <w:rPr>
          <w:rFonts w:ascii="Times New Roman" w:hAnsi="Times New Roman" w:cs="Times New Roman"/>
          <w:lang w:val="es-MX"/>
        </w:rPr>
        <w:t xml:space="preserve"> </w:t>
      </w:r>
      <w:r>
        <w:rPr>
          <w:rFonts w:ascii="Times New Roman" w:hAnsi="Times New Roman" w:cs="Times New Roman"/>
          <w:lang w:val="es-MX"/>
        </w:rPr>
        <w:t xml:space="preserve">1,127.2 millones por concepto de recaudación extraordinaria, el incumplimiento en este rubro puede estar provocando dicha brecha en recaudación.   </w:t>
      </w:r>
    </w:p>
    <w:p w:rsidR="004277D4" w:rsidRDefault="004277D4" w:rsidP="004277D4">
      <w:pPr>
        <w:spacing w:after="0" w:line="240" w:lineRule="auto"/>
        <w:jc w:val="both"/>
        <w:rPr>
          <w:rFonts w:ascii="Times New Roman" w:hAnsi="Times New Roman" w:cs="Times New Roman"/>
          <w:lang w:val="es-MX"/>
        </w:rPr>
      </w:pPr>
    </w:p>
    <w:p w:rsidR="004277D4" w:rsidRDefault="004277D4" w:rsidP="004277D4">
      <w:pPr>
        <w:spacing w:after="0" w:line="240" w:lineRule="auto"/>
        <w:jc w:val="both"/>
        <w:rPr>
          <w:rFonts w:ascii="Times New Roman" w:hAnsi="Times New Roman" w:cs="Times New Roman"/>
          <w:lang w:val="es-MX"/>
        </w:rPr>
      </w:pPr>
    </w:p>
    <w:p w:rsidR="004277D4" w:rsidRDefault="004277D4" w:rsidP="004277D4">
      <w:pPr>
        <w:spacing w:after="0" w:line="240" w:lineRule="auto"/>
        <w:jc w:val="both"/>
        <w:rPr>
          <w:rFonts w:ascii="Times New Roman" w:hAnsi="Times New Roman" w:cs="Times New Roman"/>
          <w:lang w:val="es-MX"/>
        </w:rPr>
      </w:pPr>
    </w:p>
    <w:p w:rsidR="004277D4" w:rsidRPr="00D47E32" w:rsidRDefault="004277D4" w:rsidP="004277D4">
      <w:pPr>
        <w:spacing w:after="0" w:line="240" w:lineRule="auto"/>
        <w:jc w:val="center"/>
        <w:rPr>
          <w:rFonts w:ascii="Times New Roman" w:hAnsi="Times New Roman" w:cs="Times New Roman"/>
          <w:b/>
          <w:lang w:val="es-MX"/>
        </w:rPr>
      </w:pPr>
      <w:r>
        <w:rPr>
          <w:rFonts w:ascii="Times New Roman" w:hAnsi="Times New Roman" w:cs="Times New Roman"/>
          <w:b/>
          <w:lang w:val="es-MX"/>
        </w:rPr>
        <w:lastRenderedPageBreak/>
        <w:t>R</w:t>
      </w:r>
      <w:r w:rsidRPr="00D47E32">
        <w:rPr>
          <w:rFonts w:ascii="Times New Roman" w:hAnsi="Times New Roman" w:cs="Times New Roman"/>
          <w:b/>
          <w:lang w:val="es-MX"/>
        </w:rPr>
        <w:t xml:space="preserve">ecaudación </w:t>
      </w:r>
      <w:r>
        <w:rPr>
          <w:rFonts w:ascii="Times New Roman" w:hAnsi="Times New Roman" w:cs="Times New Roman"/>
          <w:b/>
          <w:lang w:val="es-MX"/>
        </w:rPr>
        <w:t>Tributaria</w:t>
      </w:r>
    </w:p>
    <w:p w:rsidR="004277D4" w:rsidRPr="004277D4" w:rsidRDefault="004277D4" w:rsidP="004277D4">
      <w:pPr>
        <w:spacing w:after="0" w:line="240" w:lineRule="auto"/>
        <w:jc w:val="center"/>
        <w:rPr>
          <w:rFonts w:ascii="Times New Roman" w:hAnsi="Times New Roman" w:cs="Times New Roman"/>
          <w:sz w:val="18"/>
          <w:lang w:val="es-MX"/>
        </w:rPr>
      </w:pPr>
      <w:r w:rsidRPr="004277D4">
        <w:rPr>
          <w:rFonts w:ascii="Times New Roman" w:hAnsi="Times New Roman" w:cs="Times New Roman"/>
          <w:sz w:val="18"/>
          <w:lang w:val="es-MX"/>
        </w:rPr>
        <w:t>Millones de quetzales</w:t>
      </w:r>
    </w:p>
    <w:p w:rsidR="004277D4" w:rsidRDefault="004277D4" w:rsidP="004277D4">
      <w:pPr>
        <w:spacing w:after="0" w:line="240" w:lineRule="auto"/>
        <w:jc w:val="both"/>
        <w:rPr>
          <w:rFonts w:ascii="Times New Roman" w:hAnsi="Times New Roman" w:cs="Times New Roman"/>
          <w:b/>
          <w:sz w:val="14"/>
          <w:lang w:val="es-MX"/>
        </w:rPr>
      </w:pPr>
      <w:r>
        <w:rPr>
          <w:rFonts w:ascii="Times New Roman" w:hAnsi="Times New Roman" w:cs="Times New Roman"/>
          <w:b/>
          <w:noProof/>
          <w:sz w:val="14"/>
          <w:lang w:eastAsia="es-GT"/>
        </w:rPr>
        <w:drawing>
          <wp:inline distT="0" distB="0" distL="0" distR="0" wp14:anchorId="63EC811C" wp14:editId="0321F767">
            <wp:extent cx="2693505" cy="1958009"/>
            <wp:effectExtent l="0" t="0" r="0" b="4445"/>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277D4" w:rsidRPr="004277D4" w:rsidRDefault="004277D4" w:rsidP="004277D4">
      <w:pPr>
        <w:spacing w:after="0" w:line="240" w:lineRule="auto"/>
        <w:jc w:val="both"/>
        <w:rPr>
          <w:rFonts w:ascii="Times New Roman" w:hAnsi="Times New Roman" w:cs="Times New Roman"/>
          <w:lang w:val="es-MX"/>
        </w:rPr>
      </w:pPr>
      <w:r w:rsidRPr="004277D4">
        <w:rPr>
          <w:rFonts w:ascii="Times New Roman" w:hAnsi="Times New Roman" w:cs="Times New Roman"/>
          <w:sz w:val="14"/>
          <w:lang w:val="es-MX"/>
        </w:rPr>
        <w:t>Fuente: Dirección de Análisis y Política Fiscal</w:t>
      </w:r>
    </w:p>
    <w:p w:rsidR="004277D4" w:rsidRDefault="004277D4" w:rsidP="004277D4">
      <w:pPr>
        <w:spacing w:after="0" w:line="240" w:lineRule="auto"/>
        <w:jc w:val="both"/>
        <w:rPr>
          <w:rFonts w:ascii="Times New Roman" w:hAnsi="Times New Roman" w:cs="Times New Roman"/>
          <w:lang w:val="es-MX"/>
        </w:rPr>
      </w:pPr>
    </w:p>
    <w:p w:rsidR="004277D4" w:rsidRDefault="004277D4" w:rsidP="004277D4">
      <w:pPr>
        <w:spacing w:after="0" w:line="240" w:lineRule="auto"/>
        <w:jc w:val="both"/>
        <w:rPr>
          <w:rFonts w:ascii="Times New Roman" w:hAnsi="Times New Roman" w:cs="Times New Roman"/>
          <w:lang w:val="es-MX"/>
        </w:rPr>
      </w:pPr>
      <w:r>
        <w:rPr>
          <w:rFonts w:ascii="Times New Roman" w:hAnsi="Times New Roman" w:cs="Times New Roman"/>
          <w:lang w:val="es-MX"/>
        </w:rPr>
        <w:t>En términos relativos la recaudación tributaria acumulada crece de manera interanual en 9.3% (Q</w:t>
      </w:r>
      <w:r>
        <w:rPr>
          <w:rFonts w:ascii="Times New Roman" w:hAnsi="Times New Roman" w:cs="Times New Roman"/>
          <w:lang w:val="es-MX"/>
        </w:rPr>
        <w:t xml:space="preserve"> </w:t>
      </w:r>
      <w:r>
        <w:rPr>
          <w:rFonts w:ascii="Times New Roman" w:hAnsi="Times New Roman" w:cs="Times New Roman"/>
          <w:lang w:val="es-MX"/>
        </w:rPr>
        <w:t>1,665 millones) con respecto a lo observado a abril de 2016.</w:t>
      </w:r>
    </w:p>
    <w:p w:rsidR="004277D4" w:rsidRDefault="004277D4" w:rsidP="004277D4">
      <w:pPr>
        <w:spacing w:after="0" w:line="240" w:lineRule="auto"/>
        <w:jc w:val="both"/>
        <w:rPr>
          <w:rFonts w:ascii="Times New Roman" w:hAnsi="Times New Roman" w:cs="Times New Roman"/>
          <w:lang w:val="es-MX"/>
        </w:rPr>
      </w:pPr>
      <w:r>
        <w:rPr>
          <w:rFonts w:ascii="Times New Roman" w:hAnsi="Times New Roman" w:cs="Times New Roman"/>
          <w:lang w:val="es-MX"/>
        </w:rPr>
        <w:t xml:space="preserve"> </w:t>
      </w:r>
    </w:p>
    <w:p w:rsidR="004277D4" w:rsidRDefault="004277D4" w:rsidP="004277D4">
      <w:pPr>
        <w:spacing w:after="0" w:line="240" w:lineRule="auto"/>
        <w:jc w:val="both"/>
        <w:rPr>
          <w:rFonts w:ascii="Times New Roman" w:hAnsi="Times New Roman" w:cs="Times New Roman"/>
          <w:b/>
          <w:lang w:val="es-MX"/>
        </w:rPr>
      </w:pPr>
      <w:r w:rsidRPr="00F3141C">
        <w:rPr>
          <w:rFonts w:ascii="Times New Roman" w:hAnsi="Times New Roman" w:cs="Times New Roman"/>
          <w:b/>
          <w:lang w:val="es-MX"/>
        </w:rPr>
        <w:t>Impuesto al valor agregado</w:t>
      </w:r>
    </w:p>
    <w:p w:rsidR="004277D4" w:rsidRPr="00F3141C" w:rsidRDefault="004277D4" w:rsidP="004277D4">
      <w:pPr>
        <w:spacing w:after="0" w:line="240" w:lineRule="auto"/>
        <w:jc w:val="both"/>
        <w:rPr>
          <w:rFonts w:ascii="Times New Roman" w:hAnsi="Times New Roman" w:cs="Times New Roman"/>
          <w:b/>
          <w:lang w:val="es-MX"/>
        </w:rPr>
      </w:pPr>
    </w:p>
    <w:p w:rsidR="004277D4" w:rsidRDefault="004277D4" w:rsidP="00D119D8">
      <w:pPr>
        <w:spacing w:after="0" w:line="240" w:lineRule="auto"/>
        <w:jc w:val="both"/>
        <w:rPr>
          <w:rFonts w:ascii="Times New Roman" w:hAnsi="Times New Roman" w:cs="Times New Roman"/>
          <w:lang w:val="es-MX"/>
        </w:rPr>
      </w:pPr>
      <w:r>
        <w:rPr>
          <w:rFonts w:ascii="Times New Roman" w:hAnsi="Times New Roman" w:cs="Times New Roman"/>
          <w:lang w:val="es-MX"/>
        </w:rPr>
        <w:t>Este impuesto creció en 6.9% (Q</w:t>
      </w:r>
      <w:r>
        <w:rPr>
          <w:rFonts w:ascii="Times New Roman" w:hAnsi="Times New Roman" w:cs="Times New Roman"/>
          <w:lang w:val="es-MX"/>
        </w:rPr>
        <w:t xml:space="preserve"> </w:t>
      </w:r>
      <w:r>
        <w:rPr>
          <w:rFonts w:ascii="Times New Roman" w:hAnsi="Times New Roman" w:cs="Times New Roman"/>
          <w:lang w:val="es-MX"/>
        </w:rPr>
        <w:t>531.7 millones) respecto a lo observado en 2016, tanto el IVA asociado al comercio exterior como el IVA doméstico reflejan tasas positivas de crecimiento interanual, para el IVA de importaciones el crecimiento interanual esta explicado por variables macroeconómicas como las importaciones gravadas no asociadas a los derivados de petróleo que para marzo crecen en 9.4% y su volumen de igual forma crece en 7%, las importaciones asociadas a los derivados de petróleo tienen un crecimiento de 44.5% y su volumen de 11.2% esto influenciado por una baja en el precio internacional del petróleo y la apreciación del quetzal ante el dólar.</w:t>
      </w:r>
    </w:p>
    <w:p w:rsidR="00D119D8" w:rsidRDefault="00D119D8" w:rsidP="00D119D8">
      <w:pPr>
        <w:spacing w:after="0" w:line="240" w:lineRule="auto"/>
        <w:jc w:val="both"/>
        <w:rPr>
          <w:rFonts w:ascii="Times New Roman" w:hAnsi="Times New Roman" w:cs="Times New Roman"/>
          <w:lang w:val="es-MX"/>
        </w:rPr>
      </w:pPr>
    </w:p>
    <w:p w:rsidR="004277D4" w:rsidRDefault="004277D4" w:rsidP="004277D4">
      <w:pPr>
        <w:spacing w:after="0" w:line="240" w:lineRule="auto"/>
        <w:jc w:val="both"/>
        <w:rPr>
          <w:rFonts w:ascii="Times New Roman" w:hAnsi="Times New Roman" w:cs="Times New Roman"/>
          <w:lang w:val="es-MX"/>
        </w:rPr>
      </w:pPr>
      <w:r>
        <w:rPr>
          <w:rFonts w:ascii="Times New Roman" w:hAnsi="Times New Roman" w:cs="Times New Roman"/>
          <w:lang w:val="es-MX"/>
        </w:rPr>
        <w:t xml:space="preserve">El IVA doméstico tiene un crecimiento interanual de 10% este impuesto continua creciendo a pesar de una desaceleración en el flujo de remesas familiares las cuales para abril tienen un crecimiento acumulado de 13.6% inferior a lo observado en 2016 </w:t>
      </w:r>
      <w:r>
        <w:rPr>
          <w:rFonts w:ascii="Times New Roman" w:hAnsi="Times New Roman" w:cs="Times New Roman"/>
          <w:lang w:val="es-MX"/>
        </w:rPr>
        <w:lastRenderedPageBreak/>
        <w:t>cuando crecían en 19.6%, el impulso positivo a este impuesto puede estar asociado a una mejora en la economía interna que medida a través de la variación de tendencia ciclo del IMAE la sitúa en marzo en un ritmo de 3.5%  superior al 2.7% del año anterior.</w:t>
      </w:r>
    </w:p>
    <w:p w:rsidR="004277D4" w:rsidRDefault="004277D4" w:rsidP="004277D4">
      <w:pPr>
        <w:spacing w:after="0" w:line="240" w:lineRule="auto"/>
        <w:jc w:val="both"/>
        <w:rPr>
          <w:rFonts w:ascii="Times New Roman" w:hAnsi="Times New Roman" w:cs="Times New Roman"/>
          <w:lang w:val="es-MX"/>
        </w:rPr>
      </w:pPr>
    </w:p>
    <w:p w:rsidR="004277D4" w:rsidRDefault="004277D4" w:rsidP="004277D4">
      <w:pPr>
        <w:spacing w:after="0" w:line="240" w:lineRule="auto"/>
        <w:jc w:val="both"/>
        <w:rPr>
          <w:rFonts w:ascii="Times New Roman" w:hAnsi="Times New Roman" w:cs="Times New Roman"/>
          <w:lang w:val="es-MX"/>
        </w:rPr>
      </w:pPr>
      <w:r>
        <w:rPr>
          <w:rFonts w:ascii="Times New Roman" w:hAnsi="Times New Roman" w:cs="Times New Roman"/>
          <w:lang w:val="es-MX"/>
        </w:rPr>
        <w:t>Estos dos impuestos (IVA doméstico e IVA importaciones) con relación a la meta tienen una caída del 5.7% (Q</w:t>
      </w:r>
      <w:r>
        <w:rPr>
          <w:rFonts w:ascii="Times New Roman" w:hAnsi="Times New Roman" w:cs="Times New Roman"/>
          <w:lang w:val="es-MX"/>
        </w:rPr>
        <w:t xml:space="preserve"> </w:t>
      </w:r>
      <w:r>
        <w:rPr>
          <w:rFonts w:ascii="Times New Roman" w:hAnsi="Times New Roman" w:cs="Times New Roman"/>
          <w:lang w:val="es-MX"/>
        </w:rPr>
        <w:t>500.2 millones), dicha caída puede estar explicada por la inclusión de medidas administrativas en las metas por un monto de Q</w:t>
      </w:r>
      <w:r>
        <w:rPr>
          <w:rFonts w:ascii="Times New Roman" w:hAnsi="Times New Roman" w:cs="Times New Roman"/>
          <w:lang w:val="es-MX"/>
        </w:rPr>
        <w:t xml:space="preserve"> </w:t>
      </w:r>
      <w:r>
        <w:rPr>
          <w:rFonts w:ascii="Times New Roman" w:hAnsi="Times New Roman" w:cs="Times New Roman"/>
          <w:lang w:val="es-MX"/>
        </w:rPr>
        <w:t>398.5 millones que pareciera no se han recaudado.</w:t>
      </w:r>
    </w:p>
    <w:p w:rsidR="004277D4" w:rsidRDefault="004277D4" w:rsidP="004277D4">
      <w:pPr>
        <w:spacing w:after="0" w:line="240" w:lineRule="auto"/>
        <w:jc w:val="both"/>
        <w:rPr>
          <w:rFonts w:ascii="Times New Roman" w:hAnsi="Times New Roman" w:cs="Times New Roman"/>
          <w:lang w:val="es-MX"/>
        </w:rPr>
      </w:pPr>
    </w:p>
    <w:p w:rsidR="004277D4" w:rsidRPr="00D47E32" w:rsidRDefault="004277D4" w:rsidP="004277D4">
      <w:pPr>
        <w:spacing w:after="0" w:line="240" w:lineRule="auto"/>
        <w:jc w:val="center"/>
        <w:rPr>
          <w:rFonts w:ascii="Times New Roman" w:hAnsi="Times New Roman" w:cs="Times New Roman"/>
          <w:b/>
          <w:lang w:val="es-MX"/>
        </w:rPr>
      </w:pPr>
      <w:r>
        <w:rPr>
          <w:rFonts w:ascii="Times New Roman" w:hAnsi="Times New Roman" w:cs="Times New Roman"/>
          <w:b/>
          <w:lang w:val="es-MX"/>
        </w:rPr>
        <w:t>Impuesto al valor agregado</w:t>
      </w:r>
    </w:p>
    <w:p w:rsidR="004277D4" w:rsidRPr="004277D4" w:rsidRDefault="004277D4" w:rsidP="004277D4">
      <w:pPr>
        <w:spacing w:after="0" w:line="240" w:lineRule="auto"/>
        <w:jc w:val="center"/>
        <w:rPr>
          <w:rFonts w:ascii="Times New Roman" w:hAnsi="Times New Roman" w:cs="Times New Roman"/>
          <w:sz w:val="18"/>
          <w:lang w:val="es-MX"/>
        </w:rPr>
      </w:pPr>
      <w:r w:rsidRPr="004277D4">
        <w:rPr>
          <w:rFonts w:ascii="Times New Roman" w:hAnsi="Times New Roman" w:cs="Times New Roman"/>
          <w:sz w:val="18"/>
          <w:lang w:val="es-MX"/>
        </w:rPr>
        <w:t>Variación interanual Acumulada</w:t>
      </w:r>
    </w:p>
    <w:p w:rsidR="004277D4" w:rsidRDefault="004277D4" w:rsidP="004277D4">
      <w:pPr>
        <w:spacing w:after="0" w:line="240" w:lineRule="auto"/>
        <w:jc w:val="both"/>
        <w:rPr>
          <w:rFonts w:ascii="Times New Roman" w:hAnsi="Times New Roman" w:cs="Times New Roman"/>
          <w:b/>
          <w:sz w:val="14"/>
          <w:lang w:val="es-MX"/>
        </w:rPr>
      </w:pPr>
      <w:r>
        <w:rPr>
          <w:rFonts w:ascii="Times New Roman" w:hAnsi="Times New Roman" w:cs="Times New Roman"/>
          <w:b/>
          <w:noProof/>
          <w:sz w:val="14"/>
          <w:lang w:eastAsia="es-GT"/>
        </w:rPr>
        <w:drawing>
          <wp:inline distT="0" distB="0" distL="0" distR="0" wp14:anchorId="76BF8978" wp14:editId="2D09C7FE">
            <wp:extent cx="2743200" cy="1888435"/>
            <wp:effectExtent l="0" t="0" r="0"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277D4" w:rsidRPr="004277D4" w:rsidRDefault="004277D4" w:rsidP="004277D4">
      <w:pPr>
        <w:spacing w:after="0" w:line="240" w:lineRule="auto"/>
        <w:jc w:val="both"/>
        <w:rPr>
          <w:rFonts w:ascii="Times New Roman" w:hAnsi="Times New Roman" w:cs="Times New Roman"/>
          <w:lang w:val="es-MX"/>
        </w:rPr>
      </w:pPr>
      <w:r w:rsidRPr="004277D4">
        <w:rPr>
          <w:rFonts w:ascii="Times New Roman" w:hAnsi="Times New Roman" w:cs="Times New Roman"/>
          <w:sz w:val="14"/>
          <w:lang w:val="es-MX"/>
        </w:rPr>
        <w:t>Fuente: Dirección de Análisis y Política Fiscal</w:t>
      </w:r>
    </w:p>
    <w:p w:rsidR="004277D4" w:rsidRDefault="004277D4" w:rsidP="004277D4">
      <w:pPr>
        <w:spacing w:after="0" w:line="240" w:lineRule="auto"/>
        <w:jc w:val="both"/>
        <w:rPr>
          <w:rFonts w:ascii="Times New Roman" w:hAnsi="Times New Roman" w:cs="Times New Roman"/>
          <w:lang w:val="es-MX"/>
        </w:rPr>
      </w:pPr>
    </w:p>
    <w:p w:rsidR="004277D4" w:rsidRDefault="004277D4" w:rsidP="004277D4">
      <w:pPr>
        <w:spacing w:after="0" w:line="240" w:lineRule="auto"/>
        <w:jc w:val="both"/>
        <w:rPr>
          <w:rFonts w:ascii="Times New Roman" w:hAnsi="Times New Roman" w:cs="Times New Roman"/>
          <w:b/>
          <w:lang w:val="es-MX"/>
        </w:rPr>
      </w:pPr>
      <w:r w:rsidRPr="00D74D30">
        <w:rPr>
          <w:rFonts w:ascii="Times New Roman" w:hAnsi="Times New Roman" w:cs="Times New Roman"/>
          <w:b/>
          <w:lang w:val="es-MX"/>
        </w:rPr>
        <w:t>El impuesto sobre la renta</w:t>
      </w:r>
    </w:p>
    <w:p w:rsidR="004277D4" w:rsidRPr="00D74D30" w:rsidRDefault="004277D4" w:rsidP="004277D4">
      <w:pPr>
        <w:spacing w:after="0" w:line="240" w:lineRule="auto"/>
        <w:jc w:val="both"/>
        <w:rPr>
          <w:rFonts w:ascii="Times New Roman" w:hAnsi="Times New Roman" w:cs="Times New Roman"/>
          <w:b/>
          <w:lang w:val="es-MX"/>
        </w:rPr>
      </w:pPr>
    </w:p>
    <w:p w:rsidR="004277D4" w:rsidRDefault="004277D4" w:rsidP="004277D4">
      <w:pPr>
        <w:spacing w:after="0" w:line="240" w:lineRule="auto"/>
        <w:jc w:val="both"/>
        <w:rPr>
          <w:rFonts w:ascii="Times New Roman" w:hAnsi="Times New Roman" w:cs="Times New Roman"/>
          <w:lang w:val="es-MX"/>
        </w:rPr>
      </w:pPr>
      <w:r>
        <w:rPr>
          <w:rFonts w:ascii="Times New Roman" w:hAnsi="Times New Roman" w:cs="Times New Roman"/>
          <w:lang w:val="es-MX"/>
        </w:rPr>
        <w:t>Este impuesto genera una brecha fiscal de recaudación positiva por Q</w:t>
      </w:r>
      <w:r>
        <w:rPr>
          <w:rFonts w:ascii="Times New Roman" w:hAnsi="Times New Roman" w:cs="Times New Roman"/>
          <w:lang w:val="es-MX"/>
        </w:rPr>
        <w:t xml:space="preserve"> </w:t>
      </w:r>
      <w:r>
        <w:rPr>
          <w:rFonts w:ascii="Times New Roman" w:hAnsi="Times New Roman" w:cs="Times New Roman"/>
          <w:lang w:val="es-MX"/>
        </w:rPr>
        <w:t>405.7 millones respecto a la meta, con relación al año anterior tiene un crecimiento de 19.7%, (Q</w:t>
      </w:r>
      <w:r>
        <w:rPr>
          <w:rFonts w:ascii="Times New Roman" w:hAnsi="Times New Roman" w:cs="Times New Roman"/>
          <w:lang w:val="es-MX"/>
        </w:rPr>
        <w:t xml:space="preserve"> </w:t>
      </w:r>
      <w:r>
        <w:rPr>
          <w:rFonts w:ascii="Times New Roman" w:hAnsi="Times New Roman" w:cs="Times New Roman"/>
          <w:lang w:val="es-MX"/>
        </w:rPr>
        <w:t>1,024.1 millones), a marzo se observó un crecimiento en todos los regímenes del ISR pero sobresale el régimen de utilidades y el de relación de dependencia que muestran crecimiento de 23.4% y 12.7%.</w:t>
      </w:r>
    </w:p>
    <w:p w:rsidR="004277D4" w:rsidRDefault="004277D4" w:rsidP="004277D4">
      <w:pPr>
        <w:spacing w:after="0" w:line="240" w:lineRule="auto"/>
        <w:jc w:val="both"/>
        <w:rPr>
          <w:rFonts w:ascii="Times New Roman" w:hAnsi="Times New Roman" w:cs="Times New Roman"/>
          <w:lang w:val="es-MX"/>
        </w:rPr>
      </w:pPr>
    </w:p>
    <w:p w:rsidR="004277D4" w:rsidRDefault="004277D4" w:rsidP="004277D4">
      <w:pPr>
        <w:spacing w:after="0" w:line="240" w:lineRule="auto"/>
        <w:jc w:val="both"/>
        <w:rPr>
          <w:rFonts w:ascii="Times New Roman" w:hAnsi="Times New Roman" w:cs="Times New Roman"/>
          <w:lang w:val="es-MX"/>
        </w:rPr>
      </w:pPr>
    </w:p>
    <w:p w:rsidR="004277D4" w:rsidRDefault="004277D4" w:rsidP="004277D4">
      <w:pPr>
        <w:spacing w:after="0" w:line="240" w:lineRule="auto"/>
        <w:jc w:val="both"/>
        <w:rPr>
          <w:rFonts w:ascii="Times New Roman" w:hAnsi="Times New Roman" w:cs="Times New Roman"/>
          <w:lang w:val="es-MX"/>
        </w:rPr>
      </w:pPr>
    </w:p>
    <w:p w:rsidR="004277D4" w:rsidRDefault="004277D4" w:rsidP="004277D4">
      <w:pPr>
        <w:spacing w:after="0" w:line="240" w:lineRule="auto"/>
        <w:jc w:val="both"/>
        <w:rPr>
          <w:rFonts w:ascii="Times New Roman" w:hAnsi="Times New Roman" w:cs="Times New Roman"/>
          <w:lang w:val="es-MX"/>
        </w:rPr>
      </w:pPr>
    </w:p>
    <w:p w:rsidR="004277D4" w:rsidRPr="00D47E32" w:rsidRDefault="004277D4" w:rsidP="004277D4">
      <w:pPr>
        <w:spacing w:after="0" w:line="240" w:lineRule="auto"/>
        <w:jc w:val="center"/>
        <w:rPr>
          <w:rFonts w:ascii="Times New Roman" w:hAnsi="Times New Roman" w:cs="Times New Roman"/>
          <w:b/>
          <w:lang w:val="es-MX"/>
        </w:rPr>
      </w:pPr>
      <w:r>
        <w:rPr>
          <w:rFonts w:ascii="Times New Roman" w:hAnsi="Times New Roman" w:cs="Times New Roman"/>
          <w:b/>
          <w:lang w:val="es-MX"/>
        </w:rPr>
        <w:lastRenderedPageBreak/>
        <w:t>Impuesto sobre la renta</w:t>
      </w:r>
    </w:p>
    <w:p w:rsidR="004277D4" w:rsidRPr="004277D4" w:rsidRDefault="004277D4" w:rsidP="004277D4">
      <w:pPr>
        <w:spacing w:after="0" w:line="240" w:lineRule="auto"/>
        <w:jc w:val="center"/>
        <w:rPr>
          <w:rFonts w:ascii="Times New Roman" w:hAnsi="Times New Roman" w:cs="Times New Roman"/>
          <w:sz w:val="18"/>
          <w:lang w:val="es-MX"/>
        </w:rPr>
      </w:pPr>
      <w:r w:rsidRPr="004277D4">
        <w:rPr>
          <w:rFonts w:ascii="Times New Roman" w:hAnsi="Times New Roman" w:cs="Times New Roman"/>
          <w:sz w:val="18"/>
          <w:lang w:val="es-MX"/>
        </w:rPr>
        <w:t>Variación interanual Acumulada</w:t>
      </w:r>
    </w:p>
    <w:p w:rsidR="004277D4" w:rsidRDefault="004277D4" w:rsidP="004277D4">
      <w:pPr>
        <w:spacing w:line="240" w:lineRule="auto"/>
        <w:jc w:val="both"/>
        <w:rPr>
          <w:rFonts w:ascii="Times New Roman" w:hAnsi="Times New Roman" w:cs="Times New Roman"/>
          <w:b/>
          <w:sz w:val="14"/>
          <w:lang w:val="es-MX"/>
        </w:rPr>
      </w:pPr>
      <w:r>
        <w:rPr>
          <w:rFonts w:ascii="Times New Roman" w:hAnsi="Times New Roman" w:cs="Times New Roman"/>
          <w:b/>
          <w:noProof/>
          <w:sz w:val="14"/>
          <w:lang w:eastAsia="es-GT"/>
        </w:rPr>
        <w:drawing>
          <wp:inline distT="0" distB="0" distL="0" distR="0" wp14:anchorId="77EFE71A" wp14:editId="4981CAF4">
            <wp:extent cx="2581275" cy="1695450"/>
            <wp:effectExtent l="0" t="0" r="0" b="0"/>
            <wp:docPr id="31" name="Gráfico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277D4" w:rsidRPr="004277D4" w:rsidRDefault="004277D4" w:rsidP="004277D4">
      <w:pPr>
        <w:spacing w:after="0" w:line="240" w:lineRule="auto"/>
        <w:jc w:val="both"/>
        <w:rPr>
          <w:rFonts w:ascii="Times New Roman" w:hAnsi="Times New Roman" w:cs="Times New Roman"/>
          <w:lang w:val="es-MX"/>
        </w:rPr>
      </w:pPr>
      <w:r w:rsidRPr="004277D4">
        <w:rPr>
          <w:rFonts w:ascii="Times New Roman" w:hAnsi="Times New Roman" w:cs="Times New Roman"/>
          <w:sz w:val="14"/>
          <w:lang w:val="es-MX"/>
        </w:rPr>
        <w:t>Fuente: Dirección de Análisis y Política Fiscal</w:t>
      </w:r>
    </w:p>
    <w:p w:rsidR="004277D4" w:rsidRDefault="004277D4" w:rsidP="004277D4">
      <w:pPr>
        <w:spacing w:after="0" w:line="240" w:lineRule="auto"/>
        <w:jc w:val="both"/>
        <w:rPr>
          <w:rFonts w:ascii="Times New Roman" w:hAnsi="Times New Roman" w:cs="Times New Roman"/>
          <w:lang w:val="es-MX"/>
        </w:rPr>
      </w:pPr>
    </w:p>
    <w:p w:rsidR="004277D4" w:rsidRPr="00F3141C" w:rsidRDefault="004277D4" w:rsidP="004277D4">
      <w:pPr>
        <w:spacing w:line="240" w:lineRule="auto"/>
        <w:jc w:val="both"/>
        <w:rPr>
          <w:rFonts w:ascii="Times New Roman" w:hAnsi="Times New Roman" w:cs="Times New Roman"/>
          <w:b/>
          <w:lang w:val="es-MX"/>
        </w:rPr>
      </w:pPr>
      <w:r w:rsidRPr="00F3141C">
        <w:rPr>
          <w:rFonts w:ascii="Times New Roman" w:hAnsi="Times New Roman" w:cs="Times New Roman"/>
          <w:b/>
          <w:lang w:val="es-MX"/>
        </w:rPr>
        <w:t>El resto de los impuestos</w:t>
      </w:r>
    </w:p>
    <w:p w:rsidR="004277D4" w:rsidRDefault="004277D4" w:rsidP="004277D4">
      <w:pPr>
        <w:spacing w:after="0" w:line="240" w:lineRule="auto"/>
        <w:jc w:val="both"/>
        <w:rPr>
          <w:rFonts w:ascii="Times New Roman" w:hAnsi="Times New Roman" w:cs="Times New Roman"/>
          <w:lang w:val="es-MX"/>
        </w:rPr>
      </w:pPr>
      <w:r>
        <w:rPr>
          <w:rFonts w:ascii="Times New Roman" w:hAnsi="Times New Roman" w:cs="Times New Roman"/>
          <w:lang w:val="es-MX"/>
        </w:rPr>
        <w:t>El ISO, l</w:t>
      </w:r>
      <w:r w:rsidRPr="00254080">
        <w:rPr>
          <w:rFonts w:ascii="Times New Roman" w:hAnsi="Times New Roman" w:cs="Times New Roman"/>
          <w:lang w:val="es-MX"/>
        </w:rPr>
        <w:t xml:space="preserve">os derechos arancelarios a la importación,  derivados del petróleo, el de </w:t>
      </w:r>
      <w:r>
        <w:rPr>
          <w:rFonts w:ascii="Times New Roman" w:hAnsi="Times New Roman" w:cs="Times New Roman"/>
          <w:lang w:val="es-MX"/>
        </w:rPr>
        <w:t xml:space="preserve">vehículos, </w:t>
      </w:r>
      <w:r w:rsidRPr="00254080">
        <w:rPr>
          <w:rFonts w:ascii="Times New Roman" w:hAnsi="Times New Roman" w:cs="Times New Roman"/>
          <w:lang w:val="es-MX"/>
        </w:rPr>
        <w:t>IPRIMA</w:t>
      </w:r>
      <w:r>
        <w:rPr>
          <w:rFonts w:ascii="Times New Roman" w:hAnsi="Times New Roman" w:cs="Times New Roman"/>
          <w:lang w:val="es-MX"/>
        </w:rPr>
        <w:t xml:space="preserve">, timbres, </w:t>
      </w:r>
      <w:r w:rsidRPr="00254080">
        <w:rPr>
          <w:rFonts w:ascii="Times New Roman" w:hAnsi="Times New Roman" w:cs="Times New Roman"/>
          <w:lang w:val="es-MX"/>
        </w:rPr>
        <w:t xml:space="preserve">bebidas, </w:t>
      </w:r>
      <w:r>
        <w:rPr>
          <w:rFonts w:ascii="Times New Roman" w:hAnsi="Times New Roman" w:cs="Times New Roman"/>
          <w:lang w:val="es-MX"/>
        </w:rPr>
        <w:t xml:space="preserve">y tabacos </w:t>
      </w:r>
      <w:r w:rsidRPr="00254080">
        <w:rPr>
          <w:rFonts w:ascii="Times New Roman" w:hAnsi="Times New Roman" w:cs="Times New Roman"/>
          <w:lang w:val="es-MX"/>
        </w:rPr>
        <w:t>en conjunto dejaron de percibir Q</w:t>
      </w:r>
      <w:r>
        <w:rPr>
          <w:rFonts w:ascii="Times New Roman" w:hAnsi="Times New Roman" w:cs="Times New Roman"/>
          <w:lang w:val="es-MX"/>
        </w:rPr>
        <w:t xml:space="preserve"> </w:t>
      </w:r>
      <w:r>
        <w:rPr>
          <w:rFonts w:ascii="Times New Roman" w:hAnsi="Times New Roman" w:cs="Times New Roman"/>
          <w:lang w:val="es-MX"/>
        </w:rPr>
        <w:t xml:space="preserve">566.6 </w:t>
      </w:r>
      <w:r w:rsidRPr="00254080">
        <w:rPr>
          <w:rFonts w:ascii="Times New Roman" w:hAnsi="Times New Roman" w:cs="Times New Roman"/>
          <w:lang w:val="es-MX"/>
        </w:rPr>
        <w:t xml:space="preserve">millones </w:t>
      </w:r>
      <w:r>
        <w:rPr>
          <w:rFonts w:ascii="Times New Roman" w:hAnsi="Times New Roman" w:cs="Times New Roman"/>
          <w:lang w:val="es-MX"/>
        </w:rPr>
        <w:t>respecto a la meta</w:t>
      </w:r>
      <w:r w:rsidRPr="00254080">
        <w:rPr>
          <w:rFonts w:ascii="Times New Roman" w:hAnsi="Times New Roman" w:cs="Times New Roman"/>
          <w:lang w:val="es-MX"/>
        </w:rPr>
        <w:t>.  Los únicos impuestos que superaron la meta establecida para este mes fueron el impuesto a la propiedad y de cemento.</w:t>
      </w:r>
    </w:p>
    <w:p w:rsidR="004277D4" w:rsidRPr="004277D4" w:rsidRDefault="004277D4" w:rsidP="004277D4">
      <w:pPr>
        <w:spacing w:after="0" w:line="240" w:lineRule="auto"/>
        <w:jc w:val="both"/>
        <w:rPr>
          <w:rFonts w:ascii="Times New Roman" w:hAnsi="Times New Roman" w:cs="Times New Roman"/>
          <w:sz w:val="6"/>
          <w:szCs w:val="6"/>
          <w:lang w:val="es-MX"/>
        </w:rPr>
      </w:pPr>
    </w:p>
    <w:p w:rsidR="004277D4" w:rsidRPr="004277D4" w:rsidRDefault="004277D4" w:rsidP="004277D4">
      <w:pPr>
        <w:spacing w:after="0" w:line="240" w:lineRule="auto"/>
        <w:jc w:val="both"/>
        <w:rPr>
          <w:rFonts w:ascii="Times New Roman" w:hAnsi="Times New Roman" w:cs="Times New Roman"/>
          <w:sz w:val="6"/>
          <w:szCs w:val="6"/>
          <w:lang w:val="es-MX"/>
        </w:rPr>
      </w:pPr>
    </w:p>
    <w:p w:rsidR="004277D4" w:rsidRPr="004277D4" w:rsidRDefault="004277D4" w:rsidP="004277D4">
      <w:pPr>
        <w:spacing w:after="0" w:line="240" w:lineRule="auto"/>
        <w:jc w:val="both"/>
        <w:rPr>
          <w:rFonts w:ascii="Times New Roman" w:hAnsi="Times New Roman" w:cs="Times New Roman"/>
          <w:sz w:val="6"/>
          <w:szCs w:val="6"/>
          <w:lang w:val="es-MX"/>
        </w:rPr>
      </w:pPr>
    </w:p>
    <w:p w:rsidR="004277D4" w:rsidRPr="004277D4" w:rsidRDefault="004277D4" w:rsidP="004277D4">
      <w:pPr>
        <w:spacing w:after="0" w:line="240" w:lineRule="auto"/>
        <w:jc w:val="both"/>
        <w:rPr>
          <w:rFonts w:ascii="Times New Roman" w:hAnsi="Times New Roman" w:cs="Times New Roman"/>
          <w:sz w:val="6"/>
          <w:szCs w:val="6"/>
          <w:lang w:val="es-MX"/>
        </w:rPr>
      </w:pPr>
    </w:p>
    <w:p w:rsidR="004277D4" w:rsidRDefault="004277D4" w:rsidP="004277D4">
      <w:pPr>
        <w:spacing w:after="0" w:line="240" w:lineRule="auto"/>
        <w:jc w:val="both"/>
        <w:rPr>
          <w:rFonts w:ascii="Times New Roman" w:hAnsi="Times New Roman" w:cs="Times New Roman"/>
          <w:sz w:val="6"/>
          <w:szCs w:val="6"/>
          <w:lang w:val="es-MX"/>
        </w:rPr>
      </w:pPr>
    </w:p>
    <w:p w:rsidR="004277D4" w:rsidRDefault="004277D4" w:rsidP="004277D4">
      <w:pPr>
        <w:spacing w:after="0" w:line="240" w:lineRule="auto"/>
        <w:jc w:val="both"/>
        <w:rPr>
          <w:rFonts w:ascii="Times New Roman" w:hAnsi="Times New Roman" w:cs="Times New Roman"/>
          <w:sz w:val="6"/>
          <w:szCs w:val="6"/>
          <w:lang w:val="es-MX"/>
        </w:rPr>
      </w:pPr>
    </w:p>
    <w:p w:rsidR="004277D4" w:rsidRDefault="004277D4" w:rsidP="004277D4">
      <w:pPr>
        <w:spacing w:after="0" w:line="240" w:lineRule="auto"/>
        <w:jc w:val="both"/>
        <w:rPr>
          <w:rFonts w:ascii="Times New Roman" w:hAnsi="Times New Roman" w:cs="Times New Roman"/>
          <w:sz w:val="6"/>
          <w:szCs w:val="6"/>
          <w:lang w:val="es-MX"/>
        </w:rPr>
      </w:pPr>
    </w:p>
    <w:p w:rsidR="004277D4" w:rsidRDefault="004277D4" w:rsidP="004277D4">
      <w:pPr>
        <w:spacing w:after="0" w:line="240" w:lineRule="auto"/>
        <w:jc w:val="both"/>
        <w:rPr>
          <w:rFonts w:ascii="Times New Roman" w:hAnsi="Times New Roman" w:cs="Times New Roman"/>
          <w:sz w:val="6"/>
          <w:szCs w:val="6"/>
          <w:lang w:val="es-MX"/>
        </w:rPr>
      </w:pPr>
    </w:p>
    <w:p w:rsidR="004277D4" w:rsidRDefault="004277D4" w:rsidP="004277D4">
      <w:pPr>
        <w:spacing w:after="0" w:line="240" w:lineRule="auto"/>
        <w:jc w:val="both"/>
        <w:rPr>
          <w:rFonts w:ascii="Times New Roman" w:hAnsi="Times New Roman" w:cs="Times New Roman"/>
          <w:sz w:val="6"/>
          <w:szCs w:val="6"/>
          <w:lang w:val="es-MX"/>
        </w:rPr>
      </w:pPr>
    </w:p>
    <w:p w:rsidR="004277D4" w:rsidRDefault="004277D4" w:rsidP="004277D4">
      <w:pPr>
        <w:spacing w:after="0" w:line="240" w:lineRule="auto"/>
        <w:jc w:val="both"/>
        <w:rPr>
          <w:rFonts w:ascii="Times New Roman" w:hAnsi="Times New Roman" w:cs="Times New Roman"/>
          <w:sz w:val="6"/>
          <w:szCs w:val="6"/>
          <w:lang w:val="es-MX"/>
        </w:rPr>
      </w:pPr>
    </w:p>
    <w:p w:rsidR="004277D4" w:rsidRDefault="004277D4" w:rsidP="004277D4">
      <w:pPr>
        <w:spacing w:after="0" w:line="240" w:lineRule="auto"/>
        <w:jc w:val="both"/>
        <w:rPr>
          <w:rFonts w:ascii="Times New Roman" w:hAnsi="Times New Roman" w:cs="Times New Roman"/>
          <w:sz w:val="6"/>
          <w:szCs w:val="6"/>
          <w:lang w:val="es-MX"/>
        </w:rPr>
      </w:pPr>
    </w:p>
    <w:p w:rsidR="004277D4" w:rsidRDefault="004277D4" w:rsidP="004277D4">
      <w:pPr>
        <w:spacing w:after="0" w:line="240" w:lineRule="auto"/>
        <w:jc w:val="both"/>
        <w:rPr>
          <w:rFonts w:ascii="Times New Roman" w:hAnsi="Times New Roman" w:cs="Times New Roman"/>
          <w:sz w:val="6"/>
          <w:szCs w:val="6"/>
          <w:lang w:val="es-MX"/>
        </w:rPr>
      </w:pPr>
    </w:p>
    <w:p w:rsidR="004277D4" w:rsidRPr="004277D4" w:rsidRDefault="004277D4" w:rsidP="004277D4">
      <w:pPr>
        <w:spacing w:after="0" w:line="240" w:lineRule="auto"/>
        <w:jc w:val="both"/>
        <w:rPr>
          <w:rFonts w:ascii="Times New Roman" w:hAnsi="Times New Roman" w:cs="Times New Roman"/>
          <w:sz w:val="6"/>
          <w:szCs w:val="6"/>
          <w:lang w:val="es-MX"/>
        </w:rPr>
      </w:pPr>
    </w:p>
    <w:p w:rsidR="004277D4" w:rsidRPr="00FF4E1B" w:rsidRDefault="004277D4" w:rsidP="004277D4">
      <w:pPr>
        <w:spacing w:after="0" w:line="240" w:lineRule="auto"/>
        <w:jc w:val="center"/>
        <w:rPr>
          <w:rFonts w:ascii="Times New Roman" w:hAnsi="Times New Roman" w:cs="Times New Roman"/>
          <w:b/>
          <w:lang w:val="es-MX"/>
        </w:rPr>
      </w:pPr>
      <w:r w:rsidRPr="00FF4E1B">
        <w:rPr>
          <w:rFonts w:ascii="Times New Roman" w:hAnsi="Times New Roman" w:cs="Times New Roman"/>
          <w:b/>
          <w:lang w:val="es-MX"/>
        </w:rPr>
        <w:lastRenderedPageBreak/>
        <w:t>Recaudación tributaria</w:t>
      </w:r>
      <w:r>
        <w:rPr>
          <w:rFonts w:ascii="Times New Roman" w:hAnsi="Times New Roman" w:cs="Times New Roman"/>
          <w:b/>
          <w:lang w:val="es-MX"/>
        </w:rPr>
        <w:t xml:space="preserve"> acumulada</w:t>
      </w:r>
    </w:p>
    <w:p w:rsidR="004277D4" w:rsidRPr="004277D4" w:rsidRDefault="004277D4" w:rsidP="004277D4">
      <w:pPr>
        <w:spacing w:after="0" w:line="240" w:lineRule="auto"/>
        <w:jc w:val="center"/>
        <w:rPr>
          <w:rFonts w:ascii="Times New Roman" w:hAnsi="Times New Roman" w:cs="Times New Roman"/>
          <w:sz w:val="18"/>
          <w:lang w:val="es-MX"/>
        </w:rPr>
      </w:pPr>
      <w:r w:rsidRPr="004277D4">
        <w:rPr>
          <w:rFonts w:ascii="Times New Roman" w:hAnsi="Times New Roman" w:cs="Times New Roman"/>
          <w:sz w:val="18"/>
          <w:lang w:val="es-MX"/>
        </w:rPr>
        <w:t>Millones de quetzales</w:t>
      </w:r>
    </w:p>
    <w:p w:rsidR="004277D4" w:rsidRDefault="004277D4" w:rsidP="004277D4">
      <w:pPr>
        <w:spacing w:line="240" w:lineRule="auto"/>
        <w:jc w:val="both"/>
        <w:rPr>
          <w:rFonts w:ascii="Times New Roman" w:hAnsi="Times New Roman" w:cs="Times New Roman"/>
          <w:lang w:val="es-MX"/>
        </w:rPr>
      </w:pPr>
      <w:r>
        <w:rPr>
          <w:rFonts w:ascii="Times New Roman" w:hAnsi="Times New Roman" w:cs="Times New Roman"/>
          <w:noProof/>
          <w:lang w:eastAsia="es-GT"/>
        </w:rPr>
        <w:drawing>
          <wp:inline distT="0" distB="0" distL="0" distR="0" wp14:anchorId="1353CBE2" wp14:editId="10C15D65">
            <wp:extent cx="2800350" cy="3705225"/>
            <wp:effectExtent l="0" t="0" r="0" b="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277D4" w:rsidRPr="004277D4" w:rsidRDefault="004277D4" w:rsidP="004277D4">
      <w:pPr>
        <w:spacing w:after="0" w:line="240" w:lineRule="auto"/>
        <w:jc w:val="both"/>
        <w:rPr>
          <w:rFonts w:ascii="Times New Roman" w:hAnsi="Times New Roman" w:cs="Times New Roman"/>
          <w:lang w:val="es-MX"/>
        </w:rPr>
      </w:pPr>
      <w:r w:rsidRPr="004277D4">
        <w:rPr>
          <w:rFonts w:ascii="Times New Roman" w:hAnsi="Times New Roman" w:cs="Times New Roman"/>
          <w:sz w:val="14"/>
          <w:lang w:val="es-MX"/>
        </w:rPr>
        <w:t>Fuente: Dirección de Análisis y Política Fiscal</w:t>
      </w:r>
    </w:p>
    <w:p w:rsidR="00674EAE" w:rsidRPr="000813C5" w:rsidRDefault="00674EAE" w:rsidP="00674EAE">
      <w:pPr>
        <w:pStyle w:val="Sinespaciado"/>
        <w:jc w:val="both"/>
        <w:rPr>
          <w:rFonts w:ascii="Times New Roman" w:hAnsi="Times New Roman" w:cs="Times New Roman"/>
          <w:color w:val="FF0000"/>
          <w:sz w:val="18"/>
          <w:szCs w:val="18"/>
          <w:lang w:val="es-MX"/>
        </w:rPr>
        <w:sectPr w:rsidR="00674EAE" w:rsidRPr="000813C5" w:rsidSect="005A03A9">
          <w:type w:val="continuous"/>
          <w:pgSz w:w="12240" w:h="15840"/>
          <w:pgMar w:top="1417" w:right="1701" w:bottom="1417" w:left="1701" w:header="708" w:footer="708" w:gutter="0"/>
          <w:cols w:num="2" w:space="708"/>
          <w:docGrid w:linePitch="360"/>
        </w:sectPr>
      </w:pPr>
    </w:p>
    <w:p w:rsidR="00FA3B81" w:rsidRPr="00A9153A" w:rsidRDefault="00AF68D3" w:rsidP="004F72F9">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sectPr w:rsidR="00FA3B81" w:rsidRPr="00A9153A" w:rsidSect="00FA3B81">
          <w:headerReference w:type="default" r:id="rId18"/>
          <w:footerReference w:type="default" r:id="rId19"/>
          <w:type w:val="continuous"/>
          <w:pgSz w:w="12240" w:h="15840" w:code="1"/>
          <w:pgMar w:top="1418" w:right="1418" w:bottom="1418" w:left="1418" w:header="709" w:footer="709" w:gutter="0"/>
          <w:cols w:space="708"/>
          <w:docGrid w:linePitch="360"/>
        </w:sectPr>
      </w:pPr>
      <w:r w:rsidRPr="00A9153A">
        <w:rPr>
          <w:rFonts w:ascii="Times New Roman" w:hAnsi="Times New Roman" w:cs="Times New Roman"/>
          <w:b/>
          <w:lang w:val="es-MX"/>
        </w:rPr>
        <w:lastRenderedPageBreak/>
        <w:t>Ejecución muestra un repunte al final del cuatrimestre</w:t>
      </w:r>
    </w:p>
    <w:p w:rsidR="00FA3B81" w:rsidRPr="000813C5" w:rsidRDefault="00FA3B81" w:rsidP="00FA3B81">
      <w:pPr>
        <w:pStyle w:val="Sinespaciado"/>
        <w:rPr>
          <w:rFonts w:ascii="Times New Roman" w:hAnsi="Times New Roman" w:cs="Times New Roman"/>
          <w:b/>
          <w:color w:val="FF0000"/>
          <w:sz w:val="18"/>
          <w:lang w:val="es-MX"/>
        </w:rPr>
      </w:pPr>
    </w:p>
    <w:p w:rsidR="00FA3B81" w:rsidRPr="000813C5" w:rsidRDefault="00FA3B81" w:rsidP="00FA3B81">
      <w:pPr>
        <w:pStyle w:val="Sinespaciado"/>
        <w:jc w:val="center"/>
        <w:rPr>
          <w:rFonts w:ascii="Times New Roman" w:hAnsi="Times New Roman" w:cs="Times New Roman"/>
          <w:b/>
          <w:color w:val="FF0000"/>
          <w:lang w:val="es-MX"/>
        </w:rPr>
        <w:sectPr w:rsidR="00FA3B81" w:rsidRPr="000813C5" w:rsidSect="004E358C">
          <w:type w:val="continuous"/>
          <w:pgSz w:w="12240" w:h="15840"/>
          <w:pgMar w:top="1417" w:right="1701" w:bottom="1417" w:left="1701" w:header="708" w:footer="708" w:gutter="0"/>
          <w:cols w:space="708"/>
          <w:docGrid w:linePitch="360"/>
        </w:sectPr>
      </w:pPr>
    </w:p>
    <w:p w:rsidR="000813C5" w:rsidRDefault="000813C5" w:rsidP="000813C5">
      <w:pPr>
        <w:pStyle w:val="Sinespaciado"/>
        <w:jc w:val="both"/>
        <w:rPr>
          <w:rFonts w:ascii="Times New Roman" w:hAnsi="Times New Roman" w:cs="Times New Roman"/>
          <w:lang w:val="es-MX"/>
        </w:rPr>
      </w:pPr>
      <w:r>
        <w:rPr>
          <w:rFonts w:ascii="Times New Roman" w:hAnsi="Times New Roman" w:cs="Times New Roman"/>
          <w:lang w:val="es-MX"/>
        </w:rPr>
        <w:lastRenderedPageBreak/>
        <w:t>La programación de las cuotas financieras para el primer cuatrimestre de 2017, estuvo fuertemente influenciada por una mejor posición de la caja fiscal, el nivel de atrasos en pagos al inicio del año fue sustancialmente inferior a lo reportado en 2016, además las expectativas por una mejora en la recaudación tributaria fueron más alentadoras en este año, las cuales han sido validadas con el desempeño de la SAT en estos primeros cuatro meses, a pesar que la recaudación por adeudos tributarios aún no ha repuntado, situación que se espera se dinamice en los próximos meses.</w:t>
      </w:r>
    </w:p>
    <w:p w:rsidR="000813C5" w:rsidRDefault="000813C5" w:rsidP="000813C5">
      <w:pPr>
        <w:pStyle w:val="Sinespaciado"/>
        <w:jc w:val="both"/>
        <w:rPr>
          <w:rFonts w:ascii="Times New Roman" w:hAnsi="Times New Roman" w:cs="Times New Roman"/>
          <w:lang w:val="es-MX"/>
        </w:rPr>
      </w:pPr>
    </w:p>
    <w:p w:rsidR="000813C5" w:rsidRDefault="000813C5" w:rsidP="000813C5">
      <w:pPr>
        <w:pStyle w:val="Sinespaciado"/>
        <w:jc w:val="both"/>
        <w:rPr>
          <w:rFonts w:ascii="Times New Roman" w:hAnsi="Times New Roman" w:cs="Times New Roman"/>
          <w:lang w:val="es-MX"/>
        </w:rPr>
      </w:pPr>
      <w:r>
        <w:rPr>
          <w:rFonts w:ascii="Times New Roman" w:hAnsi="Times New Roman" w:cs="Times New Roman"/>
          <w:lang w:val="es-MX"/>
        </w:rPr>
        <w:lastRenderedPageBreak/>
        <w:t xml:space="preserve">Adicionalmente, se esperaba que las entidades de gobierno tuvieran un mejor control y manejo en su gestión, para acelerar la ejecución en este año y reducir las brechas de servicios que no pudieron gestarse el año anterior, por la política de contención y racionalización del gasto que se llevó a cabo principalmente en el primer semestre de 2016. </w:t>
      </w:r>
    </w:p>
    <w:p w:rsidR="000813C5" w:rsidRDefault="000813C5" w:rsidP="000813C5">
      <w:pPr>
        <w:pStyle w:val="Sinespaciado"/>
        <w:jc w:val="both"/>
        <w:rPr>
          <w:rFonts w:ascii="Times New Roman" w:hAnsi="Times New Roman" w:cs="Times New Roman"/>
          <w:lang w:val="es-MX"/>
        </w:rPr>
      </w:pPr>
    </w:p>
    <w:p w:rsidR="000813C5" w:rsidRDefault="000813C5" w:rsidP="000813C5">
      <w:pPr>
        <w:pStyle w:val="Sinespaciado"/>
        <w:jc w:val="both"/>
        <w:rPr>
          <w:rFonts w:ascii="Times New Roman" w:hAnsi="Times New Roman" w:cs="Times New Roman"/>
          <w:lang w:val="es-MX"/>
        </w:rPr>
      </w:pPr>
      <w:r>
        <w:rPr>
          <w:rFonts w:ascii="Times New Roman" w:hAnsi="Times New Roman" w:cs="Times New Roman"/>
          <w:lang w:val="es-MX"/>
        </w:rPr>
        <w:t xml:space="preserve">Todo lo anterior, fue motivo suficiente para crear las condiciones para que la mayoría de entidades principalmente del área social, de seguridad interna y justicia tuvieran una mejor certeza de su disponibilidad para ejecutar en este primer cuatrimestre.  De esa cuenta, se </w:t>
      </w:r>
      <w:r>
        <w:rPr>
          <w:rFonts w:ascii="Times New Roman" w:hAnsi="Times New Roman" w:cs="Times New Roman"/>
          <w:lang w:val="es-MX"/>
        </w:rPr>
        <w:lastRenderedPageBreak/>
        <w:t xml:space="preserve">aprobaron cuotas desde inicio del año para todos los meses del cuatrimestre con base en lo solicitado por estas entidades. Asimismo, se fueron adicionando requerimientos de ampliación de cuota financiera que solicitaban algunas instituciones con el propósito de mejorar la prestación de servicios y reducir las presiones de gasto que estas tenían. </w:t>
      </w:r>
    </w:p>
    <w:p w:rsidR="000813C5" w:rsidRDefault="000813C5" w:rsidP="000813C5">
      <w:pPr>
        <w:pStyle w:val="Sinespaciado"/>
        <w:jc w:val="both"/>
        <w:rPr>
          <w:rFonts w:ascii="Times New Roman" w:hAnsi="Times New Roman" w:cs="Times New Roman"/>
          <w:lang w:val="es-MX"/>
        </w:rPr>
      </w:pPr>
    </w:p>
    <w:p w:rsidR="000813C5" w:rsidRDefault="000813C5" w:rsidP="000813C5">
      <w:pPr>
        <w:pStyle w:val="Sinespaciado"/>
        <w:jc w:val="both"/>
        <w:rPr>
          <w:rFonts w:ascii="Times New Roman" w:hAnsi="Times New Roman" w:cs="Times New Roman"/>
          <w:lang w:val="es-MX"/>
        </w:rPr>
      </w:pPr>
      <w:r>
        <w:rPr>
          <w:rFonts w:ascii="Times New Roman" w:hAnsi="Times New Roman" w:cs="Times New Roman"/>
          <w:lang w:val="es-MX"/>
        </w:rPr>
        <w:t xml:space="preserve">No obstante, la ejecución de gasto público no mostró en realidad el desempeño esperado, es decir, que las instituciones pudieran ejecutar el 100% de la cuota autorizada.   Lo que trajo como resultado un comportamiento si bien más dinámico con respecto al observado en 2016, pudo ser mayor dado el espacio que se brindó mediante las cuotas financieras.   </w:t>
      </w:r>
    </w:p>
    <w:p w:rsidR="000813C5" w:rsidRDefault="000813C5" w:rsidP="000813C5">
      <w:pPr>
        <w:pStyle w:val="Sinespaciado"/>
        <w:jc w:val="both"/>
        <w:rPr>
          <w:rFonts w:ascii="Times New Roman" w:hAnsi="Times New Roman" w:cs="Times New Roman"/>
          <w:lang w:val="es-MX"/>
        </w:rPr>
      </w:pPr>
    </w:p>
    <w:p w:rsidR="000813C5" w:rsidRDefault="000813C5" w:rsidP="000813C5">
      <w:pPr>
        <w:pStyle w:val="Sinespaciado"/>
        <w:jc w:val="both"/>
        <w:rPr>
          <w:rFonts w:ascii="Times New Roman" w:hAnsi="Times New Roman" w:cs="Times New Roman"/>
          <w:lang w:val="es-MX"/>
        </w:rPr>
      </w:pPr>
      <w:r>
        <w:rPr>
          <w:rFonts w:ascii="Times New Roman" w:hAnsi="Times New Roman" w:cs="Times New Roman"/>
          <w:lang w:val="es-MX"/>
        </w:rPr>
        <w:t xml:space="preserve">Es por ello que  al 30 de abril de 2017, el nivel de ejecución gasto público se situó en  </w:t>
      </w:r>
      <w:proofErr w:type="spellStart"/>
      <w:r>
        <w:rPr>
          <w:rFonts w:ascii="Times New Roman" w:hAnsi="Times New Roman" w:cs="Times New Roman"/>
          <w:lang w:val="es-MX"/>
        </w:rPr>
        <w:t>Q18</w:t>
      </w:r>
      <w:proofErr w:type="gramStart"/>
      <w:r>
        <w:rPr>
          <w:rFonts w:ascii="Times New Roman" w:hAnsi="Times New Roman" w:cs="Times New Roman"/>
          <w:lang w:val="es-MX"/>
        </w:rPr>
        <w:t>,896.5</w:t>
      </w:r>
      <w:proofErr w:type="spellEnd"/>
      <w:proofErr w:type="gramEnd"/>
      <w:r>
        <w:rPr>
          <w:rFonts w:ascii="Times New Roman" w:hAnsi="Times New Roman" w:cs="Times New Roman"/>
          <w:lang w:val="es-MX"/>
        </w:rPr>
        <w:t xml:space="preserve"> millones (no incluye amortizaciones de deuda pública)</w:t>
      </w:r>
      <w:r w:rsidRPr="00F92177">
        <w:rPr>
          <w:rFonts w:ascii="Times New Roman" w:hAnsi="Times New Roman" w:cs="Times New Roman"/>
          <w:lang w:val="es-MX"/>
        </w:rPr>
        <w:t xml:space="preserve">, </w:t>
      </w:r>
      <w:r>
        <w:rPr>
          <w:rFonts w:ascii="Times New Roman" w:hAnsi="Times New Roman" w:cs="Times New Roman"/>
          <w:lang w:val="es-MX"/>
        </w:rPr>
        <w:t>el cual muestra</w:t>
      </w:r>
      <w:r w:rsidRPr="00F92177">
        <w:rPr>
          <w:rFonts w:ascii="Times New Roman" w:hAnsi="Times New Roman" w:cs="Times New Roman"/>
          <w:lang w:val="es-MX"/>
        </w:rPr>
        <w:t xml:space="preserve"> un crecimiento interanual </w:t>
      </w:r>
      <w:r>
        <w:rPr>
          <w:rFonts w:ascii="Times New Roman" w:hAnsi="Times New Roman" w:cs="Times New Roman"/>
          <w:lang w:val="es-MX"/>
        </w:rPr>
        <w:t>del 7.5</w:t>
      </w:r>
      <w:r w:rsidRPr="00F92177">
        <w:rPr>
          <w:rFonts w:ascii="Times New Roman" w:hAnsi="Times New Roman" w:cs="Times New Roman"/>
          <w:lang w:val="es-MX"/>
        </w:rPr>
        <w:t>%</w:t>
      </w:r>
      <w:r>
        <w:rPr>
          <w:rFonts w:ascii="Times New Roman" w:hAnsi="Times New Roman" w:cs="Times New Roman"/>
          <w:lang w:val="es-MX"/>
        </w:rPr>
        <w:t>,</w:t>
      </w:r>
      <w:r w:rsidRPr="00F92177">
        <w:rPr>
          <w:rFonts w:ascii="Times New Roman" w:hAnsi="Times New Roman" w:cs="Times New Roman"/>
          <w:lang w:val="es-MX"/>
        </w:rPr>
        <w:t xml:space="preserve"> respecto </w:t>
      </w:r>
      <w:r>
        <w:rPr>
          <w:rFonts w:ascii="Times New Roman" w:hAnsi="Times New Roman" w:cs="Times New Roman"/>
          <w:lang w:val="es-MX"/>
        </w:rPr>
        <w:t>al cierre de marzo</w:t>
      </w:r>
      <w:r w:rsidRPr="00F92177">
        <w:rPr>
          <w:rFonts w:ascii="Times New Roman" w:hAnsi="Times New Roman" w:cs="Times New Roman"/>
          <w:lang w:val="es-MX"/>
        </w:rPr>
        <w:t xml:space="preserve"> </w:t>
      </w:r>
      <w:r>
        <w:rPr>
          <w:rFonts w:ascii="Times New Roman" w:hAnsi="Times New Roman" w:cs="Times New Roman"/>
          <w:lang w:val="es-MX"/>
        </w:rPr>
        <w:t>de</w:t>
      </w:r>
      <w:r w:rsidRPr="00F92177">
        <w:rPr>
          <w:rFonts w:ascii="Times New Roman" w:hAnsi="Times New Roman" w:cs="Times New Roman"/>
          <w:lang w:val="es-MX"/>
        </w:rPr>
        <w:t xml:space="preserve"> 201</w:t>
      </w:r>
      <w:r>
        <w:rPr>
          <w:rFonts w:ascii="Times New Roman" w:hAnsi="Times New Roman" w:cs="Times New Roman"/>
          <w:lang w:val="es-MX"/>
        </w:rPr>
        <w:t xml:space="preserve">6, a esta misma fecha  esta variación era negativa en 11.9%. </w:t>
      </w:r>
    </w:p>
    <w:p w:rsidR="000813C5" w:rsidRDefault="000813C5" w:rsidP="000813C5">
      <w:pPr>
        <w:pStyle w:val="Sinespaciado"/>
        <w:jc w:val="both"/>
        <w:rPr>
          <w:rFonts w:ascii="Times New Roman" w:hAnsi="Times New Roman" w:cs="Times New Roman"/>
          <w:lang w:val="es-MX"/>
        </w:rPr>
      </w:pPr>
    </w:p>
    <w:p w:rsidR="000813C5" w:rsidRPr="009D459C" w:rsidRDefault="000813C5" w:rsidP="000813C5">
      <w:pPr>
        <w:pStyle w:val="Sinespaciado"/>
        <w:jc w:val="center"/>
        <w:rPr>
          <w:rFonts w:ascii="Times New Roman" w:hAnsi="Times New Roman" w:cs="Times New Roman"/>
          <w:b/>
          <w:lang w:val="es-MX"/>
        </w:rPr>
      </w:pPr>
      <w:r w:rsidRPr="009D459C">
        <w:rPr>
          <w:rFonts w:ascii="Times New Roman" w:hAnsi="Times New Roman" w:cs="Times New Roman"/>
          <w:b/>
          <w:lang w:val="es-MX"/>
        </w:rPr>
        <w:t>Ritmo de Ejecución del Gasto</w:t>
      </w:r>
    </w:p>
    <w:p w:rsidR="000813C5" w:rsidRPr="009D459C" w:rsidRDefault="000813C5" w:rsidP="000813C5">
      <w:pPr>
        <w:pStyle w:val="Sinespaciado"/>
        <w:jc w:val="center"/>
        <w:rPr>
          <w:rFonts w:ascii="Times New Roman" w:hAnsi="Times New Roman" w:cs="Times New Roman"/>
          <w:sz w:val="18"/>
          <w:lang w:val="es-MX"/>
        </w:rPr>
      </w:pPr>
      <w:r w:rsidRPr="009D459C">
        <w:rPr>
          <w:rFonts w:ascii="Times New Roman" w:hAnsi="Times New Roman" w:cs="Times New Roman"/>
          <w:sz w:val="18"/>
          <w:lang w:val="es-MX"/>
        </w:rPr>
        <w:t>Variación Interanual</w:t>
      </w:r>
      <w:r>
        <w:rPr>
          <w:rFonts w:ascii="Times New Roman" w:hAnsi="Times New Roman" w:cs="Times New Roman"/>
          <w:sz w:val="18"/>
          <w:lang w:val="es-MX"/>
        </w:rPr>
        <w:t xml:space="preserve"> Acumulada</w:t>
      </w:r>
    </w:p>
    <w:p w:rsidR="000813C5" w:rsidRDefault="000813C5" w:rsidP="000813C5">
      <w:pPr>
        <w:pStyle w:val="Sinespaciado"/>
        <w:jc w:val="both"/>
        <w:rPr>
          <w:rFonts w:ascii="Times New Roman" w:hAnsi="Times New Roman" w:cs="Times New Roman"/>
          <w:lang w:val="es-MX"/>
        </w:rPr>
      </w:pPr>
      <w:r>
        <w:rPr>
          <w:rFonts w:ascii="Times New Roman" w:hAnsi="Times New Roman" w:cs="Times New Roman"/>
          <w:noProof/>
          <w:lang w:eastAsia="es-GT"/>
        </w:rPr>
        <mc:AlternateContent>
          <mc:Choice Requires="wps">
            <w:drawing>
              <wp:anchor distT="0" distB="0" distL="114300" distR="114300" simplePos="0" relativeHeight="251659264" behindDoc="0" locked="0" layoutInCell="1" allowOverlap="1" wp14:anchorId="1F566C53" wp14:editId="51867AD4">
                <wp:simplePos x="0" y="0"/>
                <wp:positionH relativeFrom="column">
                  <wp:posOffset>255684</wp:posOffset>
                </wp:positionH>
                <wp:positionV relativeFrom="paragraph">
                  <wp:posOffset>137077</wp:posOffset>
                </wp:positionV>
                <wp:extent cx="842838" cy="2035534"/>
                <wp:effectExtent l="0" t="0" r="14605" b="22225"/>
                <wp:wrapNone/>
                <wp:docPr id="6" name="6 Rectángulo"/>
                <wp:cNvGraphicFramePr/>
                <a:graphic xmlns:a="http://schemas.openxmlformats.org/drawingml/2006/main">
                  <a:graphicData uri="http://schemas.microsoft.com/office/word/2010/wordprocessingShape">
                    <wps:wsp>
                      <wps:cNvSpPr/>
                      <wps:spPr>
                        <a:xfrm>
                          <a:off x="0" y="0"/>
                          <a:ext cx="842838" cy="2035534"/>
                        </a:xfrm>
                        <a:prstGeom prst="rect">
                          <a:avLst/>
                        </a:prstGeom>
                        <a:solidFill>
                          <a:schemeClr val="accent1">
                            <a:alpha val="10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6 Rectángulo" o:spid="_x0000_s1026" style="position:absolute;margin-left:20.15pt;margin-top:10.8pt;width:66.35pt;height:160.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" fillcolor="#4f81bd [3204]" strokecolor="#243f60 [1604]">
                <v:fill opacity="6682f"/>
              </v:rect>
            </w:pict>
          </mc:Fallback>
        </mc:AlternateContent>
      </w:r>
      <w:r>
        <w:rPr>
          <w:rFonts w:ascii="Times New Roman" w:hAnsi="Times New Roman" w:cs="Times New Roman"/>
          <w:noProof/>
          <w:lang w:eastAsia="es-GT"/>
        </w:rPr>
        <w:drawing>
          <wp:inline distT="0" distB="0" distL="0" distR="0" wp14:anchorId="2F22E637" wp14:editId="68E6A598">
            <wp:extent cx="2723322" cy="2246244"/>
            <wp:effectExtent l="0" t="0" r="1270" b="190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29904" cy="2251673"/>
                    </a:xfrm>
                    <a:prstGeom prst="rect">
                      <a:avLst/>
                    </a:prstGeom>
                    <a:noFill/>
                  </pic:spPr>
                </pic:pic>
              </a:graphicData>
            </a:graphic>
          </wp:inline>
        </w:drawing>
      </w:r>
    </w:p>
    <w:p w:rsidR="000813C5" w:rsidRDefault="000813C5" w:rsidP="000813C5">
      <w:pPr>
        <w:pStyle w:val="Sinespaciado"/>
        <w:jc w:val="both"/>
        <w:rPr>
          <w:rFonts w:ascii="Times New Roman" w:hAnsi="Times New Roman" w:cs="Times New Roman"/>
          <w:sz w:val="16"/>
        </w:rPr>
      </w:pPr>
      <w:r>
        <w:rPr>
          <w:rFonts w:ascii="Times New Roman" w:hAnsi="Times New Roman" w:cs="Times New Roman"/>
          <w:sz w:val="16"/>
        </w:rPr>
        <w:t xml:space="preserve">Fuente: </w:t>
      </w:r>
      <w:r w:rsidRPr="006F1F3C">
        <w:rPr>
          <w:rFonts w:ascii="Times New Roman" w:hAnsi="Times New Roman" w:cs="Times New Roman"/>
          <w:sz w:val="16"/>
        </w:rPr>
        <w:t xml:space="preserve">Dirección de Análisis </w:t>
      </w:r>
      <w:r>
        <w:rPr>
          <w:rFonts w:ascii="Times New Roman" w:hAnsi="Times New Roman" w:cs="Times New Roman"/>
          <w:sz w:val="16"/>
        </w:rPr>
        <w:t>y Política fiscal</w:t>
      </w:r>
    </w:p>
    <w:p w:rsidR="000813C5" w:rsidRPr="009D459C" w:rsidRDefault="000813C5" w:rsidP="000813C5">
      <w:pPr>
        <w:pStyle w:val="Sinespaciado"/>
        <w:jc w:val="both"/>
        <w:rPr>
          <w:rFonts w:ascii="Times New Roman" w:hAnsi="Times New Roman" w:cs="Times New Roman"/>
        </w:rPr>
      </w:pPr>
    </w:p>
    <w:p w:rsidR="000813C5" w:rsidRDefault="000813C5" w:rsidP="000813C5">
      <w:pPr>
        <w:pStyle w:val="Sinespaciado"/>
        <w:jc w:val="both"/>
        <w:rPr>
          <w:rFonts w:ascii="Times New Roman" w:hAnsi="Times New Roman" w:cs="Times New Roman"/>
          <w:lang w:val="es-MX"/>
        </w:rPr>
      </w:pPr>
      <w:r>
        <w:rPr>
          <w:rFonts w:ascii="Times New Roman" w:hAnsi="Times New Roman" w:cs="Times New Roman"/>
        </w:rPr>
        <w:t xml:space="preserve">Sin embargo, si las entidades hubieran ejecutado la totalidad de la cuota financiera del </w:t>
      </w:r>
      <w:r>
        <w:rPr>
          <w:rFonts w:ascii="Times New Roman" w:hAnsi="Times New Roman" w:cs="Times New Roman"/>
        </w:rPr>
        <w:lastRenderedPageBreak/>
        <w:t>cuatrimestre</w:t>
      </w:r>
      <w:r>
        <w:rPr>
          <w:rFonts w:ascii="Times New Roman" w:hAnsi="Times New Roman" w:cs="Times New Roman"/>
          <w:lang w:val="es-MX"/>
        </w:rPr>
        <w:t>, la tasa de crecimiento del gasto público se hubiera ubicado en 14.6%.</w:t>
      </w:r>
    </w:p>
    <w:p w:rsidR="000813C5" w:rsidRDefault="000813C5" w:rsidP="000813C5">
      <w:pPr>
        <w:pStyle w:val="Sinespaciado"/>
        <w:jc w:val="both"/>
        <w:rPr>
          <w:rFonts w:ascii="Times New Roman" w:hAnsi="Times New Roman" w:cs="Times New Roman"/>
          <w:sz w:val="16"/>
        </w:rPr>
      </w:pPr>
    </w:p>
    <w:p w:rsidR="000813C5" w:rsidRDefault="000813C5" w:rsidP="000813C5">
      <w:pPr>
        <w:pStyle w:val="Sinespaciado"/>
        <w:jc w:val="both"/>
        <w:rPr>
          <w:rFonts w:ascii="Times New Roman" w:hAnsi="Times New Roman" w:cs="Times New Roman"/>
          <w:lang w:val="es-MX"/>
        </w:rPr>
      </w:pPr>
      <w:r>
        <w:rPr>
          <w:rFonts w:ascii="Times New Roman" w:hAnsi="Times New Roman" w:cs="Times New Roman"/>
          <w:lang w:val="es-MX"/>
        </w:rPr>
        <w:t>Este comportamiento en el ritmo de ejecución, es consistente con el porcentaje de ejecución presupuestaria que a la fecha muestra un bajo nivel (26.0%) comparado con el promedio observado en los últimos 5 años (26.8%), e inclusive es inferior a lo realizado el año anterior (26.2%), año de una fuerte contención de gasto en el primer cuatrimestre.</w:t>
      </w:r>
    </w:p>
    <w:p w:rsidR="000813C5" w:rsidRDefault="000813C5" w:rsidP="000813C5">
      <w:pPr>
        <w:pStyle w:val="Sinespaciado"/>
        <w:jc w:val="both"/>
        <w:rPr>
          <w:rFonts w:ascii="Times New Roman" w:hAnsi="Times New Roman" w:cs="Times New Roman"/>
          <w:lang w:val="es-MX"/>
        </w:rPr>
      </w:pPr>
    </w:p>
    <w:p w:rsidR="000813C5" w:rsidRDefault="000813C5" w:rsidP="000813C5">
      <w:pPr>
        <w:pStyle w:val="Sinespaciado"/>
        <w:jc w:val="both"/>
        <w:rPr>
          <w:rFonts w:ascii="Times New Roman" w:hAnsi="Times New Roman" w:cs="Times New Roman"/>
          <w:lang w:val="es-MX"/>
        </w:rPr>
      </w:pPr>
    </w:p>
    <w:p w:rsidR="000813C5" w:rsidRPr="000D785A" w:rsidRDefault="000813C5" w:rsidP="000813C5">
      <w:pPr>
        <w:pStyle w:val="Sinespaciado"/>
        <w:jc w:val="center"/>
        <w:rPr>
          <w:rFonts w:ascii="Times New Roman" w:hAnsi="Times New Roman" w:cs="Times New Roman"/>
          <w:b/>
          <w:lang w:val="es-MX"/>
        </w:rPr>
      </w:pPr>
      <w:r w:rsidRPr="000D785A">
        <w:rPr>
          <w:rFonts w:ascii="Times New Roman" w:hAnsi="Times New Roman" w:cs="Times New Roman"/>
          <w:b/>
          <w:lang w:val="es-MX"/>
        </w:rPr>
        <w:t>Grado de Ejecución Presupuestaria</w:t>
      </w:r>
    </w:p>
    <w:p w:rsidR="000813C5" w:rsidRPr="000D785A" w:rsidRDefault="000813C5" w:rsidP="000813C5">
      <w:pPr>
        <w:pStyle w:val="Sinespaciado"/>
        <w:jc w:val="center"/>
        <w:rPr>
          <w:rFonts w:ascii="Times New Roman" w:hAnsi="Times New Roman" w:cs="Times New Roman"/>
          <w:sz w:val="18"/>
          <w:lang w:val="es-MX"/>
        </w:rPr>
      </w:pPr>
      <w:r w:rsidRPr="000D785A">
        <w:rPr>
          <w:rFonts w:ascii="Times New Roman" w:hAnsi="Times New Roman" w:cs="Times New Roman"/>
          <w:sz w:val="18"/>
          <w:lang w:val="es-MX"/>
        </w:rPr>
        <w:t>Al 30 de abril de cada año</w:t>
      </w:r>
    </w:p>
    <w:p w:rsidR="000813C5" w:rsidRDefault="000813C5" w:rsidP="000813C5">
      <w:pPr>
        <w:pStyle w:val="Sinespaciado"/>
        <w:jc w:val="both"/>
        <w:rPr>
          <w:rFonts w:ascii="Times New Roman" w:hAnsi="Times New Roman" w:cs="Times New Roman"/>
          <w:lang w:val="es-MX"/>
        </w:rPr>
      </w:pPr>
      <w:r>
        <w:rPr>
          <w:rFonts w:ascii="Times New Roman" w:hAnsi="Times New Roman" w:cs="Times New Roman"/>
          <w:noProof/>
          <w:lang w:eastAsia="es-GT"/>
        </w:rPr>
        <w:drawing>
          <wp:inline distT="0" distB="0" distL="0" distR="0" wp14:anchorId="736B9B59" wp14:editId="02338B17">
            <wp:extent cx="2683565" cy="2126974"/>
            <wp:effectExtent l="0" t="0" r="2540" b="698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91707" cy="2133427"/>
                    </a:xfrm>
                    <a:prstGeom prst="rect">
                      <a:avLst/>
                    </a:prstGeom>
                    <a:noFill/>
                  </pic:spPr>
                </pic:pic>
              </a:graphicData>
            </a:graphic>
          </wp:inline>
        </w:drawing>
      </w:r>
    </w:p>
    <w:p w:rsidR="000813C5" w:rsidRDefault="000813C5" w:rsidP="000813C5">
      <w:pPr>
        <w:pStyle w:val="Sinespaciado"/>
        <w:jc w:val="both"/>
        <w:rPr>
          <w:rFonts w:ascii="Times New Roman" w:hAnsi="Times New Roman" w:cs="Times New Roman"/>
          <w:sz w:val="16"/>
        </w:rPr>
      </w:pPr>
      <w:r>
        <w:rPr>
          <w:rFonts w:ascii="Times New Roman" w:hAnsi="Times New Roman" w:cs="Times New Roman"/>
          <w:sz w:val="16"/>
        </w:rPr>
        <w:t xml:space="preserve">Fuente: </w:t>
      </w:r>
      <w:r w:rsidRPr="006F1F3C">
        <w:rPr>
          <w:rFonts w:ascii="Times New Roman" w:hAnsi="Times New Roman" w:cs="Times New Roman"/>
          <w:sz w:val="16"/>
        </w:rPr>
        <w:t xml:space="preserve">Dirección de Análisis </w:t>
      </w:r>
      <w:r>
        <w:rPr>
          <w:rFonts w:ascii="Times New Roman" w:hAnsi="Times New Roman" w:cs="Times New Roman"/>
          <w:sz w:val="16"/>
        </w:rPr>
        <w:t>y Política fiscal</w:t>
      </w:r>
    </w:p>
    <w:p w:rsidR="000813C5" w:rsidRPr="000D785A" w:rsidRDefault="000813C5" w:rsidP="000813C5">
      <w:pPr>
        <w:pStyle w:val="Sinespaciado"/>
        <w:jc w:val="both"/>
        <w:rPr>
          <w:rFonts w:ascii="Times New Roman" w:hAnsi="Times New Roman" w:cs="Times New Roman"/>
        </w:rPr>
      </w:pPr>
    </w:p>
    <w:p w:rsidR="000813C5" w:rsidRDefault="000813C5" w:rsidP="000813C5">
      <w:pPr>
        <w:pStyle w:val="Sinespaciado"/>
        <w:jc w:val="both"/>
        <w:rPr>
          <w:rFonts w:ascii="Times New Roman" w:hAnsi="Times New Roman" w:cs="Times New Roman"/>
          <w:lang w:val="es-MX"/>
        </w:rPr>
      </w:pPr>
    </w:p>
    <w:p w:rsidR="000813C5" w:rsidRDefault="000813C5" w:rsidP="000813C5">
      <w:pPr>
        <w:pStyle w:val="Sinespaciado"/>
        <w:jc w:val="both"/>
        <w:rPr>
          <w:rFonts w:ascii="Times New Roman" w:hAnsi="Times New Roman" w:cs="Times New Roman"/>
          <w:lang w:val="es-MX"/>
        </w:rPr>
      </w:pPr>
      <w:r>
        <w:rPr>
          <w:rFonts w:ascii="Times New Roman" w:hAnsi="Times New Roman" w:cs="Times New Roman"/>
          <w:lang w:val="es-MX"/>
        </w:rPr>
        <w:t>El principal aumento en la ejecución interanual de 2017 se da en el rubro de las transferencias corrientes y de capital  al sector público, las cuales aumentan en conjunto Q</w:t>
      </w:r>
      <w:r w:rsidR="00D119D8">
        <w:rPr>
          <w:rFonts w:ascii="Times New Roman" w:hAnsi="Times New Roman" w:cs="Times New Roman"/>
          <w:lang w:val="es-MX"/>
        </w:rPr>
        <w:t xml:space="preserve"> </w:t>
      </w:r>
      <w:r>
        <w:rPr>
          <w:rFonts w:ascii="Times New Roman" w:hAnsi="Times New Roman" w:cs="Times New Roman"/>
          <w:lang w:val="es-MX"/>
        </w:rPr>
        <w:t>1,141.6 millones.  En el caso de los aportes corrientes  está fundamentado principalmente por el aumento en los aportes a las entidades de justicias, la Universidad de San Carlos y en el caso de los aportes de capital a las municipalidades, Consejos de Desarrollo y el aporte al FIDEMUNI, entre otros.</w:t>
      </w:r>
    </w:p>
    <w:p w:rsidR="000813C5" w:rsidRDefault="000813C5" w:rsidP="000813C5">
      <w:pPr>
        <w:pStyle w:val="Sinespaciado"/>
        <w:jc w:val="both"/>
        <w:rPr>
          <w:rFonts w:ascii="Times New Roman" w:hAnsi="Times New Roman" w:cs="Times New Roman"/>
          <w:lang w:val="es-MX"/>
        </w:rPr>
      </w:pPr>
    </w:p>
    <w:p w:rsidR="000813C5" w:rsidRDefault="000813C5" w:rsidP="000813C5">
      <w:pPr>
        <w:pStyle w:val="Sinespaciado"/>
        <w:jc w:val="both"/>
        <w:rPr>
          <w:rFonts w:ascii="Times New Roman" w:hAnsi="Times New Roman" w:cs="Times New Roman"/>
          <w:lang w:val="es-MX"/>
        </w:rPr>
      </w:pPr>
      <w:r>
        <w:rPr>
          <w:rFonts w:ascii="Times New Roman" w:hAnsi="Times New Roman" w:cs="Times New Roman"/>
          <w:lang w:val="es-MX"/>
        </w:rPr>
        <w:t>Asimismo, las remuneraciones muestran un aumento interanual de Q</w:t>
      </w:r>
      <w:r w:rsidR="00D119D8">
        <w:rPr>
          <w:rFonts w:ascii="Times New Roman" w:hAnsi="Times New Roman" w:cs="Times New Roman"/>
          <w:lang w:val="es-MX"/>
        </w:rPr>
        <w:t xml:space="preserve"> </w:t>
      </w:r>
      <w:r>
        <w:rPr>
          <w:rFonts w:ascii="Times New Roman" w:hAnsi="Times New Roman" w:cs="Times New Roman"/>
          <w:lang w:val="es-MX"/>
        </w:rPr>
        <w:t xml:space="preserve">236.9 millones, </w:t>
      </w:r>
      <w:proofErr w:type="gramStart"/>
      <w:r>
        <w:rPr>
          <w:rFonts w:ascii="Times New Roman" w:hAnsi="Times New Roman" w:cs="Times New Roman"/>
          <w:lang w:val="es-MX"/>
        </w:rPr>
        <w:t>motivado</w:t>
      </w:r>
      <w:proofErr w:type="gramEnd"/>
      <w:r>
        <w:rPr>
          <w:rFonts w:ascii="Times New Roman" w:hAnsi="Times New Roman" w:cs="Times New Roman"/>
          <w:lang w:val="es-MX"/>
        </w:rPr>
        <w:t xml:space="preserve"> principalmente por un ajuste salarial </w:t>
      </w:r>
      <w:r>
        <w:rPr>
          <w:rFonts w:ascii="Times New Roman" w:hAnsi="Times New Roman" w:cs="Times New Roman"/>
          <w:lang w:val="es-MX"/>
        </w:rPr>
        <w:lastRenderedPageBreak/>
        <w:t>y un aumento de personal efectuado en el Ministerio de Gobernación.  El otro rubro que mostró un aumento en la ejecución fueron las prestaciones a la seguridad social (pensiones y jubilaciones) derivadas del incremento que estas tuvieron a partir de mayo de 2016 (</w:t>
      </w:r>
      <w:proofErr w:type="spellStart"/>
      <w:r>
        <w:rPr>
          <w:rFonts w:ascii="Times New Roman" w:hAnsi="Times New Roman" w:cs="Times New Roman"/>
          <w:lang w:val="es-MX"/>
        </w:rPr>
        <w:t>Q500.0</w:t>
      </w:r>
      <w:proofErr w:type="spellEnd"/>
      <w:r>
        <w:rPr>
          <w:rFonts w:ascii="Times New Roman" w:hAnsi="Times New Roman" w:cs="Times New Roman"/>
          <w:lang w:val="es-MX"/>
        </w:rPr>
        <w:t xml:space="preserve"> mensuales), principalmente a los pensionados que tienen aportes menores al salario mínimo.</w:t>
      </w:r>
    </w:p>
    <w:p w:rsidR="000813C5" w:rsidRDefault="000813C5" w:rsidP="000813C5">
      <w:pPr>
        <w:pStyle w:val="Sinespaciado"/>
        <w:jc w:val="both"/>
        <w:rPr>
          <w:rFonts w:ascii="Times New Roman" w:hAnsi="Times New Roman" w:cs="Times New Roman"/>
          <w:lang w:val="es-MX"/>
        </w:rPr>
      </w:pPr>
    </w:p>
    <w:p w:rsidR="000813C5" w:rsidRDefault="000813C5" w:rsidP="000813C5">
      <w:pPr>
        <w:pStyle w:val="Sinespaciado"/>
        <w:jc w:val="both"/>
        <w:rPr>
          <w:rFonts w:ascii="Times New Roman" w:hAnsi="Times New Roman" w:cs="Times New Roman"/>
          <w:lang w:val="es-MX"/>
        </w:rPr>
      </w:pPr>
      <w:r>
        <w:rPr>
          <w:rFonts w:ascii="Times New Roman" w:hAnsi="Times New Roman" w:cs="Times New Roman"/>
          <w:lang w:val="es-MX"/>
        </w:rPr>
        <w:t>La inversión real directa, si bien muestra una ejecución por encima de lo observado a abril de 2016, en términos de su presupuesto se ha ejecutado el 4.6%.</w:t>
      </w:r>
    </w:p>
    <w:p w:rsidR="000813C5" w:rsidRDefault="000813C5" w:rsidP="000813C5">
      <w:pPr>
        <w:pStyle w:val="Sinespaciado"/>
        <w:jc w:val="both"/>
        <w:rPr>
          <w:rFonts w:ascii="Times New Roman" w:hAnsi="Times New Roman" w:cs="Times New Roman"/>
          <w:lang w:val="es-MX"/>
        </w:rPr>
      </w:pPr>
      <w:r>
        <w:rPr>
          <w:rFonts w:ascii="Times New Roman" w:hAnsi="Times New Roman" w:cs="Times New Roman"/>
          <w:lang w:val="es-MX"/>
        </w:rPr>
        <w:t xml:space="preserve"> </w:t>
      </w:r>
    </w:p>
    <w:p w:rsidR="000813C5" w:rsidRDefault="000813C5" w:rsidP="000813C5">
      <w:pPr>
        <w:pStyle w:val="Sinespaciado"/>
        <w:jc w:val="both"/>
        <w:rPr>
          <w:rFonts w:ascii="Times New Roman" w:hAnsi="Times New Roman" w:cs="Times New Roman"/>
          <w:lang w:val="es-MX"/>
        </w:rPr>
      </w:pPr>
      <w:r>
        <w:rPr>
          <w:rFonts w:ascii="Times New Roman" w:hAnsi="Times New Roman" w:cs="Times New Roman"/>
          <w:lang w:val="es-MX"/>
        </w:rPr>
        <w:t>Por otro lado, el rubro de gasto con una ejecución menor a la experimentada en 2016, son los bienes y servicios (menor en Q</w:t>
      </w:r>
      <w:r w:rsidR="00D119D8">
        <w:rPr>
          <w:rFonts w:ascii="Times New Roman" w:hAnsi="Times New Roman" w:cs="Times New Roman"/>
          <w:lang w:val="es-MX"/>
        </w:rPr>
        <w:t xml:space="preserve"> </w:t>
      </w:r>
      <w:r>
        <w:rPr>
          <w:rFonts w:ascii="Times New Roman" w:hAnsi="Times New Roman" w:cs="Times New Roman"/>
          <w:lang w:val="es-MX"/>
        </w:rPr>
        <w:t xml:space="preserve">450.9 millones)  principalmente asociado a la baja ejecución en ministerios como educación, salud, gobernación,  comunicaciones, entre otros.   </w:t>
      </w:r>
    </w:p>
    <w:p w:rsidR="000813C5" w:rsidRDefault="000813C5" w:rsidP="000813C5">
      <w:pPr>
        <w:pStyle w:val="Sinespaciado"/>
        <w:jc w:val="both"/>
        <w:rPr>
          <w:rFonts w:ascii="Times New Roman" w:hAnsi="Times New Roman" w:cs="Times New Roman"/>
          <w:lang w:val="es-MX"/>
        </w:rPr>
      </w:pPr>
    </w:p>
    <w:p w:rsidR="000813C5" w:rsidRPr="009D459C" w:rsidRDefault="000813C5" w:rsidP="000813C5">
      <w:pPr>
        <w:pStyle w:val="Sinespaciado"/>
        <w:jc w:val="center"/>
        <w:rPr>
          <w:rFonts w:ascii="Times New Roman" w:hAnsi="Times New Roman" w:cs="Times New Roman"/>
          <w:b/>
          <w:lang w:val="es-MX"/>
        </w:rPr>
      </w:pPr>
      <w:r>
        <w:rPr>
          <w:rFonts w:ascii="Times New Roman" w:hAnsi="Times New Roman" w:cs="Times New Roman"/>
          <w:b/>
          <w:lang w:val="es-MX"/>
        </w:rPr>
        <w:t>Rubros de Cuenta Económica</w:t>
      </w:r>
    </w:p>
    <w:p w:rsidR="000813C5" w:rsidRDefault="000813C5" w:rsidP="000813C5">
      <w:pPr>
        <w:pStyle w:val="Sinespaciado"/>
        <w:jc w:val="both"/>
        <w:rPr>
          <w:rFonts w:ascii="Times New Roman" w:hAnsi="Times New Roman" w:cs="Times New Roman"/>
          <w:lang w:val="es-MX"/>
        </w:rPr>
      </w:pPr>
      <w:r>
        <w:rPr>
          <w:rFonts w:ascii="Times New Roman" w:hAnsi="Times New Roman" w:cs="Times New Roman"/>
          <w:noProof/>
          <w:lang w:eastAsia="es-GT"/>
        </w:rPr>
        <w:drawing>
          <wp:inline distT="0" distB="0" distL="0" distR="0" wp14:anchorId="0E6B9819" wp14:editId="50B6A70A">
            <wp:extent cx="2703444" cy="2186609"/>
            <wp:effectExtent l="0" t="0" r="1905" b="444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04433" cy="2187409"/>
                    </a:xfrm>
                    <a:prstGeom prst="rect">
                      <a:avLst/>
                    </a:prstGeom>
                    <a:noFill/>
                  </pic:spPr>
                </pic:pic>
              </a:graphicData>
            </a:graphic>
          </wp:inline>
        </w:drawing>
      </w:r>
    </w:p>
    <w:p w:rsidR="000813C5" w:rsidRDefault="000813C5" w:rsidP="000813C5">
      <w:pPr>
        <w:pStyle w:val="Sinespaciado"/>
        <w:jc w:val="both"/>
        <w:rPr>
          <w:rFonts w:ascii="Times New Roman" w:hAnsi="Times New Roman" w:cs="Times New Roman"/>
          <w:sz w:val="16"/>
        </w:rPr>
      </w:pPr>
      <w:r>
        <w:rPr>
          <w:rFonts w:ascii="Times New Roman" w:hAnsi="Times New Roman" w:cs="Times New Roman"/>
          <w:sz w:val="16"/>
        </w:rPr>
        <w:t xml:space="preserve">Fuente: </w:t>
      </w:r>
      <w:r w:rsidRPr="006F1F3C">
        <w:rPr>
          <w:rFonts w:ascii="Times New Roman" w:hAnsi="Times New Roman" w:cs="Times New Roman"/>
          <w:sz w:val="16"/>
        </w:rPr>
        <w:t xml:space="preserve">Dirección de Análisis </w:t>
      </w:r>
      <w:r>
        <w:rPr>
          <w:rFonts w:ascii="Times New Roman" w:hAnsi="Times New Roman" w:cs="Times New Roman"/>
          <w:sz w:val="16"/>
        </w:rPr>
        <w:t>y Política fiscal</w:t>
      </w:r>
    </w:p>
    <w:p w:rsidR="000813C5" w:rsidRPr="005531F6" w:rsidRDefault="000813C5" w:rsidP="000813C5">
      <w:pPr>
        <w:pStyle w:val="Sinespaciado"/>
        <w:jc w:val="both"/>
        <w:rPr>
          <w:rFonts w:ascii="Times New Roman" w:hAnsi="Times New Roman" w:cs="Times New Roman"/>
        </w:rPr>
      </w:pPr>
    </w:p>
    <w:p w:rsidR="000813C5" w:rsidRDefault="000813C5" w:rsidP="000813C5">
      <w:pPr>
        <w:pStyle w:val="Sinespaciado"/>
        <w:jc w:val="both"/>
        <w:rPr>
          <w:rFonts w:ascii="Times New Roman" w:hAnsi="Times New Roman" w:cs="Times New Roman"/>
          <w:lang w:val="es-MX"/>
        </w:rPr>
      </w:pPr>
      <w:r>
        <w:rPr>
          <w:rFonts w:ascii="Times New Roman" w:hAnsi="Times New Roman" w:cs="Times New Roman"/>
          <w:lang w:val="es-MX"/>
        </w:rPr>
        <w:t>El gasto social realizado en los sectores de educación, salud y vivienda se ubica al cierre de abril de 2017 en Q</w:t>
      </w:r>
      <w:r w:rsidR="00D119D8">
        <w:rPr>
          <w:rFonts w:ascii="Times New Roman" w:hAnsi="Times New Roman" w:cs="Times New Roman"/>
          <w:lang w:val="es-MX"/>
        </w:rPr>
        <w:t xml:space="preserve"> </w:t>
      </w:r>
      <w:r>
        <w:rPr>
          <w:rFonts w:ascii="Times New Roman" w:hAnsi="Times New Roman" w:cs="Times New Roman"/>
          <w:lang w:val="es-MX"/>
        </w:rPr>
        <w:t xml:space="preserve">7,220.5 millones, que representa un grado de ejecución presupuestaria de 24.6%, este nivel, como se observa está por debajo de la ejecución </w:t>
      </w:r>
      <w:r>
        <w:rPr>
          <w:rFonts w:ascii="Times New Roman" w:hAnsi="Times New Roman" w:cs="Times New Roman"/>
          <w:lang w:val="es-MX"/>
        </w:rPr>
        <w:lastRenderedPageBreak/>
        <w:t>institucional (26.0%) debido a que el sector salud y asistencia social lleva a la fecha una baja ejecución no así los otros sectores que muestran porcentajes de ejecución por arriba del 28%.</w:t>
      </w:r>
    </w:p>
    <w:p w:rsidR="000813C5" w:rsidRDefault="000813C5" w:rsidP="000813C5">
      <w:pPr>
        <w:pStyle w:val="Sinespaciado"/>
        <w:jc w:val="both"/>
        <w:rPr>
          <w:rFonts w:ascii="Times New Roman" w:hAnsi="Times New Roman" w:cs="Times New Roman"/>
          <w:lang w:val="es-MX"/>
        </w:rPr>
      </w:pPr>
    </w:p>
    <w:p w:rsidR="000813C5" w:rsidRDefault="000813C5" w:rsidP="000813C5">
      <w:pPr>
        <w:pStyle w:val="Sinespaciado"/>
        <w:jc w:val="both"/>
        <w:rPr>
          <w:rFonts w:ascii="Times New Roman" w:hAnsi="Times New Roman" w:cs="Times New Roman"/>
          <w:lang w:val="es-MX"/>
        </w:rPr>
      </w:pPr>
      <w:r>
        <w:rPr>
          <w:rFonts w:ascii="Times New Roman" w:hAnsi="Times New Roman" w:cs="Times New Roman"/>
          <w:lang w:val="es-MX"/>
        </w:rPr>
        <w:t>Al observar el gasto de los Acuerdos de Paz (gasto social más gasto en seguridad ciudadana y entidades de justicia) el gasto aumenta a Q</w:t>
      </w:r>
      <w:r w:rsidR="00D119D8">
        <w:rPr>
          <w:rFonts w:ascii="Times New Roman" w:hAnsi="Times New Roman" w:cs="Times New Roman"/>
          <w:lang w:val="es-MX"/>
        </w:rPr>
        <w:t xml:space="preserve"> </w:t>
      </w:r>
      <w:r>
        <w:rPr>
          <w:rFonts w:ascii="Times New Roman" w:hAnsi="Times New Roman" w:cs="Times New Roman"/>
          <w:lang w:val="es-MX"/>
        </w:rPr>
        <w:t>9,816.4 millones, con un grado de ejecución de 25.0%, lo que resalta es el aporte a las entidades como el Ministerio Público, Organismo Judicial y la Corte de Constitucionalidad que muestran altos grados de ejecución, mientras que el sector de  seguridad interna se encuentra rezagado en la ejecución.</w:t>
      </w:r>
    </w:p>
    <w:p w:rsidR="000813C5" w:rsidRDefault="000813C5" w:rsidP="000813C5">
      <w:pPr>
        <w:pStyle w:val="Sinespaciado"/>
        <w:jc w:val="both"/>
        <w:rPr>
          <w:rFonts w:ascii="Times New Roman" w:hAnsi="Times New Roman" w:cs="Times New Roman"/>
          <w:lang w:val="es-MX"/>
        </w:rPr>
      </w:pPr>
      <w:r>
        <w:rPr>
          <w:rFonts w:ascii="Times New Roman" w:hAnsi="Times New Roman" w:cs="Times New Roman"/>
          <w:lang w:val="es-MX"/>
        </w:rPr>
        <w:t xml:space="preserve"> </w:t>
      </w:r>
    </w:p>
    <w:p w:rsidR="000813C5" w:rsidRPr="005531F6" w:rsidRDefault="000813C5" w:rsidP="000813C5">
      <w:pPr>
        <w:pStyle w:val="Sinespaciado"/>
        <w:jc w:val="center"/>
        <w:rPr>
          <w:rFonts w:ascii="Times New Roman" w:hAnsi="Times New Roman" w:cs="Times New Roman"/>
          <w:b/>
          <w:lang w:val="es-MX"/>
        </w:rPr>
      </w:pPr>
      <w:r w:rsidRPr="005531F6">
        <w:rPr>
          <w:rFonts w:ascii="Times New Roman" w:hAnsi="Times New Roman" w:cs="Times New Roman"/>
          <w:b/>
          <w:lang w:val="es-MX"/>
        </w:rPr>
        <w:t>Gasto de los Acuerdos de Paz</w:t>
      </w:r>
    </w:p>
    <w:p w:rsidR="000813C5" w:rsidRPr="005531F6" w:rsidRDefault="000813C5" w:rsidP="000813C5">
      <w:pPr>
        <w:pStyle w:val="Sinespaciado"/>
        <w:jc w:val="center"/>
        <w:rPr>
          <w:rFonts w:ascii="Times New Roman" w:hAnsi="Times New Roman" w:cs="Times New Roman"/>
          <w:b/>
          <w:sz w:val="20"/>
          <w:lang w:val="es-MX"/>
        </w:rPr>
      </w:pPr>
      <w:r w:rsidRPr="005531F6">
        <w:rPr>
          <w:rFonts w:ascii="Times New Roman" w:hAnsi="Times New Roman" w:cs="Times New Roman"/>
          <w:b/>
          <w:sz w:val="20"/>
          <w:lang w:val="es-MX"/>
        </w:rPr>
        <w:t>Presupuesto y Ejecución 2017</w:t>
      </w:r>
    </w:p>
    <w:p w:rsidR="000813C5" w:rsidRPr="005531F6" w:rsidRDefault="000813C5" w:rsidP="000813C5">
      <w:pPr>
        <w:pStyle w:val="Sinespaciado"/>
        <w:jc w:val="center"/>
        <w:rPr>
          <w:rFonts w:ascii="Times New Roman" w:hAnsi="Times New Roman" w:cs="Times New Roman"/>
          <w:b/>
          <w:sz w:val="20"/>
          <w:lang w:val="es-MX"/>
        </w:rPr>
      </w:pPr>
      <w:r w:rsidRPr="005531F6">
        <w:rPr>
          <w:rFonts w:ascii="Times New Roman" w:hAnsi="Times New Roman" w:cs="Times New Roman"/>
          <w:b/>
          <w:sz w:val="20"/>
          <w:lang w:val="es-MX"/>
        </w:rPr>
        <w:t>-Millones de quetzales-</w:t>
      </w:r>
    </w:p>
    <w:p w:rsidR="000813C5" w:rsidRDefault="000813C5" w:rsidP="000813C5">
      <w:pPr>
        <w:pStyle w:val="Sinespaciado"/>
        <w:jc w:val="both"/>
        <w:rPr>
          <w:rFonts w:ascii="Times New Roman" w:hAnsi="Times New Roman" w:cs="Times New Roman"/>
          <w:sz w:val="16"/>
        </w:rPr>
      </w:pPr>
      <w:r w:rsidRPr="00014BCF">
        <w:rPr>
          <w:noProof/>
          <w:lang w:eastAsia="es-GT"/>
        </w:rPr>
        <w:drawing>
          <wp:inline distT="0" distB="0" distL="0" distR="0" wp14:anchorId="0A32FEB5" wp14:editId="61621196">
            <wp:extent cx="2581093" cy="1620078"/>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81275" cy="1620192"/>
                    </a:xfrm>
                    <a:prstGeom prst="rect">
                      <a:avLst/>
                    </a:prstGeom>
                    <a:noFill/>
                    <a:ln>
                      <a:noFill/>
                    </a:ln>
                  </pic:spPr>
                </pic:pic>
              </a:graphicData>
            </a:graphic>
          </wp:inline>
        </w:drawing>
      </w:r>
      <w:r>
        <w:rPr>
          <w:rFonts w:ascii="Times New Roman" w:hAnsi="Times New Roman" w:cs="Times New Roman"/>
          <w:lang w:val="es-MX"/>
        </w:rPr>
        <w:t xml:space="preserve"> </w:t>
      </w:r>
      <w:r>
        <w:rPr>
          <w:rFonts w:ascii="Times New Roman" w:hAnsi="Times New Roman" w:cs="Times New Roman"/>
          <w:sz w:val="16"/>
        </w:rPr>
        <w:t xml:space="preserve">Fuente: </w:t>
      </w:r>
      <w:r w:rsidRPr="006F1F3C">
        <w:rPr>
          <w:rFonts w:ascii="Times New Roman" w:hAnsi="Times New Roman" w:cs="Times New Roman"/>
          <w:sz w:val="16"/>
        </w:rPr>
        <w:t xml:space="preserve">Dirección de Análisis </w:t>
      </w:r>
      <w:r>
        <w:rPr>
          <w:rFonts w:ascii="Times New Roman" w:hAnsi="Times New Roman" w:cs="Times New Roman"/>
          <w:sz w:val="16"/>
        </w:rPr>
        <w:t>y Política fiscal</w:t>
      </w:r>
    </w:p>
    <w:p w:rsidR="000813C5" w:rsidRDefault="000813C5" w:rsidP="000813C5">
      <w:pPr>
        <w:pStyle w:val="Sinespaciado"/>
        <w:jc w:val="both"/>
        <w:rPr>
          <w:rFonts w:ascii="Times New Roman" w:hAnsi="Times New Roman" w:cs="Times New Roman"/>
        </w:rPr>
      </w:pPr>
    </w:p>
    <w:p w:rsidR="00804E1C" w:rsidRPr="000813C5" w:rsidRDefault="000813C5" w:rsidP="00343A5D">
      <w:pPr>
        <w:pStyle w:val="Sinespaciado"/>
        <w:jc w:val="both"/>
        <w:rPr>
          <w:rFonts w:ascii="Times New Roman" w:hAnsi="Times New Roman" w:cs="Times New Roman"/>
          <w:color w:val="FF0000"/>
          <w:sz w:val="18"/>
          <w:szCs w:val="18"/>
          <w:lang w:val="es-MX"/>
        </w:rPr>
      </w:pPr>
      <w:r>
        <w:rPr>
          <w:rFonts w:ascii="Times New Roman" w:hAnsi="Times New Roman" w:cs="Times New Roman"/>
        </w:rPr>
        <w:t>La ejecución de gasto incluyendo las amortizaciones de la deuda pública, al 30 de abril de 2017, se ubicó en Q</w:t>
      </w:r>
      <w:r w:rsidR="00D119D8">
        <w:rPr>
          <w:rFonts w:ascii="Times New Roman" w:hAnsi="Times New Roman" w:cs="Times New Roman"/>
        </w:rPr>
        <w:t xml:space="preserve"> </w:t>
      </w:r>
      <w:r>
        <w:rPr>
          <w:rFonts w:ascii="Times New Roman" w:hAnsi="Times New Roman" w:cs="Times New Roman"/>
        </w:rPr>
        <w:t>20,131.1 millones, la cual representa un crecimiento interanual de 8.1%.  Del total ejecutado el 36% corresponde a las Obligaciones del Estado a Cargo del Tesoro (que incluye los aportes institucionales y el pago a las clases pasivas del Estado).  Asimismo, el 34% corresponde a gastos realizados por los ministerios de educación, salud y gobernación; el 18% está determinado por el servicio de la deuda pública y 12% por el resto de entidades de gobierno.</w:t>
      </w:r>
    </w:p>
    <w:p w:rsidR="00804E1C" w:rsidRPr="000813C5" w:rsidRDefault="00804E1C" w:rsidP="007C0C8C">
      <w:pPr>
        <w:pStyle w:val="Sinespaciado"/>
        <w:jc w:val="both"/>
        <w:rPr>
          <w:rFonts w:ascii="Times New Roman" w:hAnsi="Times New Roman" w:cs="Times New Roman"/>
          <w:color w:val="FF0000"/>
          <w:lang w:val="es-MX"/>
        </w:rPr>
        <w:sectPr w:rsidR="00804E1C" w:rsidRPr="000813C5" w:rsidSect="00374D44">
          <w:headerReference w:type="default" r:id="rId24"/>
          <w:footerReference w:type="default" r:id="rId25"/>
          <w:type w:val="continuous"/>
          <w:pgSz w:w="12240" w:h="15840" w:code="1"/>
          <w:pgMar w:top="1418" w:right="1418" w:bottom="1418" w:left="1701" w:header="709" w:footer="709" w:gutter="0"/>
          <w:cols w:num="2" w:space="708"/>
          <w:docGrid w:linePitch="360"/>
        </w:sectPr>
      </w:pPr>
    </w:p>
    <w:p w:rsidR="00DD23C0" w:rsidRPr="000813C5" w:rsidRDefault="00DD23C0" w:rsidP="00BC7539">
      <w:pPr>
        <w:pStyle w:val="Sinespaciado"/>
        <w:jc w:val="both"/>
        <w:rPr>
          <w:rFonts w:ascii="Times New Roman" w:hAnsi="Times New Roman" w:cs="Times New Roman"/>
          <w:color w:val="FF0000"/>
          <w:lang w:val="es-MX"/>
        </w:rPr>
      </w:pPr>
    </w:p>
    <w:p w:rsidR="00F76491" w:rsidRPr="00A9153A" w:rsidRDefault="00A9153A" w:rsidP="004F72F9">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sectPr w:rsidR="00F76491" w:rsidRPr="00A9153A" w:rsidSect="00FA3B81">
          <w:type w:val="continuous"/>
          <w:pgSz w:w="12240" w:h="15840" w:code="1"/>
          <w:pgMar w:top="1418" w:right="1418" w:bottom="1418" w:left="1418" w:header="709" w:footer="709" w:gutter="0"/>
          <w:cols w:space="708"/>
          <w:docGrid w:linePitch="360"/>
        </w:sectPr>
      </w:pPr>
      <w:r w:rsidRPr="00A9153A">
        <w:rPr>
          <w:rFonts w:ascii="Times New Roman" w:hAnsi="Times New Roman" w:cs="Times New Roman"/>
          <w:b/>
          <w:lang w:val="es-MX"/>
        </w:rPr>
        <w:t>Colocación de Bonos del Tesoro se adjudica a buen ritmo</w:t>
      </w:r>
    </w:p>
    <w:p w:rsidR="00F76491" w:rsidRPr="000813C5" w:rsidRDefault="00F76491" w:rsidP="00F76491">
      <w:pPr>
        <w:pStyle w:val="Sinespaciado"/>
        <w:rPr>
          <w:rFonts w:ascii="Times New Roman" w:hAnsi="Times New Roman" w:cs="Times New Roman"/>
          <w:b/>
          <w:color w:val="FF0000"/>
          <w:sz w:val="24"/>
          <w:lang w:val="es-MX"/>
        </w:rPr>
      </w:pPr>
    </w:p>
    <w:p w:rsidR="00F76491" w:rsidRPr="000813C5" w:rsidRDefault="00F76491" w:rsidP="00F76491">
      <w:pPr>
        <w:pStyle w:val="Sinespaciado"/>
        <w:rPr>
          <w:rFonts w:ascii="Times New Roman" w:hAnsi="Times New Roman" w:cs="Times New Roman"/>
          <w:b/>
          <w:color w:val="FF0000"/>
          <w:lang w:val="es-MX"/>
        </w:rPr>
        <w:sectPr w:rsidR="00F76491" w:rsidRPr="000813C5" w:rsidSect="004E358C">
          <w:type w:val="continuous"/>
          <w:pgSz w:w="12240" w:h="15840"/>
          <w:pgMar w:top="1417" w:right="1701" w:bottom="1417" w:left="1701" w:header="708" w:footer="708" w:gutter="0"/>
          <w:cols w:space="708"/>
          <w:docGrid w:linePitch="360"/>
        </w:sectPr>
      </w:pPr>
    </w:p>
    <w:p w:rsidR="00A9153A" w:rsidRDefault="00A9153A" w:rsidP="00A9153A">
      <w:pPr>
        <w:pStyle w:val="Sinespaciado"/>
        <w:jc w:val="both"/>
        <w:rPr>
          <w:rFonts w:ascii="Times New Roman" w:hAnsi="Times New Roman" w:cs="Times New Roman"/>
        </w:rPr>
      </w:pPr>
      <w:r>
        <w:rPr>
          <w:rFonts w:ascii="Times New Roman" w:hAnsi="Times New Roman" w:cs="Times New Roman"/>
        </w:rPr>
        <w:lastRenderedPageBreak/>
        <w:t>En cuanto al financiamiento del déficit de presupuesto, al cierre de abril 2017 se obtuvo un flujo negativo en el endeudamiento externo neto por el equivalente a Q</w:t>
      </w:r>
      <w:r w:rsidR="00D119D8">
        <w:rPr>
          <w:rFonts w:ascii="Times New Roman" w:hAnsi="Times New Roman" w:cs="Times New Roman"/>
        </w:rPr>
        <w:t xml:space="preserve"> </w:t>
      </w:r>
      <w:r>
        <w:rPr>
          <w:rFonts w:ascii="Times New Roman" w:hAnsi="Times New Roman" w:cs="Times New Roman"/>
        </w:rPr>
        <w:t>1,143.0 millones, debido a que a la fecha indicada solo se han recibido desembolsos por Q</w:t>
      </w:r>
      <w:r w:rsidR="00D119D8">
        <w:rPr>
          <w:rFonts w:ascii="Times New Roman" w:hAnsi="Times New Roman" w:cs="Times New Roman"/>
        </w:rPr>
        <w:t xml:space="preserve"> </w:t>
      </w:r>
      <w:r>
        <w:rPr>
          <w:rFonts w:ascii="Times New Roman" w:hAnsi="Times New Roman" w:cs="Times New Roman"/>
        </w:rPr>
        <w:t xml:space="preserve">19.9. </w:t>
      </w:r>
    </w:p>
    <w:p w:rsidR="00A9153A" w:rsidRDefault="00A9153A" w:rsidP="00A9153A">
      <w:pPr>
        <w:pStyle w:val="Sinespaciado"/>
        <w:jc w:val="both"/>
        <w:rPr>
          <w:rFonts w:ascii="Times New Roman" w:hAnsi="Times New Roman" w:cs="Times New Roman"/>
        </w:rPr>
      </w:pPr>
      <w:r>
        <w:rPr>
          <w:rFonts w:ascii="Times New Roman" w:hAnsi="Times New Roman" w:cs="Times New Roman"/>
        </w:rPr>
        <w:t xml:space="preserve"> </w:t>
      </w:r>
    </w:p>
    <w:p w:rsidR="00A9153A" w:rsidRDefault="00A9153A" w:rsidP="00A9153A">
      <w:pPr>
        <w:pStyle w:val="Sinespaciado"/>
        <w:jc w:val="both"/>
        <w:rPr>
          <w:rFonts w:ascii="Times New Roman" w:hAnsi="Times New Roman" w:cs="Times New Roman"/>
        </w:rPr>
      </w:pPr>
      <w:r>
        <w:rPr>
          <w:rFonts w:ascii="Times New Roman" w:hAnsi="Times New Roman" w:cs="Times New Roman"/>
        </w:rPr>
        <w:t>En cuanto a la emisión y colocación de Bonos del Tesoro, a la fecha se han realizado 23 eventos de colocación de los cuales 14 son con la modalidad de subasta y licitación mediante operaciones realizadas con el Banco de Guatemala, para lo cual se obtuvo una demanda acumulada de Q</w:t>
      </w:r>
      <w:r w:rsidR="00D119D8">
        <w:rPr>
          <w:rFonts w:ascii="Times New Roman" w:hAnsi="Times New Roman" w:cs="Times New Roman"/>
        </w:rPr>
        <w:t xml:space="preserve"> </w:t>
      </w:r>
      <w:r>
        <w:rPr>
          <w:rFonts w:ascii="Times New Roman" w:hAnsi="Times New Roman" w:cs="Times New Roman"/>
        </w:rPr>
        <w:t>17,445.1 millones y se adjudicaron un total de Q</w:t>
      </w:r>
      <w:r w:rsidR="00D119D8">
        <w:rPr>
          <w:rFonts w:ascii="Times New Roman" w:hAnsi="Times New Roman" w:cs="Times New Roman"/>
        </w:rPr>
        <w:t xml:space="preserve"> </w:t>
      </w:r>
      <w:r>
        <w:rPr>
          <w:rFonts w:ascii="Times New Roman" w:hAnsi="Times New Roman" w:cs="Times New Roman"/>
        </w:rPr>
        <w:t xml:space="preserve">3,631.4 millones.  </w:t>
      </w:r>
    </w:p>
    <w:p w:rsidR="00A9153A" w:rsidRDefault="00A9153A" w:rsidP="00A9153A">
      <w:pPr>
        <w:pStyle w:val="Sinespaciado"/>
        <w:jc w:val="both"/>
        <w:rPr>
          <w:rFonts w:ascii="Times New Roman" w:hAnsi="Times New Roman" w:cs="Times New Roman"/>
        </w:rPr>
      </w:pPr>
      <w:r>
        <w:rPr>
          <w:rFonts w:ascii="Times New Roman" w:hAnsi="Times New Roman" w:cs="Times New Roman"/>
        </w:rPr>
        <w:t xml:space="preserve">Asimismo,  con la nueva modalidad de negociación mediante el mecanismo de anotaciones en cuenta que se realiza con la Bolsa Nacional de Valores, a la fecha se </w:t>
      </w:r>
      <w:proofErr w:type="gramStart"/>
      <w:r>
        <w:rPr>
          <w:rFonts w:ascii="Times New Roman" w:hAnsi="Times New Roman" w:cs="Times New Roman"/>
        </w:rPr>
        <w:t>han</w:t>
      </w:r>
      <w:proofErr w:type="gramEnd"/>
      <w:r>
        <w:rPr>
          <w:rFonts w:ascii="Times New Roman" w:hAnsi="Times New Roman" w:cs="Times New Roman"/>
        </w:rPr>
        <w:t xml:space="preserve"> realizado 9 eventos, a través de este mecanismo, cuya demanda acumulada asciende a Q</w:t>
      </w:r>
      <w:r w:rsidR="00D119D8">
        <w:rPr>
          <w:rFonts w:ascii="Times New Roman" w:hAnsi="Times New Roman" w:cs="Times New Roman"/>
        </w:rPr>
        <w:t xml:space="preserve"> </w:t>
      </w:r>
      <w:r>
        <w:rPr>
          <w:rFonts w:ascii="Times New Roman" w:hAnsi="Times New Roman" w:cs="Times New Roman"/>
        </w:rPr>
        <w:t>2,632.7 millones y se han adjudicado Q</w:t>
      </w:r>
      <w:r w:rsidR="00D119D8">
        <w:rPr>
          <w:rFonts w:ascii="Times New Roman" w:hAnsi="Times New Roman" w:cs="Times New Roman"/>
        </w:rPr>
        <w:t xml:space="preserve"> </w:t>
      </w:r>
      <w:r>
        <w:rPr>
          <w:rFonts w:ascii="Times New Roman" w:hAnsi="Times New Roman" w:cs="Times New Roman"/>
        </w:rPr>
        <w:t>998.7 millones.</w:t>
      </w:r>
    </w:p>
    <w:p w:rsidR="00A9153A" w:rsidRDefault="00A9153A" w:rsidP="00A9153A">
      <w:pPr>
        <w:pStyle w:val="Sinespaciado"/>
        <w:jc w:val="both"/>
        <w:rPr>
          <w:rFonts w:ascii="Times New Roman" w:hAnsi="Times New Roman" w:cs="Times New Roman"/>
        </w:rPr>
      </w:pPr>
    </w:p>
    <w:p w:rsidR="00A9153A" w:rsidRDefault="00A9153A" w:rsidP="00A9153A">
      <w:pPr>
        <w:pStyle w:val="Sinespaciado"/>
        <w:jc w:val="both"/>
        <w:rPr>
          <w:rFonts w:ascii="Times New Roman" w:hAnsi="Times New Roman" w:cs="Times New Roman"/>
        </w:rPr>
      </w:pPr>
      <w:r>
        <w:rPr>
          <w:rFonts w:ascii="Times New Roman" w:hAnsi="Times New Roman" w:cs="Times New Roman"/>
        </w:rPr>
        <w:lastRenderedPageBreak/>
        <w:t>Por lo anterior, queda pendiente de colocar en lo que resta del año, Q</w:t>
      </w:r>
      <w:r w:rsidR="00D119D8">
        <w:rPr>
          <w:rFonts w:ascii="Times New Roman" w:hAnsi="Times New Roman" w:cs="Times New Roman"/>
        </w:rPr>
        <w:t xml:space="preserve"> </w:t>
      </w:r>
      <w:r>
        <w:rPr>
          <w:rFonts w:ascii="Times New Roman" w:hAnsi="Times New Roman" w:cs="Times New Roman"/>
        </w:rPr>
        <w:t>9,518.9 millones, conforme lo establece el cupo autorizado por el Congreso de la República.</w:t>
      </w:r>
    </w:p>
    <w:p w:rsidR="00A9153A" w:rsidRDefault="00A9153A" w:rsidP="00A9153A">
      <w:pPr>
        <w:pStyle w:val="Sinespaciado"/>
        <w:jc w:val="both"/>
        <w:rPr>
          <w:rFonts w:ascii="Times New Roman" w:hAnsi="Times New Roman" w:cs="Times New Roman"/>
        </w:rPr>
      </w:pPr>
    </w:p>
    <w:p w:rsidR="00A9153A" w:rsidRPr="002D4740" w:rsidRDefault="00A9153A" w:rsidP="00A9153A">
      <w:pPr>
        <w:pStyle w:val="Sinespaciado"/>
        <w:jc w:val="center"/>
        <w:rPr>
          <w:rFonts w:ascii="Times New Roman" w:hAnsi="Times New Roman" w:cs="Times New Roman"/>
          <w:b/>
        </w:rPr>
      </w:pPr>
      <w:r>
        <w:rPr>
          <w:rFonts w:ascii="Times New Roman" w:hAnsi="Times New Roman" w:cs="Times New Roman"/>
        </w:rPr>
        <w:t xml:space="preserve">  </w:t>
      </w:r>
      <w:r w:rsidRPr="002D4740">
        <w:rPr>
          <w:rFonts w:ascii="Times New Roman" w:hAnsi="Times New Roman" w:cs="Times New Roman"/>
          <w:b/>
        </w:rPr>
        <w:t>Colocación de Bonos del Tesoro</w:t>
      </w:r>
    </w:p>
    <w:p w:rsidR="00A9153A" w:rsidRPr="002D4740" w:rsidRDefault="00A9153A" w:rsidP="00A9153A">
      <w:pPr>
        <w:pStyle w:val="Sinespaciado"/>
        <w:jc w:val="center"/>
        <w:rPr>
          <w:rFonts w:ascii="Times New Roman" w:hAnsi="Times New Roman" w:cs="Times New Roman"/>
          <w:sz w:val="18"/>
        </w:rPr>
      </w:pPr>
      <w:r w:rsidRPr="002D4740">
        <w:rPr>
          <w:rFonts w:ascii="Times New Roman" w:hAnsi="Times New Roman" w:cs="Times New Roman"/>
          <w:sz w:val="18"/>
        </w:rPr>
        <w:t>Al 3</w:t>
      </w:r>
      <w:r>
        <w:rPr>
          <w:rFonts w:ascii="Times New Roman" w:hAnsi="Times New Roman" w:cs="Times New Roman"/>
          <w:sz w:val="18"/>
        </w:rPr>
        <w:t>0</w:t>
      </w:r>
      <w:r w:rsidRPr="002D4740">
        <w:rPr>
          <w:rFonts w:ascii="Times New Roman" w:hAnsi="Times New Roman" w:cs="Times New Roman"/>
          <w:sz w:val="18"/>
        </w:rPr>
        <w:t xml:space="preserve"> de </w:t>
      </w:r>
      <w:r>
        <w:rPr>
          <w:rFonts w:ascii="Times New Roman" w:hAnsi="Times New Roman" w:cs="Times New Roman"/>
          <w:sz w:val="18"/>
        </w:rPr>
        <w:t>abril</w:t>
      </w:r>
      <w:r w:rsidRPr="002D4740">
        <w:rPr>
          <w:rFonts w:ascii="Times New Roman" w:hAnsi="Times New Roman" w:cs="Times New Roman"/>
          <w:sz w:val="18"/>
        </w:rPr>
        <w:t xml:space="preserve"> de 2017</w:t>
      </w:r>
    </w:p>
    <w:p w:rsidR="00A9153A" w:rsidRPr="002D4740" w:rsidRDefault="00A9153A" w:rsidP="00A9153A">
      <w:pPr>
        <w:pStyle w:val="Sinespaciado"/>
        <w:jc w:val="center"/>
        <w:rPr>
          <w:rFonts w:ascii="Times New Roman" w:hAnsi="Times New Roman" w:cs="Times New Roman"/>
          <w:sz w:val="18"/>
        </w:rPr>
      </w:pPr>
      <w:r w:rsidRPr="002D4740">
        <w:rPr>
          <w:rFonts w:ascii="Times New Roman" w:hAnsi="Times New Roman" w:cs="Times New Roman"/>
          <w:sz w:val="18"/>
        </w:rPr>
        <w:t>Millones de quetzales y porcentajes</w:t>
      </w:r>
    </w:p>
    <w:p w:rsidR="00A9153A" w:rsidRDefault="00A9153A" w:rsidP="00A9153A">
      <w:pPr>
        <w:pStyle w:val="Sinespaciado"/>
        <w:jc w:val="both"/>
        <w:rPr>
          <w:rFonts w:ascii="Times New Roman" w:hAnsi="Times New Roman" w:cs="Times New Roman"/>
        </w:rPr>
      </w:pPr>
      <w:r>
        <w:rPr>
          <w:rFonts w:ascii="Times New Roman" w:hAnsi="Times New Roman" w:cs="Times New Roman"/>
          <w:noProof/>
          <w:lang w:eastAsia="es-GT"/>
        </w:rPr>
        <w:drawing>
          <wp:inline distT="0" distB="0" distL="0" distR="0" wp14:anchorId="753BBA0A" wp14:editId="0F5D168F">
            <wp:extent cx="2660714" cy="1679713"/>
            <wp:effectExtent l="0" t="0" r="635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664057" cy="1681823"/>
                    </a:xfrm>
                    <a:prstGeom prst="rect">
                      <a:avLst/>
                    </a:prstGeom>
                    <a:noFill/>
                  </pic:spPr>
                </pic:pic>
              </a:graphicData>
            </a:graphic>
          </wp:inline>
        </w:drawing>
      </w:r>
    </w:p>
    <w:p w:rsidR="00D119D8" w:rsidRDefault="00D119D8" w:rsidP="00D119D8">
      <w:pPr>
        <w:pStyle w:val="Sinespaciado"/>
        <w:jc w:val="both"/>
        <w:rPr>
          <w:rFonts w:ascii="Times New Roman" w:hAnsi="Times New Roman" w:cs="Times New Roman"/>
          <w:sz w:val="16"/>
        </w:rPr>
      </w:pPr>
      <w:r>
        <w:rPr>
          <w:rFonts w:ascii="Times New Roman" w:hAnsi="Times New Roman" w:cs="Times New Roman"/>
          <w:sz w:val="16"/>
        </w:rPr>
        <w:t xml:space="preserve">Fuente: </w:t>
      </w:r>
      <w:r w:rsidRPr="006F1F3C">
        <w:rPr>
          <w:rFonts w:ascii="Times New Roman" w:hAnsi="Times New Roman" w:cs="Times New Roman"/>
          <w:sz w:val="16"/>
        </w:rPr>
        <w:t xml:space="preserve">Dirección de Análisis </w:t>
      </w:r>
      <w:r>
        <w:rPr>
          <w:rFonts w:ascii="Times New Roman" w:hAnsi="Times New Roman" w:cs="Times New Roman"/>
          <w:sz w:val="16"/>
        </w:rPr>
        <w:t>y Política fiscal</w:t>
      </w:r>
    </w:p>
    <w:p w:rsidR="00D119D8" w:rsidRDefault="00D119D8" w:rsidP="00A9153A">
      <w:pPr>
        <w:pStyle w:val="Sinespaciado"/>
        <w:jc w:val="both"/>
        <w:rPr>
          <w:rFonts w:ascii="Times New Roman" w:hAnsi="Times New Roman" w:cs="Times New Roman"/>
        </w:rPr>
      </w:pPr>
    </w:p>
    <w:p w:rsidR="00A9153A" w:rsidRDefault="00A9153A" w:rsidP="00A9153A">
      <w:pPr>
        <w:pStyle w:val="Sinespaciado"/>
        <w:jc w:val="both"/>
        <w:rPr>
          <w:rFonts w:ascii="Times New Roman" w:hAnsi="Times New Roman" w:cs="Times New Roman"/>
        </w:rPr>
      </w:pPr>
    </w:p>
    <w:p w:rsidR="00374D44" w:rsidRPr="000813C5" w:rsidRDefault="00374D44" w:rsidP="00374D44">
      <w:pPr>
        <w:pStyle w:val="Sinespaciado"/>
        <w:jc w:val="both"/>
        <w:rPr>
          <w:rFonts w:ascii="Times New Roman" w:hAnsi="Times New Roman" w:cs="Times New Roman"/>
          <w:color w:val="FF0000"/>
        </w:rPr>
      </w:pPr>
    </w:p>
    <w:p w:rsidR="00C646C4" w:rsidRPr="000813C5" w:rsidRDefault="00C646C4" w:rsidP="00343A5D">
      <w:pPr>
        <w:pStyle w:val="Sinespaciado"/>
        <w:jc w:val="both"/>
        <w:rPr>
          <w:rFonts w:ascii="Times New Roman" w:hAnsi="Times New Roman" w:cs="Times New Roman"/>
          <w:color w:val="FF0000"/>
        </w:rPr>
      </w:pPr>
      <w:r w:rsidRPr="000813C5">
        <w:rPr>
          <w:rFonts w:ascii="Times New Roman" w:hAnsi="Times New Roman" w:cs="Times New Roman"/>
          <w:color w:val="FF0000"/>
        </w:rPr>
        <w:t xml:space="preserve"> </w:t>
      </w:r>
    </w:p>
    <w:p w:rsidR="00FA5DE4" w:rsidRPr="000813C5" w:rsidRDefault="00FA5DE4" w:rsidP="00FA5DE4">
      <w:pPr>
        <w:pStyle w:val="Sinespaciado"/>
        <w:jc w:val="both"/>
        <w:rPr>
          <w:rFonts w:ascii="Times New Roman" w:hAnsi="Times New Roman" w:cs="Times New Roman"/>
          <w:color w:val="FF0000"/>
        </w:rPr>
        <w:sectPr w:rsidR="00FA5DE4" w:rsidRPr="000813C5" w:rsidSect="004E358C">
          <w:type w:val="continuous"/>
          <w:pgSz w:w="12240" w:h="15840"/>
          <w:pgMar w:top="1417" w:right="1701" w:bottom="1417" w:left="1701" w:header="708" w:footer="708" w:gutter="0"/>
          <w:cols w:num="2" w:space="708"/>
          <w:docGrid w:linePitch="360"/>
        </w:sectPr>
      </w:pPr>
    </w:p>
    <w:p w:rsidR="00F76491" w:rsidRPr="000813C5" w:rsidRDefault="00F76491" w:rsidP="00D4202F">
      <w:pPr>
        <w:spacing w:after="0"/>
        <w:rPr>
          <w:color w:val="FF0000"/>
          <w:sz w:val="8"/>
          <w:lang w:val="es-MX"/>
        </w:rPr>
        <w:sectPr w:rsidR="00F76491" w:rsidRPr="000813C5" w:rsidSect="004E358C">
          <w:type w:val="continuous"/>
          <w:pgSz w:w="12240" w:h="15840"/>
          <w:pgMar w:top="1417" w:right="1701" w:bottom="1417" w:left="1701" w:header="708" w:footer="708" w:gutter="0"/>
          <w:cols w:num="2" w:space="708"/>
          <w:docGrid w:linePitch="360"/>
        </w:sectPr>
      </w:pPr>
    </w:p>
    <w:p w:rsidR="00F76491" w:rsidRPr="000813C5" w:rsidRDefault="00F76491" w:rsidP="00F76491">
      <w:pPr>
        <w:pStyle w:val="Sinespaciado"/>
        <w:jc w:val="both"/>
        <w:rPr>
          <w:rFonts w:ascii="Times New Roman" w:hAnsi="Times New Roman" w:cs="Times New Roman"/>
          <w:color w:val="FF0000"/>
          <w:sz w:val="6"/>
          <w:lang w:val="es-MX"/>
        </w:rPr>
      </w:pPr>
    </w:p>
    <w:p w:rsidR="00494D1D" w:rsidRPr="00A9153A" w:rsidRDefault="0042387A" w:rsidP="0042387A">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sectPr w:rsidR="00494D1D" w:rsidRPr="00A9153A" w:rsidSect="00FA3B81">
          <w:headerReference w:type="default" r:id="rId27"/>
          <w:footerReference w:type="default" r:id="rId28"/>
          <w:type w:val="continuous"/>
          <w:pgSz w:w="12240" w:h="15840" w:code="1"/>
          <w:pgMar w:top="1418" w:right="1418" w:bottom="1418" w:left="1418" w:header="709" w:footer="709" w:gutter="0"/>
          <w:cols w:space="708"/>
          <w:docGrid w:linePitch="360"/>
        </w:sectPr>
      </w:pPr>
      <w:r w:rsidRPr="00A9153A">
        <w:rPr>
          <w:rFonts w:ascii="Times New Roman" w:hAnsi="Times New Roman" w:cs="Times New Roman"/>
          <w:b/>
          <w:lang w:val="es-MX"/>
        </w:rPr>
        <w:t>Ambientes macroeconómicos (externo e interno)</w:t>
      </w:r>
    </w:p>
    <w:p w:rsidR="00494D1D" w:rsidRPr="00A9153A" w:rsidRDefault="00494D1D" w:rsidP="00494D1D">
      <w:pPr>
        <w:pStyle w:val="Sinespaciado"/>
        <w:rPr>
          <w:rFonts w:ascii="Times New Roman" w:hAnsi="Times New Roman" w:cs="Times New Roman"/>
          <w:b/>
          <w:sz w:val="18"/>
          <w:lang w:val="es-MX"/>
        </w:rPr>
      </w:pPr>
    </w:p>
    <w:p w:rsidR="00494D1D" w:rsidRPr="00A9153A" w:rsidRDefault="00494D1D" w:rsidP="00494D1D">
      <w:pPr>
        <w:pStyle w:val="Sinespaciado"/>
        <w:rPr>
          <w:rFonts w:ascii="Times New Roman" w:hAnsi="Times New Roman" w:cs="Times New Roman"/>
          <w:b/>
          <w:lang w:val="es-MX"/>
        </w:rPr>
        <w:sectPr w:rsidR="00494D1D" w:rsidRPr="00A9153A" w:rsidSect="004E358C">
          <w:type w:val="continuous"/>
          <w:pgSz w:w="12240" w:h="15840"/>
          <w:pgMar w:top="1417" w:right="1701" w:bottom="1417" w:left="1701" w:header="708" w:footer="708" w:gutter="0"/>
          <w:cols w:space="708"/>
          <w:docGrid w:linePitch="360"/>
        </w:sectPr>
      </w:pPr>
    </w:p>
    <w:p w:rsidR="00202594" w:rsidRPr="00A9153A" w:rsidRDefault="00276A28" w:rsidP="00A900E8">
      <w:pPr>
        <w:pStyle w:val="Sinespaciado"/>
        <w:jc w:val="both"/>
        <w:rPr>
          <w:rFonts w:ascii="Times New Roman" w:hAnsi="Times New Roman" w:cs="Times New Roman"/>
        </w:rPr>
      </w:pPr>
      <w:r w:rsidRPr="00A9153A">
        <w:rPr>
          <w:rFonts w:ascii="Times New Roman" w:hAnsi="Times New Roman" w:cs="Times New Roman"/>
          <w:lang w:val="es-MX"/>
        </w:rPr>
        <w:lastRenderedPageBreak/>
        <w:t>E</w:t>
      </w:r>
      <w:r w:rsidR="00A900E8" w:rsidRPr="00A9153A">
        <w:rPr>
          <w:rFonts w:ascii="Times New Roman" w:hAnsi="Times New Roman" w:cs="Times New Roman"/>
        </w:rPr>
        <w:t xml:space="preserve">l FMI dio a conocer la nueva edición del informe sobre </w:t>
      </w:r>
      <w:r w:rsidR="001F5240" w:rsidRPr="00A9153A">
        <w:rPr>
          <w:rFonts w:ascii="Times New Roman" w:hAnsi="Times New Roman" w:cs="Times New Roman"/>
        </w:rPr>
        <w:t>perspectivas de la economía mundial</w:t>
      </w:r>
      <w:r w:rsidR="00A900E8" w:rsidRPr="00A9153A">
        <w:rPr>
          <w:rFonts w:ascii="Times New Roman" w:hAnsi="Times New Roman" w:cs="Times New Roman"/>
        </w:rPr>
        <w:t xml:space="preserve">, </w:t>
      </w:r>
      <w:r w:rsidR="001F5240" w:rsidRPr="00A9153A">
        <w:rPr>
          <w:rFonts w:ascii="Times New Roman" w:hAnsi="Times New Roman" w:cs="Times New Roman"/>
        </w:rPr>
        <w:t>en él se evidencia</w:t>
      </w:r>
      <w:r w:rsidR="007859CD" w:rsidRPr="00A9153A">
        <w:rPr>
          <w:rFonts w:ascii="Times New Roman" w:hAnsi="Times New Roman" w:cs="Times New Roman"/>
        </w:rPr>
        <w:t xml:space="preserve"> una mejora en las proyecciones</w:t>
      </w:r>
      <w:r w:rsidR="001F5240" w:rsidRPr="00A9153A">
        <w:rPr>
          <w:rFonts w:ascii="Times New Roman" w:hAnsi="Times New Roman" w:cs="Times New Roman"/>
        </w:rPr>
        <w:t xml:space="preserve"> aunque el crecimiento sigue siendo débil en muchas economías avanzadas y persisten las dificultades para los exportadores de materias primas. </w:t>
      </w:r>
    </w:p>
    <w:p w:rsidR="00202594" w:rsidRPr="00A9153A" w:rsidRDefault="00202594" w:rsidP="00A900E8">
      <w:pPr>
        <w:pStyle w:val="Sinespaciado"/>
        <w:jc w:val="both"/>
        <w:rPr>
          <w:rFonts w:ascii="Times New Roman" w:hAnsi="Times New Roman" w:cs="Times New Roman"/>
        </w:rPr>
      </w:pPr>
    </w:p>
    <w:p w:rsidR="001F5240" w:rsidRPr="00A9153A" w:rsidRDefault="00981FB0" w:rsidP="00A900E8">
      <w:pPr>
        <w:pStyle w:val="Sinespaciado"/>
        <w:jc w:val="both"/>
        <w:rPr>
          <w:rFonts w:ascii="Times New Roman" w:hAnsi="Times New Roman" w:cs="Times New Roman"/>
        </w:rPr>
      </w:pPr>
      <w:r w:rsidRPr="00A9153A">
        <w:rPr>
          <w:rFonts w:ascii="Times New Roman" w:hAnsi="Times New Roman" w:cs="Times New Roman"/>
        </w:rPr>
        <w:t xml:space="preserve">Las proyecciones de crecimiento mundial </w:t>
      </w:r>
      <w:r w:rsidR="007859CD" w:rsidRPr="00A9153A">
        <w:rPr>
          <w:rFonts w:ascii="Times New Roman" w:hAnsi="Times New Roman" w:cs="Times New Roman"/>
        </w:rPr>
        <w:t xml:space="preserve">indican una variación porcentual anual de </w:t>
      </w:r>
      <w:r w:rsidRPr="00A9153A">
        <w:rPr>
          <w:rFonts w:ascii="Times New Roman" w:hAnsi="Times New Roman" w:cs="Times New Roman"/>
        </w:rPr>
        <w:t>3.5% para 2017 y 3.6% para 2018</w:t>
      </w:r>
      <w:r w:rsidR="007859CD" w:rsidRPr="00A9153A">
        <w:rPr>
          <w:rFonts w:ascii="Times New Roman" w:hAnsi="Times New Roman" w:cs="Times New Roman"/>
        </w:rPr>
        <w:t xml:space="preserve">, un escenario más optimista que el de 2016, aunque considera obstáculos estructurales que continúan restándole ímpetu a la recuperación y los </w:t>
      </w:r>
      <w:r w:rsidR="007859CD" w:rsidRPr="00A9153A">
        <w:rPr>
          <w:rFonts w:ascii="Times New Roman" w:hAnsi="Times New Roman" w:cs="Times New Roman"/>
        </w:rPr>
        <w:lastRenderedPageBreak/>
        <w:t xml:space="preserve">riesgos siguen inclinándose a la baja, especialmente a mediano plazo. </w:t>
      </w:r>
      <w:r w:rsidR="00DF3C7A" w:rsidRPr="00A9153A">
        <w:rPr>
          <w:rFonts w:ascii="Times New Roman" w:hAnsi="Times New Roman" w:cs="Times New Roman"/>
        </w:rPr>
        <w:t>El análisis</w:t>
      </w:r>
      <w:r w:rsidR="00A9153A" w:rsidRPr="00A9153A">
        <w:rPr>
          <w:rFonts w:ascii="Times New Roman" w:hAnsi="Times New Roman" w:cs="Times New Roman"/>
        </w:rPr>
        <w:t xml:space="preserve"> realizado por el FMI,</w:t>
      </w:r>
      <w:r w:rsidR="00DF3C7A" w:rsidRPr="00A9153A">
        <w:rPr>
          <w:rFonts w:ascii="Times New Roman" w:hAnsi="Times New Roman" w:cs="Times New Roman"/>
        </w:rPr>
        <w:t xml:space="preserve"> indica que l</w:t>
      </w:r>
      <w:r w:rsidR="00334324" w:rsidRPr="00A9153A">
        <w:rPr>
          <w:rFonts w:ascii="Times New Roman" w:hAnsi="Times New Roman" w:cs="Times New Roman"/>
        </w:rPr>
        <w:t>a actividad de las economías de mercados emergentes y en desarrollo podrían ser beneficiadas debido a que las condiciones imperantes en los exportadores de materias primas sujetos a tensiones macroeconómicas mejorarán poco a poco, gracias a la recuperación parcial de los precios de dichas</w:t>
      </w:r>
      <w:r w:rsidR="00DF3C7A" w:rsidRPr="00A9153A">
        <w:rPr>
          <w:rFonts w:ascii="Times New Roman" w:hAnsi="Times New Roman" w:cs="Times New Roman"/>
        </w:rPr>
        <w:t xml:space="preserve"> materias;</w:t>
      </w:r>
      <w:r w:rsidR="00334324" w:rsidRPr="00A9153A">
        <w:rPr>
          <w:rFonts w:ascii="Times New Roman" w:hAnsi="Times New Roman" w:cs="Times New Roman"/>
        </w:rPr>
        <w:t xml:space="preserve"> el crecimiento conservará el vigor en China y </w:t>
      </w:r>
      <w:r w:rsidR="00DF3C7A" w:rsidRPr="00A9153A">
        <w:rPr>
          <w:rFonts w:ascii="Times New Roman" w:hAnsi="Times New Roman" w:cs="Times New Roman"/>
        </w:rPr>
        <w:t xml:space="preserve">en </w:t>
      </w:r>
      <w:r w:rsidR="00334324" w:rsidRPr="00A9153A">
        <w:rPr>
          <w:rFonts w:ascii="Times New Roman" w:hAnsi="Times New Roman" w:cs="Times New Roman"/>
        </w:rPr>
        <w:t>muchos otros importadores de materias primas. En las economías</w:t>
      </w:r>
      <w:r w:rsidR="00334324" w:rsidRPr="00A9153A">
        <w:rPr>
          <w:rFonts w:ascii="Times New Roman" w:hAnsi="Times New Roman" w:cs="Times New Roman"/>
          <w:lang w:val="es-MX"/>
        </w:rPr>
        <w:t xml:space="preserve"> avanzadas, </w:t>
      </w:r>
      <w:r w:rsidR="00DF3C7A" w:rsidRPr="00A9153A">
        <w:rPr>
          <w:rFonts w:ascii="Times New Roman" w:hAnsi="Times New Roman" w:cs="Times New Roman"/>
          <w:lang w:val="es-MX"/>
        </w:rPr>
        <w:t>todo indica a</w:t>
      </w:r>
      <w:r w:rsidR="00334324" w:rsidRPr="00A9153A">
        <w:rPr>
          <w:rFonts w:ascii="Times New Roman" w:hAnsi="Times New Roman" w:cs="Times New Roman"/>
          <w:lang w:val="es-MX"/>
        </w:rPr>
        <w:t xml:space="preserve"> un repunte que responderá al aumento proyectado del </w:t>
      </w:r>
      <w:r w:rsidR="00334324" w:rsidRPr="00A9153A">
        <w:rPr>
          <w:rFonts w:ascii="Times New Roman" w:hAnsi="Times New Roman" w:cs="Times New Roman"/>
          <w:lang w:val="es-MX"/>
        </w:rPr>
        <w:lastRenderedPageBreak/>
        <w:t>crecimiento de Estados Unidos, confiando en que se pondrá en marcha una distensión de la política fiscal producto del aumento de la confianza.</w:t>
      </w:r>
      <w:r w:rsidR="00334324" w:rsidRPr="00A9153A">
        <w:t xml:space="preserve"> </w:t>
      </w:r>
      <w:r w:rsidR="00334324" w:rsidRPr="00A9153A">
        <w:rPr>
          <w:rFonts w:ascii="Times New Roman" w:hAnsi="Times New Roman" w:cs="Times New Roman"/>
          <w:lang w:val="es-MX"/>
        </w:rPr>
        <w:t>Las perspectivas de Europa y Japón</w:t>
      </w:r>
      <w:r w:rsidR="00DF3C7A" w:rsidRPr="00A9153A">
        <w:rPr>
          <w:rFonts w:ascii="Times New Roman" w:hAnsi="Times New Roman" w:cs="Times New Roman"/>
          <w:lang w:val="es-MX"/>
        </w:rPr>
        <w:t xml:space="preserve"> </w:t>
      </w:r>
      <w:r w:rsidR="00334324" w:rsidRPr="00A9153A">
        <w:rPr>
          <w:rFonts w:ascii="Times New Roman" w:hAnsi="Times New Roman" w:cs="Times New Roman"/>
          <w:lang w:val="es-MX"/>
        </w:rPr>
        <w:t xml:space="preserve">también </w:t>
      </w:r>
      <w:r w:rsidR="00DF3C7A" w:rsidRPr="00A9153A">
        <w:rPr>
          <w:rFonts w:ascii="Times New Roman" w:hAnsi="Times New Roman" w:cs="Times New Roman"/>
          <w:lang w:val="es-MX"/>
        </w:rPr>
        <w:t>son más optimistas</w:t>
      </w:r>
      <w:r w:rsidR="00334324" w:rsidRPr="00A9153A">
        <w:rPr>
          <w:rFonts w:ascii="Times New Roman" w:hAnsi="Times New Roman" w:cs="Times New Roman"/>
          <w:lang w:val="es-MX"/>
        </w:rPr>
        <w:t xml:space="preserve"> gracias a la recuperación cíclica de la manufactura mundial y del comercio internacional.  En América Latina y Oriente Medio se revisaron a la baja los pronósticos de crecimiento, debido al ajuste en curso frente a la caída de los términos de intercambio durante los últimos años, los recortes de la producción de petróleo y factores idiosincrásicos.</w:t>
      </w:r>
    </w:p>
    <w:p w:rsidR="00202594" w:rsidRPr="00A9153A" w:rsidRDefault="00202594" w:rsidP="009F628A">
      <w:pPr>
        <w:pStyle w:val="Sinespaciado"/>
        <w:jc w:val="both"/>
        <w:rPr>
          <w:rFonts w:ascii="Times New Roman" w:hAnsi="Times New Roman" w:cs="Times New Roman"/>
        </w:rPr>
      </w:pPr>
    </w:p>
    <w:p w:rsidR="004F4F4D" w:rsidRPr="00A9153A" w:rsidRDefault="00DF3C7A" w:rsidP="00DF3C7A">
      <w:pPr>
        <w:pStyle w:val="Sinespaciado"/>
        <w:jc w:val="center"/>
        <w:rPr>
          <w:rFonts w:ascii="Times New Roman" w:hAnsi="Times New Roman" w:cs="Times New Roman"/>
          <w:b/>
          <w:lang w:val="es-MX"/>
        </w:rPr>
      </w:pPr>
      <w:r w:rsidRPr="00A9153A">
        <w:rPr>
          <w:rFonts w:ascii="Times New Roman" w:hAnsi="Times New Roman" w:cs="Times New Roman"/>
          <w:b/>
          <w:lang w:val="es-MX"/>
        </w:rPr>
        <w:t>Proyecciones de la economía mundial</w:t>
      </w:r>
    </w:p>
    <w:p w:rsidR="00DF3C7A" w:rsidRPr="00A9153A" w:rsidRDefault="00DF3C7A" w:rsidP="00DF3C7A">
      <w:pPr>
        <w:pStyle w:val="Sinespaciado"/>
        <w:jc w:val="center"/>
        <w:rPr>
          <w:rFonts w:ascii="Times New Roman" w:hAnsi="Times New Roman" w:cs="Times New Roman"/>
          <w:sz w:val="18"/>
          <w:lang w:val="es-MX"/>
        </w:rPr>
      </w:pPr>
      <w:r w:rsidRPr="00A9153A">
        <w:rPr>
          <w:rFonts w:ascii="Times New Roman" w:hAnsi="Times New Roman" w:cs="Times New Roman"/>
          <w:sz w:val="18"/>
          <w:lang w:val="es-MX"/>
        </w:rPr>
        <w:t>2016-2018</w:t>
      </w:r>
    </w:p>
    <w:p w:rsidR="00DF3C7A" w:rsidRPr="00A9153A" w:rsidRDefault="00DF3C7A" w:rsidP="00DF3C7A">
      <w:pPr>
        <w:pStyle w:val="Sinespaciado"/>
        <w:jc w:val="center"/>
        <w:rPr>
          <w:rFonts w:ascii="Times New Roman" w:hAnsi="Times New Roman" w:cs="Times New Roman"/>
          <w:sz w:val="18"/>
          <w:lang w:val="es-MX"/>
        </w:rPr>
      </w:pPr>
      <w:r w:rsidRPr="00A9153A">
        <w:rPr>
          <w:rFonts w:ascii="Times New Roman" w:hAnsi="Times New Roman" w:cs="Times New Roman"/>
          <w:sz w:val="18"/>
          <w:lang w:val="es-MX"/>
        </w:rPr>
        <w:t>Variación porcentual anual</w:t>
      </w:r>
    </w:p>
    <w:tbl>
      <w:tblPr>
        <w:tblStyle w:val="Tablaconcuadrcula"/>
        <w:tblW w:w="4395" w:type="dxa"/>
        <w:tblInd w:w="108" w:type="dxa"/>
        <w:tblLayout w:type="fixed"/>
        <w:tblLook w:val="04A0" w:firstRow="1" w:lastRow="0" w:firstColumn="1" w:lastColumn="0" w:noHBand="0" w:noVBand="1"/>
      </w:tblPr>
      <w:tblGrid>
        <w:gridCol w:w="2268"/>
        <w:gridCol w:w="709"/>
        <w:gridCol w:w="709"/>
        <w:gridCol w:w="709"/>
      </w:tblGrid>
      <w:tr w:rsidR="00A9153A" w:rsidRPr="00A9153A" w:rsidTr="00DF3C7A">
        <w:tc>
          <w:tcPr>
            <w:tcW w:w="2268" w:type="dxa"/>
            <w:vMerge w:val="restart"/>
            <w:shd w:val="clear" w:color="auto" w:fill="8DB3E2" w:themeFill="text2" w:themeFillTint="66"/>
            <w:vAlign w:val="center"/>
          </w:tcPr>
          <w:p w:rsidR="00DF3C7A" w:rsidRPr="00A9153A" w:rsidRDefault="00DF3C7A" w:rsidP="00DF3C7A">
            <w:pPr>
              <w:jc w:val="center"/>
              <w:rPr>
                <w:rFonts w:ascii="Times New Roman" w:hAnsi="Times New Roman" w:cs="Times New Roman"/>
                <w:b/>
                <w:sz w:val="18"/>
                <w:lang w:val="es-MX"/>
              </w:rPr>
            </w:pPr>
            <w:r w:rsidRPr="00A9153A">
              <w:rPr>
                <w:rFonts w:ascii="Times New Roman" w:hAnsi="Times New Roman" w:cs="Times New Roman"/>
                <w:b/>
                <w:sz w:val="18"/>
                <w:lang w:val="es-MX"/>
              </w:rPr>
              <w:t>Países y Regiones</w:t>
            </w:r>
          </w:p>
        </w:tc>
        <w:tc>
          <w:tcPr>
            <w:tcW w:w="709" w:type="dxa"/>
            <w:vMerge w:val="restart"/>
            <w:shd w:val="clear" w:color="auto" w:fill="8DB3E2" w:themeFill="text2" w:themeFillTint="66"/>
            <w:vAlign w:val="bottom"/>
          </w:tcPr>
          <w:p w:rsidR="00DF3C7A" w:rsidRPr="00A9153A" w:rsidRDefault="00DF3C7A" w:rsidP="00DF3C7A">
            <w:pPr>
              <w:jc w:val="center"/>
              <w:rPr>
                <w:rFonts w:ascii="Times New Roman" w:hAnsi="Times New Roman" w:cs="Times New Roman"/>
                <w:b/>
                <w:sz w:val="18"/>
                <w:lang w:val="es-MX"/>
              </w:rPr>
            </w:pPr>
            <w:r w:rsidRPr="00A9153A">
              <w:rPr>
                <w:rFonts w:ascii="Times New Roman" w:hAnsi="Times New Roman" w:cs="Times New Roman"/>
                <w:b/>
                <w:sz w:val="18"/>
                <w:lang w:val="es-MX"/>
              </w:rPr>
              <w:t>2016</w:t>
            </w:r>
          </w:p>
        </w:tc>
        <w:tc>
          <w:tcPr>
            <w:tcW w:w="1418" w:type="dxa"/>
            <w:gridSpan w:val="2"/>
            <w:shd w:val="clear" w:color="auto" w:fill="8DB3E2" w:themeFill="text2" w:themeFillTint="66"/>
          </w:tcPr>
          <w:p w:rsidR="00DF3C7A" w:rsidRPr="00A9153A" w:rsidRDefault="00DF3C7A" w:rsidP="00AF68D3">
            <w:pPr>
              <w:jc w:val="center"/>
              <w:rPr>
                <w:rFonts w:ascii="Times New Roman" w:hAnsi="Times New Roman" w:cs="Times New Roman"/>
                <w:b/>
                <w:sz w:val="18"/>
                <w:lang w:val="es-MX"/>
              </w:rPr>
            </w:pPr>
            <w:r w:rsidRPr="00A9153A">
              <w:rPr>
                <w:rFonts w:ascii="Times New Roman" w:hAnsi="Times New Roman" w:cs="Times New Roman"/>
                <w:b/>
                <w:sz w:val="18"/>
                <w:lang w:val="es-MX"/>
              </w:rPr>
              <w:t>Proyecciones</w:t>
            </w:r>
          </w:p>
        </w:tc>
      </w:tr>
      <w:tr w:rsidR="00A9153A" w:rsidRPr="00A9153A" w:rsidTr="00385BA8">
        <w:tc>
          <w:tcPr>
            <w:tcW w:w="2268" w:type="dxa"/>
            <w:vMerge/>
            <w:tcBorders>
              <w:bottom w:val="single" w:sz="4" w:space="0" w:color="auto"/>
            </w:tcBorders>
            <w:shd w:val="clear" w:color="auto" w:fill="8DB3E2" w:themeFill="text2" w:themeFillTint="66"/>
          </w:tcPr>
          <w:p w:rsidR="00DF3C7A" w:rsidRPr="00A9153A" w:rsidRDefault="00DF3C7A" w:rsidP="00AF68D3">
            <w:pPr>
              <w:jc w:val="center"/>
              <w:rPr>
                <w:rFonts w:ascii="Times New Roman" w:hAnsi="Times New Roman" w:cs="Times New Roman"/>
                <w:b/>
                <w:sz w:val="18"/>
                <w:lang w:val="es-MX"/>
              </w:rPr>
            </w:pPr>
          </w:p>
        </w:tc>
        <w:tc>
          <w:tcPr>
            <w:tcW w:w="709" w:type="dxa"/>
            <w:vMerge/>
            <w:tcBorders>
              <w:bottom w:val="single" w:sz="4" w:space="0" w:color="auto"/>
            </w:tcBorders>
            <w:shd w:val="clear" w:color="auto" w:fill="8DB3E2" w:themeFill="text2" w:themeFillTint="66"/>
          </w:tcPr>
          <w:p w:rsidR="00DF3C7A" w:rsidRPr="00A9153A" w:rsidRDefault="00DF3C7A" w:rsidP="00AF68D3">
            <w:pPr>
              <w:jc w:val="center"/>
              <w:rPr>
                <w:rFonts w:ascii="Times New Roman" w:hAnsi="Times New Roman" w:cs="Times New Roman"/>
                <w:b/>
                <w:sz w:val="18"/>
                <w:lang w:val="es-MX"/>
              </w:rPr>
            </w:pPr>
          </w:p>
        </w:tc>
        <w:tc>
          <w:tcPr>
            <w:tcW w:w="709" w:type="dxa"/>
            <w:tcBorders>
              <w:bottom w:val="single" w:sz="4" w:space="0" w:color="auto"/>
            </w:tcBorders>
            <w:shd w:val="clear" w:color="auto" w:fill="8DB3E2" w:themeFill="text2" w:themeFillTint="66"/>
          </w:tcPr>
          <w:p w:rsidR="00DF3C7A" w:rsidRPr="00A9153A" w:rsidRDefault="00DF3C7A" w:rsidP="00AF68D3">
            <w:pPr>
              <w:jc w:val="center"/>
              <w:rPr>
                <w:rFonts w:ascii="Times New Roman" w:hAnsi="Times New Roman" w:cs="Times New Roman"/>
                <w:b/>
                <w:sz w:val="18"/>
                <w:lang w:val="es-MX"/>
              </w:rPr>
            </w:pPr>
            <w:r w:rsidRPr="00A9153A">
              <w:rPr>
                <w:rFonts w:ascii="Times New Roman" w:hAnsi="Times New Roman" w:cs="Times New Roman"/>
                <w:b/>
                <w:sz w:val="18"/>
                <w:lang w:val="es-MX"/>
              </w:rPr>
              <w:t>2017</w:t>
            </w:r>
          </w:p>
        </w:tc>
        <w:tc>
          <w:tcPr>
            <w:tcW w:w="709" w:type="dxa"/>
            <w:tcBorders>
              <w:bottom w:val="single" w:sz="4" w:space="0" w:color="auto"/>
            </w:tcBorders>
            <w:shd w:val="clear" w:color="auto" w:fill="8DB3E2" w:themeFill="text2" w:themeFillTint="66"/>
          </w:tcPr>
          <w:p w:rsidR="00DF3C7A" w:rsidRPr="00A9153A" w:rsidRDefault="00DF3C7A" w:rsidP="00AF68D3">
            <w:pPr>
              <w:jc w:val="center"/>
              <w:rPr>
                <w:rFonts w:ascii="Times New Roman" w:hAnsi="Times New Roman" w:cs="Times New Roman"/>
                <w:b/>
                <w:sz w:val="18"/>
                <w:lang w:val="es-MX"/>
              </w:rPr>
            </w:pPr>
            <w:r w:rsidRPr="00A9153A">
              <w:rPr>
                <w:rFonts w:ascii="Times New Roman" w:hAnsi="Times New Roman" w:cs="Times New Roman"/>
                <w:b/>
                <w:sz w:val="18"/>
                <w:lang w:val="es-MX"/>
              </w:rPr>
              <w:t>2018</w:t>
            </w:r>
          </w:p>
        </w:tc>
      </w:tr>
      <w:tr w:rsidR="00A9153A" w:rsidRPr="00A9153A" w:rsidTr="00385BA8">
        <w:tc>
          <w:tcPr>
            <w:tcW w:w="2268" w:type="dxa"/>
            <w:tcBorders>
              <w:left w:val="nil"/>
              <w:bottom w:val="dashed" w:sz="4" w:space="0" w:color="A6A6A6" w:themeColor="background1" w:themeShade="A6"/>
              <w:right w:val="dashed" w:sz="4" w:space="0" w:color="A6A6A6" w:themeColor="background1" w:themeShade="A6"/>
            </w:tcBorders>
          </w:tcPr>
          <w:p w:rsidR="004F4F4D" w:rsidRPr="00A9153A" w:rsidRDefault="004F4F4D" w:rsidP="00AF68D3">
            <w:pPr>
              <w:jc w:val="both"/>
              <w:rPr>
                <w:rFonts w:ascii="Times New Roman" w:hAnsi="Times New Roman" w:cs="Times New Roman"/>
                <w:b/>
                <w:sz w:val="18"/>
                <w:lang w:val="es-MX"/>
              </w:rPr>
            </w:pPr>
            <w:r w:rsidRPr="00A9153A">
              <w:rPr>
                <w:rFonts w:ascii="Times New Roman" w:hAnsi="Times New Roman" w:cs="Times New Roman"/>
                <w:b/>
                <w:sz w:val="18"/>
                <w:lang w:val="es-MX"/>
              </w:rPr>
              <w:t>Producto mundial</w:t>
            </w:r>
          </w:p>
        </w:tc>
        <w:tc>
          <w:tcPr>
            <w:tcW w:w="709" w:type="dxa"/>
            <w:tcBorders>
              <w:left w:val="dashed" w:sz="4" w:space="0" w:color="A6A6A6" w:themeColor="background1" w:themeShade="A6"/>
              <w:bottom w:val="dashed" w:sz="4" w:space="0" w:color="A6A6A6" w:themeColor="background1" w:themeShade="A6"/>
              <w:right w:val="dashed" w:sz="4" w:space="0" w:color="A6A6A6" w:themeColor="background1" w:themeShade="A6"/>
            </w:tcBorders>
            <w:vAlign w:val="center"/>
          </w:tcPr>
          <w:p w:rsidR="004F4F4D" w:rsidRPr="00A9153A" w:rsidRDefault="004F4F4D" w:rsidP="00AF68D3">
            <w:pPr>
              <w:jc w:val="center"/>
              <w:rPr>
                <w:rFonts w:ascii="Times New Roman" w:hAnsi="Times New Roman" w:cs="Times New Roman"/>
                <w:b/>
                <w:sz w:val="18"/>
                <w:lang w:val="es-MX"/>
              </w:rPr>
            </w:pPr>
            <w:r w:rsidRPr="00A9153A">
              <w:rPr>
                <w:rFonts w:ascii="Times New Roman" w:hAnsi="Times New Roman" w:cs="Times New Roman"/>
                <w:b/>
                <w:sz w:val="18"/>
                <w:lang w:val="es-MX"/>
              </w:rPr>
              <w:t>3.1</w:t>
            </w:r>
          </w:p>
        </w:tc>
        <w:tc>
          <w:tcPr>
            <w:tcW w:w="709" w:type="dxa"/>
            <w:tcBorders>
              <w:left w:val="dashed" w:sz="4" w:space="0" w:color="A6A6A6" w:themeColor="background1" w:themeShade="A6"/>
              <w:bottom w:val="dashed" w:sz="4" w:space="0" w:color="A6A6A6" w:themeColor="background1" w:themeShade="A6"/>
              <w:right w:val="dashed" w:sz="4" w:space="0" w:color="A6A6A6" w:themeColor="background1" w:themeShade="A6"/>
            </w:tcBorders>
            <w:vAlign w:val="center"/>
          </w:tcPr>
          <w:p w:rsidR="004F4F4D" w:rsidRPr="00A9153A" w:rsidRDefault="004F4F4D" w:rsidP="00AF68D3">
            <w:pPr>
              <w:jc w:val="center"/>
              <w:rPr>
                <w:rFonts w:ascii="Times New Roman" w:hAnsi="Times New Roman" w:cs="Times New Roman"/>
                <w:b/>
                <w:sz w:val="18"/>
                <w:lang w:val="es-MX"/>
              </w:rPr>
            </w:pPr>
            <w:r w:rsidRPr="00A9153A">
              <w:rPr>
                <w:rFonts w:ascii="Times New Roman" w:hAnsi="Times New Roman" w:cs="Times New Roman"/>
                <w:b/>
                <w:sz w:val="18"/>
                <w:lang w:val="es-MX"/>
              </w:rPr>
              <w:t>3.5</w:t>
            </w:r>
          </w:p>
        </w:tc>
        <w:tc>
          <w:tcPr>
            <w:tcW w:w="709" w:type="dxa"/>
            <w:tcBorders>
              <w:left w:val="dashed" w:sz="4" w:space="0" w:color="A6A6A6" w:themeColor="background1" w:themeShade="A6"/>
              <w:bottom w:val="dashed" w:sz="4" w:space="0" w:color="A6A6A6" w:themeColor="background1" w:themeShade="A6"/>
              <w:right w:val="nil"/>
            </w:tcBorders>
            <w:vAlign w:val="center"/>
          </w:tcPr>
          <w:p w:rsidR="004F4F4D" w:rsidRPr="00A9153A" w:rsidRDefault="004F4F4D" w:rsidP="00AF68D3">
            <w:pPr>
              <w:jc w:val="center"/>
              <w:rPr>
                <w:rFonts w:ascii="Times New Roman" w:hAnsi="Times New Roman" w:cs="Times New Roman"/>
                <w:b/>
                <w:sz w:val="18"/>
                <w:lang w:val="es-MX"/>
              </w:rPr>
            </w:pPr>
            <w:r w:rsidRPr="00A9153A">
              <w:rPr>
                <w:rFonts w:ascii="Times New Roman" w:hAnsi="Times New Roman" w:cs="Times New Roman"/>
                <w:b/>
                <w:sz w:val="18"/>
                <w:lang w:val="es-MX"/>
              </w:rPr>
              <w:t>3.6</w:t>
            </w:r>
          </w:p>
        </w:tc>
      </w:tr>
      <w:tr w:rsidR="00A9153A" w:rsidRPr="00A9153A" w:rsidTr="00385BA8">
        <w:tc>
          <w:tcPr>
            <w:tcW w:w="2268" w:type="dxa"/>
            <w:tcBorders>
              <w:top w:val="dashed" w:sz="4" w:space="0" w:color="A6A6A6" w:themeColor="background1" w:themeShade="A6"/>
              <w:left w:val="nil"/>
              <w:bottom w:val="dashed" w:sz="4" w:space="0" w:color="A6A6A6" w:themeColor="background1" w:themeShade="A6"/>
              <w:right w:val="dashed" w:sz="4" w:space="0" w:color="A6A6A6" w:themeColor="background1" w:themeShade="A6"/>
            </w:tcBorders>
          </w:tcPr>
          <w:p w:rsidR="004F4F4D" w:rsidRPr="00A9153A" w:rsidRDefault="004F4F4D" w:rsidP="00AF68D3">
            <w:pPr>
              <w:jc w:val="both"/>
              <w:rPr>
                <w:rFonts w:ascii="Times New Roman" w:hAnsi="Times New Roman" w:cs="Times New Roman"/>
                <w:sz w:val="18"/>
                <w:lang w:val="es-MX"/>
              </w:rPr>
            </w:pPr>
            <w:r w:rsidRPr="00A9153A">
              <w:rPr>
                <w:rFonts w:ascii="Times New Roman" w:hAnsi="Times New Roman" w:cs="Times New Roman"/>
                <w:sz w:val="18"/>
                <w:lang w:val="es-MX"/>
              </w:rPr>
              <w:t>Economías Avanzadas</w:t>
            </w:r>
          </w:p>
        </w:tc>
        <w:tc>
          <w:tcPr>
            <w:tcW w:w="709" w:type="dxa"/>
            <w:tcBorders>
              <w:top w:val="dashed" w:sz="4" w:space="0" w:color="A6A6A6" w:themeColor="background1" w:themeShade="A6"/>
              <w:left w:val="dashed" w:sz="4" w:space="0" w:color="A6A6A6" w:themeColor="background1" w:themeShade="A6"/>
              <w:bottom w:val="dashed" w:sz="4" w:space="0" w:color="A6A6A6" w:themeColor="background1" w:themeShade="A6"/>
              <w:right w:val="dashed" w:sz="4" w:space="0" w:color="A6A6A6" w:themeColor="background1" w:themeShade="A6"/>
            </w:tcBorders>
            <w:vAlign w:val="center"/>
          </w:tcPr>
          <w:p w:rsidR="004F4F4D" w:rsidRPr="00A9153A" w:rsidRDefault="004F4F4D" w:rsidP="00AF68D3">
            <w:pPr>
              <w:jc w:val="center"/>
              <w:rPr>
                <w:rFonts w:ascii="Times New Roman" w:hAnsi="Times New Roman" w:cs="Times New Roman"/>
                <w:sz w:val="18"/>
                <w:lang w:val="es-MX"/>
              </w:rPr>
            </w:pPr>
            <w:r w:rsidRPr="00A9153A">
              <w:rPr>
                <w:rFonts w:ascii="Times New Roman" w:hAnsi="Times New Roman" w:cs="Times New Roman"/>
                <w:sz w:val="18"/>
                <w:lang w:val="es-MX"/>
              </w:rPr>
              <w:t>1.7</w:t>
            </w:r>
          </w:p>
        </w:tc>
        <w:tc>
          <w:tcPr>
            <w:tcW w:w="709" w:type="dxa"/>
            <w:tcBorders>
              <w:top w:val="dashed" w:sz="4" w:space="0" w:color="A6A6A6" w:themeColor="background1" w:themeShade="A6"/>
              <w:left w:val="dashed" w:sz="4" w:space="0" w:color="A6A6A6" w:themeColor="background1" w:themeShade="A6"/>
              <w:bottom w:val="dashed" w:sz="4" w:space="0" w:color="A6A6A6" w:themeColor="background1" w:themeShade="A6"/>
              <w:right w:val="dashed" w:sz="4" w:space="0" w:color="A6A6A6" w:themeColor="background1" w:themeShade="A6"/>
            </w:tcBorders>
            <w:vAlign w:val="center"/>
          </w:tcPr>
          <w:p w:rsidR="004F4F4D" w:rsidRPr="00A9153A" w:rsidRDefault="004F4F4D" w:rsidP="00AF68D3">
            <w:pPr>
              <w:jc w:val="center"/>
              <w:rPr>
                <w:rFonts w:ascii="Times New Roman" w:hAnsi="Times New Roman" w:cs="Times New Roman"/>
                <w:sz w:val="18"/>
                <w:lang w:val="es-MX"/>
              </w:rPr>
            </w:pPr>
            <w:r w:rsidRPr="00A9153A">
              <w:rPr>
                <w:rFonts w:ascii="Times New Roman" w:hAnsi="Times New Roman" w:cs="Times New Roman"/>
                <w:sz w:val="18"/>
                <w:lang w:val="es-MX"/>
              </w:rPr>
              <w:t>2.0</w:t>
            </w:r>
          </w:p>
        </w:tc>
        <w:tc>
          <w:tcPr>
            <w:tcW w:w="709" w:type="dxa"/>
            <w:tcBorders>
              <w:top w:val="dashed" w:sz="4" w:space="0" w:color="A6A6A6" w:themeColor="background1" w:themeShade="A6"/>
              <w:left w:val="dashed" w:sz="4" w:space="0" w:color="A6A6A6" w:themeColor="background1" w:themeShade="A6"/>
              <w:bottom w:val="dashed" w:sz="4" w:space="0" w:color="A6A6A6" w:themeColor="background1" w:themeShade="A6"/>
              <w:right w:val="nil"/>
            </w:tcBorders>
            <w:vAlign w:val="center"/>
          </w:tcPr>
          <w:p w:rsidR="004F4F4D" w:rsidRPr="00A9153A" w:rsidRDefault="004F4F4D" w:rsidP="00AF68D3">
            <w:pPr>
              <w:jc w:val="center"/>
              <w:rPr>
                <w:rFonts w:ascii="Times New Roman" w:hAnsi="Times New Roman" w:cs="Times New Roman"/>
                <w:sz w:val="18"/>
                <w:lang w:val="es-MX"/>
              </w:rPr>
            </w:pPr>
            <w:r w:rsidRPr="00A9153A">
              <w:rPr>
                <w:rFonts w:ascii="Times New Roman" w:hAnsi="Times New Roman" w:cs="Times New Roman"/>
                <w:sz w:val="18"/>
                <w:lang w:val="es-MX"/>
              </w:rPr>
              <w:t>2.0</w:t>
            </w:r>
          </w:p>
        </w:tc>
      </w:tr>
      <w:tr w:rsidR="00A9153A" w:rsidRPr="00A9153A" w:rsidTr="00385BA8">
        <w:tc>
          <w:tcPr>
            <w:tcW w:w="2268" w:type="dxa"/>
            <w:tcBorders>
              <w:top w:val="dashed" w:sz="4" w:space="0" w:color="A6A6A6" w:themeColor="background1" w:themeShade="A6"/>
              <w:left w:val="nil"/>
              <w:bottom w:val="dashed" w:sz="4" w:space="0" w:color="A6A6A6" w:themeColor="background1" w:themeShade="A6"/>
              <w:right w:val="dashed" w:sz="4" w:space="0" w:color="A6A6A6" w:themeColor="background1" w:themeShade="A6"/>
            </w:tcBorders>
          </w:tcPr>
          <w:p w:rsidR="004F4F4D" w:rsidRPr="00A9153A" w:rsidRDefault="004F4F4D" w:rsidP="00AF68D3">
            <w:pPr>
              <w:jc w:val="both"/>
              <w:rPr>
                <w:rFonts w:ascii="Times New Roman" w:hAnsi="Times New Roman" w:cs="Times New Roman"/>
                <w:sz w:val="18"/>
                <w:lang w:val="es-MX"/>
              </w:rPr>
            </w:pPr>
            <w:r w:rsidRPr="00A9153A">
              <w:rPr>
                <w:rFonts w:ascii="Times New Roman" w:hAnsi="Times New Roman" w:cs="Times New Roman"/>
                <w:sz w:val="18"/>
                <w:lang w:val="es-MX"/>
              </w:rPr>
              <w:t>EEUU</w:t>
            </w:r>
          </w:p>
        </w:tc>
        <w:tc>
          <w:tcPr>
            <w:tcW w:w="709" w:type="dxa"/>
            <w:tcBorders>
              <w:top w:val="dashed" w:sz="4" w:space="0" w:color="A6A6A6" w:themeColor="background1" w:themeShade="A6"/>
              <w:left w:val="dashed" w:sz="4" w:space="0" w:color="A6A6A6" w:themeColor="background1" w:themeShade="A6"/>
              <w:bottom w:val="dashed" w:sz="4" w:space="0" w:color="A6A6A6" w:themeColor="background1" w:themeShade="A6"/>
              <w:right w:val="dashed" w:sz="4" w:space="0" w:color="A6A6A6" w:themeColor="background1" w:themeShade="A6"/>
            </w:tcBorders>
            <w:vAlign w:val="center"/>
          </w:tcPr>
          <w:p w:rsidR="004F4F4D" w:rsidRPr="00A9153A" w:rsidRDefault="004F4F4D" w:rsidP="00AF68D3">
            <w:pPr>
              <w:jc w:val="center"/>
              <w:rPr>
                <w:rFonts w:ascii="Times New Roman" w:hAnsi="Times New Roman" w:cs="Times New Roman"/>
                <w:sz w:val="18"/>
                <w:lang w:val="es-MX"/>
              </w:rPr>
            </w:pPr>
            <w:r w:rsidRPr="00A9153A">
              <w:rPr>
                <w:rFonts w:ascii="Times New Roman" w:hAnsi="Times New Roman" w:cs="Times New Roman"/>
                <w:sz w:val="18"/>
                <w:lang w:val="es-MX"/>
              </w:rPr>
              <w:t>1.6</w:t>
            </w:r>
          </w:p>
        </w:tc>
        <w:tc>
          <w:tcPr>
            <w:tcW w:w="709" w:type="dxa"/>
            <w:tcBorders>
              <w:top w:val="dashed" w:sz="4" w:space="0" w:color="A6A6A6" w:themeColor="background1" w:themeShade="A6"/>
              <w:left w:val="dashed" w:sz="4" w:space="0" w:color="A6A6A6" w:themeColor="background1" w:themeShade="A6"/>
              <w:bottom w:val="dashed" w:sz="4" w:space="0" w:color="A6A6A6" w:themeColor="background1" w:themeShade="A6"/>
              <w:right w:val="dashed" w:sz="4" w:space="0" w:color="A6A6A6" w:themeColor="background1" w:themeShade="A6"/>
            </w:tcBorders>
            <w:vAlign w:val="center"/>
          </w:tcPr>
          <w:p w:rsidR="004F4F4D" w:rsidRPr="00A9153A" w:rsidRDefault="004F4F4D" w:rsidP="00AF68D3">
            <w:pPr>
              <w:jc w:val="center"/>
              <w:rPr>
                <w:rFonts w:ascii="Times New Roman" w:hAnsi="Times New Roman" w:cs="Times New Roman"/>
                <w:sz w:val="18"/>
                <w:lang w:val="es-MX"/>
              </w:rPr>
            </w:pPr>
            <w:r w:rsidRPr="00A9153A">
              <w:rPr>
                <w:rFonts w:ascii="Times New Roman" w:hAnsi="Times New Roman" w:cs="Times New Roman"/>
                <w:sz w:val="18"/>
                <w:lang w:val="es-MX"/>
              </w:rPr>
              <w:t>2.3</w:t>
            </w:r>
          </w:p>
        </w:tc>
        <w:tc>
          <w:tcPr>
            <w:tcW w:w="709" w:type="dxa"/>
            <w:tcBorders>
              <w:top w:val="dashed" w:sz="4" w:space="0" w:color="A6A6A6" w:themeColor="background1" w:themeShade="A6"/>
              <w:left w:val="dashed" w:sz="4" w:space="0" w:color="A6A6A6" w:themeColor="background1" w:themeShade="A6"/>
              <w:bottom w:val="dashed" w:sz="4" w:space="0" w:color="A6A6A6" w:themeColor="background1" w:themeShade="A6"/>
              <w:right w:val="nil"/>
            </w:tcBorders>
            <w:vAlign w:val="center"/>
          </w:tcPr>
          <w:p w:rsidR="004F4F4D" w:rsidRPr="00A9153A" w:rsidRDefault="004F4F4D" w:rsidP="00AF68D3">
            <w:pPr>
              <w:jc w:val="center"/>
              <w:rPr>
                <w:rFonts w:ascii="Times New Roman" w:hAnsi="Times New Roman" w:cs="Times New Roman"/>
                <w:sz w:val="18"/>
                <w:lang w:val="es-MX"/>
              </w:rPr>
            </w:pPr>
            <w:r w:rsidRPr="00A9153A">
              <w:rPr>
                <w:rFonts w:ascii="Times New Roman" w:hAnsi="Times New Roman" w:cs="Times New Roman"/>
                <w:sz w:val="18"/>
                <w:lang w:val="es-MX"/>
              </w:rPr>
              <w:t>2.5</w:t>
            </w:r>
          </w:p>
        </w:tc>
      </w:tr>
      <w:tr w:rsidR="00A9153A" w:rsidRPr="00A9153A" w:rsidTr="00385BA8">
        <w:tc>
          <w:tcPr>
            <w:tcW w:w="2268" w:type="dxa"/>
            <w:tcBorders>
              <w:top w:val="dashed" w:sz="4" w:space="0" w:color="A6A6A6" w:themeColor="background1" w:themeShade="A6"/>
              <w:left w:val="nil"/>
              <w:bottom w:val="dashed" w:sz="4" w:space="0" w:color="A6A6A6" w:themeColor="background1" w:themeShade="A6"/>
              <w:right w:val="dashed" w:sz="4" w:space="0" w:color="A6A6A6" w:themeColor="background1" w:themeShade="A6"/>
            </w:tcBorders>
          </w:tcPr>
          <w:p w:rsidR="004F4F4D" w:rsidRPr="00A9153A" w:rsidRDefault="004F4F4D" w:rsidP="00AF68D3">
            <w:pPr>
              <w:jc w:val="both"/>
              <w:rPr>
                <w:rFonts w:ascii="Times New Roman" w:hAnsi="Times New Roman" w:cs="Times New Roman"/>
                <w:sz w:val="18"/>
                <w:lang w:val="es-MX"/>
              </w:rPr>
            </w:pPr>
            <w:r w:rsidRPr="00A9153A">
              <w:rPr>
                <w:rFonts w:ascii="Times New Roman" w:hAnsi="Times New Roman" w:cs="Times New Roman"/>
                <w:sz w:val="18"/>
                <w:lang w:val="es-MX"/>
              </w:rPr>
              <w:t>Eurozona</w:t>
            </w:r>
          </w:p>
        </w:tc>
        <w:tc>
          <w:tcPr>
            <w:tcW w:w="709" w:type="dxa"/>
            <w:tcBorders>
              <w:top w:val="dashed" w:sz="4" w:space="0" w:color="A6A6A6" w:themeColor="background1" w:themeShade="A6"/>
              <w:left w:val="dashed" w:sz="4" w:space="0" w:color="A6A6A6" w:themeColor="background1" w:themeShade="A6"/>
              <w:bottom w:val="dashed" w:sz="4" w:space="0" w:color="A6A6A6" w:themeColor="background1" w:themeShade="A6"/>
              <w:right w:val="dashed" w:sz="4" w:space="0" w:color="A6A6A6" w:themeColor="background1" w:themeShade="A6"/>
            </w:tcBorders>
            <w:vAlign w:val="center"/>
          </w:tcPr>
          <w:p w:rsidR="004F4F4D" w:rsidRPr="00A9153A" w:rsidRDefault="004F4F4D" w:rsidP="00AF68D3">
            <w:pPr>
              <w:jc w:val="center"/>
              <w:rPr>
                <w:rFonts w:ascii="Times New Roman" w:hAnsi="Times New Roman" w:cs="Times New Roman"/>
                <w:sz w:val="18"/>
                <w:lang w:val="es-MX"/>
              </w:rPr>
            </w:pPr>
            <w:r w:rsidRPr="00A9153A">
              <w:rPr>
                <w:rFonts w:ascii="Times New Roman" w:hAnsi="Times New Roman" w:cs="Times New Roman"/>
                <w:sz w:val="18"/>
                <w:lang w:val="es-MX"/>
              </w:rPr>
              <w:t>1.7</w:t>
            </w:r>
          </w:p>
        </w:tc>
        <w:tc>
          <w:tcPr>
            <w:tcW w:w="709" w:type="dxa"/>
            <w:tcBorders>
              <w:top w:val="dashed" w:sz="4" w:space="0" w:color="A6A6A6" w:themeColor="background1" w:themeShade="A6"/>
              <w:left w:val="dashed" w:sz="4" w:space="0" w:color="A6A6A6" w:themeColor="background1" w:themeShade="A6"/>
              <w:bottom w:val="dashed" w:sz="4" w:space="0" w:color="A6A6A6" w:themeColor="background1" w:themeShade="A6"/>
              <w:right w:val="dashed" w:sz="4" w:space="0" w:color="A6A6A6" w:themeColor="background1" w:themeShade="A6"/>
            </w:tcBorders>
            <w:vAlign w:val="center"/>
          </w:tcPr>
          <w:p w:rsidR="004F4F4D" w:rsidRPr="00A9153A" w:rsidRDefault="004F4F4D" w:rsidP="00AF68D3">
            <w:pPr>
              <w:jc w:val="center"/>
              <w:rPr>
                <w:rFonts w:ascii="Times New Roman" w:hAnsi="Times New Roman" w:cs="Times New Roman"/>
                <w:sz w:val="18"/>
                <w:lang w:val="es-MX"/>
              </w:rPr>
            </w:pPr>
            <w:r w:rsidRPr="00A9153A">
              <w:rPr>
                <w:rFonts w:ascii="Times New Roman" w:hAnsi="Times New Roman" w:cs="Times New Roman"/>
                <w:sz w:val="18"/>
                <w:lang w:val="es-MX"/>
              </w:rPr>
              <w:t>1.7</w:t>
            </w:r>
          </w:p>
        </w:tc>
        <w:tc>
          <w:tcPr>
            <w:tcW w:w="709" w:type="dxa"/>
            <w:tcBorders>
              <w:top w:val="dashed" w:sz="4" w:space="0" w:color="A6A6A6" w:themeColor="background1" w:themeShade="A6"/>
              <w:left w:val="dashed" w:sz="4" w:space="0" w:color="A6A6A6" w:themeColor="background1" w:themeShade="A6"/>
              <w:bottom w:val="dashed" w:sz="4" w:space="0" w:color="A6A6A6" w:themeColor="background1" w:themeShade="A6"/>
              <w:right w:val="nil"/>
            </w:tcBorders>
            <w:vAlign w:val="center"/>
          </w:tcPr>
          <w:p w:rsidR="004F4F4D" w:rsidRPr="00A9153A" w:rsidRDefault="004F4F4D" w:rsidP="00AF68D3">
            <w:pPr>
              <w:jc w:val="center"/>
              <w:rPr>
                <w:rFonts w:ascii="Times New Roman" w:hAnsi="Times New Roman" w:cs="Times New Roman"/>
                <w:sz w:val="18"/>
                <w:lang w:val="es-MX"/>
              </w:rPr>
            </w:pPr>
            <w:r w:rsidRPr="00A9153A">
              <w:rPr>
                <w:rFonts w:ascii="Times New Roman" w:hAnsi="Times New Roman" w:cs="Times New Roman"/>
                <w:sz w:val="18"/>
                <w:lang w:val="es-MX"/>
              </w:rPr>
              <w:t>1.6</w:t>
            </w:r>
          </w:p>
        </w:tc>
      </w:tr>
      <w:tr w:rsidR="00A9153A" w:rsidRPr="00A9153A" w:rsidTr="00385BA8">
        <w:tc>
          <w:tcPr>
            <w:tcW w:w="2268" w:type="dxa"/>
            <w:tcBorders>
              <w:top w:val="dashed" w:sz="4" w:space="0" w:color="A6A6A6" w:themeColor="background1" w:themeShade="A6"/>
              <w:left w:val="nil"/>
              <w:bottom w:val="dashed" w:sz="4" w:space="0" w:color="A6A6A6" w:themeColor="background1" w:themeShade="A6"/>
              <w:right w:val="dashed" w:sz="4" w:space="0" w:color="A6A6A6" w:themeColor="background1" w:themeShade="A6"/>
            </w:tcBorders>
          </w:tcPr>
          <w:p w:rsidR="004F4F4D" w:rsidRPr="00A9153A" w:rsidRDefault="004F4F4D" w:rsidP="00AF68D3">
            <w:pPr>
              <w:jc w:val="both"/>
              <w:rPr>
                <w:rFonts w:ascii="Times New Roman" w:hAnsi="Times New Roman" w:cs="Times New Roman"/>
                <w:sz w:val="18"/>
                <w:lang w:val="es-MX"/>
              </w:rPr>
            </w:pPr>
            <w:r w:rsidRPr="00A9153A">
              <w:rPr>
                <w:rFonts w:ascii="Times New Roman" w:hAnsi="Times New Roman" w:cs="Times New Roman"/>
                <w:sz w:val="18"/>
                <w:lang w:val="es-MX"/>
              </w:rPr>
              <w:t>Japón</w:t>
            </w:r>
          </w:p>
        </w:tc>
        <w:tc>
          <w:tcPr>
            <w:tcW w:w="709" w:type="dxa"/>
            <w:tcBorders>
              <w:top w:val="dashed" w:sz="4" w:space="0" w:color="A6A6A6" w:themeColor="background1" w:themeShade="A6"/>
              <w:left w:val="dashed" w:sz="4" w:space="0" w:color="A6A6A6" w:themeColor="background1" w:themeShade="A6"/>
              <w:bottom w:val="dashed" w:sz="4" w:space="0" w:color="A6A6A6" w:themeColor="background1" w:themeShade="A6"/>
              <w:right w:val="dashed" w:sz="4" w:space="0" w:color="A6A6A6" w:themeColor="background1" w:themeShade="A6"/>
            </w:tcBorders>
            <w:vAlign w:val="center"/>
          </w:tcPr>
          <w:p w:rsidR="004F4F4D" w:rsidRPr="00A9153A" w:rsidRDefault="004F4F4D" w:rsidP="00AF68D3">
            <w:pPr>
              <w:jc w:val="center"/>
              <w:rPr>
                <w:rFonts w:ascii="Times New Roman" w:hAnsi="Times New Roman" w:cs="Times New Roman"/>
                <w:sz w:val="18"/>
                <w:lang w:val="es-MX"/>
              </w:rPr>
            </w:pPr>
            <w:r w:rsidRPr="00A9153A">
              <w:rPr>
                <w:rFonts w:ascii="Times New Roman" w:hAnsi="Times New Roman" w:cs="Times New Roman"/>
                <w:sz w:val="18"/>
                <w:lang w:val="es-MX"/>
              </w:rPr>
              <w:t>1.0</w:t>
            </w:r>
          </w:p>
        </w:tc>
        <w:tc>
          <w:tcPr>
            <w:tcW w:w="709" w:type="dxa"/>
            <w:tcBorders>
              <w:top w:val="dashed" w:sz="4" w:space="0" w:color="A6A6A6" w:themeColor="background1" w:themeShade="A6"/>
              <w:left w:val="dashed" w:sz="4" w:space="0" w:color="A6A6A6" w:themeColor="background1" w:themeShade="A6"/>
              <w:bottom w:val="dashed" w:sz="4" w:space="0" w:color="A6A6A6" w:themeColor="background1" w:themeShade="A6"/>
              <w:right w:val="dashed" w:sz="4" w:space="0" w:color="A6A6A6" w:themeColor="background1" w:themeShade="A6"/>
            </w:tcBorders>
            <w:vAlign w:val="center"/>
          </w:tcPr>
          <w:p w:rsidR="004F4F4D" w:rsidRPr="00A9153A" w:rsidRDefault="004F4F4D" w:rsidP="00AF68D3">
            <w:pPr>
              <w:jc w:val="center"/>
              <w:rPr>
                <w:rFonts w:ascii="Times New Roman" w:hAnsi="Times New Roman" w:cs="Times New Roman"/>
                <w:sz w:val="18"/>
                <w:lang w:val="es-MX"/>
              </w:rPr>
            </w:pPr>
            <w:r w:rsidRPr="00A9153A">
              <w:rPr>
                <w:rFonts w:ascii="Times New Roman" w:hAnsi="Times New Roman" w:cs="Times New Roman"/>
                <w:sz w:val="18"/>
                <w:lang w:val="es-MX"/>
              </w:rPr>
              <w:t>1.2</w:t>
            </w:r>
          </w:p>
        </w:tc>
        <w:tc>
          <w:tcPr>
            <w:tcW w:w="709" w:type="dxa"/>
            <w:tcBorders>
              <w:top w:val="dashed" w:sz="4" w:space="0" w:color="A6A6A6" w:themeColor="background1" w:themeShade="A6"/>
              <w:left w:val="dashed" w:sz="4" w:space="0" w:color="A6A6A6" w:themeColor="background1" w:themeShade="A6"/>
              <w:bottom w:val="dashed" w:sz="4" w:space="0" w:color="A6A6A6" w:themeColor="background1" w:themeShade="A6"/>
              <w:right w:val="nil"/>
            </w:tcBorders>
            <w:vAlign w:val="center"/>
          </w:tcPr>
          <w:p w:rsidR="004F4F4D" w:rsidRPr="00A9153A" w:rsidRDefault="004F4F4D" w:rsidP="00AF68D3">
            <w:pPr>
              <w:jc w:val="center"/>
              <w:rPr>
                <w:rFonts w:ascii="Times New Roman" w:hAnsi="Times New Roman" w:cs="Times New Roman"/>
                <w:sz w:val="18"/>
                <w:lang w:val="es-MX"/>
              </w:rPr>
            </w:pPr>
            <w:r w:rsidRPr="00A9153A">
              <w:rPr>
                <w:rFonts w:ascii="Times New Roman" w:hAnsi="Times New Roman" w:cs="Times New Roman"/>
                <w:sz w:val="18"/>
                <w:lang w:val="es-MX"/>
              </w:rPr>
              <w:t>0.6</w:t>
            </w:r>
          </w:p>
        </w:tc>
      </w:tr>
      <w:tr w:rsidR="00A9153A" w:rsidRPr="00A9153A" w:rsidTr="00385BA8">
        <w:tc>
          <w:tcPr>
            <w:tcW w:w="2268" w:type="dxa"/>
            <w:tcBorders>
              <w:top w:val="dashed" w:sz="4" w:space="0" w:color="A6A6A6" w:themeColor="background1" w:themeShade="A6"/>
              <w:left w:val="nil"/>
              <w:bottom w:val="dashed" w:sz="4" w:space="0" w:color="A6A6A6" w:themeColor="background1" w:themeShade="A6"/>
              <w:right w:val="dashed" w:sz="4" w:space="0" w:color="A6A6A6" w:themeColor="background1" w:themeShade="A6"/>
            </w:tcBorders>
          </w:tcPr>
          <w:p w:rsidR="004F4F4D" w:rsidRPr="00A9153A" w:rsidRDefault="004F4F4D" w:rsidP="004F4F4D">
            <w:pPr>
              <w:jc w:val="both"/>
              <w:rPr>
                <w:rFonts w:ascii="Times New Roman" w:hAnsi="Times New Roman" w:cs="Times New Roman"/>
                <w:sz w:val="18"/>
                <w:lang w:val="es-MX"/>
              </w:rPr>
            </w:pPr>
            <w:r w:rsidRPr="00A9153A">
              <w:rPr>
                <w:rFonts w:ascii="Times New Roman" w:hAnsi="Times New Roman" w:cs="Times New Roman"/>
                <w:sz w:val="18"/>
                <w:lang w:val="es-MX"/>
              </w:rPr>
              <w:t xml:space="preserve">Economías emergentes </w:t>
            </w:r>
          </w:p>
        </w:tc>
        <w:tc>
          <w:tcPr>
            <w:tcW w:w="709" w:type="dxa"/>
            <w:tcBorders>
              <w:top w:val="dashed" w:sz="4" w:space="0" w:color="A6A6A6" w:themeColor="background1" w:themeShade="A6"/>
              <w:left w:val="dashed" w:sz="4" w:space="0" w:color="A6A6A6" w:themeColor="background1" w:themeShade="A6"/>
              <w:bottom w:val="dashed" w:sz="4" w:space="0" w:color="A6A6A6" w:themeColor="background1" w:themeShade="A6"/>
              <w:right w:val="dashed" w:sz="4" w:space="0" w:color="A6A6A6" w:themeColor="background1" w:themeShade="A6"/>
            </w:tcBorders>
            <w:vAlign w:val="center"/>
          </w:tcPr>
          <w:p w:rsidR="004F4F4D" w:rsidRPr="00A9153A" w:rsidRDefault="004F4F4D" w:rsidP="00AF68D3">
            <w:pPr>
              <w:jc w:val="center"/>
              <w:rPr>
                <w:rFonts w:ascii="Times New Roman" w:hAnsi="Times New Roman" w:cs="Times New Roman"/>
                <w:sz w:val="18"/>
                <w:lang w:val="es-MX"/>
              </w:rPr>
            </w:pPr>
            <w:r w:rsidRPr="00A9153A">
              <w:rPr>
                <w:rFonts w:ascii="Times New Roman" w:hAnsi="Times New Roman" w:cs="Times New Roman"/>
                <w:sz w:val="18"/>
                <w:lang w:val="es-MX"/>
              </w:rPr>
              <w:t>4.1</w:t>
            </w:r>
          </w:p>
        </w:tc>
        <w:tc>
          <w:tcPr>
            <w:tcW w:w="709" w:type="dxa"/>
            <w:tcBorders>
              <w:top w:val="dashed" w:sz="4" w:space="0" w:color="A6A6A6" w:themeColor="background1" w:themeShade="A6"/>
              <w:left w:val="dashed" w:sz="4" w:space="0" w:color="A6A6A6" w:themeColor="background1" w:themeShade="A6"/>
              <w:bottom w:val="dashed" w:sz="4" w:space="0" w:color="A6A6A6" w:themeColor="background1" w:themeShade="A6"/>
              <w:right w:val="dashed" w:sz="4" w:space="0" w:color="A6A6A6" w:themeColor="background1" w:themeShade="A6"/>
            </w:tcBorders>
            <w:vAlign w:val="center"/>
          </w:tcPr>
          <w:p w:rsidR="004F4F4D" w:rsidRPr="00A9153A" w:rsidRDefault="004F4F4D" w:rsidP="00AF68D3">
            <w:pPr>
              <w:jc w:val="center"/>
              <w:rPr>
                <w:rFonts w:ascii="Times New Roman" w:hAnsi="Times New Roman" w:cs="Times New Roman"/>
                <w:sz w:val="18"/>
                <w:lang w:val="es-MX"/>
              </w:rPr>
            </w:pPr>
            <w:r w:rsidRPr="00A9153A">
              <w:rPr>
                <w:rFonts w:ascii="Times New Roman" w:hAnsi="Times New Roman" w:cs="Times New Roman"/>
                <w:sz w:val="18"/>
                <w:lang w:val="es-MX"/>
              </w:rPr>
              <w:t>4.5</w:t>
            </w:r>
          </w:p>
        </w:tc>
        <w:tc>
          <w:tcPr>
            <w:tcW w:w="709" w:type="dxa"/>
            <w:tcBorders>
              <w:top w:val="dashed" w:sz="4" w:space="0" w:color="A6A6A6" w:themeColor="background1" w:themeShade="A6"/>
              <w:left w:val="dashed" w:sz="4" w:space="0" w:color="A6A6A6" w:themeColor="background1" w:themeShade="A6"/>
              <w:bottom w:val="dashed" w:sz="4" w:space="0" w:color="A6A6A6" w:themeColor="background1" w:themeShade="A6"/>
              <w:right w:val="nil"/>
            </w:tcBorders>
            <w:vAlign w:val="center"/>
          </w:tcPr>
          <w:p w:rsidR="004F4F4D" w:rsidRPr="00A9153A" w:rsidRDefault="004F4F4D" w:rsidP="00AF68D3">
            <w:pPr>
              <w:jc w:val="center"/>
              <w:rPr>
                <w:rFonts w:ascii="Times New Roman" w:hAnsi="Times New Roman" w:cs="Times New Roman"/>
                <w:sz w:val="18"/>
                <w:lang w:val="es-MX"/>
              </w:rPr>
            </w:pPr>
            <w:r w:rsidRPr="00A9153A">
              <w:rPr>
                <w:rFonts w:ascii="Times New Roman" w:hAnsi="Times New Roman" w:cs="Times New Roman"/>
                <w:sz w:val="18"/>
                <w:lang w:val="es-MX"/>
              </w:rPr>
              <w:t>4.8</w:t>
            </w:r>
          </w:p>
        </w:tc>
      </w:tr>
      <w:tr w:rsidR="00A9153A" w:rsidRPr="00A9153A" w:rsidTr="00385BA8">
        <w:tc>
          <w:tcPr>
            <w:tcW w:w="2268" w:type="dxa"/>
            <w:tcBorders>
              <w:top w:val="dashed" w:sz="4" w:space="0" w:color="A6A6A6" w:themeColor="background1" w:themeShade="A6"/>
              <w:left w:val="nil"/>
              <w:bottom w:val="dashed" w:sz="4" w:space="0" w:color="A6A6A6" w:themeColor="background1" w:themeShade="A6"/>
              <w:right w:val="dashed" w:sz="4" w:space="0" w:color="A6A6A6" w:themeColor="background1" w:themeShade="A6"/>
            </w:tcBorders>
          </w:tcPr>
          <w:p w:rsidR="004F4F4D" w:rsidRPr="00A9153A" w:rsidRDefault="004F4F4D" w:rsidP="00AF68D3">
            <w:pPr>
              <w:jc w:val="both"/>
              <w:rPr>
                <w:rFonts w:ascii="Times New Roman" w:hAnsi="Times New Roman" w:cs="Times New Roman"/>
                <w:sz w:val="18"/>
                <w:lang w:val="es-MX"/>
              </w:rPr>
            </w:pPr>
            <w:r w:rsidRPr="00A9153A">
              <w:rPr>
                <w:rFonts w:ascii="Times New Roman" w:hAnsi="Times New Roman" w:cs="Times New Roman"/>
                <w:sz w:val="18"/>
                <w:lang w:val="es-MX"/>
              </w:rPr>
              <w:t>China</w:t>
            </w:r>
          </w:p>
        </w:tc>
        <w:tc>
          <w:tcPr>
            <w:tcW w:w="709" w:type="dxa"/>
            <w:tcBorders>
              <w:top w:val="dashed" w:sz="4" w:space="0" w:color="A6A6A6" w:themeColor="background1" w:themeShade="A6"/>
              <w:left w:val="dashed" w:sz="4" w:space="0" w:color="A6A6A6" w:themeColor="background1" w:themeShade="A6"/>
              <w:bottom w:val="dashed" w:sz="4" w:space="0" w:color="A6A6A6" w:themeColor="background1" w:themeShade="A6"/>
              <w:right w:val="dashed" w:sz="4" w:space="0" w:color="A6A6A6" w:themeColor="background1" w:themeShade="A6"/>
            </w:tcBorders>
            <w:vAlign w:val="center"/>
          </w:tcPr>
          <w:p w:rsidR="004F4F4D" w:rsidRPr="00A9153A" w:rsidRDefault="004F4F4D" w:rsidP="00AF68D3">
            <w:pPr>
              <w:jc w:val="center"/>
              <w:rPr>
                <w:rFonts w:ascii="Times New Roman" w:hAnsi="Times New Roman" w:cs="Times New Roman"/>
                <w:sz w:val="18"/>
                <w:lang w:val="es-MX"/>
              </w:rPr>
            </w:pPr>
            <w:r w:rsidRPr="00A9153A">
              <w:rPr>
                <w:rFonts w:ascii="Times New Roman" w:hAnsi="Times New Roman" w:cs="Times New Roman"/>
                <w:sz w:val="18"/>
                <w:lang w:val="es-MX"/>
              </w:rPr>
              <w:t>6.7</w:t>
            </w:r>
          </w:p>
        </w:tc>
        <w:tc>
          <w:tcPr>
            <w:tcW w:w="709" w:type="dxa"/>
            <w:tcBorders>
              <w:top w:val="dashed" w:sz="4" w:space="0" w:color="A6A6A6" w:themeColor="background1" w:themeShade="A6"/>
              <w:left w:val="dashed" w:sz="4" w:space="0" w:color="A6A6A6" w:themeColor="background1" w:themeShade="A6"/>
              <w:bottom w:val="dashed" w:sz="4" w:space="0" w:color="A6A6A6" w:themeColor="background1" w:themeShade="A6"/>
              <w:right w:val="dashed" w:sz="4" w:space="0" w:color="A6A6A6" w:themeColor="background1" w:themeShade="A6"/>
            </w:tcBorders>
            <w:vAlign w:val="center"/>
          </w:tcPr>
          <w:p w:rsidR="004F4F4D" w:rsidRPr="00A9153A" w:rsidRDefault="004F4F4D" w:rsidP="00AF68D3">
            <w:pPr>
              <w:jc w:val="center"/>
              <w:rPr>
                <w:rFonts w:ascii="Times New Roman" w:hAnsi="Times New Roman" w:cs="Times New Roman"/>
                <w:sz w:val="18"/>
                <w:lang w:val="es-MX"/>
              </w:rPr>
            </w:pPr>
            <w:r w:rsidRPr="00A9153A">
              <w:rPr>
                <w:rFonts w:ascii="Times New Roman" w:hAnsi="Times New Roman" w:cs="Times New Roman"/>
                <w:sz w:val="18"/>
                <w:lang w:val="es-MX"/>
              </w:rPr>
              <w:t>6.6</w:t>
            </w:r>
          </w:p>
        </w:tc>
        <w:tc>
          <w:tcPr>
            <w:tcW w:w="709" w:type="dxa"/>
            <w:tcBorders>
              <w:top w:val="dashed" w:sz="4" w:space="0" w:color="A6A6A6" w:themeColor="background1" w:themeShade="A6"/>
              <w:left w:val="dashed" w:sz="4" w:space="0" w:color="A6A6A6" w:themeColor="background1" w:themeShade="A6"/>
              <w:bottom w:val="dashed" w:sz="4" w:space="0" w:color="A6A6A6" w:themeColor="background1" w:themeShade="A6"/>
              <w:right w:val="nil"/>
            </w:tcBorders>
            <w:vAlign w:val="center"/>
          </w:tcPr>
          <w:p w:rsidR="004F4F4D" w:rsidRPr="00A9153A" w:rsidRDefault="004F4F4D" w:rsidP="00AF68D3">
            <w:pPr>
              <w:jc w:val="center"/>
              <w:rPr>
                <w:rFonts w:ascii="Times New Roman" w:hAnsi="Times New Roman" w:cs="Times New Roman"/>
                <w:sz w:val="18"/>
                <w:lang w:val="es-MX"/>
              </w:rPr>
            </w:pPr>
            <w:r w:rsidRPr="00A9153A">
              <w:rPr>
                <w:rFonts w:ascii="Times New Roman" w:hAnsi="Times New Roman" w:cs="Times New Roman"/>
                <w:sz w:val="18"/>
                <w:lang w:val="es-MX"/>
              </w:rPr>
              <w:t>6.2</w:t>
            </w:r>
          </w:p>
        </w:tc>
      </w:tr>
      <w:tr w:rsidR="00A9153A" w:rsidRPr="00A9153A" w:rsidTr="00385BA8">
        <w:tc>
          <w:tcPr>
            <w:tcW w:w="2268" w:type="dxa"/>
            <w:tcBorders>
              <w:top w:val="dashed" w:sz="4" w:space="0" w:color="A6A6A6" w:themeColor="background1" w:themeShade="A6"/>
              <w:left w:val="nil"/>
              <w:bottom w:val="dashed" w:sz="4" w:space="0" w:color="A6A6A6" w:themeColor="background1" w:themeShade="A6"/>
              <w:right w:val="dashed" w:sz="4" w:space="0" w:color="A6A6A6" w:themeColor="background1" w:themeShade="A6"/>
            </w:tcBorders>
          </w:tcPr>
          <w:p w:rsidR="004F4F4D" w:rsidRPr="00A9153A" w:rsidRDefault="004F4F4D" w:rsidP="00AF68D3">
            <w:pPr>
              <w:jc w:val="both"/>
              <w:rPr>
                <w:rFonts w:ascii="Times New Roman" w:hAnsi="Times New Roman" w:cs="Times New Roman"/>
                <w:sz w:val="18"/>
                <w:lang w:val="es-MX"/>
              </w:rPr>
            </w:pPr>
            <w:r w:rsidRPr="00A9153A">
              <w:rPr>
                <w:rFonts w:ascii="Times New Roman" w:hAnsi="Times New Roman" w:cs="Times New Roman"/>
                <w:sz w:val="18"/>
                <w:lang w:val="es-MX"/>
              </w:rPr>
              <w:t>India</w:t>
            </w:r>
          </w:p>
        </w:tc>
        <w:tc>
          <w:tcPr>
            <w:tcW w:w="709" w:type="dxa"/>
            <w:tcBorders>
              <w:top w:val="dashed" w:sz="4" w:space="0" w:color="A6A6A6" w:themeColor="background1" w:themeShade="A6"/>
              <w:left w:val="dashed" w:sz="4" w:space="0" w:color="A6A6A6" w:themeColor="background1" w:themeShade="A6"/>
              <w:bottom w:val="dashed" w:sz="4" w:space="0" w:color="A6A6A6" w:themeColor="background1" w:themeShade="A6"/>
              <w:right w:val="dashed" w:sz="4" w:space="0" w:color="A6A6A6" w:themeColor="background1" w:themeShade="A6"/>
            </w:tcBorders>
            <w:vAlign w:val="center"/>
          </w:tcPr>
          <w:p w:rsidR="004F4F4D" w:rsidRPr="00A9153A" w:rsidRDefault="004F4F4D" w:rsidP="00AF68D3">
            <w:pPr>
              <w:jc w:val="center"/>
              <w:rPr>
                <w:rFonts w:ascii="Times New Roman" w:hAnsi="Times New Roman" w:cs="Times New Roman"/>
                <w:sz w:val="18"/>
                <w:lang w:val="es-MX"/>
              </w:rPr>
            </w:pPr>
            <w:r w:rsidRPr="00A9153A">
              <w:rPr>
                <w:rFonts w:ascii="Times New Roman" w:hAnsi="Times New Roman" w:cs="Times New Roman"/>
                <w:sz w:val="18"/>
                <w:lang w:val="es-MX"/>
              </w:rPr>
              <w:t>6.8</w:t>
            </w:r>
          </w:p>
        </w:tc>
        <w:tc>
          <w:tcPr>
            <w:tcW w:w="709" w:type="dxa"/>
            <w:tcBorders>
              <w:top w:val="dashed" w:sz="4" w:space="0" w:color="A6A6A6" w:themeColor="background1" w:themeShade="A6"/>
              <w:left w:val="dashed" w:sz="4" w:space="0" w:color="A6A6A6" w:themeColor="background1" w:themeShade="A6"/>
              <w:bottom w:val="dashed" w:sz="4" w:space="0" w:color="A6A6A6" w:themeColor="background1" w:themeShade="A6"/>
              <w:right w:val="dashed" w:sz="4" w:space="0" w:color="A6A6A6" w:themeColor="background1" w:themeShade="A6"/>
            </w:tcBorders>
            <w:vAlign w:val="center"/>
          </w:tcPr>
          <w:p w:rsidR="004F4F4D" w:rsidRPr="00A9153A" w:rsidRDefault="004F4F4D" w:rsidP="00AF68D3">
            <w:pPr>
              <w:jc w:val="center"/>
              <w:rPr>
                <w:rFonts w:ascii="Times New Roman" w:hAnsi="Times New Roman" w:cs="Times New Roman"/>
                <w:sz w:val="18"/>
                <w:lang w:val="es-MX"/>
              </w:rPr>
            </w:pPr>
            <w:r w:rsidRPr="00A9153A">
              <w:rPr>
                <w:rFonts w:ascii="Times New Roman" w:hAnsi="Times New Roman" w:cs="Times New Roman"/>
                <w:sz w:val="18"/>
                <w:lang w:val="es-MX"/>
              </w:rPr>
              <w:t>7.2</w:t>
            </w:r>
          </w:p>
        </w:tc>
        <w:tc>
          <w:tcPr>
            <w:tcW w:w="709" w:type="dxa"/>
            <w:tcBorders>
              <w:top w:val="dashed" w:sz="4" w:space="0" w:color="A6A6A6" w:themeColor="background1" w:themeShade="A6"/>
              <w:left w:val="dashed" w:sz="4" w:space="0" w:color="A6A6A6" w:themeColor="background1" w:themeShade="A6"/>
              <w:bottom w:val="dashed" w:sz="4" w:space="0" w:color="A6A6A6" w:themeColor="background1" w:themeShade="A6"/>
              <w:right w:val="nil"/>
            </w:tcBorders>
            <w:vAlign w:val="center"/>
          </w:tcPr>
          <w:p w:rsidR="004F4F4D" w:rsidRPr="00A9153A" w:rsidRDefault="004F4F4D" w:rsidP="00AF68D3">
            <w:pPr>
              <w:jc w:val="center"/>
              <w:rPr>
                <w:rFonts w:ascii="Times New Roman" w:hAnsi="Times New Roman" w:cs="Times New Roman"/>
                <w:sz w:val="18"/>
                <w:lang w:val="es-MX"/>
              </w:rPr>
            </w:pPr>
            <w:r w:rsidRPr="00A9153A">
              <w:rPr>
                <w:rFonts w:ascii="Times New Roman" w:hAnsi="Times New Roman" w:cs="Times New Roman"/>
                <w:sz w:val="18"/>
                <w:lang w:val="es-MX"/>
              </w:rPr>
              <w:t>7.7</w:t>
            </w:r>
          </w:p>
        </w:tc>
      </w:tr>
      <w:tr w:rsidR="00A9153A" w:rsidRPr="00A9153A" w:rsidTr="00385BA8">
        <w:tc>
          <w:tcPr>
            <w:tcW w:w="2268" w:type="dxa"/>
            <w:tcBorders>
              <w:top w:val="dashed" w:sz="4" w:space="0" w:color="A6A6A6" w:themeColor="background1" w:themeShade="A6"/>
              <w:left w:val="nil"/>
              <w:bottom w:val="dashed" w:sz="4" w:space="0" w:color="A6A6A6" w:themeColor="background1" w:themeShade="A6"/>
              <w:right w:val="dashed" w:sz="4" w:space="0" w:color="A6A6A6" w:themeColor="background1" w:themeShade="A6"/>
            </w:tcBorders>
          </w:tcPr>
          <w:p w:rsidR="004F4F4D" w:rsidRPr="00A9153A" w:rsidRDefault="004F4F4D" w:rsidP="004F4F4D">
            <w:pPr>
              <w:jc w:val="both"/>
              <w:rPr>
                <w:rFonts w:ascii="Times New Roman" w:hAnsi="Times New Roman" w:cs="Times New Roman"/>
                <w:sz w:val="18"/>
                <w:lang w:val="es-MX"/>
              </w:rPr>
            </w:pPr>
            <w:r w:rsidRPr="00A9153A">
              <w:rPr>
                <w:rFonts w:ascii="Times New Roman" w:hAnsi="Times New Roman" w:cs="Times New Roman"/>
                <w:sz w:val="18"/>
                <w:lang w:val="es-MX"/>
              </w:rPr>
              <w:t>América Latina y el Caribe</w:t>
            </w:r>
          </w:p>
        </w:tc>
        <w:tc>
          <w:tcPr>
            <w:tcW w:w="709" w:type="dxa"/>
            <w:tcBorders>
              <w:top w:val="dashed" w:sz="4" w:space="0" w:color="A6A6A6" w:themeColor="background1" w:themeShade="A6"/>
              <w:left w:val="dashed" w:sz="4" w:space="0" w:color="A6A6A6" w:themeColor="background1" w:themeShade="A6"/>
              <w:bottom w:val="dashed" w:sz="4" w:space="0" w:color="A6A6A6" w:themeColor="background1" w:themeShade="A6"/>
              <w:right w:val="dashed" w:sz="4" w:space="0" w:color="A6A6A6" w:themeColor="background1" w:themeShade="A6"/>
            </w:tcBorders>
            <w:vAlign w:val="center"/>
          </w:tcPr>
          <w:p w:rsidR="004F4F4D" w:rsidRPr="00A9153A" w:rsidRDefault="004F4F4D" w:rsidP="00AF68D3">
            <w:pPr>
              <w:jc w:val="center"/>
              <w:rPr>
                <w:rFonts w:ascii="Times New Roman" w:hAnsi="Times New Roman" w:cs="Times New Roman"/>
                <w:sz w:val="18"/>
                <w:lang w:val="es-MX"/>
              </w:rPr>
            </w:pPr>
            <w:r w:rsidRPr="00A9153A">
              <w:rPr>
                <w:rFonts w:ascii="Times New Roman" w:hAnsi="Times New Roman" w:cs="Times New Roman"/>
                <w:sz w:val="18"/>
                <w:lang w:val="es-MX"/>
              </w:rPr>
              <w:t>-0.1</w:t>
            </w:r>
          </w:p>
        </w:tc>
        <w:tc>
          <w:tcPr>
            <w:tcW w:w="709" w:type="dxa"/>
            <w:tcBorders>
              <w:top w:val="dashed" w:sz="4" w:space="0" w:color="A6A6A6" w:themeColor="background1" w:themeShade="A6"/>
              <w:left w:val="dashed" w:sz="4" w:space="0" w:color="A6A6A6" w:themeColor="background1" w:themeShade="A6"/>
              <w:bottom w:val="dashed" w:sz="4" w:space="0" w:color="A6A6A6" w:themeColor="background1" w:themeShade="A6"/>
              <w:right w:val="dashed" w:sz="4" w:space="0" w:color="A6A6A6" w:themeColor="background1" w:themeShade="A6"/>
            </w:tcBorders>
            <w:vAlign w:val="center"/>
          </w:tcPr>
          <w:p w:rsidR="004F4F4D" w:rsidRPr="00A9153A" w:rsidRDefault="004F4F4D" w:rsidP="00AF68D3">
            <w:pPr>
              <w:jc w:val="center"/>
              <w:rPr>
                <w:rFonts w:ascii="Times New Roman" w:hAnsi="Times New Roman" w:cs="Times New Roman"/>
                <w:sz w:val="18"/>
                <w:lang w:val="es-MX"/>
              </w:rPr>
            </w:pPr>
            <w:r w:rsidRPr="00A9153A">
              <w:rPr>
                <w:rFonts w:ascii="Times New Roman" w:hAnsi="Times New Roman" w:cs="Times New Roman"/>
                <w:sz w:val="18"/>
                <w:lang w:val="es-MX"/>
              </w:rPr>
              <w:t>1.1</w:t>
            </w:r>
          </w:p>
        </w:tc>
        <w:tc>
          <w:tcPr>
            <w:tcW w:w="709" w:type="dxa"/>
            <w:tcBorders>
              <w:top w:val="dashed" w:sz="4" w:space="0" w:color="A6A6A6" w:themeColor="background1" w:themeShade="A6"/>
              <w:left w:val="dashed" w:sz="4" w:space="0" w:color="A6A6A6" w:themeColor="background1" w:themeShade="A6"/>
              <w:bottom w:val="dashed" w:sz="4" w:space="0" w:color="A6A6A6" w:themeColor="background1" w:themeShade="A6"/>
              <w:right w:val="nil"/>
            </w:tcBorders>
            <w:vAlign w:val="center"/>
          </w:tcPr>
          <w:p w:rsidR="004F4F4D" w:rsidRPr="00A9153A" w:rsidRDefault="004F4F4D" w:rsidP="00AF68D3">
            <w:pPr>
              <w:jc w:val="center"/>
              <w:rPr>
                <w:rFonts w:ascii="Times New Roman" w:hAnsi="Times New Roman" w:cs="Times New Roman"/>
                <w:sz w:val="18"/>
                <w:lang w:val="es-MX"/>
              </w:rPr>
            </w:pPr>
            <w:r w:rsidRPr="00A9153A">
              <w:rPr>
                <w:rFonts w:ascii="Times New Roman" w:hAnsi="Times New Roman" w:cs="Times New Roman"/>
                <w:sz w:val="18"/>
                <w:lang w:val="es-MX"/>
              </w:rPr>
              <w:t>2.0</w:t>
            </w:r>
          </w:p>
        </w:tc>
      </w:tr>
      <w:tr w:rsidR="00A9153A" w:rsidRPr="00A9153A" w:rsidTr="00385BA8">
        <w:tc>
          <w:tcPr>
            <w:tcW w:w="2268" w:type="dxa"/>
            <w:tcBorders>
              <w:top w:val="dashed" w:sz="4" w:space="0" w:color="A6A6A6" w:themeColor="background1" w:themeShade="A6"/>
              <w:left w:val="nil"/>
              <w:bottom w:val="dashed" w:sz="4" w:space="0" w:color="A6A6A6" w:themeColor="background1" w:themeShade="A6"/>
              <w:right w:val="dashed" w:sz="4" w:space="0" w:color="A6A6A6" w:themeColor="background1" w:themeShade="A6"/>
            </w:tcBorders>
          </w:tcPr>
          <w:p w:rsidR="004F4F4D" w:rsidRPr="00A9153A" w:rsidRDefault="004F4F4D" w:rsidP="00AF68D3">
            <w:pPr>
              <w:jc w:val="both"/>
              <w:rPr>
                <w:rFonts w:ascii="Times New Roman" w:hAnsi="Times New Roman" w:cs="Times New Roman"/>
                <w:sz w:val="18"/>
                <w:lang w:val="es-MX"/>
              </w:rPr>
            </w:pPr>
            <w:r w:rsidRPr="00A9153A">
              <w:rPr>
                <w:rFonts w:ascii="Times New Roman" w:hAnsi="Times New Roman" w:cs="Times New Roman"/>
                <w:sz w:val="18"/>
                <w:lang w:val="es-MX"/>
              </w:rPr>
              <w:t>Brasil</w:t>
            </w:r>
          </w:p>
        </w:tc>
        <w:tc>
          <w:tcPr>
            <w:tcW w:w="709" w:type="dxa"/>
            <w:tcBorders>
              <w:top w:val="dashed" w:sz="4" w:space="0" w:color="A6A6A6" w:themeColor="background1" w:themeShade="A6"/>
              <w:left w:val="dashed" w:sz="4" w:space="0" w:color="A6A6A6" w:themeColor="background1" w:themeShade="A6"/>
              <w:bottom w:val="dashed" w:sz="4" w:space="0" w:color="A6A6A6" w:themeColor="background1" w:themeShade="A6"/>
              <w:right w:val="dashed" w:sz="4" w:space="0" w:color="A6A6A6" w:themeColor="background1" w:themeShade="A6"/>
            </w:tcBorders>
            <w:vAlign w:val="center"/>
          </w:tcPr>
          <w:p w:rsidR="004F4F4D" w:rsidRPr="00A9153A" w:rsidRDefault="004F4F4D" w:rsidP="00AF68D3">
            <w:pPr>
              <w:jc w:val="center"/>
              <w:rPr>
                <w:rFonts w:ascii="Times New Roman" w:hAnsi="Times New Roman" w:cs="Times New Roman"/>
                <w:sz w:val="18"/>
                <w:lang w:val="es-MX"/>
              </w:rPr>
            </w:pPr>
            <w:r w:rsidRPr="00A9153A">
              <w:rPr>
                <w:rFonts w:ascii="Times New Roman" w:hAnsi="Times New Roman" w:cs="Times New Roman"/>
                <w:sz w:val="18"/>
                <w:lang w:val="es-MX"/>
              </w:rPr>
              <w:t>-3.6</w:t>
            </w:r>
          </w:p>
        </w:tc>
        <w:tc>
          <w:tcPr>
            <w:tcW w:w="709" w:type="dxa"/>
            <w:tcBorders>
              <w:top w:val="dashed" w:sz="4" w:space="0" w:color="A6A6A6" w:themeColor="background1" w:themeShade="A6"/>
              <w:left w:val="dashed" w:sz="4" w:space="0" w:color="A6A6A6" w:themeColor="background1" w:themeShade="A6"/>
              <w:bottom w:val="dashed" w:sz="4" w:space="0" w:color="A6A6A6" w:themeColor="background1" w:themeShade="A6"/>
              <w:right w:val="dashed" w:sz="4" w:space="0" w:color="A6A6A6" w:themeColor="background1" w:themeShade="A6"/>
            </w:tcBorders>
            <w:vAlign w:val="center"/>
          </w:tcPr>
          <w:p w:rsidR="004F4F4D" w:rsidRPr="00A9153A" w:rsidRDefault="004F4F4D" w:rsidP="00AF68D3">
            <w:pPr>
              <w:jc w:val="center"/>
              <w:rPr>
                <w:rFonts w:ascii="Times New Roman" w:hAnsi="Times New Roman" w:cs="Times New Roman"/>
                <w:sz w:val="18"/>
                <w:lang w:val="es-MX"/>
              </w:rPr>
            </w:pPr>
            <w:r w:rsidRPr="00A9153A">
              <w:rPr>
                <w:rFonts w:ascii="Times New Roman" w:hAnsi="Times New Roman" w:cs="Times New Roman"/>
                <w:sz w:val="18"/>
                <w:lang w:val="es-MX"/>
              </w:rPr>
              <w:t>0.2</w:t>
            </w:r>
          </w:p>
        </w:tc>
        <w:tc>
          <w:tcPr>
            <w:tcW w:w="709" w:type="dxa"/>
            <w:tcBorders>
              <w:top w:val="dashed" w:sz="4" w:space="0" w:color="A6A6A6" w:themeColor="background1" w:themeShade="A6"/>
              <w:left w:val="dashed" w:sz="4" w:space="0" w:color="A6A6A6" w:themeColor="background1" w:themeShade="A6"/>
              <w:bottom w:val="dashed" w:sz="4" w:space="0" w:color="A6A6A6" w:themeColor="background1" w:themeShade="A6"/>
              <w:right w:val="nil"/>
            </w:tcBorders>
            <w:vAlign w:val="center"/>
          </w:tcPr>
          <w:p w:rsidR="004F4F4D" w:rsidRPr="00A9153A" w:rsidRDefault="004F4F4D" w:rsidP="00AF68D3">
            <w:pPr>
              <w:jc w:val="center"/>
              <w:rPr>
                <w:rFonts w:ascii="Times New Roman" w:hAnsi="Times New Roman" w:cs="Times New Roman"/>
                <w:sz w:val="18"/>
                <w:lang w:val="es-MX"/>
              </w:rPr>
            </w:pPr>
            <w:r w:rsidRPr="00A9153A">
              <w:rPr>
                <w:rFonts w:ascii="Times New Roman" w:hAnsi="Times New Roman" w:cs="Times New Roman"/>
                <w:sz w:val="18"/>
                <w:lang w:val="es-MX"/>
              </w:rPr>
              <w:t>1.7</w:t>
            </w:r>
          </w:p>
        </w:tc>
      </w:tr>
      <w:tr w:rsidR="00A9153A" w:rsidRPr="00A9153A" w:rsidTr="00385BA8">
        <w:tc>
          <w:tcPr>
            <w:tcW w:w="2268" w:type="dxa"/>
            <w:tcBorders>
              <w:top w:val="dashed" w:sz="4" w:space="0" w:color="A6A6A6" w:themeColor="background1" w:themeShade="A6"/>
              <w:left w:val="nil"/>
              <w:bottom w:val="single" w:sz="4" w:space="0" w:color="auto"/>
              <w:right w:val="dashed" w:sz="4" w:space="0" w:color="A6A6A6" w:themeColor="background1" w:themeShade="A6"/>
            </w:tcBorders>
          </w:tcPr>
          <w:p w:rsidR="004F4F4D" w:rsidRPr="00A9153A" w:rsidRDefault="004F4F4D" w:rsidP="00AF68D3">
            <w:pPr>
              <w:jc w:val="both"/>
              <w:rPr>
                <w:rFonts w:ascii="Times New Roman" w:hAnsi="Times New Roman" w:cs="Times New Roman"/>
                <w:sz w:val="18"/>
                <w:lang w:val="es-MX"/>
              </w:rPr>
            </w:pPr>
            <w:r w:rsidRPr="00A9153A">
              <w:rPr>
                <w:rFonts w:ascii="Times New Roman" w:hAnsi="Times New Roman" w:cs="Times New Roman"/>
                <w:sz w:val="18"/>
                <w:lang w:val="es-MX"/>
              </w:rPr>
              <w:t>México</w:t>
            </w:r>
          </w:p>
        </w:tc>
        <w:tc>
          <w:tcPr>
            <w:tcW w:w="709" w:type="dxa"/>
            <w:tcBorders>
              <w:top w:val="dashed" w:sz="4" w:space="0" w:color="A6A6A6" w:themeColor="background1" w:themeShade="A6"/>
              <w:left w:val="dashed" w:sz="4" w:space="0" w:color="A6A6A6" w:themeColor="background1" w:themeShade="A6"/>
              <w:bottom w:val="single" w:sz="4" w:space="0" w:color="auto"/>
              <w:right w:val="dashed" w:sz="4" w:space="0" w:color="A6A6A6" w:themeColor="background1" w:themeShade="A6"/>
            </w:tcBorders>
            <w:vAlign w:val="center"/>
          </w:tcPr>
          <w:p w:rsidR="004F4F4D" w:rsidRPr="00A9153A" w:rsidRDefault="004F4F4D" w:rsidP="00AF68D3">
            <w:pPr>
              <w:jc w:val="center"/>
              <w:rPr>
                <w:rFonts w:ascii="Times New Roman" w:hAnsi="Times New Roman" w:cs="Times New Roman"/>
                <w:sz w:val="18"/>
                <w:lang w:val="es-MX"/>
              </w:rPr>
            </w:pPr>
            <w:r w:rsidRPr="00A9153A">
              <w:rPr>
                <w:rFonts w:ascii="Times New Roman" w:hAnsi="Times New Roman" w:cs="Times New Roman"/>
                <w:sz w:val="18"/>
                <w:lang w:val="es-MX"/>
              </w:rPr>
              <w:t>2.3</w:t>
            </w:r>
          </w:p>
        </w:tc>
        <w:tc>
          <w:tcPr>
            <w:tcW w:w="709" w:type="dxa"/>
            <w:tcBorders>
              <w:top w:val="dashed" w:sz="4" w:space="0" w:color="A6A6A6" w:themeColor="background1" w:themeShade="A6"/>
              <w:left w:val="dashed" w:sz="4" w:space="0" w:color="A6A6A6" w:themeColor="background1" w:themeShade="A6"/>
              <w:bottom w:val="single" w:sz="4" w:space="0" w:color="auto"/>
              <w:right w:val="dashed" w:sz="4" w:space="0" w:color="A6A6A6" w:themeColor="background1" w:themeShade="A6"/>
            </w:tcBorders>
            <w:vAlign w:val="center"/>
          </w:tcPr>
          <w:p w:rsidR="004F4F4D" w:rsidRPr="00A9153A" w:rsidRDefault="004F4F4D" w:rsidP="00AF68D3">
            <w:pPr>
              <w:jc w:val="center"/>
              <w:rPr>
                <w:rFonts w:ascii="Times New Roman" w:hAnsi="Times New Roman" w:cs="Times New Roman"/>
                <w:sz w:val="18"/>
                <w:lang w:val="es-MX"/>
              </w:rPr>
            </w:pPr>
            <w:r w:rsidRPr="00A9153A">
              <w:rPr>
                <w:rFonts w:ascii="Times New Roman" w:hAnsi="Times New Roman" w:cs="Times New Roman"/>
                <w:sz w:val="18"/>
                <w:lang w:val="es-MX"/>
              </w:rPr>
              <w:t>1.7</w:t>
            </w:r>
          </w:p>
        </w:tc>
        <w:tc>
          <w:tcPr>
            <w:tcW w:w="709" w:type="dxa"/>
            <w:tcBorders>
              <w:top w:val="dashed" w:sz="4" w:space="0" w:color="A6A6A6" w:themeColor="background1" w:themeShade="A6"/>
              <w:left w:val="dashed" w:sz="4" w:space="0" w:color="A6A6A6" w:themeColor="background1" w:themeShade="A6"/>
              <w:bottom w:val="single" w:sz="4" w:space="0" w:color="auto"/>
              <w:right w:val="nil"/>
            </w:tcBorders>
            <w:vAlign w:val="center"/>
          </w:tcPr>
          <w:p w:rsidR="004F4F4D" w:rsidRPr="00A9153A" w:rsidRDefault="004F4F4D" w:rsidP="00AF68D3">
            <w:pPr>
              <w:jc w:val="center"/>
              <w:rPr>
                <w:rFonts w:ascii="Times New Roman" w:hAnsi="Times New Roman" w:cs="Times New Roman"/>
                <w:sz w:val="18"/>
                <w:lang w:val="es-MX"/>
              </w:rPr>
            </w:pPr>
            <w:r w:rsidRPr="00A9153A">
              <w:rPr>
                <w:rFonts w:ascii="Times New Roman" w:hAnsi="Times New Roman" w:cs="Times New Roman"/>
                <w:sz w:val="18"/>
                <w:lang w:val="es-MX"/>
              </w:rPr>
              <w:t>2.0</w:t>
            </w:r>
          </w:p>
        </w:tc>
      </w:tr>
    </w:tbl>
    <w:p w:rsidR="004F4F4D" w:rsidRPr="00A9153A" w:rsidRDefault="00DF3C7A" w:rsidP="009F628A">
      <w:pPr>
        <w:pStyle w:val="Sinespaciado"/>
        <w:jc w:val="both"/>
        <w:rPr>
          <w:rFonts w:ascii="Times New Roman" w:hAnsi="Times New Roman" w:cs="Times New Roman"/>
          <w:sz w:val="16"/>
          <w:lang w:val="es-MX"/>
        </w:rPr>
      </w:pPr>
      <w:r w:rsidRPr="00A9153A">
        <w:rPr>
          <w:rFonts w:ascii="Times New Roman" w:hAnsi="Times New Roman" w:cs="Times New Roman"/>
          <w:sz w:val="16"/>
          <w:lang w:val="es-MX"/>
        </w:rPr>
        <w:t>Fuente: FMI, informe WEO edición abril 2017.</w:t>
      </w:r>
    </w:p>
    <w:p w:rsidR="00202594" w:rsidRPr="00A9153A" w:rsidRDefault="00202594" w:rsidP="00A900E8">
      <w:pPr>
        <w:pStyle w:val="Sinespaciado"/>
        <w:jc w:val="both"/>
        <w:rPr>
          <w:rFonts w:ascii="Times New Roman" w:hAnsi="Times New Roman" w:cs="Times New Roman"/>
          <w:lang w:val="es-MX"/>
        </w:rPr>
      </w:pPr>
    </w:p>
    <w:p w:rsidR="00A900E8" w:rsidRPr="00A9153A" w:rsidRDefault="00A9153A" w:rsidP="00A900E8">
      <w:pPr>
        <w:pStyle w:val="Sinespaciado"/>
        <w:jc w:val="both"/>
        <w:rPr>
          <w:rFonts w:ascii="Times New Roman" w:hAnsi="Times New Roman" w:cs="Times New Roman"/>
        </w:rPr>
      </w:pPr>
      <w:r w:rsidRPr="00A9153A">
        <w:rPr>
          <w:rFonts w:ascii="Times New Roman" w:hAnsi="Times New Roman" w:cs="Times New Roman"/>
          <w:lang w:val="es-MX"/>
        </w:rPr>
        <w:t>Este mes</w:t>
      </w:r>
      <w:r w:rsidR="007859CD" w:rsidRPr="00A9153A">
        <w:rPr>
          <w:rFonts w:ascii="Times New Roman" w:hAnsi="Times New Roman" w:cs="Times New Roman"/>
          <w:lang w:val="es-MX"/>
        </w:rPr>
        <w:t xml:space="preserve">, </w:t>
      </w:r>
      <w:r w:rsidR="007859CD" w:rsidRPr="00A9153A">
        <w:rPr>
          <w:rFonts w:ascii="Times New Roman" w:hAnsi="Times New Roman" w:cs="Times New Roman"/>
        </w:rPr>
        <w:t>la Fed</w:t>
      </w:r>
      <w:r w:rsidR="00A900E8" w:rsidRPr="00A9153A">
        <w:rPr>
          <w:rFonts w:ascii="Times New Roman" w:hAnsi="Times New Roman" w:cs="Times New Roman"/>
        </w:rPr>
        <w:t xml:space="preserve"> mantuvo estables los tipos de interés</w:t>
      </w:r>
      <w:r w:rsidR="007859CD" w:rsidRPr="00A9153A">
        <w:rPr>
          <w:rFonts w:ascii="Times New Roman" w:hAnsi="Times New Roman" w:cs="Times New Roman"/>
        </w:rPr>
        <w:t xml:space="preserve"> de referencia en el rango del 0.75% al 1.</w:t>
      </w:r>
      <w:r w:rsidR="00A900E8" w:rsidRPr="00A9153A">
        <w:rPr>
          <w:rFonts w:ascii="Times New Roman" w:hAnsi="Times New Roman" w:cs="Times New Roman"/>
        </w:rPr>
        <w:t>0</w:t>
      </w:r>
      <w:r w:rsidR="007859CD" w:rsidRPr="00A9153A">
        <w:rPr>
          <w:rFonts w:ascii="Times New Roman" w:hAnsi="Times New Roman" w:cs="Times New Roman"/>
        </w:rPr>
        <w:t>0</w:t>
      </w:r>
      <w:r w:rsidR="00A900E8" w:rsidRPr="00A9153A">
        <w:rPr>
          <w:rFonts w:ascii="Times New Roman" w:hAnsi="Times New Roman" w:cs="Times New Roman"/>
        </w:rPr>
        <w:t>%;</w:t>
      </w:r>
      <w:r w:rsidR="00546650" w:rsidRPr="00A9153A">
        <w:rPr>
          <w:rFonts w:ascii="Times New Roman" w:hAnsi="Times New Roman" w:cs="Times New Roman"/>
        </w:rPr>
        <w:t xml:space="preserve"> en su comunicado minimizaron datos que mostraron un ritmo anual de crecimiento de 0.7% durante el primer trimestre 2017, muy por debajo de los pronósticos y respecto al avance del 2.1% del último trimestre de 2016 y enfatizaron la fortaleza del mercado laboral, que en abril la tasa de desempleo </w:t>
      </w:r>
      <w:r w:rsidR="00447F4F" w:rsidRPr="00A9153A">
        <w:rPr>
          <w:rFonts w:ascii="Times New Roman" w:hAnsi="Times New Roman" w:cs="Times New Roman"/>
        </w:rPr>
        <w:t>bajo hasta el 4.4% con incrementos de empleo</w:t>
      </w:r>
      <w:r w:rsidR="00546650" w:rsidRPr="00A9153A">
        <w:rPr>
          <w:rFonts w:ascii="Times New Roman" w:hAnsi="Times New Roman" w:cs="Times New Roman"/>
        </w:rPr>
        <w:t xml:space="preserve"> en los sectores de recreación y hostelería, salud y ayuda social, así como también en servicios profesionales y empresariales</w:t>
      </w:r>
      <w:r w:rsidR="00447F4F" w:rsidRPr="00A9153A">
        <w:rPr>
          <w:rFonts w:ascii="Times New Roman" w:hAnsi="Times New Roman" w:cs="Times New Roman"/>
        </w:rPr>
        <w:t>, esto en conjunto, produce</w:t>
      </w:r>
      <w:r w:rsidR="00546650" w:rsidRPr="00A9153A">
        <w:rPr>
          <w:rFonts w:ascii="Times New Roman" w:hAnsi="Times New Roman" w:cs="Times New Roman"/>
        </w:rPr>
        <w:t xml:space="preserve"> una señal de que</w:t>
      </w:r>
      <w:r w:rsidR="00447F4F" w:rsidRPr="00A9153A">
        <w:rPr>
          <w:rFonts w:ascii="Times New Roman" w:hAnsi="Times New Roman" w:cs="Times New Roman"/>
        </w:rPr>
        <w:t xml:space="preserve"> la Fed</w:t>
      </w:r>
      <w:r w:rsidR="00546650" w:rsidRPr="00A9153A">
        <w:rPr>
          <w:rFonts w:ascii="Times New Roman" w:hAnsi="Times New Roman" w:cs="Times New Roman"/>
        </w:rPr>
        <w:t xml:space="preserve"> sigue en camino a endurecer su política monetaria en el corto plazo.</w:t>
      </w:r>
    </w:p>
    <w:p w:rsidR="00CF5AB1" w:rsidRPr="00A9153A" w:rsidRDefault="00CF5AB1" w:rsidP="00A900E8">
      <w:pPr>
        <w:pStyle w:val="Sinespaciado"/>
        <w:jc w:val="both"/>
        <w:rPr>
          <w:rFonts w:ascii="Times New Roman" w:hAnsi="Times New Roman" w:cs="Times New Roman"/>
          <w:sz w:val="20"/>
        </w:rPr>
      </w:pPr>
    </w:p>
    <w:p w:rsidR="00CF5AB1" w:rsidRPr="00A9153A" w:rsidRDefault="00CF5AB1" w:rsidP="00CF5AB1">
      <w:pPr>
        <w:pStyle w:val="Sinespaciado"/>
        <w:jc w:val="both"/>
        <w:rPr>
          <w:rFonts w:ascii="Times New Roman" w:hAnsi="Times New Roman" w:cs="Times New Roman"/>
          <w:lang w:val="es-MX"/>
        </w:rPr>
      </w:pPr>
      <w:r w:rsidRPr="00A9153A">
        <w:rPr>
          <w:rFonts w:ascii="Times New Roman" w:hAnsi="Times New Roman" w:cs="Times New Roman"/>
        </w:rPr>
        <w:t xml:space="preserve">El PIB de la zona euro registró en el primer trimestre de 2017 un crecimiento del 0.5%, de acuerdo a la información de la oficina europea de estadística, a pesar de las incertidumbres que caen sobre su economía, como el Brexit o las elecciones en Francia. </w:t>
      </w:r>
      <w:r w:rsidR="00FC3884" w:rsidRPr="00A9153A">
        <w:rPr>
          <w:rFonts w:ascii="Times New Roman" w:hAnsi="Times New Roman" w:cs="Times New Roman"/>
          <w:lang w:val="es-MX"/>
        </w:rPr>
        <w:t xml:space="preserve">La confianza de los consumidores creció un 1.4% en la eurozona y un 0.8% en el conjunto de la Unión Europea durante abril con respecto a marzo, según el indicador adelantado difundido por la Comisión Europea.  </w:t>
      </w:r>
      <w:r w:rsidRPr="00A9153A">
        <w:rPr>
          <w:rFonts w:ascii="Times New Roman" w:hAnsi="Times New Roman" w:cs="Times New Roman"/>
          <w:lang w:val="es-MX"/>
        </w:rPr>
        <w:t xml:space="preserve">La primera lectura del PMI elaborado por IHS Markit subió a 56.7 desde 56.4 en marzo.  </w:t>
      </w:r>
    </w:p>
    <w:p w:rsidR="00A9153A" w:rsidRPr="00A9153A" w:rsidRDefault="00A9153A" w:rsidP="00CF5AB1">
      <w:pPr>
        <w:pStyle w:val="Sinespaciado"/>
        <w:jc w:val="both"/>
        <w:rPr>
          <w:rFonts w:ascii="Times New Roman" w:hAnsi="Times New Roman" w:cs="Times New Roman"/>
          <w:lang w:val="es-MX"/>
        </w:rPr>
      </w:pPr>
    </w:p>
    <w:p w:rsidR="00C91204" w:rsidRPr="00A9153A" w:rsidRDefault="00C91204" w:rsidP="008718E5">
      <w:pPr>
        <w:spacing w:after="0" w:line="240" w:lineRule="auto"/>
        <w:jc w:val="both"/>
        <w:rPr>
          <w:rFonts w:ascii="Times New Roman" w:hAnsi="Times New Roman" w:cs="Times New Roman"/>
          <w:lang w:val="es-MX"/>
        </w:rPr>
      </w:pPr>
      <w:r w:rsidRPr="00A9153A">
        <w:rPr>
          <w:rFonts w:ascii="Times New Roman" w:hAnsi="Times New Roman" w:cs="Times New Roman"/>
          <w:lang w:val="es-MX"/>
        </w:rPr>
        <w:t>E</w:t>
      </w:r>
      <w:r w:rsidR="00640B12" w:rsidRPr="00A9153A">
        <w:rPr>
          <w:rFonts w:ascii="Times New Roman" w:hAnsi="Times New Roman" w:cs="Times New Roman"/>
          <w:lang w:val="es-MX"/>
        </w:rPr>
        <w:t>n e</w:t>
      </w:r>
      <w:r w:rsidRPr="00A9153A">
        <w:rPr>
          <w:rFonts w:ascii="Times New Roman" w:hAnsi="Times New Roman" w:cs="Times New Roman"/>
          <w:lang w:val="es-MX"/>
        </w:rPr>
        <w:t>l entorno interno</w:t>
      </w:r>
      <w:r w:rsidR="00640B12" w:rsidRPr="00A9153A">
        <w:rPr>
          <w:rFonts w:ascii="Times New Roman" w:hAnsi="Times New Roman" w:cs="Times New Roman"/>
          <w:lang w:val="es-MX"/>
        </w:rPr>
        <w:t>,</w:t>
      </w:r>
      <w:r w:rsidRPr="00A9153A">
        <w:rPr>
          <w:rFonts w:ascii="Times New Roman" w:hAnsi="Times New Roman" w:cs="Times New Roman"/>
          <w:lang w:val="es-MX"/>
        </w:rPr>
        <w:t xml:space="preserve"> la percepción sobre la situación económica actual y el ambiente para los negocios</w:t>
      </w:r>
      <w:r w:rsidR="00640B12" w:rsidRPr="00A9153A">
        <w:rPr>
          <w:rFonts w:ascii="Times New Roman" w:hAnsi="Times New Roman" w:cs="Times New Roman"/>
          <w:lang w:val="es-MX"/>
        </w:rPr>
        <w:t xml:space="preserve"> continúa mejorando respecto a lo observado durante </w:t>
      </w:r>
      <w:r w:rsidR="00AA54A5" w:rsidRPr="00A9153A">
        <w:rPr>
          <w:rFonts w:ascii="Times New Roman" w:hAnsi="Times New Roman" w:cs="Times New Roman"/>
          <w:lang w:val="es-MX"/>
        </w:rPr>
        <w:t>los primeros tres meses</w:t>
      </w:r>
      <w:r w:rsidR="00640B12" w:rsidRPr="00A9153A">
        <w:rPr>
          <w:rFonts w:ascii="Times New Roman" w:hAnsi="Times New Roman" w:cs="Times New Roman"/>
          <w:lang w:val="es-MX"/>
        </w:rPr>
        <w:t xml:space="preserve"> del año, en abril </w:t>
      </w:r>
      <w:r w:rsidRPr="00A9153A">
        <w:rPr>
          <w:rFonts w:ascii="Times New Roman" w:hAnsi="Times New Roman" w:cs="Times New Roman"/>
          <w:lang w:val="es-MX"/>
        </w:rPr>
        <w:t xml:space="preserve">el nivel </w:t>
      </w:r>
      <w:r w:rsidR="00640B12" w:rsidRPr="00A9153A">
        <w:rPr>
          <w:rFonts w:ascii="Times New Roman" w:hAnsi="Times New Roman" w:cs="Times New Roman"/>
          <w:lang w:val="es-MX"/>
        </w:rPr>
        <w:t>d</w:t>
      </w:r>
      <w:r w:rsidRPr="00A9153A">
        <w:rPr>
          <w:rFonts w:ascii="Times New Roman" w:hAnsi="Times New Roman" w:cs="Times New Roman"/>
          <w:lang w:val="es-MX"/>
        </w:rPr>
        <w:t>e Confianza de la Ac</w:t>
      </w:r>
      <w:r w:rsidR="00640B12" w:rsidRPr="00A9153A">
        <w:rPr>
          <w:rFonts w:ascii="Times New Roman" w:hAnsi="Times New Roman" w:cs="Times New Roman"/>
          <w:lang w:val="es-MX"/>
        </w:rPr>
        <w:t>tividad Económica se situó en 54.17</w:t>
      </w:r>
      <w:r w:rsidRPr="00A9153A">
        <w:rPr>
          <w:rFonts w:ascii="Times New Roman" w:hAnsi="Times New Roman" w:cs="Times New Roman"/>
          <w:lang w:val="es-MX"/>
        </w:rPr>
        <w:t xml:space="preserve"> puntos,</w:t>
      </w:r>
      <w:r w:rsidR="00640B12" w:rsidRPr="00A9153A">
        <w:rPr>
          <w:rFonts w:ascii="Times New Roman" w:hAnsi="Times New Roman" w:cs="Times New Roman"/>
          <w:lang w:val="es-MX"/>
        </w:rPr>
        <w:t xml:space="preserve"> superior en 8.3</w:t>
      </w:r>
      <w:r w:rsidRPr="00A9153A">
        <w:rPr>
          <w:rFonts w:ascii="Times New Roman" w:hAnsi="Times New Roman" w:cs="Times New Roman"/>
          <w:lang w:val="es-MX"/>
        </w:rPr>
        <w:t xml:space="preserve">4% con respecto al registrado </w:t>
      </w:r>
      <w:r w:rsidR="00640B12" w:rsidRPr="00A9153A">
        <w:rPr>
          <w:rFonts w:ascii="Times New Roman" w:hAnsi="Times New Roman" w:cs="Times New Roman"/>
          <w:lang w:val="es-MX"/>
        </w:rPr>
        <w:t>en marzo, aunque es menor en 13.33</w:t>
      </w:r>
      <w:r w:rsidRPr="00A9153A">
        <w:rPr>
          <w:rFonts w:ascii="Times New Roman" w:hAnsi="Times New Roman" w:cs="Times New Roman"/>
          <w:lang w:val="es-MX"/>
        </w:rPr>
        <w:t>% respecto al</w:t>
      </w:r>
      <w:r w:rsidR="00640B12" w:rsidRPr="00A9153A">
        <w:rPr>
          <w:rFonts w:ascii="Times New Roman" w:hAnsi="Times New Roman" w:cs="Times New Roman"/>
          <w:lang w:val="es-MX"/>
        </w:rPr>
        <w:t xml:space="preserve"> valor</w:t>
      </w:r>
      <w:r w:rsidRPr="00A9153A">
        <w:rPr>
          <w:rFonts w:ascii="Times New Roman" w:hAnsi="Times New Roman" w:cs="Times New Roman"/>
          <w:lang w:val="es-MX"/>
        </w:rPr>
        <w:t xml:space="preserve"> registrado en </w:t>
      </w:r>
      <w:r w:rsidR="00640B12" w:rsidRPr="00A9153A">
        <w:rPr>
          <w:rFonts w:ascii="Times New Roman" w:hAnsi="Times New Roman" w:cs="Times New Roman"/>
          <w:lang w:val="es-MX"/>
        </w:rPr>
        <w:t>abril</w:t>
      </w:r>
      <w:r w:rsidRPr="00A9153A">
        <w:rPr>
          <w:rFonts w:ascii="Times New Roman" w:hAnsi="Times New Roman" w:cs="Times New Roman"/>
          <w:lang w:val="es-MX"/>
        </w:rPr>
        <w:t xml:space="preserve"> 2016.</w:t>
      </w:r>
      <w:r w:rsidR="008718E5" w:rsidRPr="00A9153A">
        <w:rPr>
          <w:rFonts w:ascii="Times New Roman" w:hAnsi="Times New Roman" w:cs="Times New Roman"/>
          <w:lang w:val="es-MX"/>
        </w:rPr>
        <w:t xml:space="preserve"> </w:t>
      </w:r>
      <w:r w:rsidR="00640B12" w:rsidRPr="00A9153A">
        <w:rPr>
          <w:rFonts w:ascii="Times New Roman" w:hAnsi="Times New Roman" w:cs="Times New Roman"/>
          <w:lang w:val="es-MX"/>
        </w:rPr>
        <w:t>De los analistas económicos entrevistados para elaborar el índice de confianza de la actividad económica, el 66.7</w:t>
      </w:r>
      <w:r w:rsidRPr="00A9153A">
        <w:rPr>
          <w:rFonts w:ascii="Times New Roman" w:hAnsi="Times New Roman" w:cs="Times New Roman"/>
          <w:lang w:val="es-MX"/>
        </w:rPr>
        <w:t>% de los analistas consideran que no existirá cambio en el clima de los negocios para las actividades productivas del sector privado en los próximos seis meses; el 66.7% considera que la economía no es</w:t>
      </w:r>
      <w:r w:rsidR="00640B12" w:rsidRPr="00A9153A">
        <w:rPr>
          <w:rFonts w:ascii="Times New Roman" w:hAnsi="Times New Roman" w:cs="Times New Roman"/>
          <w:lang w:val="es-MX"/>
        </w:rPr>
        <w:t>tá mejor que hace un año y el 53.3</w:t>
      </w:r>
      <w:r w:rsidRPr="00A9153A">
        <w:rPr>
          <w:rFonts w:ascii="Times New Roman" w:hAnsi="Times New Roman" w:cs="Times New Roman"/>
          <w:lang w:val="es-MX"/>
        </w:rPr>
        <w:t>% espera que la evolución económica del país mejore durante los próximos seis meses.</w:t>
      </w:r>
    </w:p>
    <w:p w:rsidR="00C91204" w:rsidRPr="00A9153A" w:rsidRDefault="00C91204" w:rsidP="00C91204">
      <w:pPr>
        <w:spacing w:after="0"/>
        <w:jc w:val="both"/>
        <w:rPr>
          <w:rFonts w:ascii="Times New Roman" w:hAnsi="Times New Roman" w:cs="Times New Roman"/>
          <w:lang w:val="es-MX"/>
        </w:rPr>
      </w:pPr>
    </w:p>
    <w:p w:rsidR="00C91204" w:rsidRPr="00A9153A" w:rsidRDefault="00640B12" w:rsidP="00C91204">
      <w:pPr>
        <w:pStyle w:val="Prrafodelista"/>
        <w:spacing w:line="223" w:lineRule="auto"/>
        <w:ind w:left="0"/>
        <w:jc w:val="both"/>
        <w:rPr>
          <w:rFonts w:ascii="Times New Roman" w:hAnsi="Times New Roman" w:cs="Times New Roman"/>
          <w:lang w:val="es-MX"/>
        </w:rPr>
      </w:pPr>
      <w:r w:rsidRPr="00A9153A">
        <w:rPr>
          <w:rFonts w:ascii="Times New Roman" w:hAnsi="Times New Roman" w:cs="Times New Roman"/>
          <w:lang w:val="es-MX"/>
        </w:rPr>
        <w:t>Así mismo, el panel de analistas</w:t>
      </w:r>
      <w:r w:rsidR="00A9153A" w:rsidRPr="00A9153A">
        <w:rPr>
          <w:rFonts w:ascii="Times New Roman" w:hAnsi="Times New Roman" w:cs="Times New Roman"/>
          <w:lang w:val="es-MX"/>
        </w:rPr>
        <w:t xml:space="preserve"> económicos entrevistados</w:t>
      </w:r>
      <w:r w:rsidRPr="00A9153A">
        <w:rPr>
          <w:rFonts w:ascii="Times New Roman" w:hAnsi="Times New Roman" w:cs="Times New Roman"/>
          <w:lang w:val="es-MX"/>
        </w:rPr>
        <w:t xml:space="preserve"> </w:t>
      </w:r>
      <w:r w:rsidR="00C91204" w:rsidRPr="00A9153A">
        <w:rPr>
          <w:rFonts w:ascii="Times New Roman" w:hAnsi="Times New Roman" w:cs="Times New Roman"/>
          <w:lang w:val="es-MX"/>
        </w:rPr>
        <w:t>esper</w:t>
      </w:r>
      <w:r w:rsidRPr="00A9153A">
        <w:rPr>
          <w:rFonts w:ascii="Times New Roman" w:hAnsi="Times New Roman" w:cs="Times New Roman"/>
          <w:lang w:val="es-MX"/>
        </w:rPr>
        <w:t>a un ritmo inflacionario de 4.07</w:t>
      </w:r>
      <w:r w:rsidR="00C91204" w:rsidRPr="00A9153A">
        <w:rPr>
          <w:rFonts w:ascii="Times New Roman" w:hAnsi="Times New Roman" w:cs="Times New Roman"/>
          <w:lang w:val="es-MX"/>
        </w:rPr>
        <w:t xml:space="preserve">% </w:t>
      </w:r>
      <w:r w:rsidRPr="00A9153A">
        <w:rPr>
          <w:rFonts w:ascii="Times New Roman" w:hAnsi="Times New Roman" w:cs="Times New Roman"/>
          <w:lang w:val="es-MX"/>
        </w:rPr>
        <w:t>para abril, 4.12</w:t>
      </w:r>
      <w:r w:rsidR="00C91204" w:rsidRPr="00A9153A">
        <w:rPr>
          <w:rFonts w:ascii="Times New Roman" w:hAnsi="Times New Roman" w:cs="Times New Roman"/>
          <w:lang w:val="es-MX"/>
        </w:rPr>
        <w:t>% para ma</w:t>
      </w:r>
      <w:r w:rsidRPr="00A9153A">
        <w:rPr>
          <w:rFonts w:ascii="Times New Roman" w:hAnsi="Times New Roman" w:cs="Times New Roman"/>
          <w:lang w:val="es-MX"/>
        </w:rPr>
        <w:t>yo y 4.21% para junio</w:t>
      </w:r>
      <w:r w:rsidR="00C91204" w:rsidRPr="00A9153A">
        <w:rPr>
          <w:rFonts w:ascii="Times New Roman" w:hAnsi="Times New Roman" w:cs="Times New Roman"/>
          <w:lang w:val="es-MX"/>
        </w:rPr>
        <w:t xml:space="preserve"> 2017; en un horizonte de 12 y 24 me</w:t>
      </w:r>
      <w:r w:rsidRPr="00A9153A">
        <w:rPr>
          <w:rFonts w:ascii="Times New Roman" w:hAnsi="Times New Roman" w:cs="Times New Roman"/>
          <w:lang w:val="es-MX"/>
        </w:rPr>
        <w:t>ses se esperaría un ritmo de 4.50% y 4.59</w:t>
      </w:r>
      <w:r w:rsidR="00C91204" w:rsidRPr="00A9153A">
        <w:rPr>
          <w:rFonts w:ascii="Times New Roman" w:hAnsi="Times New Roman" w:cs="Times New Roman"/>
          <w:lang w:val="es-MX"/>
        </w:rPr>
        <w:t>% respectivamente.</w:t>
      </w:r>
    </w:p>
    <w:p w:rsidR="00C91204" w:rsidRPr="00A9153A" w:rsidRDefault="00C91204" w:rsidP="00C91204">
      <w:pPr>
        <w:pStyle w:val="Prrafodelista"/>
        <w:spacing w:line="223" w:lineRule="auto"/>
        <w:ind w:left="0"/>
        <w:jc w:val="both"/>
        <w:rPr>
          <w:rFonts w:ascii="Times New Roman" w:hAnsi="Times New Roman" w:cs="Times New Roman"/>
          <w:lang w:val="es-MX"/>
        </w:rPr>
      </w:pPr>
    </w:p>
    <w:p w:rsidR="002C482A" w:rsidRPr="00A9153A" w:rsidRDefault="002C482A" w:rsidP="002C482A">
      <w:pPr>
        <w:pStyle w:val="Sinespaciado"/>
        <w:jc w:val="both"/>
        <w:rPr>
          <w:rFonts w:ascii="Times New Roman" w:hAnsi="Times New Roman" w:cs="Times New Roman"/>
          <w:lang w:val="es-MX"/>
        </w:rPr>
      </w:pPr>
      <w:r w:rsidRPr="00A9153A">
        <w:rPr>
          <w:rFonts w:ascii="Times New Roman" w:hAnsi="Times New Roman" w:cs="Times New Roman"/>
          <w:lang w:val="es-MX"/>
        </w:rPr>
        <w:t xml:space="preserve">El comportamiento de la actividad económica medida a través del  IMAE, muestra que existió un crecimiento de 3.2% en marzo 2017, mayor que el 2.0% del mismo mes del 2016; el </w:t>
      </w:r>
      <w:r w:rsidRPr="00A9153A">
        <w:rPr>
          <w:rFonts w:ascii="Times New Roman" w:hAnsi="Times New Roman" w:cs="Times New Roman"/>
          <w:lang w:val="es-MX"/>
        </w:rPr>
        <w:lastRenderedPageBreak/>
        <w:t xml:space="preserve">resultado, de acuerdo a la publicación de abril del Banco de Guatemala, estuvo impulsado por el desempeño positivo de las actividades económicas como Industrias manufactureras, Transporte, almacenamiento y comunicaciones, Comercio al por mayor y menor y Servicios privados.   Se esperaría que el ritmo de la actividad económica continúe evolucionando </w:t>
      </w:r>
      <w:r w:rsidRPr="00A9153A">
        <w:rPr>
          <w:rFonts w:ascii="Times New Roman" w:hAnsi="Times New Roman" w:cs="Times New Roman"/>
          <w:lang w:val="es-MX"/>
        </w:rPr>
        <w:lastRenderedPageBreak/>
        <w:t xml:space="preserve">positivamente debido al estímulo que provocan los precios de los combustibles, el tipo de cambio nominal y el fortalecimiento del mercado interno.   </w:t>
      </w:r>
    </w:p>
    <w:p w:rsidR="002C482A" w:rsidRPr="000813C5" w:rsidRDefault="002C482A" w:rsidP="00C91204">
      <w:pPr>
        <w:pStyle w:val="Prrafodelista"/>
        <w:spacing w:line="223" w:lineRule="auto"/>
        <w:ind w:left="0"/>
        <w:jc w:val="both"/>
        <w:rPr>
          <w:rFonts w:ascii="Times New Roman" w:hAnsi="Times New Roman" w:cs="Times New Roman"/>
          <w:color w:val="FF0000"/>
          <w:lang w:val="es-MX"/>
        </w:rPr>
      </w:pPr>
    </w:p>
    <w:p w:rsidR="00B26014" w:rsidRPr="000813C5" w:rsidRDefault="00B26014" w:rsidP="001C3649">
      <w:pPr>
        <w:spacing w:after="0" w:line="240" w:lineRule="auto"/>
        <w:jc w:val="both"/>
        <w:rPr>
          <w:rFonts w:ascii="Times New Roman" w:hAnsi="Times New Roman" w:cs="Times New Roman"/>
          <w:color w:val="FF0000"/>
          <w:sz w:val="20"/>
          <w:lang w:val="es-MX"/>
        </w:rPr>
      </w:pPr>
    </w:p>
    <w:p w:rsidR="008718E5" w:rsidRPr="000813C5" w:rsidRDefault="001C3649" w:rsidP="001C3649">
      <w:pPr>
        <w:spacing w:after="0" w:line="240" w:lineRule="auto"/>
        <w:jc w:val="both"/>
        <w:rPr>
          <w:rFonts w:ascii="Times New Roman" w:hAnsi="Times New Roman" w:cs="Times New Roman"/>
          <w:color w:val="FF0000"/>
          <w:lang w:val="es-MX"/>
        </w:rPr>
      </w:pPr>
      <w:r w:rsidRPr="000813C5">
        <w:rPr>
          <w:rFonts w:ascii="Times New Roman" w:hAnsi="Times New Roman" w:cs="Times New Roman"/>
          <w:color w:val="FF0000"/>
          <w:lang w:val="es-MX"/>
        </w:rPr>
        <w:t xml:space="preserve">  </w:t>
      </w:r>
    </w:p>
    <w:p w:rsidR="001C3649" w:rsidRPr="000813C5" w:rsidRDefault="001C3649" w:rsidP="007D0566">
      <w:pPr>
        <w:spacing w:after="0"/>
        <w:jc w:val="both"/>
        <w:rPr>
          <w:rFonts w:ascii="Times New Roman" w:hAnsi="Times New Roman" w:cs="Times New Roman"/>
          <w:color w:val="FF0000"/>
          <w:lang w:val="es-MX"/>
        </w:rPr>
      </w:pPr>
    </w:p>
    <w:p w:rsidR="00343A5D" w:rsidRPr="000813C5" w:rsidRDefault="00343A5D" w:rsidP="0042387A">
      <w:pPr>
        <w:spacing w:after="0" w:line="240" w:lineRule="auto"/>
        <w:rPr>
          <w:rFonts w:ascii="Times New Roman" w:hAnsi="Times New Roman" w:cs="Times New Roman"/>
          <w:color w:val="FF0000"/>
          <w:lang w:val="es-MX"/>
        </w:rPr>
        <w:sectPr w:rsidR="00343A5D" w:rsidRPr="000813C5" w:rsidSect="00374D44">
          <w:type w:val="continuous"/>
          <w:pgSz w:w="12240" w:h="15840" w:code="1"/>
          <w:pgMar w:top="1418" w:right="1418" w:bottom="1418" w:left="1701" w:header="709" w:footer="709" w:gutter="0"/>
          <w:cols w:num="2" w:space="708"/>
          <w:docGrid w:linePitch="360"/>
        </w:sectPr>
      </w:pPr>
    </w:p>
    <w:p w:rsidR="00343A5D" w:rsidRPr="000813C5" w:rsidRDefault="00343A5D" w:rsidP="000D016D">
      <w:pPr>
        <w:spacing w:after="0" w:line="240" w:lineRule="auto"/>
        <w:rPr>
          <w:noProof/>
          <w:color w:val="FF0000"/>
          <w:sz w:val="16"/>
          <w:lang w:eastAsia="es-GT"/>
        </w:rPr>
      </w:pPr>
    </w:p>
    <w:p w:rsidR="00374D44" w:rsidRPr="000813C5" w:rsidRDefault="00374D44" w:rsidP="000D016D">
      <w:pPr>
        <w:spacing w:after="0" w:line="240" w:lineRule="auto"/>
        <w:rPr>
          <w:noProof/>
          <w:color w:val="FF0000"/>
          <w:sz w:val="16"/>
          <w:lang w:eastAsia="es-GT"/>
        </w:rPr>
      </w:pPr>
    </w:p>
    <w:p w:rsidR="008718E5" w:rsidRPr="000813C5" w:rsidRDefault="008718E5" w:rsidP="000D016D">
      <w:pPr>
        <w:spacing w:after="0" w:line="240" w:lineRule="auto"/>
        <w:rPr>
          <w:noProof/>
          <w:color w:val="FF0000"/>
          <w:sz w:val="16"/>
          <w:lang w:eastAsia="es-GT"/>
        </w:rPr>
      </w:pPr>
    </w:p>
    <w:p w:rsidR="00374D44" w:rsidRPr="000813C5" w:rsidRDefault="00374D44" w:rsidP="000D016D">
      <w:pPr>
        <w:spacing w:after="0" w:line="240" w:lineRule="auto"/>
        <w:rPr>
          <w:noProof/>
          <w:color w:val="FF0000"/>
          <w:sz w:val="16"/>
          <w:lang w:eastAsia="es-GT"/>
        </w:rPr>
      </w:pPr>
    </w:p>
    <w:p w:rsidR="00343A5D" w:rsidRPr="00A9153A" w:rsidRDefault="00343A5D" w:rsidP="00343A5D">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sectPr w:rsidR="00343A5D" w:rsidRPr="00A9153A" w:rsidSect="00FA3B81">
          <w:headerReference w:type="default" r:id="rId29"/>
          <w:footerReference w:type="default" r:id="rId30"/>
          <w:type w:val="continuous"/>
          <w:pgSz w:w="12240" w:h="15840" w:code="1"/>
          <w:pgMar w:top="1418" w:right="1418" w:bottom="1418" w:left="1418" w:header="709" w:footer="709" w:gutter="0"/>
          <w:cols w:space="708"/>
          <w:docGrid w:linePitch="360"/>
        </w:sectPr>
      </w:pPr>
      <w:r w:rsidRPr="00A9153A">
        <w:rPr>
          <w:rFonts w:ascii="Times New Roman" w:hAnsi="Times New Roman" w:cs="Times New Roman"/>
          <w:b/>
          <w:lang w:val="es-MX"/>
        </w:rPr>
        <w:t>Anexo</w:t>
      </w:r>
    </w:p>
    <w:p w:rsidR="00343A5D" w:rsidRPr="000813C5" w:rsidRDefault="00343A5D" w:rsidP="00416D41">
      <w:pPr>
        <w:spacing w:after="0" w:line="240" w:lineRule="auto"/>
        <w:jc w:val="center"/>
        <w:rPr>
          <w:noProof/>
          <w:color w:val="FF0000"/>
          <w:lang w:eastAsia="es-GT"/>
        </w:rPr>
      </w:pPr>
    </w:p>
    <w:p w:rsidR="00374D44" w:rsidRPr="000813C5" w:rsidRDefault="00374D44" w:rsidP="00416D41">
      <w:pPr>
        <w:spacing w:after="0" w:line="240" w:lineRule="auto"/>
        <w:jc w:val="center"/>
        <w:rPr>
          <w:noProof/>
          <w:color w:val="FF0000"/>
          <w:lang w:eastAsia="es-GT"/>
        </w:rPr>
      </w:pPr>
    </w:p>
    <w:p w:rsidR="00416D41" w:rsidRPr="000813C5" w:rsidRDefault="00A9153A" w:rsidP="00416D41">
      <w:pPr>
        <w:spacing w:after="0" w:line="240" w:lineRule="auto"/>
        <w:jc w:val="center"/>
        <w:rPr>
          <w:rFonts w:ascii="Times New Roman" w:hAnsi="Times New Roman" w:cs="Times New Roman"/>
          <w:color w:val="FF0000"/>
          <w:lang w:val="es-MX"/>
        </w:rPr>
      </w:pPr>
      <w:bookmarkStart w:id="0" w:name="_GoBack"/>
      <w:r w:rsidRPr="00A87038">
        <w:rPr>
          <w:noProof/>
          <w:lang w:eastAsia="es-GT"/>
        </w:rPr>
        <w:drawing>
          <wp:inline distT="0" distB="0" distL="0" distR="0" wp14:anchorId="02A2CBFF" wp14:editId="3A78A43E">
            <wp:extent cx="5956064" cy="4999383"/>
            <wp:effectExtent l="0" t="0" r="6985"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962928" cy="5005144"/>
                    </a:xfrm>
                    <a:prstGeom prst="rect">
                      <a:avLst/>
                    </a:prstGeom>
                    <a:noFill/>
                    <a:ln>
                      <a:noFill/>
                    </a:ln>
                  </pic:spPr>
                </pic:pic>
              </a:graphicData>
            </a:graphic>
          </wp:inline>
        </w:drawing>
      </w:r>
      <w:bookmarkEnd w:id="0"/>
    </w:p>
    <w:sectPr w:rsidR="00416D41" w:rsidRPr="000813C5" w:rsidSect="00416D41">
      <w:headerReference w:type="default" r:id="rId32"/>
      <w:footerReference w:type="default" r:id="rId33"/>
      <w:type w:val="continuous"/>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F9F" w:rsidRDefault="00353F9F" w:rsidP="007D4651">
      <w:pPr>
        <w:spacing w:after="0" w:line="240" w:lineRule="auto"/>
      </w:pPr>
      <w:r>
        <w:separator/>
      </w:r>
    </w:p>
  </w:endnote>
  <w:endnote w:type="continuationSeparator" w:id="0">
    <w:p w:rsidR="00353F9F" w:rsidRDefault="00353F9F" w:rsidP="007D4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s-ES"/>
      </w:rPr>
      <w:id w:val="-89789790"/>
      <w:docPartObj>
        <w:docPartGallery w:val="Page Numbers (Bottom of Page)"/>
        <w:docPartUnique/>
      </w:docPartObj>
    </w:sdtPr>
    <w:sdtEndPr/>
    <w:sdtContent>
      <w:p w:rsidR="00AF68D3" w:rsidRDefault="00AF68D3">
        <w:pPr>
          <w:pStyle w:val="Piedepgina"/>
          <w:jc w:val="right"/>
          <w:rPr>
            <w:lang w:val="es-ES"/>
          </w:rPr>
        </w:pPr>
      </w:p>
      <w:p w:rsidR="00AF68D3" w:rsidRDefault="00AF68D3"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663360" behindDoc="0" locked="0" layoutInCell="1" allowOverlap="1" wp14:anchorId="02DB3F06" wp14:editId="300D7025">
                  <wp:simplePos x="0" y="0"/>
                  <wp:positionH relativeFrom="column">
                    <wp:posOffset>1776669</wp:posOffset>
                  </wp:positionH>
                  <wp:positionV relativeFrom="paragraph">
                    <wp:posOffset>70516</wp:posOffset>
                  </wp:positionV>
                  <wp:extent cx="5155565" cy="45719"/>
                  <wp:effectExtent l="38100" t="38100" r="64135" b="88265"/>
                  <wp:wrapNone/>
                  <wp:docPr id="3" name="3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3 Rectángulo" o:spid="_x0000_s1026" style="position:absolute;margin-left:139.9pt;margin-top:5.55pt;width:405.95pt;height:3.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AF68D3" w:rsidRDefault="00AF68D3">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D119D8" w:rsidRPr="00D119D8">
          <w:rPr>
            <w:rFonts w:ascii="Times New Roman" w:hAnsi="Times New Roman" w:cs="Times New Roman"/>
            <w:b/>
            <w:noProof/>
            <w:color w:val="1F497D" w:themeColor="text2"/>
            <w:lang w:val="es-ES"/>
          </w:rPr>
          <w:t>1</w:t>
        </w:r>
        <w:r w:rsidRPr="007D4651">
          <w:rPr>
            <w:rFonts w:ascii="Times New Roman" w:hAnsi="Times New Roman" w:cs="Times New Roman"/>
            <w:b/>
            <w:color w:val="1F497D" w:themeColor="text2"/>
          </w:rPr>
          <w:fldChar w:fldCharType="end"/>
        </w:r>
        <w:r>
          <w:rPr>
            <w:lang w:val="es-ES"/>
          </w:rPr>
          <w:t xml:space="preserve"> </w:t>
        </w:r>
      </w:p>
    </w:sdtContent>
  </w:sdt>
  <w:p w:rsidR="00AF68D3" w:rsidRDefault="00AF68D3" w:rsidP="007D4651">
    <w:pPr>
      <w:pStyle w:val="Piedepgina"/>
      <w:tabs>
        <w:tab w:val="clear" w:pos="4419"/>
        <w:tab w:val="clear" w:pos="8838"/>
        <w:tab w:val="left" w:pos="5777"/>
      </w:tabs>
    </w:pPr>
  </w:p>
  <w:p w:rsidR="00AF68D3" w:rsidRDefault="00AF68D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s-ES"/>
      </w:rPr>
      <w:id w:val="-59405431"/>
      <w:docPartObj>
        <w:docPartGallery w:val="Page Numbers (Bottom of Page)"/>
        <w:docPartUnique/>
      </w:docPartObj>
    </w:sdtPr>
    <w:sdtEndPr/>
    <w:sdtContent>
      <w:p w:rsidR="00AF68D3" w:rsidRDefault="00AF68D3">
        <w:pPr>
          <w:pStyle w:val="Piedepgina"/>
          <w:jc w:val="right"/>
          <w:rPr>
            <w:lang w:val="es-ES"/>
          </w:rPr>
        </w:pPr>
      </w:p>
      <w:p w:rsidR="00AF68D3" w:rsidRDefault="00AF68D3"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667456" behindDoc="0" locked="0" layoutInCell="1" allowOverlap="1" wp14:anchorId="0FA83D45" wp14:editId="44434659">
                  <wp:simplePos x="0" y="0"/>
                  <wp:positionH relativeFrom="column">
                    <wp:posOffset>1776669</wp:posOffset>
                  </wp:positionH>
                  <wp:positionV relativeFrom="paragraph">
                    <wp:posOffset>70516</wp:posOffset>
                  </wp:positionV>
                  <wp:extent cx="5155565" cy="45719"/>
                  <wp:effectExtent l="38100" t="38100" r="64135" b="88265"/>
                  <wp:wrapNone/>
                  <wp:docPr id="8" name="8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8 Rectángulo" o:spid="_x0000_s1026" style="position:absolute;margin-left:139.9pt;margin-top:5.55pt;width:405.95pt;height:3.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AF68D3" w:rsidRDefault="00AF68D3">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D119D8" w:rsidRPr="00D119D8">
          <w:rPr>
            <w:rFonts w:ascii="Times New Roman" w:hAnsi="Times New Roman" w:cs="Times New Roman"/>
            <w:b/>
            <w:noProof/>
            <w:color w:val="1F497D" w:themeColor="text2"/>
            <w:lang w:val="es-ES"/>
          </w:rPr>
          <w:t>2</w:t>
        </w:r>
        <w:r w:rsidRPr="007D4651">
          <w:rPr>
            <w:rFonts w:ascii="Times New Roman" w:hAnsi="Times New Roman" w:cs="Times New Roman"/>
            <w:b/>
            <w:color w:val="1F497D" w:themeColor="text2"/>
          </w:rPr>
          <w:fldChar w:fldCharType="end"/>
        </w:r>
        <w:r>
          <w:rPr>
            <w:lang w:val="es-ES"/>
          </w:rPr>
          <w:t xml:space="preserve"> </w:t>
        </w:r>
      </w:p>
    </w:sdtContent>
  </w:sdt>
  <w:p w:rsidR="00AF68D3" w:rsidRDefault="00AF68D3" w:rsidP="007D4651">
    <w:pPr>
      <w:pStyle w:val="Piedepgina"/>
      <w:tabs>
        <w:tab w:val="clear" w:pos="4419"/>
        <w:tab w:val="clear" w:pos="8838"/>
        <w:tab w:val="left" w:pos="5777"/>
      </w:tabs>
    </w:pPr>
  </w:p>
  <w:p w:rsidR="00AF68D3" w:rsidRDefault="00AF68D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s-ES"/>
      </w:rPr>
      <w:id w:val="1203057022"/>
      <w:docPartObj>
        <w:docPartGallery w:val="Page Numbers (Bottom of Page)"/>
        <w:docPartUnique/>
      </w:docPartObj>
    </w:sdtPr>
    <w:sdtEndPr/>
    <w:sdtContent>
      <w:p w:rsidR="00AF68D3" w:rsidRDefault="00AF68D3">
        <w:pPr>
          <w:pStyle w:val="Piedepgina"/>
          <w:jc w:val="right"/>
          <w:rPr>
            <w:lang w:val="es-ES"/>
          </w:rPr>
        </w:pPr>
      </w:p>
      <w:p w:rsidR="00AF68D3" w:rsidRDefault="00AF68D3"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671552" behindDoc="0" locked="0" layoutInCell="1" allowOverlap="1" wp14:anchorId="3ABCC70A" wp14:editId="772CA66B">
                  <wp:simplePos x="0" y="0"/>
                  <wp:positionH relativeFrom="column">
                    <wp:posOffset>1776669</wp:posOffset>
                  </wp:positionH>
                  <wp:positionV relativeFrom="paragraph">
                    <wp:posOffset>70516</wp:posOffset>
                  </wp:positionV>
                  <wp:extent cx="5155565" cy="45719"/>
                  <wp:effectExtent l="38100" t="38100" r="64135" b="88265"/>
                  <wp:wrapNone/>
                  <wp:docPr id="16" name="16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16 Rectángulo" o:spid="_x0000_s1026" style="position:absolute;margin-left:139.9pt;margin-top:5.55pt;width:405.95pt;height:3.6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AF68D3" w:rsidRDefault="00AF68D3">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Pr="00AF68D3">
          <w:rPr>
            <w:rFonts w:ascii="Times New Roman" w:hAnsi="Times New Roman" w:cs="Times New Roman"/>
            <w:b/>
            <w:noProof/>
            <w:color w:val="1F497D" w:themeColor="text2"/>
            <w:lang w:val="es-ES"/>
          </w:rPr>
          <w:t>4</w:t>
        </w:r>
        <w:r w:rsidRPr="007D4651">
          <w:rPr>
            <w:rFonts w:ascii="Times New Roman" w:hAnsi="Times New Roman" w:cs="Times New Roman"/>
            <w:b/>
            <w:color w:val="1F497D" w:themeColor="text2"/>
          </w:rPr>
          <w:fldChar w:fldCharType="end"/>
        </w:r>
        <w:r>
          <w:rPr>
            <w:lang w:val="es-ES"/>
          </w:rPr>
          <w:t xml:space="preserve"> </w:t>
        </w:r>
      </w:p>
    </w:sdtContent>
  </w:sdt>
  <w:p w:rsidR="00AF68D3" w:rsidRDefault="00AF68D3" w:rsidP="007D4651">
    <w:pPr>
      <w:pStyle w:val="Piedepgina"/>
      <w:tabs>
        <w:tab w:val="clear" w:pos="4419"/>
        <w:tab w:val="clear" w:pos="8838"/>
        <w:tab w:val="left" w:pos="5777"/>
      </w:tabs>
    </w:pPr>
  </w:p>
  <w:p w:rsidR="00AF68D3" w:rsidRDefault="00AF68D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s-ES"/>
      </w:rPr>
      <w:id w:val="1520901799"/>
      <w:docPartObj>
        <w:docPartGallery w:val="Page Numbers (Bottom of Page)"/>
        <w:docPartUnique/>
      </w:docPartObj>
    </w:sdtPr>
    <w:sdtEndPr/>
    <w:sdtContent>
      <w:p w:rsidR="00AF68D3" w:rsidRDefault="00AF68D3">
        <w:pPr>
          <w:pStyle w:val="Piedepgina"/>
          <w:jc w:val="right"/>
          <w:rPr>
            <w:lang w:val="es-ES"/>
          </w:rPr>
        </w:pPr>
      </w:p>
      <w:p w:rsidR="00AF68D3" w:rsidRDefault="00AF68D3"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675648" behindDoc="0" locked="0" layoutInCell="1" allowOverlap="1" wp14:anchorId="47E8B159" wp14:editId="44E87C1F">
                  <wp:simplePos x="0" y="0"/>
                  <wp:positionH relativeFrom="column">
                    <wp:posOffset>1776669</wp:posOffset>
                  </wp:positionH>
                  <wp:positionV relativeFrom="paragraph">
                    <wp:posOffset>70516</wp:posOffset>
                  </wp:positionV>
                  <wp:extent cx="5155565" cy="45719"/>
                  <wp:effectExtent l="38100" t="38100" r="64135" b="88265"/>
                  <wp:wrapNone/>
                  <wp:docPr id="23" name="23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23 Rectángulo" o:spid="_x0000_s1026" style="position:absolute;margin-left:139.9pt;margin-top:5.55pt;width:405.95pt;height:3.6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AF68D3" w:rsidRDefault="00AF68D3">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D119D8" w:rsidRPr="00D119D8">
          <w:rPr>
            <w:rFonts w:ascii="Times New Roman" w:hAnsi="Times New Roman" w:cs="Times New Roman"/>
            <w:b/>
            <w:noProof/>
            <w:color w:val="1F497D" w:themeColor="text2"/>
            <w:lang w:val="es-ES"/>
          </w:rPr>
          <w:t>4</w:t>
        </w:r>
        <w:r w:rsidRPr="007D4651">
          <w:rPr>
            <w:rFonts w:ascii="Times New Roman" w:hAnsi="Times New Roman" w:cs="Times New Roman"/>
            <w:b/>
            <w:color w:val="1F497D" w:themeColor="text2"/>
          </w:rPr>
          <w:fldChar w:fldCharType="end"/>
        </w:r>
        <w:r>
          <w:rPr>
            <w:lang w:val="es-ES"/>
          </w:rPr>
          <w:t xml:space="preserve"> </w:t>
        </w:r>
      </w:p>
    </w:sdtContent>
  </w:sdt>
  <w:p w:rsidR="00AF68D3" w:rsidRDefault="00AF68D3" w:rsidP="007D4651">
    <w:pPr>
      <w:pStyle w:val="Piedepgina"/>
      <w:tabs>
        <w:tab w:val="clear" w:pos="4419"/>
        <w:tab w:val="clear" w:pos="8838"/>
        <w:tab w:val="left" w:pos="5777"/>
      </w:tabs>
    </w:pPr>
  </w:p>
  <w:p w:rsidR="00AF68D3" w:rsidRDefault="00AF68D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s-ES"/>
      </w:rPr>
      <w:id w:val="-1650588095"/>
      <w:docPartObj>
        <w:docPartGallery w:val="Page Numbers (Bottom of Page)"/>
        <w:docPartUnique/>
      </w:docPartObj>
    </w:sdtPr>
    <w:sdtEndPr/>
    <w:sdtContent>
      <w:p w:rsidR="00AF68D3" w:rsidRDefault="00AF68D3">
        <w:pPr>
          <w:pStyle w:val="Piedepgina"/>
          <w:jc w:val="right"/>
          <w:rPr>
            <w:lang w:val="es-ES"/>
          </w:rPr>
        </w:pPr>
      </w:p>
      <w:p w:rsidR="00AF68D3" w:rsidRDefault="00AF68D3"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679744" behindDoc="0" locked="0" layoutInCell="1" allowOverlap="1" wp14:anchorId="287634DD" wp14:editId="59D6BC81">
                  <wp:simplePos x="0" y="0"/>
                  <wp:positionH relativeFrom="column">
                    <wp:posOffset>1776669</wp:posOffset>
                  </wp:positionH>
                  <wp:positionV relativeFrom="paragraph">
                    <wp:posOffset>70516</wp:posOffset>
                  </wp:positionV>
                  <wp:extent cx="5155565" cy="45719"/>
                  <wp:effectExtent l="38100" t="38100" r="64135" b="88265"/>
                  <wp:wrapNone/>
                  <wp:docPr id="26" name="26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26 Rectángulo" o:spid="_x0000_s1026" style="position:absolute;margin-left:139.9pt;margin-top:5.55pt;width:405.95pt;height:3.6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AF68D3" w:rsidRDefault="00AF68D3">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D119D8" w:rsidRPr="00D119D8">
          <w:rPr>
            <w:rFonts w:ascii="Times New Roman" w:hAnsi="Times New Roman" w:cs="Times New Roman"/>
            <w:b/>
            <w:noProof/>
            <w:color w:val="1F497D" w:themeColor="text2"/>
            <w:lang w:val="es-ES"/>
          </w:rPr>
          <w:t>7</w:t>
        </w:r>
        <w:r w:rsidRPr="007D4651">
          <w:rPr>
            <w:rFonts w:ascii="Times New Roman" w:hAnsi="Times New Roman" w:cs="Times New Roman"/>
            <w:b/>
            <w:color w:val="1F497D" w:themeColor="text2"/>
          </w:rPr>
          <w:fldChar w:fldCharType="end"/>
        </w:r>
        <w:r>
          <w:rPr>
            <w:lang w:val="es-ES"/>
          </w:rPr>
          <w:t xml:space="preserve"> </w:t>
        </w:r>
      </w:p>
    </w:sdtContent>
  </w:sdt>
  <w:p w:rsidR="00AF68D3" w:rsidRDefault="00AF68D3" w:rsidP="007D4651">
    <w:pPr>
      <w:pStyle w:val="Piedepgina"/>
      <w:tabs>
        <w:tab w:val="clear" w:pos="4419"/>
        <w:tab w:val="clear" w:pos="8838"/>
        <w:tab w:val="left" w:pos="5777"/>
      </w:tabs>
    </w:pPr>
  </w:p>
  <w:p w:rsidR="00AF68D3" w:rsidRDefault="00AF68D3"/>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s-ES"/>
      </w:rPr>
      <w:id w:val="1243603254"/>
      <w:docPartObj>
        <w:docPartGallery w:val="Page Numbers (Bottom of Page)"/>
        <w:docPartUnique/>
      </w:docPartObj>
    </w:sdtPr>
    <w:sdtEndPr/>
    <w:sdtContent>
      <w:p w:rsidR="00AF68D3" w:rsidRDefault="00AF68D3">
        <w:pPr>
          <w:pStyle w:val="Piedepgina"/>
          <w:jc w:val="right"/>
          <w:rPr>
            <w:lang w:val="es-ES"/>
          </w:rPr>
        </w:pPr>
      </w:p>
      <w:p w:rsidR="00AF68D3" w:rsidRDefault="00AF68D3"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704320" behindDoc="0" locked="0" layoutInCell="1" allowOverlap="1" wp14:anchorId="5CFEF585" wp14:editId="3C1DD1EC">
                  <wp:simplePos x="0" y="0"/>
                  <wp:positionH relativeFrom="column">
                    <wp:posOffset>1776669</wp:posOffset>
                  </wp:positionH>
                  <wp:positionV relativeFrom="paragraph">
                    <wp:posOffset>70516</wp:posOffset>
                  </wp:positionV>
                  <wp:extent cx="5155565" cy="45719"/>
                  <wp:effectExtent l="38100" t="38100" r="64135" b="88265"/>
                  <wp:wrapNone/>
                  <wp:docPr id="24" name="24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24 Rectángulo" o:spid="_x0000_s1026" style="position:absolute;margin-left:139.9pt;margin-top:5.55pt;width:405.95pt;height:3.6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AF68D3" w:rsidRDefault="00AF68D3">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4277D4" w:rsidRPr="004277D4">
          <w:rPr>
            <w:rFonts w:ascii="Times New Roman" w:hAnsi="Times New Roman" w:cs="Times New Roman"/>
            <w:b/>
            <w:noProof/>
            <w:color w:val="1F497D" w:themeColor="text2"/>
            <w:lang w:val="es-ES"/>
          </w:rPr>
          <w:t>9</w:t>
        </w:r>
        <w:r w:rsidRPr="007D4651">
          <w:rPr>
            <w:rFonts w:ascii="Times New Roman" w:hAnsi="Times New Roman" w:cs="Times New Roman"/>
            <w:b/>
            <w:color w:val="1F497D" w:themeColor="text2"/>
          </w:rPr>
          <w:fldChar w:fldCharType="end"/>
        </w:r>
        <w:r>
          <w:rPr>
            <w:lang w:val="es-ES"/>
          </w:rPr>
          <w:t xml:space="preserve"> </w:t>
        </w:r>
      </w:p>
    </w:sdtContent>
  </w:sdt>
  <w:p w:rsidR="00AF68D3" w:rsidRDefault="00AF68D3" w:rsidP="007D4651">
    <w:pPr>
      <w:pStyle w:val="Piedepgina"/>
      <w:tabs>
        <w:tab w:val="clear" w:pos="4419"/>
        <w:tab w:val="clear" w:pos="8838"/>
        <w:tab w:val="left" w:pos="5777"/>
      </w:tabs>
    </w:pPr>
  </w:p>
  <w:p w:rsidR="00AF68D3" w:rsidRDefault="00AF68D3"/>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s-ES"/>
      </w:rPr>
      <w:id w:val="-1487236705"/>
      <w:docPartObj>
        <w:docPartGallery w:val="Page Numbers (Bottom of Page)"/>
        <w:docPartUnique/>
      </w:docPartObj>
    </w:sdtPr>
    <w:sdtEndPr/>
    <w:sdtContent>
      <w:p w:rsidR="00AF68D3" w:rsidRDefault="00AF68D3">
        <w:pPr>
          <w:pStyle w:val="Piedepgina"/>
          <w:jc w:val="right"/>
          <w:rPr>
            <w:lang w:val="es-ES"/>
          </w:rPr>
        </w:pPr>
      </w:p>
      <w:p w:rsidR="00AF68D3" w:rsidRDefault="00AF68D3"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683840" behindDoc="0" locked="0" layoutInCell="1" allowOverlap="1" wp14:anchorId="1A67760D" wp14:editId="0E289044">
                  <wp:simplePos x="0" y="0"/>
                  <wp:positionH relativeFrom="column">
                    <wp:posOffset>1776669</wp:posOffset>
                  </wp:positionH>
                  <wp:positionV relativeFrom="paragraph">
                    <wp:posOffset>70516</wp:posOffset>
                  </wp:positionV>
                  <wp:extent cx="5155565" cy="45719"/>
                  <wp:effectExtent l="38100" t="38100" r="64135" b="88265"/>
                  <wp:wrapNone/>
                  <wp:docPr id="39" name="39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39 Rectángulo" o:spid="_x0000_s1026" style="position:absolute;margin-left:139.9pt;margin-top:5.55pt;width:405.95pt;height:3.6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AF68D3" w:rsidRDefault="00AF68D3">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4277D4" w:rsidRPr="004277D4">
          <w:rPr>
            <w:rFonts w:ascii="Times New Roman" w:hAnsi="Times New Roman" w:cs="Times New Roman"/>
            <w:b/>
            <w:noProof/>
            <w:color w:val="1F497D" w:themeColor="text2"/>
            <w:lang w:val="es-ES"/>
          </w:rPr>
          <w:t>9</w:t>
        </w:r>
        <w:r w:rsidRPr="007D4651">
          <w:rPr>
            <w:rFonts w:ascii="Times New Roman" w:hAnsi="Times New Roman" w:cs="Times New Roman"/>
            <w:b/>
            <w:color w:val="1F497D" w:themeColor="text2"/>
          </w:rPr>
          <w:fldChar w:fldCharType="end"/>
        </w:r>
        <w:r>
          <w:rPr>
            <w:lang w:val="es-ES"/>
          </w:rPr>
          <w:t xml:space="preserve"> </w:t>
        </w:r>
      </w:p>
    </w:sdtContent>
  </w:sdt>
  <w:p w:rsidR="00AF68D3" w:rsidRDefault="00AF68D3" w:rsidP="007D4651">
    <w:pPr>
      <w:pStyle w:val="Piedepgina"/>
      <w:tabs>
        <w:tab w:val="clear" w:pos="4419"/>
        <w:tab w:val="clear" w:pos="8838"/>
        <w:tab w:val="left" w:pos="5777"/>
      </w:tabs>
    </w:pPr>
  </w:p>
  <w:p w:rsidR="00AF68D3" w:rsidRDefault="00AF68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F9F" w:rsidRDefault="00353F9F" w:rsidP="007D4651">
      <w:pPr>
        <w:spacing w:after="0" w:line="240" w:lineRule="auto"/>
      </w:pPr>
      <w:r>
        <w:separator/>
      </w:r>
    </w:p>
  </w:footnote>
  <w:footnote w:type="continuationSeparator" w:id="0">
    <w:p w:rsidR="00353F9F" w:rsidRDefault="00353F9F" w:rsidP="007D46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8D3" w:rsidRPr="007D4651" w:rsidRDefault="00AF68D3" w:rsidP="00BD3A7C">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685888" behindDoc="1" locked="0" layoutInCell="1" allowOverlap="1" wp14:anchorId="51DD0F8C" wp14:editId="28AA5B42">
          <wp:simplePos x="0" y="0"/>
          <wp:positionH relativeFrom="column">
            <wp:posOffset>-234177</wp:posOffset>
          </wp:positionH>
          <wp:positionV relativeFrom="paragraph">
            <wp:posOffset>-5439</wp:posOffset>
          </wp:positionV>
          <wp:extent cx="1365775" cy="735496"/>
          <wp:effectExtent l="0" t="0" r="6350" b="7620"/>
          <wp:wrapNone/>
          <wp:docPr id="10" name="Imagen 10"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5775" cy="7354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D4651">
      <w:rPr>
        <w:rFonts w:ascii="Times New Roman" w:hAnsi="Times New Roman" w:cs="Times New Roman"/>
        <w:b/>
        <w:color w:val="1F497D" w:themeColor="text2"/>
        <w:sz w:val="24"/>
        <w:lang w:val="es-MX"/>
      </w:rPr>
      <w:t>Informe de las Finanzas Públicas</w:t>
    </w:r>
  </w:p>
  <w:p w:rsidR="00AF68D3" w:rsidRDefault="00AF68D3" w:rsidP="00BD3A7C">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Abril 2017</w:t>
    </w:r>
  </w:p>
  <w:p w:rsidR="00AF68D3" w:rsidRDefault="00AF68D3" w:rsidP="007D4651">
    <w:pPr>
      <w:pStyle w:val="Encabezado"/>
      <w:jc w:val="right"/>
      <w:rPr>
        <w:rFonts w:ascii="Times New Roman" w:hAnsi="Times New Roman" w:cs="Times New Roman"/>
        <w:lang w:val="es-MX"/>
      </w:rPr>
    </w:pPr>
    <w:r>
      <w:rPr>
        <w:rFonts w:ascii="Times New Roman" w:hAnsi="Times New Roman" w:cs="Times New Roman"/>
        <w:noProof/>
        <w:color w:val="1F497D" w:themeColor="text2"/>
        <w:lang w:eastAsia="es-GT"/>
      </w:rPr>
      <mc:AlternateContent>
        <mc:Choice Requires="wps">
          <w:drawing>
            <wp:anchor distT="0" distB="0" distL="114300" distR="114300" simplePos="0" relativeHeight="251687936" behindDoc="0" locked="0" layoutInCell="1" allowOverlap="1" wp14:anchorId="2A7BADF2" wp14:editId="65CCF4E1">
              <wp:simplePos x="0" y="0"/>
              <wp:positionH relativeFrom="column">
                <wp:posOffset>1232949</wp:posOffset>
              </wp:positionH>
              <wp:positionV relativeFrom="paragraph">
                <wp:posOffset>61595</wp:posOffset>
              </wp:positionV>
              <wp:extent cx="5634990" cy="45085"/>
              <wp:effectExtent l="38100" t="38100" r="60960" b="88265"/>
              <wp:wrapNone/>
              <wp:docPr id="12" name="12 Rectángulo redondeado"/>
              <wp:cNvGraphicFramePr/>
              <a:graphic xmlns:a="http://schemas.openxmlformats.org/drawingml/2006/main">
                <a:graphicData uri="http://schemas.microsoft.com/office/word/2010/wordprocessingShape">
                  <wps:wsp>
                    <wps:cNvSpPr/>
                    <wps:spPr>
                      <a:xfrm flipV="1">
                        <a:off x="0" y="0"/>
                        <a:ext cx="5634990" cy="45085"/>
                      </a:xfrm>
                      <a:prstGeom prst="roundRect">
                        <a:avLst/>
                      </a:prstGeom>
                      <a:gradFill flip="none" rotWithShape="1">
                        <a:gsLst>
                          <a:gs pos="0">
                            <a:schemeClr val="accent1">
                              <a:tint val="66000"/>
                              <a:satMod val="160000"/>
                            </a:schemeClr>
                          </a:gs>
                          <a:gs pos="81000">
                            <a:srgbClr val="D2DDF1"/>
                          </a:gs>
                          <a:gs pos="14000">
                            <a:schemeClr val="accent1"/>
                          </a:gs>
                          <a:gs pos="67000">
                            <a:schemeClr val="accent1">
                              <a:tint val="44500"/>
                              <a:satMod val="160000"/>
                            </a:schemeClr>
                          </a:gs>
                          <a:gs pos="90000">
                            <a:srgbClr val="DAE3F3">
                              <a:alpha val="57000"/>
                            </a:srgbClr>
                          </a:gs>
                          <a:gs pos="98000">
                            <a:schemeClr val="accent3">
                              <a:lumMod val="60000"/>
                              <a:lumOff val="40000"/>
                            </a:schemeClr>
                          </a:gs>
                        </a:gsLst>
                        <a:lin ang="0" scaled="1"/>
                        <a:tileRect/>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12 Rectángulo redondeado" o:spid="_x0000_s1026" style="position:absolute;margin-left:97.1pt;margin-top:4.85pt;width:443.7pt;height:3.55pt;flip:y;z-index:2516879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" fillcolor="#8aabd3 [2132]" stroked="f" strokeweight="2pt">
              <v:fill color2="#c2d69b [1942]" rotate="t" angle="90" colors="0 #9ab5e4;9175f #4f81bd;43909f #c2d1ed;53084f #d2ddf1;58982f #dae3f3;64225f #c3d69b" focus="100%" type="gradient"/>
              <v:shadow on="t" color="black" opacity="26214f" origin="-.5,-.5" offset=".74836mm,.74836mm"/>
            </v:roundrect>
          </w:pict>
        </mc:Fallback>
      </mc:AlternateContent>
    </w:r>
  </w:p>
  <w:p w:rsidR="00AF68D3" w:rsidRPr="009F164F" w:rsidRDefault="00AF68D3" w:rsidP="00E16925">
    <w:pPr>
      <w:pStyle w:val="Encabezado"/>
      <w:rPr>
        <w:rFonts w:ascii="Times New Roman" w:hAnsi="Times New Roman" w:cs="Times New Roman"/>
        <w:b/>
        <w:lang w:val="es-MX"/>
      </w:rPr>
    </w:pPr>
    <w:r>
      <w:rPr>
        <w:rFonts w:ascii="Times New Roman" w:hAnsi="Times New Roman" w:cs="Times New Roman"/>
        <w:lang w:val="es-MX"/>
      </w:rPr>
      <w:tab/>
    </w:r>
    <w:r w:rsidRPr="009F164F">
      <w:rPr>
        <w:rFonts w:ascii="Times New Roman" w:hAnsi="Times New Roman" w:cs="Times New Roman"/>
        <w:b/>
        <w:color w:val="4F81BD" w:themeColor="accent1"/>
        <w:lang w:val="es-MX"/>
      </w:rPr>
      <w:t>Dirección de Análisis y Política Fiscal</w:t>
    </w:r>
  </w:p>
  <w:p w:rsidR="00AF68D3" w:rsidRPr="00E16925" w:rsidRDefault="00AF68D3" w:rsidP="00E16925">
    <w:pPr>
      <w:pStyle w:val="Encabezado"/>
      <w:rPr>
        <w:rFonts w:ascii="Times New Roman" w:hAnsi="Times New Roman" w:cs="Times New Roman"/>
        <w:lang w:val="es-MX"/>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8D3" w:rsidRPr="007D4651" w:rsidRDefault="00AF68D3" w:rsidP="00BD3A7C">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689984" behindDoc="1" locked="0" layoutInCell="1" allowOverlap="1" wp14:anchorId="051C5DE6" wp14:editId="2C4AE160">
          <wp:simplePos x="0" y="0"/>
          <wp:positionH relativeFrom="column">
            <wp:posOffset>-434119</wp:posOffset>
          </wp:positionH>
          <wp:positionV relativeFrom="paragraph">
            <wp:posOffset>-5080</wp:posOffset>
          </wp:positionV>
          <wp:extent cx="1365775" cy="735496"/>
          <wp:effectExtent l="0" t="0" r="6350" b="7620"/>
          <wp:wrapNone/>
          <wp:docPr id="13" name="Imagen 13"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5775" cy="7354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D4651">
      <w:rPr>
        <w:rFonts w:ascii="Times New Roman" w:hAnsi="Times New Roman" w:cs="Times New Roman"/>
        <w:b/>
        <w:color w:val="1F497D" w:themeColor="text2"/>
        <w:sz w:val="24"/>
        <w:lang w:val="es-MX"/>
      </w:rPr>
      <w:t>Informe de las Finanzas Públicas</w:t>
    </w:r>
  </w:p>
  <w:p w:rsidR="00AF68D3" w:rsidRDefault="00AF68D3" w:rsidP="00BD3A7C">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Abril 2017</w:t>
    </w:r>
  </w:p>
  <w:p w:rsidR="00AF68D3" w:rsidRDefault="00AF68D3" w:rsidP="007D4651">
    <w:pPr>
      <w:pStyle w:val="Encabezado"/>
      <w:jc w:val="right"/>
      <w:rPr>
        <w:rFonts w:ascii="Times New Roman" w:hAnsi="Times New Roman" w:cs="Times New Roman"/>
        <w:lang w:val="es-MX"/>
      </w:rPr>
    </w:pPr>
    <w:r>
      <w:rPr>
        <w:rFonts w:ascii="Times New Roman" w:hAnsi="Times New Roman" w:cs="Times New Roman"/>
        <w:noProof/>
        <w:color w:val="1F497D" w:themeColor="text2"/>
        <w:lang w:eastAsia="es-GT"/>
      </w:rPr>
      <mc:AlternateContent>
        <mc:Choice Requires="wps">
          <w:drawing>
            <wp:anchor distT="0" distB="0" distL="114300" distR="114300" simplePos="0" relativeHeight="251696128" behindDoc="0" locked="0" layoutInCell="1" allowOverlap="1" wp14:anchorId="4FB4E8C8" wp14:editId="6A531061">
              <wp:simplePos x="0" y="0"/>
              <wp:positionH relativeFrom="column">
                <wp:posOffset>1065751</wp:posOffset>
              </wp:positionH>
              <wp:positionV relativeFrom="paragraph">
                <wp:posOffset>26670</wp:posOffset>
              </wp:positionV>
              <wp:extent cx="5634990" cy="45085"/>
              <wp:effectExtent l="38100" t="38100" r="60960" b="88265"/>
              <wp:wrapNone/>
              <wp:docPr id="19" name="19 Rectángulo redondeado"/>
              <wp:cNvGraphicFramePr/>
              <a:graphic xmlns:a="http://schemas.openxmlformats.org/drawingml/2006/main">
                <a:graphicData uri="http://schemas.microsoft.com/office/word/2010/wordprocessingShape">
                  <wps:wsp>
                    <wps:cNvSpPr/>
                    <wps:spPr>
                      <a:xfrm flipV="1">
                        <a:off x="0" y="0"/>
                        <a:ext cx="5634990" cy="45085"/>
                      </a:xfrm>
                      <a:prstGeom prst="roundRect">
                        <a:avLst/>
                      </a:prstGeom>
                      <a:gradFill flip="none" rotWithShape="1">
                        <a:gsLst>
                          <a:gs pos="0">
                            <a:schemeClr val="accent1">
                              <a:tint val="66000"/>
                              <a:satMod val="160000"/>
                            </a:schemeClr>
                          </a:gs>
                          <a:gs pos="81000">
                            <a:srgbClr val="D2DDF1"/>
                          </a:gs>
                          <a:gs pos="14000">
                            <a:schemeClr val="accent1"/>
                          </a:gs>
                          <a:gs pos="67000">
                            <a:schemeClr val="accent1">
                              <a:tint val="44500"/>
                              <a:satMod val="160000"/>
                            </a:schemeClr>
                          </a:gs>
                          <a:gs pos="90000">
                            <a:srgbClr val="DAE3F3">
                              <a:alpha val="57000"/>
                            </a:srgbClr>
                          </a:gs>
                          <a:gs pos="98000">
                            <a:schemeClr val="accent3">
                              <a:lumMod val="60000"/>
                              <a:lumOff val="40000"/>
                            </a:schemeClr>
                          </a:gs>
                        </a:gsLst>
                        <a:lin ang="0" scaled="1"/>
                        <a:tileRect/>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19 Rectángulo redondeado" o:spid="_x0000_s1026" style="position:absolute;margin-left:83.9pt;margin-top:2.1pt;width:443.7pt;height:3.55pt;flip:y;z-index:2516961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" fillcolor="#8aabd3 [2132]" stroked="f" strokeweight="2pt">
              <v:fill color2="#c2d69b [1942]" rotate="t" angle="90" colors="0 #9ab5e4;9175f #4f81bd;43909f #c2d1ed;53084f #d2ddf1;58982f #dae3f3;64225f #c3d69b" focus="100%" type="gradient"/>
              <v:shadow on="t" color="black" opacity="26214f" origin="-.5,-.5" offset=".74836mm,.74836mm"/>
            </v:roundrect>
          </w:pict>
        </mc:Fallback>
      </mc:AlternateContent>
    </w:r>
  </w:p>
  <w:p w:rsidR="00AF68D3" w:rsidRDefault="00AF68D3" w:rsidP="00E16925">
    <w:pPr>
      <w:pStyle w:val="Encabezado"/>
      <w:rPr>
        <w:rFonts w:ascii="Times New Roman" w:hAnsi="Times New Roman" w:cs="Times New Roman"/>
        <w:lang w:val="es-MX"/>
      </w:rPr>
    </w:pPr>
    <w:r>
      <w:rPr>
        <w:rFonts w:ascii="Times New Roman" w:hAnsi="Times New Roman" w:cs="Times New Roman"/>
        <w:lang w:val="es-MX"/>
      </w:rPr>
      <w:t xml:space="preserve">                                            </w:t>
    </w:r>
    <w:r w:rsidRPr="009F164F">
      <w:rPr>
        <w:rFonts w:ascii="Times New Roman" w:hAnsi="Times New Roman" w:cs="Times New Roman"/>
        <w:b/>
        <w:color w:val="4F81BD" w:themeColor="accent1"/>
        <w:lang w:val="es-MX"/>
      </w:rPr>
      <w:t>Dirección de Análisis y Política Fiscal</w:t>
    </w:r>
  </w:p>
  <w:p w:rsidR="00AF68D3" w:rsidRPr="00E16925" w:rsidRDefault="00AF68D3" w:rsidP="00E16925">
    <w:pPr>
      <w:pStyle w:val="Encabezado"/>
      <w:rPr>
        <w:rFonts w:ascii="Times New Roman" w:hAnsi="Times New Roman" w:cs="Times New Roman"/>
        <w:lang w:val="es-MX"/>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8D3" w:rsidRPr="007D4651" w:rsidRDefault="00AF68D3" w:rsidP="00BD3A7C">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692032" behindDoc="1" locked="0" layoutInCell="1" allowOverlap="1" wp14:anchorId="386D7525" wp14:editId="5A33E5F1">
          <wp:simplePos x="0" y="0"/>
          <wp:positionH relativeFrom="column">
            <wp:posOffset>-453169</wp:posOffset>
          </wp:positionH>
          <wp:positionV relativeFrom="paragraph">
            <wp:posOffset>-5080</wp:posOffset>
          </wp:positionV>
          <wp:extent cx="1365775" cy="735496"/>
          <wp:effectExtent l="0" t="0" r="6350" b="7620"/>
          <wp:wrapNone/>
          <wp:docPr id="45" name="Imagen 45"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5775" cy="7354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D4651">
      <w:rPr>
        <w:rFonts w:ascii="Times New Roman" w:hAnsi="Times New Roman" w:cs="Times New Roman"/>
        <w:b/>
        <w:color w:val="1F497D" w:themeColor="text2"/>
        <w:sz w:val="24"/>
        <w:lang w:val="es-MX"/>
      </w:rPr>
      <w:t>Informe de las Finanzas Públicas</w:t>
    </w:r>
  </w:p>
  <w:p w:rsidR="00AF68D3" w:rsidRDefault="00AF68D3" w:rsidP="00BD3A7C">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Marzo 2017</w:t>
    </w:r>
  </w:p>
  <w:p w:rsidR="00AF68D3" w:rsidRDefault="00AF68D3" w:rsidP="007D4651">
    <w:pPr>
      <w:pStyle w:val="Encabezado"/>
      <w:jc w:val="right"/>
      <w:rPr>
        <w:rFonts w:ascii="Times New Roman" w:hAnsi="Times New Roman" w:cs="Times New Roman"/>
        <w:lang w:val="es-MX"/>
      </w:rPr>
    </w:pPr>
    <w:r>
      <w:rPr>
        <w:rFonts w:ascii="Times New Roman" w:hAnsi="Times New Roman" w:cs="Times New Roman"/>
        <w:noProof/>
        <w:color w:val="1F497D" w:themeColor="text2"/>
        <w:lang w:eastAsia="es-GT"/>
      </w:rPr>
      <mc:AlternateContent>
        <mc:Choice Requires="wps">
          <w:drawing>
            <wp:anchor distT="0" distB="0" distL="114300" distR="114300" simplePos="0" relativeHeight="251698176" behindDoc="0" locked="0" layoutInCell="1" allowOverlap="1" wp14:anchorId="14093A73" wp14:editId="411416D5">
              <wp:simplePos x="0" y="0"/>
              <wp:positionH relativeFrom="column">
                <wp:posOffset>1066165</wp:posOffset>
              </wp:positionH>
              <wp:positionV relativeFrom="paragraph">
                <wp:posOffset>72611</wp:posOffset>
              </wp:positionV>
              <wp:extent cx="5634990" cy="45085"/>
              <wp:effectExtent l="38100" t="38100" r="60960" b="88265"/>
              <wp:wrapNone/>
              <wp:docPr id="21" name="21 Rectángulo redondeado"/>
              <wp:cNvGraphicFramePr/>
              <a:graphic xmlns:a="http://schemas.openxmlformats.org/drawingml/2006/main">
                <a:graphicData uri="http://schemas.microsoft.com/office/word/2010/wordprocessingShape">
                  <wps:wsp>
                    <wps:cNvSpPr/>
                    <wps:spPr>
                      <a:xfrm flipV="1">
                        <a:off x="0" y="0"/>
                        <a:ext cx="5634990" cy="45085"/>
                      </a:xfrm>
                      <a:prstGeom prst="roundRect">
                        <a:avLst/>
                      </a:prstGeom>
                      <a:gradFill flip="none" rotWithShape="1">
                        <a:gsLst>
                          <a:gs pos="0">
                            <a:schemeClr val="accent1">
                              <a:tint val="66000"/>
                              <a:satMod val="160000"/>
                            </a:schemeClr>
                          </a:gs>
                          <a:gs pos="81000">
                            <a:srgbClr val="D2DDF1"/>
                          </a:gs>
                          <a:gs pos="14000">
                            <a:schemeClr val="accent1"/>
                          </a:gs>
                          <a:gs pos="67000">
                            <a:schemeClr val="accent1">
                              <a:tint val="44500"/>
                              <a:satMod val="160000"/>
                            </a:schemeClr>
                          </a:gs>
                          <a:gs pos="90000">
                            <a:srgbClr val="DAE3F3">
                              <a:alpha val="57000"/>
                            </a:srgbClr>
                          </a:gs>
                          <a:gs pos="98000">
                            <a:schemeClr val="accent3">
                              <a:lumMod val="60000"/>
                              <a:lumOff val="40000"/>
                            </a:schemeClr>
                          </a:gs>
                        </a:gsLst>
                        <a:lin ang="0" scaled="1"/>
                        <a:tileRect/>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21 Rectángulo redondeado" o:spid="_x0000_s1026" style="position:absolute;margin-left:83.95pt;margin-top:5.7pt;width:443.7pt;height:3.55pt;flip:y;z-index:2516981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" fillcolor="#8aabd3 [2132]" stroked="f" strokeweight="2pt">
              <v:fill color2="#c2d69b [1942]" rotate="t" angle="90" colors="0 #9ab5e4;9175f #4f81bd;43909f #c2d1ed;53084f #d2ddf1;58982f #dae3f3;64225f #c3d69b" focus="100%" type="gradient"/>
              <v:shadow on="t" color="black" opacity="26214f" origin="-.5,-.5" offset=".74836mm,.74836mm"/>
            </v:roundrect>
          </w:pict>
        </mc:Fallback>
      </mc:AlternateContent>
    </w:r>
  </w:p>
  <w:p w:rsidR="00AF68D3" w:rsidRDefault="00AF68D3" w:rsidP="00E16925">
    <w:pPr>
      <w:pStyle w:val="Encabezado"/>
      <w:rPr>
        <w:rFonts w:ascii="Times New Roman" w:hAnsi="Times New Roman" w:cs="Times New Roman"/>
        <w:lang w:val="es-MX"/>
      </w:rPr>
    </w:pPr>
    <w:r>
      <w:rPr>
        <w:rFonts w:ascii="Times New Roman" w:hAnsi="Times New Roman" w:cs="Times New Roman"/>
        <w:lang w:val="es-MX"/>
      </w:rPr>
      <w:t xml:space="preserve">                                           </w:t>
    </w:r>
    <w:r w:rsidRPr="009F164F">
      <w:rPr>
        <w:rFonts w:ascii="Times New Roman" w:hAnsi="Times New Roman" w:cs="Times New Roman"/>
        <w:b/>
        <w:color w:val="4F81BD" w:themeColor="accent1"/>
        <w:lang w:val="es-MX"/>
      </w:rPr>
      <w:t>Dirección de Análisis y Política Fiscal</w:t>
    </w:r>
  </w:p>
  <w:p w:rsidR="00AF68D3" w:rsidRPr="00E16925" w:rsidRDefault="00AF68D3" w:rsidP="00E16925">
    <w:pPr>
      <w:pStyle w:val="Encabezado"/>
      <w:rPr>
        <w:rFonts w:ascii="Times New Roman" w:hAnsi="Times New Roman" w:cs="Times New Roman"/>
        <w:lang w:val="es-MX"/>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8D3" w:rsidRPr="007D4651" w:rsidRDefault="00AF68D3" w:rsidP="007D4651">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674624" behindDoc="1" locked="0" layoutInCell="1" allowOverlap="1" wp14:anchorId="4E660364" wp14:editId="3A9CDFD5">
          <wp:simplePos x="0" y="0"/>
          <wp:positionH relativeFrom="column">
            <wp:posOffset>-89849</wp:posOffset>
          </wp:positionH>
          <wp:positionV relativeFrom="paragraph">
            <wp:posOffset>-163027</wp:posOffset>
          </wp:positionV>
          <wp:extent cx="1697990" cy="914400"/>
          <wp:effectExtent l="0" t="0" r="0" b="0"/>
          <wp:wrapNone/>
          <wp:docPr id="42" name="Imagen 42"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AF68D3" w:rsidRPr="007D4651" w:rsidRDefault="00AF68D3" w:rsidP="007D4651">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Abril 2017</w:t>
    </w:r>
  </w:p>
  <w:p w:rsidR="00AF68D3" w:rsidRDefault="00AF68D3" w:rsidP="007D4651">
    <w:pPr>
      <w:pStyle w:val="Encabezado"/>
      <w:jc w:val="right"/>
      <w:rPr>
        <w:rFonts w:ascii="Times New Roman" w:hAnsi="Times New Roman" w:cs="Times New Roman"/>
        <w:lang w:val="es-MX"/>
      </w:rPr>
    </w:pPr>
    <w:r>
      <w:rPr>
        <w:rFonts w:ascii="Times New Roman" w:hAnsi="Times New Roman" w:cs="Times New Roman"/>
        <w:noProof/>
        <w:lang w:eastAsia="es-GT"/>
      </w:rPr>
      <mc:AlternateContent>
        <mc:Choice Requires="wps">
          <w:drawing>
            <wp:anchor distT="0" distB="0" distL="114300" distR="114300" simplePos="0" relativeHeight="251673600" behindDoc="0" locked="0" layoutInCell="1" allowOverlap="1" wp14:anchorId="2F43B350" wp14:editId="5342E219">
              <wp:simplePos x="0" y="0"/>
              <wp:positionH relativeFrom="column">
                <wp:posOffset>1710568</wp:posOffset>
              </wp:positionH>
              <wp:positionV relativeFrom="paragraph">
                <wp:posOffset>29118</wp:posOffset>
              </wp:positionV>
              <wp:extent cx="5155894" cy="45719"/>
              <wp:effectExtent l="38100" t="38100" r="64135" b="88265"/>
              <wp:wrapNone/>
              <wp:docPr id="22" name="22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22 Rectángulo" o:spid="_x0000_s1026" style="position:absolute;margin-left:134.7pt;margin-top:2.3pt;width:406pt;height:3.6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AF68D3" w:rsidRDefault="00AF68D3" w:rsidP="00E16925">
    <w:pPr>
      <w:pStyle w:val="Encabezado"/>
      <w:rPr>
        <w:rFonts w:ascii="Times New Roman" w:hAnsi="Times New Roman" w:cs="Times New Roman"/>
        <w:lang w:val="es-MX"/>
      </w:rPr>
    </w:pPr>
    <w:r>
      <w:rPr>
        <w:rFonts w:ascii="Times New Roman" w:hAnsi="Times New Roman" w:cs="Times New Roman"/>
        <w:lang w:val="es-MX"/>
      </w:rPr>
      <w:tab/>
    </w:r>
    <w:r w:rsidRPr="009F164F">
      <w:rPr>
        <w:rFonts w:ascii="Times New Roman" w:hAnsi="Times New Roman" w:cs="Times New Roman"/>
        <w:b/>
        <w:color w:val="4F81BD" w:themeColor="accent1"/>
        <w:lang w:val="es-MX"/>
      </w:rPr>
      <w:t>Dirección de Análisis y Política Fiscal</w:t>
    </w:r>
  </w:p>
  <w:p w:rsidR="00AF68D3" w:rsidRPr="00E16925" w:rsidRDefault="00AF68D3" w:rsidP="00E16925">
    <w:pPr>
      <w:pStyle w:val="Encabezado"/>
      <w:rPr>
        <w:rFonts w:ascii="Times New Roman" w:hAnsi="Times New Roman" w:cs="Times New Roman"/>
        <w:lang w:val="es-MX"/>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8D3" w:rsidRPr="007D4651" w:rsidRDefault="00AF68D3" w:rsidP="00BD3A7C">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694080" behindDoc="1" locked="0" layoutInCell="1" allowOverlap="1" wp14:anchorId="31D64EF5" wp14:editId="059FD7B6">
          <wp:simplePos x="0" y="0"/>
          <wp:positionH relativeFrom="column">
            <wp:posOffset>-432849</wp:posOffset>
          </wp:positionH>
          <wp:positionV relativeFrom="paragraph">
            <wp:posOffset>-4445</wp:posOffset>
          </wp:positionV>
          <wp:extent cx="1365775" cy="735496"/>
          <wp:effectExtent l="0" t="0" r="6350" b="7620"/>
          <wp:wrapNone/>
          <wp:docPr id="18" name="Imagen 18"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5775" cy="7354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D4651">
      <w:rPr>
        <w:rFonts w:ascii="Times New Roman" w:hAnsi="Times New Roman" w:cs="Times New Roman"/>
        <w:b/>
        <w:color w:val="1F497D" w:themeColor="text2"/>
        <w:sz w:val="24"/>
        <w:lang w:val="es-MX"/>
      </w:rPr>
      <w:t>Informe de las Finanzas Públicas</w:t>
    </w:r>
  </w:p>
  <w:p w:rsidR="00AF68D3" w:rsidRDefault="00AF68D3" w:rsidP="00BD3A7C">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Abril 2017</w:t>
    </w:r>
  </w:p>
  <w:p w:rsidR="00AF68D3" w:rsidRPr="004A73AA" w:rsidRDefault="00AF68D3" w:rsidP="007D4651">
    <w:pPr>
      <w:pStyle w:val="Encabezado"/>
      <w:jc w:val="right"/>
      <w:rPr>
        <w:rFonts w:ascii="Times New Roman" w:hAnsi="Times New Roman" w:cs="Times New Roman"/>
        <w:color w:val="1F497D" w:themeColor="text2"/>
        <w:lang w:val="es-MX"/>
      </w:rPr>
    </w:pPr>
    <w:r>
      <w:rPr>
        <w:rFonts w:ascii="Times New Roman" w:hAnsi="Times New Roman" w:cs="Times New Roman"/>
        <w:noProof/>
        <w:color w:val="1F497D" w:themeColor="text2"/>
        <w:lang w:eastAsia="es-GT"/>
      </w:rPr>
      <mc:AlternateContent>
        <mc:Choice Requires="wps">
          <w:drawing>
            <wp:anchor distT="0" distB="0" distL="114300" distR="114300" simplePos="0" relativeHeight="251700224" behindDoc="0" locked="0" layoutInCell="1" allowOverlap="1" wp14:anchorId="60231843" wp14:editId="3D66B68E">
              <wp:simplePos x="0" y="0"/>
              <wp:positionH relativeFrom="column">
                <wp:posOffset>1022626</wp:posOffset>
              </wp:positionH>
              <wp:positionV relativeFrom="paragraph">
                <wp:posOffset>45720</wp:posOffset>
              </wp:positionV>
              <wp:extent cx="5634990" cy="45085"/>
              <wp:effectExtent l="38100" t="38100" r="60960" b="88265"/>
              <wp:wrapNone/>
              <wp:docPr id="28" name="28 Rectángulo redondeado"/>
              <wp:cNvGraphicFramePr/>
              <a:graphic xmlns:a="http://schemas.openxmlformats.org/drawingml/2006/main">
                <a:graphicData uri="http://schemas.microsoft.com/office/word/2010/wordprocessingShape">
                  <wps:wsp>
                    <wps:cNvSpPr/>
                    <wps:spPr>
                      <a:xfrm flipV="1">
                        <a:off x="0" y="0"/>
                        <a:ext cx="5634990" cy="45085"/>
                      </a:xfrm>
                      <a:prstGeom prst="roundRect">
                        <a:avLst/>
                      </a:prstGeom>
                      <a:gradFill flip="none" rotWithShape="1">
                        <a:gsLst>
                          <a:gs pos="0">
                            <a:schemeClr val="accent1">
                              <a:tint val="66000"/>
                              <a:satMod val="160000"/>
                            </a:schemeClr>
                          </a:gs>
                          <a:gs pos="81000">
                            <a:srgbClr val="D2DDF1"/>
                          </a:gs>
                          <a:gs pos="14000">
                            <a:schemeClr val="accent1"/>
                          </a:gs>
                          <a:gs pos="67000">
                            <a:schemeClr val="accent1">
                              <a:tint val="44500"/>
                              <a:satMod val="160000"/>
                            </a:schemeClr>
                          </a:gs>
                          <a:gs pos="90000">
                            <a:srgbClr val="DAE3F3">
                              <a:alpha val="57000"/>
                            </a:srgbClr>
                          </a:gs>
                          <a:gs pos="98000">
                            <a:schemeClr val="accent3">
                              <a:lumMod val="60000"/>
                              <a:lumOff val="40000"/>
                            </a:schemeClr>
                          </a:gs>
                        </a:gsLst>
                        <a:lin ang="0" scaled="1"/>
                        <a:tileRect/>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28 Rectángulo redondeado" o:spid="_x0000_s1026" style="position:absolute;margin-left:80.5pt;margin-top:3.6pt;width:443.7pt;height:3.55pt;flip:y;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" fillcolor="#8aabd3 [2132]" stroked="f" strokeweight="2pt">
              <v:fill color2="#c2d69b [1942]" rotate="t" angle="90" colors="0 #9ab5e4;9175f #4f81bd;43909f #c2d1ed;53084f #d2ddf1;58982f #dae3f3;64225f #c3d69b" focus="100%" type="gradient"/>
              <v:shadow on="t" color="black" opacity="26214f" origin="-.5,-.5" offset=".74836mm,.74836mm"/>
            </v:roundrect>
          </w:pict>
        </mc:Fallback>
      </mc:AlternateContent>
    </w:r>
  </w:p>
  <w:p w:rsidR="00AF68D3" w:rsidRPr="004A73AA" w:rsidRDefault="00AF68D3" w:rsidP="00E16925">
    <w:pPr>
      <w:pStyle w:val="Encabezado"/>
      <w:rPr>
        <w:rFonts w:ascii="Times New Roman" w:hAnsi="Times New Roman" w:cs="Times New Roman"/>
        <w:color w:val="1F497D" w:themeColor="text2"/>
        <w:lang w:val="es-MX"/>
      </w:rPr>
    </w:pPr>
    <w:r>
      <w:rPr>
        <w:rFonts w:ascii="Times New Roman" w:hAnsi="Times New Roman" w:cs="Times New Roman"/>
        <w:color w:val="1F497D" w:themeColor="text2"/>
        <w:lang w:val="es-MX"/>
      </w:rPr>
      <w:t xml:space="preserve">                                           </w:t>
    </w:r>
    <w:r w:rsidRPr="004A73AA">
      <w:rPr>
        <w:rFonts w:ascii="Times New Roman" w:hAnsi="Times New Roman" w:cs="Times New Roman"/>
        <w:b/>
        <w:color w:val="1F497D" w:themeColor="text2"/>
        <w:lang w:val="es-MX"/>
      </w:rPr>
      <w:t>Dirección de Análisis y Política Fiscal</w:t>
    </w:r>
  </w:p>
  <w:p w:rsidR="00AF68D3" w:rsidRPr="007452E2" w:rsidRDefault="00AF68D3" w:rsidP="00E16925">
    <w:pPr>
      <w:pStyle w:val="Encabezado"/>
      <w:rPr>
        <w:rFonts w:ascii="Times New Roman" w:hAnsi="Times New Roman" w:cs="Times New Roman"/>
        <w:lang w:val="es-MX"/>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8D3" w:rsidRPr="007D4651" w:rsidRDefault="00AF68D3" w:rsidP="007D4651">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703296" behindDoc="1" locked="0" layoutInCell="1" allowOverlap="1" wp14:anchorId="61815515" wp14:editId="39A9FAEB">
          <wp:simplePos x="0" y="0"/>
          <wp:positionH relativeFrom="column">
            <wp:posOffset>-89849</wp:posOffset>
          </wp:positionH>
          <wp:positionV relativeFrom="paragraph">
            <wp:posOffset>-163027</wp:posOffset>
          </wp:positionV>
          <wp:extent cx="1697990" cy="914400"/>
          <wp:effectExtent l="0" t="0" r="0" b="0"/>
          <wp:wrapNone/>
          <wp:docPr id="25" name="Imagen 25"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AF68D3" w:rsidRPr="007D4651" w:rsidRDefault="00AF68D3" w:rsidP="007D4651">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Abril 2017</w:t>
    </w:r>
  </w:p>
  <w:p w:rsidR="00AF68D3" w:rsidRDefault="00AF68D3" w:rsidP="007D4651">
    <w:pPr>
      <w:pStyle w:val="Encabezado"/>
      <w:jc w:val="right"/>
      <w:rPr>
        <w:rFonts w:ascii="Times New Roman" w:hAnsi="Times New Roman" w:cs="Times New Roman"/>
        <w:lang w:val="es-MX"/>
      </w:rPr>
    </w:pPr>
    <w:r>
      <w:rPr>
        <w:rFonts w:ascii="Times New Roman" w:hAnsi="Times New Roman" w:cs="Times New Roman"/>
        <w:noProof/>
        <w:lang w:eastAsia="es-GT"/>
      </w:rPr>
      <mc:AlternateContent>
        <mc:Choice Requires="wps">
          <w:drawing>
            <wp:anchor distT="0" distB="0" distL="114300" distR="114300" simplePos="0" relativeHeight="251702272" behindDoc="0" locked="0" layoutInCell="1" allowOverlap="1" wp14:anchorId="490BDF9D" wp14:editId="678E667F">
              <wp:simplePos x="0" y="0"/>
              <wp:positionH relativeFrom="column">
                <wp:posOffset>1710568</wp:posOffset>
              </wp:positionH>
              <wp:positionV relativeFrom="paragraph">
                <wp:posOffset>29118</wp:posOffset>
              </wp:positionV>
              <wp:extent cx="5155894" cy="45719"/>
              <wp:effectExtent l="38100" t="38100" r="64135" b="88265"/>
              <wp:wrapNone/>
              <wp:docPr id="20" name="20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20 Rectángulo" o:spid="_x0000_s1026" style="position:absolute;margin-left:134.7pt;margin-top:2.3pt;width:406pt;height:3.6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AF68D3" w:rsidRDefault="00AF68D3" w:rsidP="00E16925">
    <w:pPr>
      <w:pStyle w:val="Encabezado"/>
      <w:rPr>
        <w:rFonts w:ascii="Times New Roman" w:hAnsi="Times New Roman" w:cs="Times New Roman"/>
        <w:lang w:val="es-MX"/>
      </w:rPr>
    </w:pPr>
    <w:r>
      <w:rPr>
        <w:rFonts w:ascii="Times New Roman" w:hAnsi="Times New Roman" w:cs="Times New Roman"/>
        <w:lang w:val="es-MX"/>
      </w:rPr>
      <w:tab/>
    </w:r>
    <w:r w:rsidRPr="009F164F">
      <w:rPr>
        <w:rFonts w:ascii="Times New Roman" w:hAnsi="Times New Roman" w:cs="Times New Roman"/>
        <w:b/>
        <w:color w:val="4F81BD" w:themeColor="accent1"/>
        <w:lang w:val="es-MX"/>
      </w:rPr>
      <w:t>Dirección de Análisis y Política Fiscal</w:t>
    </w:r>
  </w:p>
  <w:p w:rsidR="00AF68D3" w:rsidRPr="00E16925" w:rsidRDefault="00AF68D3" w:rsidP="00E16925">
    <w:pPr>
      <w:pStyle w:val="Encabezado"/>
      <w:rPr>
        <w:rFonts w:ascii="Times New Roman" w:hAnsi="Times New Roman" w:cs="Times New Roman"/>
        <w:lang w:val="es-MX"/>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8D3" w:rsidRPr="007D4651" w:rsidRDefault="00AF68D3" w:rsidP="007D4651">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682816" behindDoc="1" locked="0" layoutInCell="1" allowOverlap="1" wp14:anchorId="61D7EEE6" wp14:editId="33F4E9F0">
          <wp:simplePos x="0" y="0"/>
          <wp:positionH relativeFrom="column">
            <wp:posOffset>-89849</wp:posOffset>
          </wp:positionH>
          <wp:positionV relativeFrom="paragraph">
            <wp:posOffset>-163027</wp:posOffset>
          </wp:positionV>
          <wp:extent cx="1697990" cy="914400"/>
          <wp:effectExtent l="0" t="0" r="0" b="0"/>
          <wp:wrapNone/>
          <wp:docPr id="47" name="Imagen 47"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AF68D3" w:rsidRPr="007D4651" w:rsidRDefault="00AF68D3" w:rsidP="007D4651">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Octubre</w:t>
    </w:r>
    <w:r w:rsidRPr="007D4651">
      <w:rPr>
        <w:rFonts w:ascii="Times New Roman" w:hAnsi="Times New Roman" w:cs="Times New Roman"/>
        <w:color w:val="1F497D" w:themeColor="text2"/>
        <w:lang w:val="es-MX"/>
      </w:rPr>
      <w:t xml:space="preserve"> 2016</w:t>
    </w:r>
  </w:p>
  <w:p w:rsidR="00AF68D3" w:rsidRDefault="00AF68D3" w:rsidP="007D4651">
    <w:pPr>
      <w:pStyle w:val="Encabezado"/>
      <w:jc w:val="right"/>
      <w:rPr>
        <w:rFonts w:ascii="Times New Roman" w:hAnsi="Times New Roman" w:cs="Times New Roman"/>
        <w:lang w:val="es-MX"/>
      </w:rPr>
    </w:pPr>
    <w:r>
      <w:rPr>
        <w:rFonts w:ascii="Times New Roman" w:hAnsi="Times New Roman" w:cs="Times New Roman"/>
        <w:noProof/>
        <w:lang w:eastAsia="es-GT"/>
      </w:rPr>
      <mc:AlternateContent>
        <mc:Choice Requires="wps">
          <w:drawing>
            <wp:anchor distT="0" distB="0" distL="114300" distR="114300" simplePos="0" relativeHeight="251681792" behindDoc="0" locked="0" layoutInCell="1" allowOverlap="1" wp14:anchorId="55BF63BE" wp14:editId="2A625BC6">
              <wp:simplePos x="0" y="0"/>
              <wp:positionH relativeFrom="column">
                <wp:posOffset>1710568</wp:posOffset>
              </wp:positionH>
              <wp:positionV relativeFrom="paragraph">
                <wp:posOffset>29118</wp:posOffset>
              </wp:positionV>
              <wp:extent cx="5155894" cy="45719"/>
              <wp:effectExtent l="38100" t="38100" r="64135" b="88265"/>
              <wp:wrapNone/>
              <wp:docPr id="38" name="38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38 Rectángulo" o:spid="_x0000_s1026" style="position:absolute;margin-left:134.7pt;margin-top:2.3pt;width:406pt;height:3.6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AF68D3" w:rsidRDefault="00AF68D3" w:rsidP="00E16925">
    <w:pPr>
      <w:pStyle w:val="Encabezado"/>
      <w:rPr>
        <w:rFonts w:ascii="Times New Roman" w:hAnsi="Times New Roman" w:cs="Times New Roman"/>
        <w:lang w:val="es-MX"/>
      </w:rPr>
    </w:pPr>
    <w:r>
      <w:rPr>
        <w:rFonts w:ascii="Times New Roman" w:hAnsi="Times New Roman" w:cs="Times New Roman"/>
        <w:lang w:val="es-MX"/>
      </w:rPr>
      <w:tab/>
    </w:r>
    <w:r w:rsidRPr="009F164F">
      <w:rPr>
        <w:rFonts w:ascii="Times New Roman" w:hAnsi="Times New Roman" w:cs="Times New Roman"/>
        <w:b/>
        <w:color w:val="4F81BD" w:themeColor="accent1"/>
        <w:lang w:val="es-MX"/>
      </w:rPr>
      <w:t>Dirección de Análisis y Política Fiscal</w:t>
    </w:r>
  </w:p>
  <w:p w:rsidR="00AF68D3" w:rsidRPr="00E16925" w:rsidRDefault="00AF68D3" w:rsidP="00E16925">
    <w:pPr>
      <w:pStyle w:val="Encabezado"/>
      <w:rPr>
        <w:rFonts w:ascii="Times New Roman" w:hAnsi="Times New Roman" w:cs="Times New Roman"/>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641F5"/>
    <w:multiLevelType w:val="hybridMultilevel"/>
    <w:tmpl w:val="6C9AD44A"/>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nsid w:val="0FD5081C"/>
    <w:multiLevelType w:val="hybridMultilevel"/>
    <w:tmpl w:val="7A082BE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
    <w:nsid w:val="172228C2"/>
    <w:multiLevelType w:val="hybridMultilevel"/>
    <w:tmpl w:val="8B2A4192"/>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3">
    <w:nsid w:val="318C7F52"/>
    <w:multiLevelType w:val="hybridMultilevel"/>
    <w:tmpl w:val="8BEAF84A"/>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
    <w:nsid w:val="335D3E9F"/>
    <w:multiLevelType w:val="hybridMultilevel"/>
    <w:tmpl w:val="DFE611E6"/>
    <w:lvl w:ilvl="0" w:tplc="04441B1A">
      <w:start w:val="1"/>
      <w:numFmt w:val="decimal"/>
      <w:lvlText w:val="%1."/>
      <w:lvlJc w:val="left"/>
      <w:pPr>
        <w:ind w:left="360" w:hanging="360"/>
      </w:pPr>
      <w:rPr>
        <w:rFonts w:hint="default"/>
        <w:b w:val="0"/>
        <w:sz w:val="22"/>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5">
    <w:nsid w:val="4F1F1422"/>
    <w:multiLevelType w:val="hybridMultilevel"/>
    <w:tmpl w:val="ECB205F6"/>
    <w:lvl w:ilvl="0" w:tplc="100A000F">
      <w:start w:val="1"/>
      <w:numFmt w:val="decimal"/>
      <w:lvlText w:val="%1."/>
      <w:lvlJc w:val="left"/>
      <w:pPr>
        <w:ind w:left="360" w:hanging="360"/>
      </w:pPr>
      <w:rPr>
        <w:rFonts w:hint="default"/>
      </w:rPr>
    </w:lvl>
    <w:lvl w:ilvl="1" w:tplc="15DACC7C">
      <w:start w:val="1"/>
      <w:numFmt w:val="bullet"/>
      <w:lvlText w:val="-"/>
      <w:lvlJc w:val="left"/>
      <w:pPr>
        <w:ind w:left="1080" w:hanging="360"/>
      </w:pPr>
      <w:rPr>
        <w:rFonts w:ascii="Courier New" w:hAnsi="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6">
    <w:nsid w:val="5EB178D6"/>
    <w:multiLevelType w:val="hybridMultilevel"/>
    <w:tmpl w:val="8794A3C4"/>
    <w:lvl w:ilvl="0" w:tplc="06C04D0C">
      <w:start w:val="1"/>
      <w:numFmt w:val="decimal"/>
      <w:lvlText w:val="%1."/>
      <w:lvlJc w:val="left"/>
      <w:pPr>
        <w:ind w:left="720" w:hanging="360"/>
      </w:pPr>
      <w:rPr>
        <w:rFonts w:hint="default"/>
        <w:color w:val="auto"/>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7">
    <w:nsid w:val="7A3757A3"/>
    <w:multiLevelType w:val="hybridMultilevel"/>
    <w:tmpl w:val="C638E668"/>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8">
    <w:nsid w:val="7F885ABE"/>
    <w:multiLevelType w:val="hybridMultilevel"/>
    <w:tmpl w:val="F0FA2C9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6"/>
  </w:num>
  <w:num w:numId="6">
    <w:abstractNumId w:val="8"/>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651"/>
    <w:rsid w:val="00006489"/>
    <w:rsid w:val="00013C63"/>
    <w:rsid w:val="00053517"/>
    <w:rsid w:val="000723B2"/>
    <w:rsid w:val="00072EEB"/>
    <w:rsid w:val="00076AD2"/>
    <w:rsid w:val="000813C5"/>
    <w:rsid w:val="0008348D"/>
    <w:rsid w:val="00087ADE"/>
    <w:rsid w:val="000C1547"/>
    <w:rsid w:val="000D016D"/>
    <w:rsid w:val="000D2FA4"/>
    <w:rsid w:val="00102939"/>
    <w:rsid w:val="00111B77"/>
    <w:rsid w:val="001259BA"/>
    <w:rsid w:val="00133DBA"/>
    <w:rsid w:val="00157402"/>
    <w:rsid w:val="00160EAC"/>
    <w:rsid w:val="00185253"/>
    <w:rsid w:val="001C2FF5"/>
    <w:rsid w:val="001C3649"/>
    <w:rsid w:val="001D46C3"/>
    <w:rsid w:val="001D5A5B"/>
    <w:rsid w:val="001E0E10"/>
    <w:rsid w:val="001F5240"/>
    <w:rsid w:val="001F7141"/>
    <w:rsid w:val="00200FB1"/>
    <w:rsid w:val="00202594"/>
    <w:rsid w:val="002101C9"/>
    <w:rsid w:val="00213C92"/>
    <w:rsid w:val="002335EE"/>
    <w:rsid w:val="00240D86"/>
    <w:rsid w:val="00242202"/>
    <w:rsid w:val="00244AAA"/>
    <w:rsid w:val="002512EC"/>
    <w:rsid w:val="00264C3A"/>
    <w:rsid w:val="002672D5"/>
    <w:rsid w:val="00270CAB"/>
    <w:rsid w:val="00276250"/>
    <w:rsid w:val="00276A28"/>
    <w:rsid w:val="00281439"/>
    <w:rsid w:val="00281FB7"/>
    <w:rsid w:val="0029321A"/>
    <w:rsid w:val="00296D57"/>
    <w:rsid w:val="002C482A"/>
    <w:rsid w:val="002D54E6"/>
    <w:rsid w:val="002E3F4C"/>
    <w:rsid w:val="002F2A42"/>
    <w:rsid w:val="00302D40"/>
    <w:rsid w:val="00334324"/>
    <w:rsid w:val="00343A5D"/>
    <w:rsid w:val="00345216"/>
    <w:rsid w:val="0034700C"/>
    <w:rsid w:val="0035279B"/>
    <w:rsid w:val="003531E5"/>
    <w:rsid w:val="00353F9F"/>
    <w:rsid w:val="003551C3"/>
    <w:rsid w:val="00364DD6"/>
    <w:rsid w:val="00367E12"/>
    <w:rsid w:val="00374D44"/>
    <w:rsid w:val="00376802"/>
    <w:rsid w:val="00381A4F"/>
    <w:rsid w:val="00385BA8"/>
    <w:rsid w:val="00393E59"/>
    <w:rsid w:val="003968DB"/>
    <w:rsid w:val="003A3726"/>
    <w:rsid w:val="003B13B4"/>
    <w:rsid w:val="003C7085"/>
    <w:rsid w:val="003D05CE"/>
    <w:rsid w:val="003D38A7"/>
    <w:rsid w:val="003D60E4"/>
    <w:rsid w:val="0040361C"/>
    <w:rsid w:val="00413FBE"/>
    <w:rsid w:val="00416D41"/>
    <w:rsid w:val="0042387A"/>
    <w:rsid w:val="004277D4"/>
    <w:rsid w:val="00443621"/>
    <w:rsid w:val="00447F4F"/>
    <w:rsid w:val="00450531"/>
    <w:rsid w:val="004575BA"/>
    <w:rsid w:val="004606FD"/>
    <w:rsid w:val="00464DB9"/>
    <w:rsid w:val="004650C5"/>
    <w:rsid w:val="00474EC2"/>
    <w:rsid w:val="00494BC6"/>
    <w:rsid w:val="00494D1D"/>
    <w:rsid w:val="00495F43"/>
    <w:rsid w:val="004A6705"/>
    <w:rsid w:val="004A73AA"/>
    <w:rsid w:val="004B336D"/>
    <w:rsid w:val="004B5B0F"/>
    <w:rsid w:val="004C208F"/>
    <w:rsid w:val="004C3B4E"/>
    <w:rsid w:val="004D1F76"/>
    <w:rsid w:val="004D7482"/>
    <w:rsid w:val="004E358C"/>
    <w:rsid w:val="004E4FDE"/>
    <w:rsid w:val="004F4F4D"/>
    <w:rsid w:val="004F72F9"/>
    <w:rsid w:val="005004C9"/>
    <w:rsid w:val="005016F6"/>
    <w:rsid w:val="005077A5"/>
    <w:rsid w:val="005364DE"/>
    <w:rsid w:val="005428C6"/>
    <w:rsid w:val="00546650"/>
    <w:rsid w:val="00573AB0"/>
    <w:rsid w:val="005879A5"/>
    <w:rsid w:val="0059421A"/>
    <w:rsid w:val="005948F0"/>
    <w:rsid w:val="005979EB"/>
    <w:rsid w:val="005A03A9"/>
    <w:rsid w:val="005A1EFC"/>
    <w:rsid w:val="005A6ACE"/>
    <w:rsid w:val="005B1B53"/>
    <w:rsid w:val="005B6D05"/>
    <w:rsid w:val="005D2336"/>
    <w:rsid w:val="0060094A"/>
    <w:rsid w:val="00606D70"/>
    <w:rsid w:val="00610F84"/>
    <w:rsid w:val="00623EC9"/>
    <w:rsid w:val="00625AA5"/>
    <w:rsid w:val="00632EE6"/>
    <w:rsid w:val="00640B12"/>
    <w:rsid w:val="00643FB6"/>
    <w:rsid w:val="00651522"/>
    <w:rsid w:val="006525C5"/>
    <w:rsid w:val="006553D6"/>
    <w:rsid w:val="00660888"/>
    <w:rsid w:val="006668D4"/>
    <w:rsid w:val="0066791B"/>
    <w:rsid w:val="00670F33"/>
    <w:rsid w:val="00674EAE"/>
    <w:rsid w:val="00685C3A"/>
    <w:rsid w:val="006A1473"/>
    <w:rsid w:val="006B0D82"/>
    <w:rsid w:val="006D1857"/>
    <w:rsid w:val="006D7B6E"/>
    <w:rsid w:val="006D7BB6"/>
    <w:rsid w:val="006E1D11"/>
    <w:rsid w:val="006E27A5"/>
    <w:rsid w:val="006F157C"/>
    <w:rsid w:val="006F20A4"/>
    <w:rsid w:val="00715D8F"/>
    <w:rsid w:val="00741591"/>
    <w:rsid w:val="00741F6B"/>
    <w:rsid w:val="007452E2"/>
    <w:rsid w:val="00747C79"/>
    <w:rsid w:val="00754057"/>
    <w:rsid w:val="0076667B"/>
    <w:rsid w:val="00784AF8"/>
    <w:rsid w:val="007859CD"/>
    <w:rsid w:val="007A6523"/>
    <w:rsid w:val="007A7814"/>
    <w:rsid w:val="007B3D0C"/>
    <w:rsid w:val="007C0C8C"/>
    <w:rsid w:val="007C4E46"/>
    <w:rsid w:val="007D0566"/>
    <w:rsid w:val="007D38A9"/>
    <w:rsid w:val="007D4651"/>
    <w:rsid w:val="007D7CFE"/>
    <w:rsid w:val="007E314A"/>
    <w:rsid w:val="007F6F57"/>
    <w:rsid w:val="00804E1C"/>
    <w:rsid w:val="00810A4C"/>
    <w:rsid w:val="008501C7"/>
    <w:rsid w:val="00851B4B"/>
    <w:rsid w:val="00861640"/>
    <w:rsid w:val="008718E5"/>
    <w:rsid w:val="00891B11"/>
    <w:rsid w:val="00892181"/>
    <w:rsid w:val="00892DE1"/>
    <w:rsid w:val="008E5C4F"/>
    <w:rsid w:val="008E7869"/>
    <w:rsid w:val="008F312E"/>
    <w:rsid w:val="008F5DBB"/>
    <w:rsid w:val="00910163"/>
    <w:rsid w:val="00916532"/>
    <w:rsid w:val="00942163"/>
    <w:rsid w:val="00950874"/>
    <w:rsid w:val="00965F44"/>
    <w:rsid w:val="00972FCF"/>
    <w:rsid w:val="00981FB0"/>
    <w:rsid w:val="00993857"/>
    <w:rsid w:val="00997A06"/>
    <w:rsid w:val="009A12F9"/>
    <w:rsid w:val="009A3187"/>
    <w:rsid w:val="009A47FE"/>
    <w:rsid w:val="009A5380"/>
    <w:rsid w:val="009B7148"/>
    <w:rsid w:val="009C0583"/>
    <w:rsid w:val="009C361A"/>
    <w:rsid w:val="009C4027"/>
    <w:rsid w:val="009D0D94"/>
    <w:rsid w:val="009D25F9"/>
    <w:rsid w:val="009D2C22"/>
    <w:rsid w:val="009F164F"/>
    <w:rsid w:val="009F628A"/>
    <w:rsid w:val="00A25906"/>
    <w:rsid w:val="00A26C76"/>
    <w:rsid w:val="00A305E5"/>
    <w:rsid w:val="00A64AE4"/>
    <w:rsid w:val="00A7383F"/>
    <w:rsid w:val="00A74F16"/>
    <w:rsid w:val="00A900E8"/>
    <w:rsid w:val="00A9153A"/>
    <w:rsid w:val="00A92D6E"/>
    <w:rsid w:val="00A970F8"/>
    <w:rsid w:val="00AA11B9"/>
    <w:rsid w:val="00AA54A5"/>
    <w:rsid w:val="00AA7DB0"/>
    <w:rsid w:val="00AC7961"/>
    <w:rsid w:val="00AE2039"/>
    <w:rsid w:val="00AF68D3"/>
    <w:rsid w:val="00AF7ACE"/>
    <w:rsid w:val="00B136D6"/>
    <w:rsid w:val="00B21010"/>
    <w:rsid w:val="00B26014"/>
    <w:rsid w:val="00B2709E"/>
    <w:rsid w:val="00B5079C"/>
    <w:rsid w:val="00B57AAB"/>
    <w:rsid w:val="00B667BC"/>
    <w:rsid w:val="00B86812"/>
    <w:rsid w:val="00B9286A"/>
    <w:rsid w:val="00BC4F9E"/>
    <w:rsid w:val="00BC7539"/>
    <w:rsid w:val="00BC79C1"/>
    <w:rsid w:val="00BD3A7C"/>
    <w:rsid w:val="00C074EF"/>
    <w:rsid w:val="00C33674"/>
    <w:rsid w:val="00C41470"/>
    <w:rsid w:val="00C646C4"/>
    <w:rsid w:val="00C76463"/>
    <w:rsid w:val="00C85696"/>
    <w:rsid w:val="00C91204"/>
    <w:rsid w:val="00C935C2"/>
    <w:rsid w:val="00CA57D4"/>
    <w:rsid w:val="00CA6173"/>
    <w:rsid w:val="00CA65FF"/>
    <w:rsid w:val="00CB0938"/>
    <w:rsid w:val="00CC3420"/>
    <w:rsid w:val="00CC547C"/>
    <w:rsid w:val="00CC60FF"/>
    <w:rsid w:val="00CD7760"/>
    <w:rsid w:val="00CF0F94"/>
    <w:rsid w:val="00CF2D98"/>
    <w:rsid w:val="00CF5AB1"/>
    <w:rsid w:val="00CF73B4"/>
    <w:rsid w:val="00D01738"/>
    <w:rsid w:val="00D119D8"/>
    <w:rsid w:val="00D24DA4"/>
    <w:rsid w:val="00D26F28"/>
    <w:rsid w:val="00D30D15"/>
    <w:rsid w:val="00D32839"/>
    <w:rsid w:val="00D40769"/>
    <w:rsid w:val="00D4202F"/>
    <w:rsid w:val="00D43052"/>
    <w:rsid w:val="00D466D2"/>
    <w:rsid w:val="00D50ABF"/>
    <w:rsid w:val="00D532B4"/>
    <w:rsid w:val="00D616E2"/>
    <w:rsid w:val="00D63CFC"/>
    <w:rsid w:val="00D66D34"/>
    <w:rsid w:val="00D716E4"/>
    <w:rsid w:val="00D73D1A"/>
    <w:rsid w:val="00D75C74"/>
    <w:rsid w:val="00D858E5"/>
    <w:rsid w:val="00DA53C7"/>
    <w:rsid w:val="00DA5809"/>
    <w:rsid w:val="00DA7B48"/>
    <w:rsid w:val="00DC44CF"/>
    <w:rsid w:val="00DD01C5"/>
    <w:rsid w:val="00DD23C0"/>
    <w:rsid w:val="00DD4AB3"/>
    <w:rsid w:val="00DD4D5D"/>
    <w:rsid w:val="00DF20FD"/>
    <w:rsid w:val="00DF3C7A"/>
    <w:rsid w:val="00DF71A8"/>
    <w:rsid w:val="00E02A24"/>
    <w:rsid w:val="00E16925"/>
    <w:rsid w:val="00E3382E"/>
    <w:rsid w:val="00E3492D"/>
    <w:rsid w:val="00E43BF3"/>
    <w:rsid w:val="00E47525"/>
    <w:rsid w:val="00E47F91"/>
    <w:rsid w:val="00E5126C"/>
    <w:rsid w:val="00E545F1"/>
    <w:rsid w:val="00E63798"/>
    <w:rsid w:val="00E85293"/>
    <w:rsid w:val="00E94F03"/>
    <w:rsid w:val="00EA37FC"/>
    <w:rsid w:val="00EB0687"/>
    <w:rsid w:val="00EB0FC5"/>
    <w:rsid w:val="00EB317F"/>
    <w:rsid w:val="00ED2C29"/>
    <w:rsid w:val="00EE72DB"/>
    <w:rsid w:val="00EF56F9"/>
    <w:rsid w:val="00F10A29"/>
    <w:rsid w:val="00F10ACE"/>
    <w:rsid w:val="00F20D0D"/>
    <w:rsid w:val="00F229CE"/>
    <w:rsid w:val="00F644EA"/>
    <w:rsid w:val="00F75C84"/>
    <w:rsid w:val="00F76491"/>
    <w:rsid w:val="00FA3B81"/>
    <w:rsid w:val="00FA5DE4"/>
    <w:rsid w:val="00FA5E7B"/>
    <w:rsid w:val="00FB2C2F"/>
    <w:rsid w:val="00FC3884"/>
    <w:rsid w:val="00FD61B9"/>
    <w:rsid w:val="00FE56B8"/>
    <w:rsid w:val="00FE65DB"/>
    <w:rsid w:val="00FF58D4"/>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465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D4651"/>
  </w:style>
  <w:style w:type="paragraph" w:styleId="Piedepgina">
    <w:name w:val="footer"/>
    <w:basedOn w:val="Normal"/>
    <w:link w:val="PiedepginaCar"/>
    <w:uiPriority w:val="99"/>
    <w:unhideWhenUsed/>
    <w:rsid w:val="007D465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D4651"/>
  </w:style>
  <w:style w:type="paragraph" w:styleId="Sinespaciado">
    <w:name w:val="No Spacing"/>
    <w:link w:val="SinespaciadoCar"/>
    <w:uiPriority w:val="1"/>
    <w:qFormat/>
    <w:rsid w:val="007D4651"/>
    <w:pPr>
      <w:spacing w:after="0" w:line="240" w:lineRule="auto"/>
    </w:pPr>
  </w:style>
  <w:style w:type="character" w:customStyle="1" w:styleId="SinespaciadoCar">
    <w:name w:val="Sin espaciado Car"/>
    <w:basedOn w:val="Fuentedeprrafopredeter"/>
    <w:link w:val="Sinespaciado"/>
    <w:uiPriority w:val="1"/>
    <w:locked/>
    <w:rsid w:val="007D4651"/>
  </w:style>
  <w:style w:type="paragraph" w:styleId="Textonotapie">
    <w:name w:val="footnote text"/>
    <w:aliases w:val="Texto nota pie Car Car Car Car Car Car,Texto nota pie Car Car Car Car Car Car Car,Texto nota pie Car Car Car Car Car Car Ca"/>
    <w:basedOn w:val="Normal"/>
    <w:link w:val="TextonotapieCar"/>
    <w:uiPriority w:val="99"/>
    <w:unhideWhenUsed/>
    <w:rsid w:val="00FA3B81"/>
    <w:pPr>
      <w:spacing w:after="0" w:line="240" w:lineRule="auto"/>
    </w:pPr>
    <w:rPr>
      <w:sz w:val="20"/>
      <w:szCs w:val="20"/>
    </w:rPr>
  </w:style>
  <w:style w:type="character" w:customStyle="1" w:styleId="TextonotapieCar">
    <w:name w:val="Texto nota pie Car"/>
    <w:aliases w:val="Texto nota pie Car Car Car Car Car Car Car1,Texto nota pie Car Car Car Car Car Car Car Car,Texto nota pie Car Car Car Car Car Car Ca Car"/>
    <w:basedOn w:val="Fuentedeprrafopredeter"/>
    <w:link w:val="Textonotapie"/>
    <w:uiPriority w:val="99"/>
    <w:rsid w:val="00FA3B81"/>
    <w:rPr>
      <w:sz w:val="20"/>
      <w:szCs w:val="20"/>
    </w:rPr>
  </w:style>
  <w:style w:type="character" w:styleId="Refdenotaalpie">
    <w:name w:val="footnote reference"/>
    <w:basedOn w:val="Fuentedeprrafopredeter"/>
    <w:uiPriority w:val="99"/>
    <w:semiHidden/>
    <w:unhideWhenUsed/>
    <w:rsid w:val="00FA3B81"/>
    <w:rPr>
      <w:vertAlign w:val="superscript"/>
    </w:rPr>
  </w:style>
  <w:style w:type="table" w:styleId="Tablaconcuadrcula">
    <w:name w:val="Table Grid"/>
    <w:basedOn w:val="Tablanormal"/>
    <w:uiPriority w:val="59"/>
    <w:rsid w:val="00FA3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D01C5"/>
    <w:pPr>
      <w:spacing w:after="0" w:line="240" w:lineRule="auto"/>
      <w:ind w:left="720"/>
      <w:contextualSpacing/>
    </w:pPr>
  </w:style>
  <w:style w:type="paragraph" w:styleId="NormalWeb">
    <w:name w:val="Normal (Web)"/>
    <w:basedOn w:val="Normal"/>
    <w:uiPriority w:val="99"/>
    <w:semiHidden/>
    <w:unhideWhenUsed/>
    <w:rsid w:val="00213C92"/>
    <w:pPr>
      <w:spacing w:before="100" w:beforeAutospacing="1" w:after="100" w:afterAutospacing="1" w:line="240" w:lineRule="auto"/>
    </w:pPr>
    <w:rPr>
      <w:rFonts w:ascii="Times New Roman" w:eastAsiaTheme="minorEastAsia" w:hAnsi="Times New Roman" w:cs="Times New Roman"/>
      <w:sz w:val="24"/>
      <w:szCs w:val="24"/>
      <w:lang w:eastAsia="es-GT"/>
    </w:rPr>
  </w:style>
  <w:style w:type="paragraph" w:customStyle="1" w:styleId="Default">
    <w:name w:val="Default"/>
    <w:rsid w:val="00EB317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465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D4651"/>
  </w:style>
  <w:style w:type="paragraph" w:styleId="Piedepgina">
    <w:name w:val="footer"/>
    <w:basedOn w:val="Normal"/>
    <w:link w:val="PiedepginaCar"/>
    <w:uiPriority w:val="99"/>
    <w:unhideWhenUsed/>
    <w:rsid w:val="007D465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D4651"/>
  </w:style>
  <w:style w:type="paragraph" w:styleId="Sinespaciado">
    <w:name w:val="No Spacing"/>
    <w:link w:val="SinespaciadoCar"/>
    <w:uiPriority w:val="1"/>
    <w:qFormat/>
    <w:rsid w:val="007D4651"/>
    <w:pPr>
      <w:spacing w:after="0" w:line="240" w:lineRule="auto"/>
    </w:pPr>
  </w:style>
  <w:style w:type="character" w:customStyle="1" w:styleId="SinespaciadoCar">
    <w:name w:val="Sin espaciado Car"/>
    <w:basedOn w:val="Fuentedeprrafopredeter"/>
    <w:link w:val="Sinespaciado"/>
    <w:uiPriority w:val="1"/>
    <w:locked/>
    <w:rsid w:val="007D4651"/>
  </w:style>
  <w:style w:type="paragraph" w:styleId="Textonotapie">
    <w:name w:val="footnote text"/>
    <w:aliases w:val="Texto nota pie Car Car Car Car Car Car,Texto nota pie Car Car Car Car Car Car Car,Texto nota pie Car Car Car Car Car Car Ca"/>
    <w:basedOn w:val="Normal"/>
    <w:link w:val="TextonotapieCar"/>
    <w:uiPriority w:val="99"/>
    <w:unhideWhenUsed/>
    <w:rsid w:val="00FA3B81"/>
    <w:pPr>
      <w:spacing w:after="0" w:line="240" w:lineRule="auto"/>
    </w:pPr>
    <w:rPr>
      <w:sz w:val="20"/>
      <w:szCs w:val="20"/>
    </w:rPr>
  </w:style>
  <w:style w:type="character" w:customStyle="1" w:styleId="TextonotapieCar">
    <w:name w:val="Texto nota pie Car"/>
    <w:aliases w:val="Texto nota pie Car Car Car Car Car Car Car1,Texto nota pie Car Car Car Car Car Car Car Car,Texto nota pie Car Car Car Car Car Car Ca Car"/>
    <w:basedOn w:val="Fuentedeprrafopredeter"/>
    <w:link w:val="Textonotapie"/>
    <w:uiPriority w:val="99"/>
    <w:rsid w:val="00FA3B81"/>
    <w:rPr>
      <w:sz w:val="20"/>
      <w:szCs w:val="20"/>
    </w:rPr>
  </w:style>
  <w:style w:type="character" w:styleId="Refdenotaalpie">
    <w:name w:val="footnote reference"/>
    <w:basedOn w:val="Fuentedeprrafopredeter"/>
    <w:uiPriority w:val="99"/>
    <w:semiHidden/>
    <w:unhideWhenUsed/>
    <w:rsid w:val="00FA3B81"/>
    <w:rPr>
      <w:vertAlign w:val="superscript"/>
    </w:rPr>
  </w:style>
  <w:style w:type="table" w:styleId="Tablaconcuadrcula">
    <w:name w:val="Table Grid"/>
    <w:basedOn w:val="Tablanormal"/>
    <w:uiPriority w:val="59"/>
    <w:rsid w:val="00FA3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D01C5"/>
    <w:pPr>
      <w:spacing w:after="0" w:line="240" w:lineRule="auto"/>
      <w:ind w:left="720"/>
      <w:contextualSpacing/>
    </w:pPr>
  </w:style>
  <w:style w:type="paragraph" w:styleId="NormalWeb">
    <w:name w:val="Normal (Web)"/>
    <w:basedOn w:val="Normal"/>
    <w:uiPriority w:val="99"/>
    <w:semiHidden/>
    <w:unhideWhenUsed/>
    <w:rsid w:val="00213C92"/>
    <w:pPr>
      <w:spacing w:before="100" w:beforeAutospacing="1" w:after="100" w:afterAutospacing="1" w:line="240" w:lineRule="auto"/>
    </w:pPr>
    <w:rPr>
      <w:rFonts w:ascii="Times New Roman" w:eastAsiaTheme="minorEastAsia" w:hAnsi="Times New Roman" w:cs="Times New Roman"/>
      <w:sz w:val="24"/>
      <w:szCs w:val="24"/>
      <w:lang w:eastAsia="es-GT"/>
    </w:rPr>
  </w:style>
  <w:style w:type="paragraph" w:customStyle="1" w:styleId="Default">
    <w:name w:val="Default"/>
    <w:rsid w:val="00EB317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221259">
      <w:bodyDiv w:val="1"/>
      <w:marLeft w:val="0"/>
      <w:marRight w:val="0"/>
      <w:marTop w:val="0"/>
      <w:marBottom w:val="0"/>
      <w:divBdr>
        <w:top w:val="none" w:sz="0" w:space="0" w:color="auto"/>
        <w:left w:val="none" w:sz="0" w:space="0" w:color="auto"/>
        <w:bottom w:val="none" w:sz="0" w:space="0" w:color="auto"/>
        <w:right w:val="none" w:sz="0" w:space="0" w:color="auto"/>
      </w:divBdr>
    </w:div>
    <w:div w:id="124178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3.xml"/><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hart" Target="charts/chart4.xml"/><Relationship Id="rId25" Type="http://schemas.openxmlformats.org/officeDocument/2006/relationships/footer" Target="footer4.xml"/><Relationship Id="rId33"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image" Target="media/image3.png"/><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eader" Target="header4.xml"/><Relationship Id="rId32"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image" Target="media/image6.emf"/><Relationship Id="rId28"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oter" Target="footer3.xml"/><Relationship Id="rId31" Type="http://schemas.openxmlformats.org/officeDocument/2006/relationships/image" Target="media/image8.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hart" Target="charts/chart1.xml"/><Relationship Id="rId22" Type="http://schemas.openxmlformats.org/officeDocument/2006/relationships/image" Target="media/image5.png"/><Relationship Id="rId27" Type="http://schemas.openxmlformats.org/officeDocument/2006/relationships/header" Target="header5.xml"/><Relationship Id="rId30" Type="http://schemas.openxmlformats.org/officeDocument/2006/relationships/footer" Target="footer6.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GT"/>
  <c:roundedCorners val="0"/>
  <mc:AlternateContent xmlns:mc="http://schemas.openxmlformats.org/markup-compatibility/2006">
    <mc:Choice xmlns:c14="http://schemas.microsoft.com/office/drawing/2007/8/2/chart" Requires="c14">
      <c14:style val="137"/>
    </mc:Choice>
    <mc:Fallback>
      <c:style val="37"/>
    </mc:Fallback>
  </mc:AlternateContent>
  <c:chart>
    <c:autoTitleDeleted val="0"/>
    <c:plotArea>
      <c:layout>
        <c:manualLayout>
          <c:layoutTarget val="inner"/>
          <c:xMode val="edge"/>
          <c:yMode val="edge"/>
          <c:x val="0.12942983603064376"/>
          <c:y val="5.6791090302901324E-2"/>
          <c:w val="0.85088996716738818"/>
          <c:h val="0.83275306802865856"/>
        </c:manualLayout>
      </c:layout>
      <c:barChart>
        <c:barDir val="col"/>
        <c:grouping val="clustered"/>
        <c:varyColors val="0"/>
        <c:ser>
          <c:idx val="0"/>
          <c:order val="0"/>
          <c:tx>
            <c:strRef>
              <c:f>Hoja1!$B$1</c:f>
              <c:strCache>
                <c:ptCount val="1"/>
                <c:pt idx="0">
                  <c:v>Obs</c:v>
                </c:pt>
              </c:strCache>
            </c:strRef>
          </c:tx>
          <c:spPr>
            <a:solidFill>
              <a:schemeClr val="accent1"/>
            </a:solidFill>
          </c:spPr>
          <c:invertIfNegative val="0"/>
          <c:dLbls>
            <c:txPr>
              <a:bodyPr rot="-5400000" vert="horz"/>
              <a:lstStyle/>
              <a:p>
                <a:pPr>
                  <a:defRPr b="1">
                    <a:solidFill>
                      <a:schemeClr val="bg1"/>
                    </a:solidFill>
                  </a:defRPr>
                </a:pPr>
                <a:endParaRPr lang="es-GT"/>
              </a:p>
            </c:txPr>
            <c:dLblPos val="inEnd"/>
            <c:showLegendKey val="0"/>
            <c:showVal val="1"/>
            <c:showCatName val="0"/>
            <c:showSerName val="0"/>
            <c:showPercent val="0"/>
            <c:showBubbleSize val="0"/>
            <c:showLeaderLines val="0"/>
          </c:dLbls>
          <c:cat>
            <c:strRef>
              <c:f>Hoja1!$A$2:$A$5</c:f>
              <c:strCache>
                <c:ptCount val="4"/>
                <c:pt idx="0">
                  <c:v>Ene</c:v>
                </c:pt>
                <c:pt idx="1">
                  <c:v>Feb</c:v>
                </c:pt>
                <c:pt idx="2">
                  <c:v>Mar</c:v>
                </c:pt>
                <c:pt idx="3">
                  <c:v>Abr</c:v>
                </c:pt>
              </c:strCache>
            </c:strRef>
          </c:cat>
          <c:val>
            <c:numRef>
              <c:f>Hoja1!$B$2:$B$5</c:f>
              <c:numCache>
                <c:formatCode>_(* #,##0.0_);_(* \(#,##0.0\);_(* "-"??_);_(@_)</c:formatCode>
                <c:ptCount val="4"/>
                <c:pt idx="0">
                  <c:v>5263.6985960700003</c:v>
                </c:pt>
                <c:pt idx="1">
                  <c:v>3614.8461082999997</c:v>
                </c:pt>
                <c:pt idx="2">
                  <c:v>4893.891366939999</c:v>
                </c:pt>
                <c:pt idx="3">
                  <c:v>5719.0335563099989</c:v>
                </c:pt>
              </c:numCache>
            </c:numRef>
          </c:val>
        </c:ser>
        <c:ser>
          <c:idx val="1"/>
          <c:order val="1"/>
          <c:tx>
            <c:strRef>
              <c:f>Hoja1!$C$1</c:f>
              <c:strCache>
                <c:ptCount val="1"/>
                <c:pt idx="0">
                  <c:v>Meta</c:v>
                </c:pt>
              </c:strCache>
            </c:strRef>
          </c:tx>
          <c:spPr>
            <a:solidFill>
              <a:srgbClr val="FF0000"/>
            </a:solidFill>
          </c:spPr>
          <c:invertIfNegative val="0"/>
          <c:dLbls>
            <c:txPr>
              <a:bodyPr rot="-5400000" vert="horz"/>
              <a:lstStyle/>
              <a:p>
                <a:pPr>
                  <a:defRPr b="1">
                    <a:solidFill>
                      <a:schemeClr val="bg1"/>
                    </a:solidFill>
                  </a:defRPr>
                </a:pPr>
                <a:endParaRPr lang="es-GT"/>
              </a:p>
            </c:txPr>
            <c:dLblPos val="inBase"/>
            <c:showLegendKey val="0"/>
            <c:showVal val="1"/>
            <c:showCatName val="0"/>
            <c:showSerName val="0"/>
            <c:showPercent val="0"/>
            <c:showBubbleSize val="0"/>
            <c:showLeaderLines val="0"/>
          </c:dLbls>
          <c:cat>
            <c:strRef>
              <c:f>Hoja1!$A$2:$A$5</c:f>
              <c:strCache>
                <c:ptCount val="4"/>
                <c:pt idx="0">
                  <c:v>Ene</c:v>
                </c:pt>
                <c:pt idx="1">
                  <c:v>Feb</c:v>
                </c:pt>
                <c:pt idx="2">
                  <c:v>Mar</c:v>
                </c:pt>
                <c:pt idx="3">
                  <c:v>Abr</c:v>
                </c:pt>
              </c:strCache>
            </c:strRef>
          </c:cat>
          <c:val>
            <c:numRef>
              <c:f>Hoja1!$C$2:$C$5</c:f>
              <c:numCache>
                <c:formatCode>_(* #,##0.0_);_(* \(#,##0.0\);_(* "-"??_);_(@_)</c:formatCode>
                <c:ptCount val="4"/>
                <c:pt idx="0">
                  <c:v>5627.4079276378061</c:v>
                </c:pt>
                <c:pt idx="1">
                  <c:v>3792.9570322124555</c:v>
                </c:pt>
                <c:pt idx="2">
                  <c:v>5023.2423792012787</c:v>
                </c:pt>
                <c:pt idx="3">
                  <c:v>5710.1174957668418</c:v>
                </c:pt>
              </c:numCache>
            </c:numRef>
          </c:val>
        </c:ser>
        <c:dLbls>
          <c:showLegendKey val="0"/>
          <c:showVal val="0"/>
          <c:showCatName val="0"/>
          <c:showSerName val="0"/>
          <c:showPercent val="0"/>
          <c:showBubbleSize val="0"/>
        </c:dLbls>
        <c:gapWidth val="60"/>
        <c:axId val="96862208"/>
        <c:axId val="96863744"/>
      </c:barChart>
      <c:catAx>
        <c:axId val="96862208"/>
        <c:scaling>
          <c:orientation val="minMax"/>
        </c:scaling>
        <c:delete val="0"/>
        <c:axPos val="b"/>
        <c:numFmt formatCode="General" sourceLinked="1"/>
        <c:majorTickMark val="out"/>
        <c:minorTickMark val="none"/>
        <c:tickLblPos val="nextTo"/>
        <c:txPr>
          <a:bodyPr/>
          <a:lstStyle/>
          <a:p>
            <a:pPr>
              <a:defRPr b="1"/>
            </a:pPr>
            <a:endParaRPr lang="es-GT"/>
          </a:p>
        </c:txPr>
        <c:crossAx val="96863744"/>
        <c:crosses val="autoZero"/>
        <c:auto val="1"/>
        <c:lblAlgn val="ctr"/>
        <c:lblOffset val="100"/>
        <c:noMultiLvlLbl val="0"/>
      </c:catAx>
      <c:valAx>
        <c:axId val="96863744"/>
        <c:scaling>
          <c:orientation val="minMax"/>
        </c:scaling>
        <c:delete val="0"/>
        <c:axPos val="l"/>
        <c:numFmt formatCode="#,##0" sourceLinked="0"/>
        <c:majorTickMark val="out"/>
        <c:minorTickMark val="none"/>
        <c:tickLblPos val="nextTo"/>
        <c:txPr>
          <a:bodyPr/>
          <a:lstStyle/>
          <a:p>
            <a:pPr>
              <a:defRPr b="1"/>
            </a:pPr>
            <a:endParaRPr lang="es-GT"/>
          </a:p>
        </c:txPr>
        <c:crossAx val="96862208"/>
        <c:crosses val="autoZero"/>
        <c:crossBetween val="between"/>
      </c:valAx>
      <c:spPr>
        <a:noFill/>
        <a:ln w="25400">
          <a:noFill/>
        </a:ln>
      </c:spPr>
    </c:plotArea>
    <c:legend>
      <c:legendPos val="b"/>
      <c:layout>
        <c:manualLayout>
          <c:xMode val="edge"/>
          <c:yMode val="edge"/>
          <c:x val="0.70582134797725926"/>
          <c:y val="4.8323409173178553E-2"/>
          <c:w val="0.26732409371337806"/>
          <c:h val="0.10645953039653827"/>
        </c:manualLayout>
      </c:layout>
      <c:overlay val="0"/>
      <c:txPr>
        <a:bodyPr/>
        <a:lstStyle/>
        <a:p>
          <a:pPr>
            <a:defRPr b="1"/>
          </a:pPr>
          <a:endParaRPr lang="es-GT"/>
        </a:p>
      </c:txPr>
    </c:legend>
    <c:plotVisOnly val="1"/>
    <c:dispBlanksAs val="gap"/>
    <c:showDLblsOverMax val="0"/>
  </c:chart>
  <c:spPr>
    <a:ln>
      <a:noFill/>
    </a:ln>
  </c:spPr>
  <c:txPr>
    <a:bodyPr/>
    <a:lstStyle/>
    <a:p>
      <a:pPr>
        <a:defRPr sz="800">
          <a:latin typeface="Times New Roman" panose="02020603050405020304" pitchFamily="18" charset="0"/>
          <a:cs typeface="Times New Roman" panose="02020603050405020304" pitchFamily="18" charset="0"/>
        </a:defRPr>
      </a:pPr>
      <a:endParaRPr lang="es-GT"/>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GT"/>
  <c:roundedCorners val="0"/>
  <mc:AlternateContent xmlns:mc="http://schemas.openxmlformats.org/markup-compatibility/2006">
    <mc:Choice xmlns:c14="http://schemas.microsoft.com/office/drawing/2007/8/2/chart" Requires="c14">
      <c14:style val="137"/>
    </mc:Choice>
    <mc:Fallback>
      <c:style val="37"/>
    </mc:Fallback>
  </mc:AlternateContent>
  <c:chart>
    <c:autoTitleDeleted val="0"/>
    <c:plotArea>
      <c:layout>
        <c:manualLayout>
          <c:layoutTarget val="inner"/>
          <c:xMode val="edge"/>
          <c:yMode val="edge"/>
          <c:x val="0.11289487472592789"/>
          <c:y val="5.6791090302901324E-2"/>
          <c:w val="0.88697833435027262"/>
          <c:h val="0.83275306802865856"/>
        </c:manualLayout>
      </c:layout>
      <c:lineChart>
        <c:grouping val="standard"/>
        <c:varyColors val="0"/>
        <c:ser>
          <c:idx val="0"/>
          <c:order val="0"/>
          <c:tx>
            <c:strRef>
              <c:f>Hoja1!$B$1</c:f>
              <c:strCache>
                <c:ptCount val="1"/>
                <c:pt idx="0">
                  <c:v>2017/2016</c:v>
                </c:pt>
              </c:strCache>
            </c:strRef>
          </c:tx>
          <c:spPr>
            <a:ln w="19050">
              <a:solidFill>
                <a:srgbClr val="FF0000"/>
              </a:solidFill>
            </a:ln>
          </c:spPr>
          <c:marker>
            <c:symbol val="circle"/>
            <c:size val="5"/>
            <c:spPr>
              <a:solidFill>
                <a:srgbClr val="FF0000"/>
              </a:solidFill>
            </c:spPr>
          </c:marker>
          <c:dLbls>
            <c:txPr>
              <a:bodyPr rot="0" vert="horz"/>
              <a:lstStyle/>
              <a:p>
                <a:pPr>
                  <a:defRPr b="1">
                    <a:solidFill>
                      <a:srgbClr val="FF0000"/>
                    </a:solidFill>
                  </a:defRPr>
                </a:pPr>
                <a:endParaRPr lang="es-GT"/>
              </a:p>
            </c:txPr>
            <c:dLblPos val="t"/>
            <c:showLegendKey val="0"/>
            <c:showVal val="1"/>
            <c:showCatName val="0"/>
            <c:showSerName val="0"/>
            <c:showPercent val="0"/>
            <c:showBubbleSize val="0"/>
            <c:showLeaderLines val="0"/>
          </c:dLbls>
          <c:cat>
            <c:strRef>
              <c:f>Hoja1!$A$2:$A$5</c:f>
              <c:strCache>
                <c:ptCount val="4"/>
                <c:pt idx="0">
                  <c:v>Ene</c:v>
                </c:pt>
                <c:pt idx="1">
                  <c:v>Feb</c:v>
                </c:pt>
                <c:pt idx="2">
                  <c:v>Mar</c:v>
                </c:pt>
                <c:pt idx="3">
                  <c:v>Abr</c:v>
                </c:pt>
              </c:strCache>
            </c:strRef>
          </c:cat>
          <c:val>
            <c:numRef>
              <c:f>Hoja1!$B$2:$B$5</c:f>
              <c:numCache>
                <c:formatCode>0.0%</c:formatCode>
                <c:ptCount val="4"/>
                <c:pt idx="0">
                  <c:v>8.7106089305437395E-2</c:v>
                </c:pt>
                <c:pt idx="1">
                  <c:v>7.8763477966087292E-2</c:v>
                </c:pt>
                <c:pt idx="2">
                  <c:v>9.6681641236973093E-2</c:v>
                </c:pt>
                <c:pt idx="3">
                  <c:v>6.8944163353312993E-2</c:v>
                </c:pt>
              </c:numCache>
            </c:numRef>
          </c:val>
          <c:smooth val="0"/>
        </c:ser>
        <c:ser>
          <c:idx val="1"/>
          <c:order val="1"/>
          <c:tx>
            <c:strRef>
              <c:f>Hoja1!$C$1</c:f>
              <c:strCache>
                <c:ptCount val="1"/>
                <c:pt idx="0">
                  <c:v>2016/2015</c:v>
                </c:pt>
              </c:strCache>
            </c:strRef>
          </c:tx>
          <c:spPr>
            <a:ln w="19050">
              <a:solidFill>
                <a:schemeClr val="tx2"/>
              </a:solidFill>
              <a:prstDash val="sysDash"/>
            </a:ln>
          </c:spPr>
          <c:marker>
            <c:spPr>
              <a:solidFill>
                <a:srgbClr val="002060"/>
              </a:solidFill>
            </c:spPr>
          </c:marker>
          <c:dLbls>
            <c:txPr>
              <a:bodyPr/>
              <a:lstStyle/>
              <a:p>
                <a:pPr>
                  <a:defRPr b="1">
                    <a:solidFill>
                      <a:sysClr val="windowText" lastClr="000000"/>
                    </a:solidFill>
                  </a:defRPr>
                </a:pPr>
                <a:endParaRPr lang="es-GT"/>
              </a:p>
            </c:txPr>
            <c:dLblPos val="t"/>
            <c:showLegendKey val="0"/>
            <c:showVal val="1"/>
            <c:showCatName val="0"/>
            <c:showSerName val="0"/>
            <c:showPercent val="0"/>
            <c:showBubbleSize val="0"/>
            <c:showLeaderLines val="0"/>
          </c:dLbls>
          <c:cat>
            <c:strRef>
              <c:f>Hoja1!$A$2:$A$5</c:f>
              <c:strCache>
                <c:ptCount val="4"/>
                <c:pt idx="0">
                  <c:v>Ene</c:v>
                </c:pt>
                <c:pt idx="1">
                  <c:v>Feb</c:v>
                </c:pt>
                <c:pt idx="2">
                  <c:v>Mar</c:v>
                </c:pt>
                <c:pt idx="3">
                  <c:v>Abr</c:v>
                </c:pt>
              </c:strCache>
            </c:strRef>
          </c:cat>
          <c:val>
            <c:numRef>
              <c:f>Hoja1!$C$2:$C$5</c:f>
              <c:numCache>
                <c:formatCode>0.0%</c:formatCode>
                <c:ptCount val="4"/>
                <c:pt idx="0">
                  <c:v>-2.3375490882261318E-2</c:v>
                </c:pt>
                <c:pt idx="1">
                  <c:v>4.3206148558598834E-3</c:v>
                </c:pt>
                <c:pt idx="2">
                  <c:v>-1.0267216186412131E-2</c:v>
                </c:pt>
                <c:pt idx="3">
                  <c:v>1.9355073413711565E-3</c:v>
                </c:pt>
              </c:numCache>
            </c:numRef>
          </c:val>
          <c:smooth val="0"/>
        </c:ser>
        <c:dLbls>
          <c:showLegendKey val="0"/>
          <c:showVal val="0"/>
          <c:showCatName val="0"/>
          <c:showSerName val="0"/>
          <c:showPercent val="0"/>
          <c:showBubbleSize val="0"/>
        </c:dLbls>
        <c:marker val="1"/>
        <c:smooth val="0"/>
        <c:axId val="97311360"/>
        <c:axId val="97317248"/>
      </c:lineChart>
      <c:catAx>
        <c:axId val="97311360"/>
        <c:scaling>
          <c:orientation val="minMax"/>
        </c:scaling>
        <c:delete val="0"/>
        <c:axPos val="b"/>
        <c:numFmt formatCode="General" sourceLinked="1"/>
        <c:majorTickMark val="out"/>
        <c:minorTickMark val="none"/>
        <c:tickLblPos val="low"/>
        <c:crossAx val="97317248"/>
        <c:crosses val="autoZero"/>
        <c:auto val="1"/>
        <c:lblAlgn val="ctr"/>
        <c:lblOffset val="100"/>
        <c:noMultiLvlLbl val="0"/>
      </c:catAx>
      <c:valAx>
        <c:axId val="97317248"/>
        <c:scaling>
          <c:orientation val="minMax"/>
        </c:scaling>
        <c:delete val="0"/>
        <c:axPos val="l"/>
        <c:numFmt formatCode="0%" sourceLinked="0"/>
        <c:majorTickMark val="out"/>
        <c:minorTickMark val="none"/>
        <c:tickLblPos val="nextTo"/>
        <c:crossAx val="97311360"/>
        <c:crosses val="autoZero"/>
        <c:crossBetween val="between"/>
      </c:valAx>
      <c:spPr>
        <a:noFill/>
        <a:ln w="25400">
          <a:noFill/>
        </a:ln>
      </c:spPr>
    </c:plotArea>
    <c:legend>
      <c:legendPos val="b"/>
      <c:layout>
        <c:manualLayout>
          <c:xMode val="edge"/>
          <c:yMode val="edge"/>
          <c:x val="0.24333672313101085"/>
          <c:y val="0.78240585095402404"/>
          <c:w val="0.75666327686898915"/>
          <c:h val="0.11064614114246955"/>
        </c:manualLayout>
      </c:layout>
      <c:overlay val="0"/>
      <c:txPr>
        <a:bodyPr/>
        <a:lstStyle/>
        <a:p>
          <a:pPr>
            <a:defRPr b="1"/>
          </a:pPr>
          <a:endParaRPr lang="es-GT"/>
        </a:p>
      </c:txPr>
    </c:legend>
    <c:plotVisOnly val="1"/>
    <c:dispBlanksAs val="gap"/>
    <c:showDLblsOverMax val="0"/>
  </c:chart>
  <c:spPr>
    <a:ln>
      <a:noFill/>
    </a:ln>
  </c:spPr>
  <c:txPr>
    <a:bodyPr/>
    <a:lstStyle/>
    <a:p>
      <a:pPr>
        <a:defRPr sz="800">
          <a:solidFill>
            <a:sysClr val="windowText" lastClr="000000"/>
          </a:solidFill>
          <a:latin typeface="Times New Roman" panose="02020603050405020304" pitchFamily="18" charset="0"/>
          <a:cs typeface="Times New Roman" panose="02020603050405020304" pitchFamily="18" charset="0"/>
        </a:defRPr>
      </a:pPr>
      <a:endParaRPr lang="es-GT"/>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GT"/>
  <c:roundedCorners val="0"/>
  <mc:AlternateContent xmlns:mc="http://schemas.openxmlformats.org/markup-compatibility/2006">
    <mc:Choice xmlns:c14="http://schemas.microsoft.com/office/drawing/2007/8/2/chart" Requires="c14">
      <c14:style val="137"/>
    </mc:Choice>
    <mc:Fallback>
      <c:style val="37"/>
    </mc:Fallback>
  </mc:AlternateContent>
  <c:chart>
    <c:autoTitleDeleted val="0"/>
    <c:plotArea>
      <c:layout>
        <c:manualLayout>
          <c:layoutTarget val="inner"/>
          <c:xMode val="edge"/>
          <c:yMode val="edge"/>
          <c:x val="0.12942983603064376"/>
          <c:y val="5.6791090302901324E-2"/>
          <c:w val="0.85088996716738818"/>
          <c:h val="0.83275306802865856"/>
        </c:manualLayout>
      </c:layout>
      <c:lineChart>
        <c:grouping val="standard"/>
        <c:varyColors val="0"/>
        <c:ser>
          <c:idx val="0"/>
          <c:order val="0"/>
          <c:tx>
            <c:strRef>
              <c:f>Hoja1!$B$1</c:f>
              <c:strCache>
                <c:ptCount val="1"/>
                <c:pt idx="0">
                  <c:v>2017/2016</c:v>
                </c:pt>
              </c:strCache>
            </c:strRef>
          </c:tx>
          <c:spPr>
            <a:ln w="19050">
              <a:solidFill>
                <a:srgbClr val="FF0000"/>
              </a:solidFill>
            </a:ln>
          </c:spPr>
          <c:marker>
            <c:symbol val="circle"/>
            <c:size val="5"/>
            <c:spPr>
              <a:solidFill>
                <a:srgbClr val="FF0000"/>
              </a:solidFill>
            </c:spPr>
          </c:marker>
          <c:dLbls>
            <c:txPr>
              <a:bodyPr rot="0" vert="horz"/>
              <a:lstStyle/>
              <a:p>
                <a:pPr>
                  <a:defRPr b="1">
                    <a:solidFill>
                      <a:srgbClr val="FF0000"/>
                    </a:solidFill>
                  </a:defRPr>
                </a:pPr>
                <a:endParaRPr lang="es-GT"/>
              </a:p>
            </c:txPr>
            <c:dLblPos val="t"/>
            <c:showLegendKey val="0"/>
            <c:showVal val="1"/>
            <c:showCatName val="0"/>
            <c:showSerName val="0"/>
            <c:showPercent val="0"/>
            <c:showBubbleSize val="0"/>
            <c:showLeaderLines val="0"/>
          </c:dLbls>
          <c:cat>
            <c:strRef>
              <c:f>Hoja1!$A$2:$A$5</c:f>
              <c:strCache>
                <c:ptCount val="4"/>
                <c:pt idx="0">
                  <c:v>Ene</c:v>
                </c:pt>
                <c:pt idx="1">
                  <c:v>Feb</c:v>
                </c:pt>
                <c:pt idx="2">
                  <c:v>Mar</c:v>
                </c:pt>
                <c:pt idx="3">
                  <c:v>Abr</c:v>
                </c:pt>
              </c:strCache>
            </c:strRef>
          </c:cat>
          <c:val>
            <c:numRef>
              <c:f>Hoja1!$B$2:$B$5</c:f>
              <c:numCache>
                <c:formatCode>0.0%</c:formatCode>
                <c:ptCount val="4"/>
                <c:pt idx="0">
                  <c:v>0.14711342893697199</c:v>
                </c:pt>
                <c:pt idx="1">
                  <c:v>0.15353301655355001</c:v>
                </c:pt>
                <c:pt idx="2">
                  <c:v>0.1588626652779721</c:v>
                </c:pt>
                <c:pt idx="3">
                  <c:v>0.19687396453161088</c:v>
                </c:pt>
              </c:numCache>
            </c:numRef>
          </c:val>
          <c:smooth val="0"/>
        </c:ser>
        <c:ser>
          <c:idx val="1"/>
          <c:order val="1"/>
          <c:tx>
            <c:strRef>
              <c:f>Hoja1!$C$1</c:f>
              <c:strCache>
                <c:ptCount val="1"/>
                <c:pt idx="0">
                  <c:v>2016/2015</c:v>
                </c:pt>
              </c:strCache>
            </c:strRef>
          </c:tx>
          <c:spPr>
            <a:ln w="19050">
              <a:solidFill>
                <a:schemeClr val="tx2"/>
              </a:solidFill>
              <a:prstDash val="sysDash"/>
            </a:ln>
          </c:spPr>
          <c:marker>
            <c:spPr>
              <a:solidFill>
                <a:srgbClr val="002060"/>
              </a:solidFill>
            </c:spPr>
          </c:marker>
          <c:dLbls>
            <c:txPr>
              <a:bodyPr/>
              <a:lstStyle/>
              <a:p>
                <a:pPr>
                  <a:defRPr b="1">
                    <a:solidFill>
                      <a:sysClr val="windowText" lastClr="000000"/>
                    </a:solidFill>
                  </a:defRPr>
                </a:pPr>
                <a:endParaRPr lang="es-GT"/>
              </a:p>
            </c:txPr>
            <c:dLblPos val="t"/>
            <c:showLegendKey val="0"/>
            <c:showVal val="1"/>
            <c:showCatName val="0"/>
            <c:showSerName val="0"/>
            <c:showPercent val="0"/>
            <c:showBubbleSize val="0"/>
            <c:showLeaderLines val="0"/>
          </c:dLbls>
          <c:cat>
            <c:strRef>
              <c:f>Hoja1!$A$2:$A$5</c:f>
              <c:strCache>
                <c:ptCount val="4"/>
                <c:pt idx="0">
                  <c:v>Ene</c:v>
                </c:pt>
                <c:pt idx="1">
                  <c:v>Feb</c:v>
                </c:pt>
                <c:pt idx="2">
                  <c:v>Mar</c:v>
                </c:pt>
                <c:pt idx="3">
                  <c:v>Abr</c:v>
                </c:pt>
              </c:strCache>
            </c:strRef>
          </c:cat>
          <c:val>
            <c:numRef>
              <c:f>Hoja1!$C$2:$C$5</c:f>
              <c:numCache>
                <c:formatCode>0.0%</c:formatCode>
                <c:ptCount val="4"/>
                <c:pt idx="0">
                  <c:v>2.597414359755601E-2</c:v>
                </c:pt>
                <c:pt idx="1">
                  <c:v>-4.4987491310084504E-2</c:v>
                </c:pt>
                <c:pt idx="2">
                  <c:v>1.8696642978055511E-3</c:v>
                </c:pt>
                <c:pt idx="3">
                  <c:v>1.2480307838625304E-2</c:v>
                </c:pt>
              </c:numCache>
            </c:numRef>
          </c:val>
          <c:smooth val="0"/>
        </c:ser>
        <c:dLbls>
          <c:showLegendKey val="0"/>
          <c:showVal val="0"/>
          <c:showCatName val="0"/>
          <c:showSerName val="0"/>
          <c:showPercent val="0"/>
          <c:showBubbleSize val="0"/>
        </c:dLbls>
        <c:marker val="1"/>
        <c:smooth val="0"/>
        <c:axId val="97326592"/>
        <c:axId val="97328128"/>
      </c:lineChart>
      <c:catAx>
        <c:axId val="97326592"/>
        <c:scaling>
          <c:orientation val="minMax"/>
        </c:scaling>
        <c:delete val="0"/>
        <c:axPos val="b"/>
        <c:numFmt formatCode="General" sourceLinked="1"/>
        <c:majorTickMark val="out"/>
        <c:minorTickMark val="none"/>
        <c:tickLblPos val="low"/>
        <c:crossAx val="97328128"/>
        <c:crosses val="autoZero"/>
        <c:auto val="1"/>
        <c:lblAlgn val="ctr"/>
        <c:lblOffset val="100"/>
        <c:noMultiLvlLbl val="0"/>
      </c:catAx>
      <c:valAx>
        <c:axId val="97328128"/>
        <c:scaling>
          <c:orientation val="minMax"/>
        </c:scaling>
        <c:delete val="0"/>
        <c:axPos val="l"/>
        <c:numFmt formatCode="0%" sourceLinked="0"/>
        <c:majorTickMark val="out"/>
        <c:minorTickMark val="none"/>
        <c:tickLblPos val="nextTo"/>
        <c:crossAx val="97326592"/>
        <c:crosses val="autoZero"/>
        <c:crossBetween val="between"/>
      </c:valAx>
      <c:spPr>
        <a:noFill/>
        <a:ln w="25400">
          <a:noFill/>
        </a:ln>
      </c:spPr>
    </c:plotArea>
    <c:legend>
      <c:legendPos val="b"/>
      <c:layout>
        <c:manualLayout>
          <c:xMode val="edge"/>
          <c:yMode val="edge"/>
          <c:x val="0.24333672313101085"/>
          <c:y val="0.78240585095402404"/>
          <c:w val="0.75666327686898915"/>
          <c:h val="0.11064614114246955"/>
        </c:manualLayout>
      </c:layout>
      <c:overlay val="0"/>
      <c:txPr>
        <a:bodyPr/>
        <a:lstStyle/>
        <a:p>
          <a:pPr>
            <a:defRPr b="1"/>
          </a:pPr>
          <a:endParaRPr lang="es-GT"/>
        </a:p>
      </c:txPr>
    </c:legend>
    <c:plotVisOnly val="1"/>
    <c:dispBlanksAs val="gap"/>
    <c:showDLblsOverMax val="0"/>
  </c:chart>
  <c:spPr>
    <a:ln>
      <a:noFill/>
    </a:ln>
  </c:spPr>
  <c:txPr>
    <a:bodyPr/>
    <a:lstStyle/>
    <a:p>
      <a:pPr>
        <a:defRPr sz="800">
          <a:solidFill>
            <a:sysClr val="windowText" lastClr="000000"/>
          </a:solidFill>
          <a:latin typeface="Times New Roman" panose="02020603050405020304" pitchFamily="18" charset="0"/>
          <a:cs typeface="Times New Roman" panose="02020603050405020304" pitchFamily="18" charset="0"/>
        </a:defRPr>
      </a:pPr>
      <a:endParaRPr lang="es-GT"/>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G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8479261520881318"/>
          <c:y val="2.5225225225225224E-2"/>
          <c:w val="0.74718017390683311"/>
          <c:h val="0.87386089484087592"/>
        </c:manualLayout>
      </c:layout>
      <c:barChart>
        <c:barDir val="bar"/>
        <c:grouping val="clustered"/>
        <c:varyColors val="0"/>
        <c:ser>
          <c:idx val="0"/>
          <c:order val="0"/>
          <c:tx>
            <c:strRef>
              <c:f>Hoja1!$B$1</c:f>
              <c:strCache>
                <c:ptCount val="1"/>
                <c:pt idx="0">
                  <c:v>2017-2016</c:v>
                </c:pt>
              </c:strCache>
            </c:strRef>
          </c:tx>
          <c:invertIfNegative val="0"/>
          <c:dLbls>
            <c:txPr>
              <a:bodyPr/>
              <a:lstStyle/>
              <a:p>
                <a:pPr>
                  <a:defRPr b="1">
                    <a:solidFill>
                      <a:srgbClr val="0070C0"/>
                    </a:solidFill>
                  </a:defRPr>
                </a:pPr>
                <a:endParaRPr lang="es-GT"/>
              </a:p>
            </c:txPr>
            <c:showLegendKey val="0"/>
            <c:showVal val="1"/>
            <c:showCatName val="0"/>
            <c:showSerName val="0"/>
            <c:showPercent val="0"/>
            <c:showBubbleSize val="0"/>
            <c:showLeaderLines val="0"/>
          </c:dLbls>
          <c:cat>
            <c:strRef>
              <c:f>Hoja1!$A$2:$A$19</c:f>
              <c:strCache>
                <c:ptCount val="18"/>
                <c:pt idx="0">
                  <c:v>IVA imp</c:v>
                </c:pt>
                <c:pt idx="1">
                  <c:v>ISO</c:v>
                </c:pt>
                <c:pt idx="2">
                  <c:v>IVA dom</c:v>
                </c:pt>
                <c:pt idx="3">
                  <c:v>DAI</c:v>
                </c:pt>
                <c:pt idx="4">
                  <c:v>Petróleo</c:v>
                </c:pt>
                <c:pt idx="5">
                  <c:v>Vehículos</c:v>
                </c:pt>
                <c:pt idx="6">
                  <c:v>IPRIMA</c:v>
                </c:pt>
                <c:pt idx="7">
                  <c:v>Timbres</c:v>
                </c:pt>
                <c:pt idx="8">
                  <c:v>Salidas</c:v>
                </c:pt>
                <c:pt idx="9">
                  <c:v>Bebidas</c:v>
                </c:pt>
                <c:pt idx="10">
                  <c:v>Tabacos</c:v>
                </c:pt>
                <c:pt idx="11">
                  <c:v>IEMA</c:v>
                </c:pt>
                <c:pt idx="12">
                  <c:v>Otros</c:v>
                </c:pt>
                <c:pt idx="13">
                  <c:v>Cemento</c:v>
                </c:pt>
                <c:pt idx="14">
                  <c:v>Propiedad</c:v>
                </c:pt>
                <c:pt idx="15">
                  <c:v>Regalías</c:v>
                </c:pt>
                <c:pt idx="16">
                  <c:v>IETAAP</c:v>
                </c:pt>
                <c:pt idx="17">
                  <c:v>ISR</c:v>
                </c:pt>
              </c:strCache>
            </c:strRef>
          </c:cat>
          <c:val>
            <c:numRef>
              <c:f>Hoja1!$B$2:$B$19</c:f>
              <c:numCache>
                <c:formatCode>#,##0.0</c:formatCode>
                <c:ptCount val="18"/>
                <c:pt idx="0">
                  <c:v>147.14604661999965</c:v>
                </c:pt>
                <c:pt idx="1">
                  <c:v>97.741781460000084</c:v>
                </c:pt>
                <c:pt idx="2">
                  <c:v>384.5386500200002</c:v>
                </c:pt>
                <c:pt idx="3">
                  <c:v>-5.5598860999999715</c:v>
                </c:pt>
                <c:pt idx="4">
                  <c:v>-11.962955200000124</c:v>
                </c:pt>
                <c:pt idx="5">
                  <c:v>-9.6514494500000012</c:v>
                </c:pt>
                <c:pt idx="6">
                  <c:v>-15.426684660000035</c:v>
                </c:pt>
                <c:pt idx="7">
                  <c:v>9.5105621600000063</c:v>
                </c:pt>
                <c:pt idx="8">
                  <c:v>-2.5738440000012019E-2</c:v>
                </c:pt>
                <c:pt idx="9">
                  <c:v>4.0560516799999675</c:v>
                </c:pt>
                <c:pt idx="10">
                  <c:v>3.1777401000000083</c:v>
                </c:pt>
                <c:pt idx="11">
                  <c:v>-0.73138871999999999</c:v>
                </c:pt>
                <c:pt idx="12">
                  <c:v>0.20575464000000032</c:v>
                </c:pt>
                <c:pt idx="13">
                  <c:v>3.3595881400000067</c:v>
                </c:pt>
                <c:pt idx="14">
                  <c:v>6.5378402699999993</c:v>
                </c:pt>
                <c:pt idx="15">
                  <c:v>19.989110769999996</c:v>
                </c:pt>
                <c:pt idx="16">
                  <c:v>7.9428464600000002</c:v>
                </c:pt>
                <c:pt idx="17">
                  <c:v>1024.1070745099996</c:v>
                </c:pt>
              </c:numCache>
            </c:numRef>
          </c:val>
        </c:ser>
        <c:ser>
          <c:idx val="1"/>
          <c:order val="1"/>
          <c:tx>
            <c:strRef>
              <c:f>Hoja1!$C$1</c:f>
              <c:strCache>
                <c:ptCount val="1"/>
                <c:pt idx="0">
                  <c:v>2017-Pres</c:v>
                </c:pt>
              </c:strCache>
            </c:strRef>
          </c:tx>
          <c:invertIfNegative val="0"/>
          <c:dLbls>
            <c:txPr>
              <a:bodyPr/>
              <a:lstStyle/>
              <a:p>
                <a:pPr>
                  <a:defRPr b="1">
                    <a:solidFill>
                      <a:srgbClr val="C00000"/>
                    </a:solidFill>
                  </a:defRPr>
                </a:pPr>
                <a:endParaRPr lang="es-GT"/>
              </a:p>
            </c:txPr>
            <c:showLegendKey val="0"/>
            <c:showVal val="1"/>
            <c:showCatName val="0"/>
            <c:showSerName val="0"/>
            <c:showPercent val="0"/>
            <c:showBubbleSize val="0"/>
            <c:showLeaderLines val="0"/>
          </c:dLbls>
          <c:cat>
            <c:strRef>
              <c:f>Hoja1!$A$2:$A$19</c:f>
              <c:strCache>
                <c:ptCount val="18"/>
                <c:pt idx="0">
                  <c:v>IVA imp</c:v>
                </c:pt>
                <c:pt idx="1">
                  <c:v>ISO</c:v>
                </c:pt>
                <c:pt idx="2">
                  <c:v>IVA dom</c:v>
                </c:pt>
                <c:pt idx="3">
                  <c:v>DAI</c:v>
                </c:pt>
                <c:pt idx="4">
                  <c:v>Petróleo</c:v>
                </c:pt>
                <c:pt idx="5">
                  <c:v>Vehículos</c:v>
                </c:pt>
                <c:pt idx="6">
                  <c:v>IPRIMA</c:v>
                </c:pt>
                <c:pt idx="7">
                  <c:v>Timbres</c:v>
                </c:pt>
                <c:pt idx="8">
                  <c:v>Salidas</c:v>
                </c:pt>
                <c:pt idx="9">
                  <c:v>Bebidas</c:v>
                </c:pt>
                <c:pt idx="10">
                  <c:v>Tabacos</c:v>
                </c:pt>
                <c:pt idx="11">
                  <c:v>IEMA</c:v>
                </c:pt>
                <c:pt idx="12">
                  <c:v>Otros</c:v>
                </c:pt>
                <c:pt idx="13">
                  <c:v>Cemento</c:v>
                </c:pt>
                <c:pt idx="14">
                  <c:v>Propiedad</c:v>
                </c:pt>
                <c:pt idx="15">
                  <c:v>Regalías</c:v>
                </c:pt>
                <c:pt idx="16">
                  <c:v>IETAAP</c:v>
                </c:pt>
                <c:pt idx="17">
                  <c:v>ISR</c:v>
                </c:pt>
              </c:strCache>
            </c:strRef>
          </c:cat>
          <c:val>
            <c:numRef>
              <c:f>Hoja1!$C$2:$C$19</c:f>
              <c:numCache>
                <c:formatCode>#,##0.0</c:formatCode>
                <c:ptCount val="18"/>
                <c:pt idx="0">
                  <c:v>-311.41587018000064</c:v>
                </c:pt>
                <c:pt idx="1">
                  <c:v>-240.47887372000014</c:v>
                </c:pt>
                <c:pt idx="2">
                  <c:v>-188.74677749999955</c:v>
                </c:pt>
                <c:pt idx="3">
                  <c:v>-104.66651604000003</c:v>
                </c:pt>
                <c:pt idx="4">
                  <c:v>-86.307111719999966</c:v>
                </c:pt>
                <c:pt idx="5">
                  <c:v>-43.150831910000022</c:v>
                </c:pt>
                <c:pt idx="6">
                  <c:v>-35.526370480000026</c:v>
                </c:pt>
                <c:pt idx="7">
                  <c:v>-29.628995839999973</c:v>
                </c:pt>
                <c:pt idx="8">
                  <c:v>-27.11492001429302</c:v>
                </c:pt>
                <c:pt idx="9">
                  <c:v>-19.836408300000073</c:v>
                </c:pt>
                <c:pt idx="10">
                  <c:v>-6.9843783699999875</c:v>
                </c:pt>
                <c:pt idx="11">
                  <c:v>0.20294114999999999</c:v>
                </c:pt>
                <c:pt idx="12">
                  <c:v>0.26614670000000018</c:v>
                </c:pt>
                <c:pt idx="13">
                  <c:v>4.3672968099999991</c:v>
                </c:pt>
                <c:pt idx="14">
                  <c:v>6.1268531500000005</c:v>
                </c:pt>
                <c:pt idx="15">
                  <c:v>6.797162005908902</c:v>
                </c:pt>
                <c:pt idx="16">
                  <c:v>8.1757825200000003</c:v>
                </c:pt>
                <c:pt idx="17">
                  <c:v>405.66566453999985</c:v>
                </c:pt>
              </c:numCache>
            </c:numRef>
          </c:val>
        </c:ser>
        <c:dLbls>
          <c:showLegendKey val="0"/>
          <c:showVal val="0"/>
          <c:showCatName val="0"/>
          <c:showSerName val="0"/>
          <c:showPercent val="0"/>
          <c:showBubbleSize val="0"/>
        </c:dLbls>
        <c:gapWidth val="25"/>
        <c:axId val="98881920"/>
        <c:axId val="98883456"/>
      </c:barChart>
      <c:catAx>
        <c:axId val="98881920"/>
        <c:scaling>
          <c:orientation val="minMax"/>
        </c:scaling>
        <c:delete val="0"/>
        <c:axPos val="l"/>
        <c:majorGridlines>
          <c:spPr>
            <a:ln w="6350">
              <a:solidFill>
                <a:schemeClr val="tx2">
                  <a:lumMod val="20000"/>
                  <a:lumOff val="80000"/>
                </a:schemeClr>
              </a:solidFill>
              <a:prstDash val="sysDash"/>
            </a:ln>
          </c:spPr>
        </c:majorGridlines>
        <c:majorTickMark val="out"/>
        <c:minorTickMark val="none"/>
        <c:tickLblPos val="low"/>
        <c:txPr>
          <a:bodyPr/>
          <a:lstStyle/>
          <a:p>
            <a:pPr>
              <a:defRPr b="1"/>
            </a:pPr>
            <a:endParaRPr lang="es-GT"/>
          </a:p>
        </c:txPr>
        <c:crossAx val="98883456"/>
        <c:crosses val="autoZero"/>
        <c:auto val="1"/>
        <c:lblAlgn val="ctr"/>
        <c:lblOffset val="100"/>
        <c:noMultiLvlLbl val="0"/>
      </c:catAx>
      <c:valAx>
        <c:axId val="98883456"/>
        <c:scaling>
          <c:orientation val="minMax"/>
          <c:min val="-800"/>
        </c:scaling>
        <c:delete val="0"/>
        <c:axPos val="b"/>
        <c:majorGridlines>
          <c:spPr>
            <a:ln w="6350">
              <a:solidFill>
                <a:schemeClr val="tx2">
                  <a:lumMod val="20000"/>
                  <a:lumOff val="80000"/>
                </a:schemeClr>
              </a:solidFill>
              <a:prstDash val="sysDash"/>
            </a:ln>
          </c:spPr>
        </c:majorGridlines>
        <c:numFmt formatCode="#,##0" sourceLinked="0"/>
        <c:majorTickMark val="out"/>
        <c:minorTickMark val="none"/>
        <c:tickLblPos val="nextTo"/>
        <c:txPr>
          <a:bodyPr/>
          <a:lstStyle/>
          <a:p>
            <a:pPr>
              <a:defRPr b="1"/>
            </a:pPr>
            <a:endParaRPr lang="es-GT"/>
          </a:p>
        </c:txPr>
        <c:crossAx val="98881920"/>
        <c:crosses val="autoZero"/>
        <c:crossBetween val="between"/>
      </c:valAx>
      <c:spPr>
        <a:ln>
          <a:noFill/>
        </a:ln>
      </c:spPr>
    </c:plotArea>
    <c:legend>
      <c:legendPos val="b"/>
      <c:layout>
        <c:manualLayout>
          <c:xMode val="edge"/>
          <c:yMode val="edge"/>
          <c:x val="0.27513464046224628"/>
          <c:y val="0.9493984845724619"/>
          <c:w val="0.45879297211573283"/>
          <c:h val="5.060158417390577E-2"/>
        </c:manualLayout>
      </c:layout>
      <c:overlay val="0"/>
      <c:txPr>
        <a:bodyPr/>
        <a:lstStyle/>
        <a:p>
          <a:pPr>
            <a:defRPr b="1"/>
          </a:pPr>
          <a:endParaRPr lang="es-GT"/>
        </a:p>
      </c:txPr>
    </c:legend>
    <c:plotVisOnly val="1"/>
    <c:dispBlanksAs val="gap"/>
    <c:showDLblsOverMax val="0"/>
  </c:chart>
  <c:spPr>
    <a:ln>
      <a:noFill/>
    </a:ln>
  </c:spPr>
  <c:txPr>
    <a:bodyPr/>
    <a:lstStyle/>
    <a:p>
      <a:pPr>
        <a:defRPr sz="800">
          <a:latin typeface="Times New Roman" panose="02020603050405020304" pitchFamily="18" charset="0"/>
          <a:cs typeface="Times New Roman" panose="02020603050405020304" pitchFamily="18" charset="0"/>
        </a:defRPr>
      </a:pPr>
      <a:endParaRPr lang="es-GT"/>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769A4-0AED-4688-B6BE-D4C35C0A2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2612</Words>
  <Characters>14367</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Saul Enrique De León Meneses</dc:creator>
  <cp:lastModifiedBy>DAPF</cp:lastModifiedBy>
  <cp:revision>4</cp:revision>
  <dcterms:created xsi:type="dcterms:W3CDTF">2017-05-31T16:34:00Z</dcterms:created>
  <dcterms:modified xsi:type="dcterms:W3CDTF">2017-05-31T16:55:00Z</dcterms:modified>
</cp:coreProperties>
</file>