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B198F" w:rsidRPr="00954E37" w:rsidRDefault="009B198F" w:rsidP="009B198F">
      <w:pPr>
        <w:rPr>
          <w:b/>
          <w:lang w:val="es-GT"/>
        </w:rPr>
      </w:pPr>
    </w:p>
    <w:p w:rsidR="008B5887" w:rsidRPr="00124AD6" w:rsidRDefault="008B5887" w:rsidP="009B198F">
      <w:pPr>
        <w:jc w:val="center"/>
        <w:rPr>
          <w:b/>
        </w:rPr>
      </w:pPr>
    </w:p>
    <w:p w:rsidR="008B5887" w:rsidRPr="00124AD6" w:rsidRDefault="008B5887" w:rsidP="009B198F">
      <w:pPr>
        <w:jc w:val="center"/>
        <w:rPr>
          <w:b/>
        </w:rPr>
      </w:pPr>
    </w:p>
    <w:p w:rsidR="00840F09" w:rsidRPr="00124AD6" w:rsidRDefault="00840F09" w:rsidP="009B198F">
      <w:pPr>
        <w:jc w:val="center"/>
        <w:rPr>
          <w:b/>
        </w:rPr>
      </w:pPr>
    </w:p>
    <w:p w:rsidR="005A7D3A" w:rsidRPr="00BA0B4B" w:rsidRDefault="005A7D3A" w:rsidP="009B198F">
      <w:pPr>
        <w:jc w:val="center"/>
        <w:rPr>
          <w:b/>
          <w:lang w:val="es-GT"/>
        </w:rPr>
      </w:pPr>
    </w:p>
    <w:p w:rsidR="005A7D3A" w:rsidRPr="00124AD6" w:rsidRDefault="005A7D3A" w:rsidP="009B198F">
      <w:pPr>
        <w:jc w:val="center"/>
        <w:rPr>
          <w:b/>
        </w:rPr>
      </w:pPr>
    </w:p>
    <w:p w:rsidR="005A7D3A" w:rsidRPr="00124AD6" w:rsidRDefault="005A7D3A" w:rsidP="009B198F">
      <w:pPr>
        <w:jc w:val="center"/>
        <w:rPr>
          <w:b/>
        </w:rPr>
      </w:pPr>
    </w:p>
    <w:p w:rsidR="000B2527" w:rsidRPr="00124AD6" w:rsidRDefault="000B2527" w:rsidP="009B198F">
      <w:pPr>
        <w:jc w:val="center"/>
        <w:rPr>
          <w:b/>
        </w:rPr>
      </w:pPr>
    </w:p>
    <w:p w:rsidR="000B2527" w:rsidRPr="00124AD6" w:rsidRDefault="000B2527" w:rsidP="009B198F">
      <w:pPr>
        <w:jc w:val="center"/>
        <w:rPr>
          <w:b/>
        </w:rPr>
      </w:pPr>
    </w:p>
    <w:p w:rsidR="000B2527" w:rsidRPr="00124AD6" w:rsidRDefault="000B2527" w:rsidP="009B198F">
      <w:pPr>
        <w:jc w:val="center"/>
        <w:rPr>
          <w:b/>
        </w:rPr>
      </w:pPr>
    </w:p>
    <w:p w:rsidR="009B198F" w:rsidRPr="00124AD6" w:rsidRDefault="009B198F" w:rsidP="009B198F">
      <w:pPr>
        <w:jc w:val="center"/>
        <w:rPr>
          <w:b/>
        </w:rPr>
      </w:pPr>
    </w:p>
    <w:p w:rsidR="00DE6251" w:rsidRPr="00124AD6" w:rsidRDefault="00DE6251" w:rsidP="009B198F">
      <w:pPr>
        <w:jc w:val="center"/>
        <w:rPr>
          <w:b/>
        </w:rPr>
      </w:pPr>
    </w:p>
    <w:p w:rsidR="000F4303" w:rsidRPr="00124AD6" w:rsidRDefault="000F4303" w:rsidP="009B198F">
      <w:pPr>
        <w:jc w:val="center"/>
        <w:rPr>
          <w:b/>
        </w:rPr>
      </w:pPr>
    </w:p>
    <w:p w:rsidR="000F4303" w:rsidRPr="00124AD6" w:rsidRDefault="000F4303" w:rsidP="009B198F">
      <w:pPr>
        <w:jc w:val="center"/>
        <w:rPr>
          <w:b/>
        </w:rPr>
      </w:pPr>
    </w:p>
    <w:p w:rsidR="00DE6251" w:rsidRDefault="00DE6251" w:rsidP="009B198F">
      <w:pPr>
        <w:jc w:val="center"/>
        <w:rPr>
          <w:b/>
        </w:rPr>
      </w:pPr>
    </w:p>
    <w:p w:rsidR="00FF6156" w:rsidRDefault="00FF6156" w:rsidP="009B198F">
      <w:pPr>
        <w:jc w:val="center"/>
        <w:rPr>
          <w:b/>
        </w:rPr>
      </w:pPr>
    </w:p>
    <w:p w:rsidR="00FF6156" w:rsidRDefault="00FF6156" w:rsidP="009B198F">
      <w:pPr>
        <w:jc w:val="center"/>
        <w:rPr>
          <w:b/>
        </w:rPr>
      </w:pPr>
    </w:p>
    <w:p w:rsidR="00A816E4" w:rsidRPr="00124AD6" w:rsidRDefault="00A816E4" w:rsidP="009B198F">
      <w:pPr>
        <w:jc w:val="center"/>
        <w:rPr>
          <w:b/>
        </w:rPr>
      </w:pPr>
    </w:p>
    <w:p w:rsidR="00DE6251" w:rsidRPr="00124AD6" w:rsidRDefault="00DE6251" w:rsidP="009B198F">
      <w:pPr>
        <w:jc w:val="center"/>
        <w:rPr>
          <w:b/>
        </w:rPr>
      </w:pPr>
    </w:p>
    <w:p w:rsidR="009F4BF5" w:rsidRPr="00124AD6" w:rsidRDefault="009F4BF5" w:rsidP="009B198F">
      <w:pPr>
        <w:jc w:val="center"/>
        <w:rPr>
          <w:b/>
        </w:rPr>
      </w:pPr>
    </w:p>
    <w:p w:rsidR="009B198F" w:rsidRPr="00124AD6" w:rsidRDefault="009B198F" w:rsidP="009B198F">
      <w:pPr>
        <w:jc w:val="center"/>
        <w:rPr>
          <w:b/>
        </w:rPr>
      </w:pPr>
    </w:p>
    <w:p w:rsidR="00612210" w:rsidRPr="004C0853" w:rsidRDefault="000912DD" w:rsidP="000912DD">
      <w:pPr>
        <w:jc w:val="center"/>
        <w:rPr>
          <w:b/>
          <w:sz w:val="36"/>
        </w:rPr>
      </w:pPr>
      <w:r>
        <w:rPr>
          <w:b/>
          <w:sz w:val="36"/>
        </w:rPr>
        <w:t>INFORME</w:t>
      </w:r>
      <w:r w:rsidR="0097754B">
        <w:rPr>
          <w:b/>
          <w:sz w:val="36"/>
        </w:rPr>
        <w:t xml:space="preserve"> </w:t>
      </w:r>
      <w:r>
        <w:rPr>
          <w:b/>
          <w:sz w:val="36"/>
        </w:rPr>
        <w:t>DE FIN DE AÑO</w:t>
      </w:r>
    </w:p>
    <w:p w:rsidR="009C0920" w:rsidRPr="004C0853" w:rsidRDefault="002E3253" w:rsidP="009C0920">
      <w:pPr>
        <w:jc w:val="center"/>
        <w:rPr>
          <w:b/>
          <w:sz w:val="36"/>
        </w:rPr>
      </w:pPr>
      <w:r w:rsidRPr="004C0853">
        <w:rPr>
          <w:b/>
          <w:sz w:val="36"/>
        </w:rPr>
        <w:t>REPÚ</w:t>
      </w:r>
      <w:r w:rsidR="009C0920" w:rsidRPr="004C0853">
        <w:rPr>
          <w:b/>
          <w:sz w:val="36"/>
        </w:rPr>
        <w:t>BLICA DE GUATEMALA</w:t>
      </w:r>
    </w:p>
    <w:p w:rsidR="009B198F" w:rsidRPr="004C0853" w:rsidRDefault="00D92F84" w:rsidP="009B198F">
      <w:pPr>
        <w:jc w:val="center"/>
        <w:rPr>
          <w:b/>
          <w:sz w:val="36"/>
        </w:rPr>
      </w:pPr>
      <w:r w:rsidRPr="004C0853">
        <w:rPr>
          <w:b/>
          <w:sz w:val="36"/>
        </w:rPr>
        <w:t>AL 31 DE DICIEMBRE DE 20</w:t>
      </w:r>
      <w:r w:rsidR="00144479">
        <w:rPr>
          <w:b/>
          <w:sz w:val="36"/>
        </w:rPr>
        <w:t>2</w:t>
      </w:r>
      <w:r w:rsidR="00460718">
        <w:rPr>
          <w:b/>
          <w:sz w:val="36"/>
        </w:rPr>
        <w:t>1</w:t>
      </w:r>
    </w:p>
    <w:p w:rsidR="009B198F" w:rsidRPr="00124AD6" w:rsidRDefault="009B198F" w:rsidP="008B2C6D">
      <w:pPr>
        <w:tabs>
          <w:tab w:val="left" w:pos="142"/>
        </w:tabs>
        <w:jc w:val="center"/>
        <w:rPr>
          <w:b/>
        </w:rPr>
      </w:pPr>
    </w:p>
    <w:p w:rsidR="009B198F" w:rsidRPr="00124AD6" w:rsidRDefault="009B198F" w:rsidP="009B198F">
      <w:pPr>
        <w:jc w:val="center"/>
        <w:rPr>
          <w:b/>
        </w:rPr>
      </w:pPr>
    </w:p>
    <w:p w:rsidR="009B198F" w:rsidRPr="00124AD6" w:rsidRDefault="009B198F" w:rsidP="009B198F">
      <w:pPr>
        <w:jc w:val="center"/>
        <w:rPr>
          <w:b/>
        </w:rPr>
      </w:pPr>
    </w:p>
    <w:p w:rsidR="008C03DC" w:rsidRPr="00124AD6" w:rsidRDefault="008C03DC" w:rsidP="009B198F">
      <w:pPr>
        <w:jc w:val="center"/>
        <w:rPr>
          <w:b/>
        </w:rPr>
      </w:pPr>
    </w:p>
    <w:p w:rsidR="009B198F" w:rsidRPr="00124AD6" w:rsidRDefault="009B198F" w:rsidP="009B198F">
      <w:pPr>
        <w:jc w:val="center"/>
        <w:rPr>
          <w:b/>
        </w:rPr>
      </w:pPr>
    </w:p>
    <w:p w:rsidR="009B198F" w:rsidRDefault="009B198F" w:rsidP="009B198F">
      <w:pPr>
        <w:jc w:val="center"/>
        <w:rPr>
          <w:b/>
        </w:rPr>
      </w:pPr>
    </w:p>
    <w:p w:rsidR="00C6402E" w:rsidRDefault="00C6402E" w:rsidP="009B198F">
      <w:pPr>
        <w:jc w:val="center"/>
        <w:rPr>
          <w:b/>
        </w:rPr>
      </w:pPr>
    </w:p>
    <w:p w:rsidR="00C6402E" w:rsidRDefault="00C6402E" w:rsidP="009B198F">
      <w:pPr>
        <w:jc w:val="center"/>
        <w:rPr>
          <w:b/>
        </w:rPr>
      </w:pPr>
    </w:p>
    <w:p w:rsidR="00C6402E" w:rsidRDefault="00C6402E" w:rsidP="009B198F">
      <w:pPr>
        <w:jc w:val="center"/>
        <w:rPr>
          <w:b/>
        </w:rPr>
      </w:pPr>
    </w:p>
    <w:p w:rsidR="00C6402E" w:rsidRPr="00124AD6" w:rsidRDefault="00C6402E" w:rsidP="009B198F">
      <w:pPr>
        <w:jc w:val="center"/>
        <w:rPr>
          <w:b/>
        </w:rPr>
      </w:pPr>
    </w:p>
    <w:p w:rsidR="009B198F" w:rsidRPr="00124AD6" w:rsidRDefault="009B198F" w:rsidP="009B198F">
      <w:pPr>
        <w:jc w:val="center"/>
        <w:rPr>
          <w:b/>
        </w:rPr>
      </w:pPr>
    </w:p>
    <w:p w:rsidR="009B198F" w:rsidRPr="00124AD6" w:rsidRDefault="009B198F" w:rsidP="009B198F">
      <w:pPr>
        <w:jc w:val="center"/>
        <w:rPr>
          <w:b/>
        </w:rPr>
      </w:pPr>
    </w:p>
    <w:p w:rsidR="009B198F" w:rsidRPr="00124AD6" w:rsidRDefault="009B198F" w:rsidP="009B198F">
      <w:pPr>
        <w:rPr>
          <w:b/>
        </w:rPr>
      </w:pPr>
    </w:p>
    <w:p w:rsidR="009B198F" w:rsidRPr="00124AD6" w:rsidRDefault="009B198F" w:rsidP="009B198F">
      <w:pPr>
        <w:jc w:val="center"/>
        <w:rPr>
          <w:b/>
        </w:rPr>
      </w:pPr>
    </w:p>
    <w:p w:rsidR="009B198F" w:rsidRPr="00124AD6" w:rsidRDefault="009B198F" w:rsidP="009B198F">
      <w:pPr>
        <w:rPr>
          <w:b/>
        </w:rPr>
      </w:pPr>
    </w:p>
    <w:p w:rsidR="009B198F" w:rsidRPr="00124AD6" w:rsidRDefault="009B198F" w:rsidP="009B198F">
      <w:pPr>
        <w:rPr>
          <w:b/>
        </w:rPr>
      </w:pPr>
    </w:p>
    <w:p w:rsidR="009C0920" w:rsidRPr="00124AD6" w:rsidRDefault="009C0920" w:rsidP="009C0920">
      <w:pPr>
        <w:jc w:val="center"/>
        <w:rPr>
          <w:b/>
        </w:rPr>
      </w:pPr>
      <w:r w:rsidRPr="00124AD6">
        <w:rPr>
          <w:b/>
        </w:rPr>
        <w:t>MINISTERIO DE FINANZAS PÚBLICAS</w:t>
      </w:r>
    </w:p>
    <w:p w:rsidR="009C0920" w:rsidRPr="00124AD6" w:rsidRDefault="009C0920" w:rsidP="009C0920">
      <w:pPr>
        <w:jc w:val="center"/>
        <w:rPr>
          <w:b/>
        </w:rPr>
      </w:pPr>
    </w:p>
    <w:p w:rsidR="008B5887" w:rsidRPr="00124AD6" w:rsidRDefault="008B5887" w:rsidP="008B5887">
      <w:pPr>
        <w:jc w:val="center"/>
        <w:rPr>
          <w:b/>
        </w:rPr>
      </w:pPr>
      <w:r w:rsidRPr="00124AD6">
        <w:rPr>
          <w:b/>
        </w:rPr>
        <w:t>Guatemala,</w:t>
      </w:r>
      <w:r w:rsidR="00680151" w:rsidRPr="00124AD6">
        <w:rPr>
          <w:b/>
        </w:rPr>
        <w:t xml:space="preserve"> </w:t>
      </w:r>
      <w:r w:rsidR="00C61CA7">
        <w:rPr>
          <w:b/>
        </w:rPr>
        <w:t>marzo</w:t>
      </w:r>
      <w:r w:rsidR="00473543">
        <w:rPr>
          <w:b/>
        </w:rPr>
        <w:t xml:space="preserve"> de 202</w:t>
      </w:r>
      <w:r w:rsidR="009B5931">
        <w:rPr>
          <w:b/>
        </w:rPr>
        <w:t>2</w:t>
      </w:r>
      <w:r w:rsidR="00EC58A6">
        <w:rPr>
          <w:b/>
        </w:rPr>
        <w:t>.</w:t>
      </w:r>
    </w:p>
    <w:p w:rsidR="00111E81" w:rsidRPr="00124AD6" w:rsidRDefault="00111E81" w:rsidP="008B5887">
      <w:pPr>
        <w:jc w:val="center"/>
        <w:rPr>
          <w:b/>
        </w:rPr>
      </w:pPr>
    </w:p>
    <w:p w:rsidR="00111E81" w:rsidRDefault="00111E81" w:rsidP="008B5887">
      <w:pPr>
        <w:jc w:val="center"/>
        <w:rPr>
          <w:b/>
        </w:rPr>
      </w:pPr>
    </w:p>
    <w:p w:rsidR="00C6402E" w:rsidRDefault="00C6402E" w:rsidP="008B5887">
      <w:pPr>
        <w:jc w:val="center"/>
        <w:rPr>
          <w:b/>
          <w:lang w:val="es-GT"/>
        </w:rPr>
      </w:pPr>
      <w:bookmarkStart w:id="0" w:name="_GoBack"/>
      <w:bookmarkEnd w:id="0"/>
    </w:p>
    <w:p w:rsidR="001414D3" w:rsidRDefault="001414D3" w:rsidP="008B5887">
      <w:pPr>
        <w:jc w:val="center"/>
        <w:rPr>
          <w:b/>
          <w:lang w:val="es-GT"/>
        </w:rPr>
      </w:pPr>
    </w:p>
    <w:p w:rsidR="001414D3" w:rsidRPr="00AC517D" w:rsidRDefault="001414D3" w:rsidP="008B5887">
      <w:pPr>
        <w:jc w:val="center"/>
        <w:rPr>
          <w:b/>
          <w:lang w:val="es-GT"/>
        </w:rPr>
      </w:pPr>
    </w:p>
    <w:p w:rsidR="00DE6251" w:rsidRPr="00124AD6" w:rsidRDefault="00DE6251" w:rsidP="008B5887">
      <w:pPr>
        <w:jc w:val="center"/>
        <w:rPr>
          <w:b/>
        </w:rPr>
      </w:pPr>
    </w:p>
    <w:p w:rsidR="003F76FF" w:rsidRPr="00FA2B8D" w:rsidRDefault="009B198F" w:rsidP="00282087">
      <w:pPr>
        <w:tabs>
          <w:tab w:val="left" w:pos="0"/>
        </w:tabs>
        <w:autoSpaceDE w:val="0"/>
        <w:autoSpaceDN w:val="0"/>
        <w:adjustRightInd w:val="0"/>
        <w:ind w:firstLine="567"/>
        <w:jc w:val="center"/>
        <w:rPr>
          <w:b/>
        </w:rPr>
      </w:pPr>
      <w:r w:rsidRPr="00FA2B8D">
        <w:rPr>
          <w:b/>
        </w:rPr>
        <w:t>CONTENIDO</w:t>
      </w:r>
    </w:p>
    <w:p w:rsidR="00A816E4" w:rsidRPr="00FA2B8D" w:rsidRDefault="00A816E4" w:rsidP="00D65111">
      <w:pPr>
        <w:tabs>
          <w:tab w:val="left" w:pos="0"/>
          <w:tab w:val="left" w:pos="9214"/>
        </w:tabs>
        <w:autoSpaceDE w:val="0"/>
        <w:autoSpaceDN w:val="0"/>
        <w:adjustRightInd w:val="0"/>
        <w:ind w:firstLine="567"/>
        <w:jc w:val="center"/>
        <w:rPr>
          <w:b/>
        </w:rPr>
      </w:pPr>
    </w:p>
    <w:sdt>
      <w:sdtPr>
        <w:rPr>
          <w:rFonts w:ascii="Times New Roman" w:eastAsia="Times New Roman" w:hAnsi="Times New Roman" w:cs="Times New Roman"/>
          <w:b w:val="0"/>
          <w:bCs w:val="0"/>
          <w:color w:val="auto"/>
          <w:sz w:val="24"/>
          <w:szCs w:val="24"/>
          <w:lang w:val="es-ES" w:eastAsia="es-ES"/>
        </w:rPr>
        <w:id w:val="504640332"/>
        <w:docPartObj>
          <w:docPartGallery w:val="Table of Contents"/>
          <w:docPartUnique/>
        </w:docPartObj>
      </w:sdtPr>
      <w:sdtContent>
        <w:p w:rsidR="009C2D46" w:rsidRPr="00F161D7" w:rsidRDefault="00BD48D3" w:rsidP="00BD48D3">
          <w:pPr>
            <w:pStyle w:val="TtuloTDC"/>
            <w:tabs>
              <w:tab w:val="center" w:pos="4678"/>
              <w:tab w:val="right" w:pos="9356"/>
            </w:tabs>
            <w:rPr>
              <w:rFonts w:ascii="Times New Roman" w:hAnsi="Times New Roman" w:cs="Times New Roman"/>
              <w:b w:val="0"/>
              <w:sz w:val="24"/>
              <w:szCs w:val="24"/>
            </w:rPr>
          </w:pPr>
          <w:r>
            <w:rPr>
              <w:rFonts w:ascii="Times New Roman" w:eastAsia="Times New Roman" w:hAnsi="Times New Roman" w:cs="Times New Roman"/>
              <w:b w:val="0"/>
              <w:bCs w:val="0"/>
              <w:color w:val="auto"/>
              <w:sz w:val="24"/>
              <w:szCs w:val="24"/>
              <w:lang w:val="es-ES" w:eastAsia="es-ES"/>
            </w:rPr>
            <w:tab/>
          </w:r>
          <w:r>
            <w:rPr>
              <w:rFonts w:ascii="Times New Roman" w:eastAsia="Times New Roman" w:hAnsi="Times New Roman" w:cs="Times New Roman"/>
              <w:b w:val="0"/>
              <w:bCs w:val="0"/>
              <w:color w:val="auto"/>
              <w:sz w:val="24"/>
              <w:szCs w:val="24"/>
              <w:lang w:val="es-ES" w:eastAsia="es-ES"/>
            </w:rPr>
            <w:tab/>
          </w:r>
        </w:p>
        <w:p w:rsidR="005C391A" w:rsidRDefault="00782AE7" w:rsidP="005C391A">
          <w:pPr>
            <w:pStyle w:val="TDC1"/>
            <w:rPr>
              <w:rFonts w:asciiTheme="minorHAnsi" w:eastAsiaTheme="minorEastAsia" w:hAnsiTheme="minorHAnsi" w:cstheme="minorBidi"/>
              <w:noProof/>
              <w:sz w:val="22"/>
              <w:szCs w:val="22"/>
              <w:lang w:val="es-GT" w:eastAsia="es-GT"/>
            </w:rPr>
          </w:pPr>
          <w:r w:rsidRPr="00F161D7">
            <w:fldChar w:fldCharType="begin"/>
          </w:r>
          <w:r w:rsidR="009C2D46" w:rsidRPr="00F161D7">
            <w:instrText xml:space="preserve"> TOC \o "1-3" \h \z \u </w:instrText>
          </w:r>
          <w:r w:rsidRPr="00F161D7">
            <w:fldChar w:fldCharType="separate"/>
          </w:r>
          <w:hyperlink w:anchor="_Toc98924126" w:history="1">
            <w:r w:rsidR="005C391A" w:rsidRPr="001D2E40">
              <w:rPr>
                <w:rStyle w:val="Hipervnculo"/>
                <w:noProof/>
                <w:lang w:val="es-MX"/>
              </w:rPr>
              <w:t>I.</w:t>
            </w:r>
            <w:r w:rsidR="005C391A">
              <w:rPr>
                <w:rFonts w:asciiTheme="minorHAnsi" w:eastAsiaTheme="minorEastAsia" w:hAnsiTheme="minorHAnsi" w:cstheme="minorBidi"/>
                <w:noProof/>
                <w:sz w:val="22"/>
                <w:szCs w:val="22"/>
                <w:lang w:val="es-GT" w:eastAsia="es-GT"/>
              </w:rPr>
              <w:tab/>
            </w:r>
            <w:r w:rsidR="005C391A" w:rsidRPr="001D2E40">
              <w:rPr>
                <w:rStyle w:val="Hipervnculo"/>
                <w:noProof/>
                <w:lang w:val="es-MX"/>
              </w:rPr>
              <w:t>Entorno Macroeconómico Internacional</w:t>
            </w:r>
            <w:r w:rsidR="005C391A">
              <w:rPr>
                <w:noProof/>
                <w:webHidden/>
              </w:rPr>
              <w:tab/>
            </w:r>
            <w:r w:rsidR="005C391A">
              <w:rPr>
                <w:noProof/>
                <w:webHidden/>
              </w:rPr>
              <w:fldChar w:fldCharType="begin"/>
            </w:r>
            <w:r w:rsidR="005C391A">
              <w:rPr>
                <w:noProof/>
                <w:webHidden/>
              </w:rPr>
              <w:instrText xml:space="preserve"> PAGEREF _Toc98924126 \h </w:instrText>
            </w:r>
            <w:r w:rsidR="005C391A">
              <w:rPr>
                <w:noProof/>
                <w:webHidden/>
              </w:rPr>
            </w:r>
            <w:r w:rsidR="005C391A">
              <w:rPr>
                <w:noProof/>
                <w:webHidden/>
              </w:rPr>
              <w:fldChar w:fldCharType="separate"/>
            </w:r>
            <w:r w:rsidR="005C391A">
              <w:rPr>
                <w:noProof/>
                <w:webHidden/>
              </w:rPr>
              <w:t>3</w:t>
            </w:r>
            <w:r w:rsidR="005C391A">
              <w:rPr>
                <w:noProof/>
                <w:webHidden/>
              </w:rPr>
              <w:fldChar w:fldCharType="end"/>
            </w:r>
          </w:hyperlink>
        </w:p>
        <w:p w:rsidR="005C391A" w:rsidRDefault="005C391A" w:rsidP="005C391A">
          <w:pPr>
            <w:pStyle w:val="TDC1"/>
            <w:rPr>
              <w:rFonts w:asciiTheme="minorHAnsi" w:eastAsiaTheme="minorEastAsia" w:hAnsiTheme="minorHAnsi" w:cstheme="minorBidi"/>
              <w:noProof/>
              <w:sz w:val="22"/>
              <w:szCs w:val="22"/>
              <w:lang w:val="es-GT" w:eastAsia="es-GT"/>
            </w:rPr>
          </w:pPr>
          <w:hyperlink w:anchor="_Toc98924127" w:history="1">
            <w:r w:rsidRPr="001D2E40">
              <w:rPr>
                <w:rStyle w:val="Hipervnculo"/>
                <w:noProof/>
                <w:lang w:val="es-MX"/>
              </w:rPr>
              <w:t>II.</w:t>
            </w:r>
            <w:r>
              <w:rPr>
                <w:rFonts w:asciiTheme="minorHAnsi" w:eastAsiaTheme="minorEastAsia" w:hAnsiTheme="minorHAnsi" w:cstheme="minorBidi"/>
                <w:noProof/>
                <w:sz w:val="22"/>
                <w:szCs w:val="22"/>
                <w:lang w:val="es-GT" w:eastAsia="es-GT"/>
              </w:rPr>
              <w:tab/>
            </w:r>
            <w:r w:rsidRPr="001D2E40">
              <w:rPr>
                <w:rStyle w:val="Hipervnculo"/>
                <w:noProof/>
                <w:lang w:val="es-MX"/>
              </w:rPr>
              <w:t>Perspectivas Económicas</w:t>
            </w:r>
            <w:r>
              <w:rPr>
                <w:noProof/>
                <w:webHidden/>
              </w:rPr>
              <w:tab/>
            </w:r>
            <w:r>
              <w:rPr>
                <w:noProof/>
                <w:webHidden/>
              </w:rPr>
              <w:fldChar w:fldCharType="begin"/>
            </w:r>
            <w:r>
              <w:rPr>
                <w:noProof/>
                <w:webHidden/>
              </w:rPr>
              <w:instrText xml:space="preserve"> PAGEREF _Toc98924127 \h </w:instrText>
            </w:r>
            <w:r>
              <w:rPr>
                <w:noProof/>
                <w:webHidden/>
              </w:rPr>
            </w:r>
            <w:r>
              <w:rPr>
                <w:noProof/>
                <w:webHidden/>
              </w:rPr>
              <w:fldChar w:fldCharType="separate"/>
            </w:r>
            <w:r>
              <w:rPr>
                <w:noProof/>
                <w:webHidden/>
              </w:rPr>
              <w:t>4</w:t>
            </w:r>
            <w:r>
              <w:rPr>
                <w:noProof/>
                <w:webHidden/>
              </w:rPr>
              <w:fldChar w:fldCharType="end"/>
            </w:r>
          </w:hyperlink>
        </w:p>
        <w:p w:rsidR="005C391A" w:rsidRDefault="005C391A" w:rsidP="005C391A">
          <w:pPr>
            <w:pStyle w:val="TDC1"/>
            <w:rPr>
              <w:rFonts w:asciiTheme="minorHAnsi" w:eastAsiaTheme="minorEastAsia" w:hAnsiTheme="minorHAnsi" w:cstheme="minorBidi"/>
              <w:noProof/>
              <w:sz w:val="22"/>
              <w:szCs w:val="22"/>
              <w:lang w:val="es-GT" w:eastAsia="es-GT"/>
            </w:rPr>
          </w:pPr>
          <w:hyperlink w:anchor="_Toc98924128" w:history="1">
            <w:r w:rsidRPr="001D2E40">
              <w:rPr>
                <w:rStyle w:val="Hipervnculo"/>
                <w:noProof/>
                <w:lang w:val="es-MX"/>
              </w:rPr>
              <w:t>III.</w:t>
            </w:r>
            <w:r>
              <w:rPr>
                <w:rFonts w:asciiTheme="minorHAnsi" w:eastAsiaTheme="minorEastAsia" w:hAnsiTheme="minorHAnsi" w:cstheme="minorBidi"/>
                <w:noProof/>
                <w:sz w:val="22"/>
                <w:szCs w:val="22"/>
                <w:lang w:val="es-GT" w:eastAsia="es-GT"/>
              </w:rPr>
              <w:tab/>
            </w:r>
            <w:r w:rsidRPr="001D2E40">
              <w:rPr>
                <w:rStyle w:val="Hipervnculo"/>
                <w:noProof/>
                <w:lang w:val="es-MX"/>
              </w:rPr>
              <w:t>Entorno Macroeconómico Nacional</w:t>
            </w:r>
            <w:r>
              <w:rPr>
                <w:noProof/>
                <w:webHidden/>
              </w:rPr>
              <w:tab/>
            </w:r>
            <w:r>
              <w:rPr>
                <w:noProof/>
                <w:webHidden/>
              </w:rPr>
              <w:fldChar w:fldCharType="begin"/>
            </w:r>
            <w:r>
              <w:rPr>
                <w:noProof/>
                <w:webHidden/>
              </w:rPr>
              <w:instrText xml:space="preserve"> PAGEREF _Toc98924128 \h </w:instrText>
            </w:r>
            <w:r>
              <w:rPr>
                <w:noProof/>
                <w:webHidden/>
              </w:rPr>
            </w:r>
            <w:r>
              <w:rPr>
                <w:noProof/>
                <w:webHidden/>
              </w:rPr>
              <w:fldChar w:fldCharType="separate"/>
            </w:r>
            <w:r>
              <w:rPr>
                <w:noProof/>
                <w:webHidden/>
              </w:rPr>
              <w:t>5</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29" w:history="1">
            <w:r w:rsidRPr="001D2E40">
              <w:rPr>
                <w:rStyle w:val="Hipervnculo"/>
                <w:noProof/>
              </w:rPr>
              <w:t>A.</w:t>
            </w:r>
            <w:r>
              <w:rPr>
                <w:rFonts w:asciiTheme="minorHAnsi" w:eastAsiaTheme="minorEastAsia" w:hAnsiTheme="minorHAnsi" w:cstheme="minorBidi"/>
                <w:noProof/>
                <w:sz w:val="22"/>
                <w:szCs w:val="22"/>
                <w:lang w:val="es-GT" w:eastAsia="es-GT"/>
              </w:rPr>
              <w:tab/>
            </w:r>
            <w:r w:rsidRPr="001D2E40">
              <w:rPr>
                <w:rStyle w:val="Hipervnculo"/>
                <w:noProof/>
                <w:shd w:val="clear" w:color="auto" w:fill="FFFFFF"/>
              </w:rPr>
              <w:t>Decisiones de Política Monetaria</w:t>
            </w:r>
            <w:r>
              <w:rPr>
                <w:noProof/>
                <w:webHidden/>
              </w:rPr>
              <w:tab/>
            </w:r>
            <w:r>
              <w:rPr>
                <w:noProof/>
                <w:webHidden/>
              </w:rPr>
              <w:fldChar w:fldCharType="begin"/>
            </w:r>
            <w:r>
              <w:rPr>
                <w:noProof/>
                <w:webHidden/>
              </w:rPr>
              <w:instrText xml:space="preserve"> PAGEREF _Toc98924129 \h </w:instrText>
            </w:r>
            <w:r>
              <w:rPr>
                <w:noProof/>
                <w:webHidden/>
              </w:rPr>
            </w:r>
            <w:r>
              <w:rPr>
                <w:noProof/>
                <w:webHidden/>
              </w:rPr>
              <w:fldChar w:fldCharType="separate"/>
            </w:r>
            <w:r>
              <w:rPr>
                <w:noProof/>
                <w:webHidden/>
              </w:rPr>
              <w:t>9</w:t>
            </w:r>
            <w:r>
              <w:rPr>
                <w:noProof/>
                <w:webHidden/>
              </w:rPr>
              <w:fldChar w:fldCharType="end"/>
            </w:r>
          </w:hyperlink>
        </w:p>
        <w:p w:rsidR="005C391A" w:rsidRDefault="005C391A" w:rsidP="005C391A">
          <w:pPr>
            <w:pStyle w:val="TDC1"/>
            <w:rPr>
              <w:rFonts w:asciiTheme="minorHAnsi" w:eastAsiaTheme="minorEastAsia" w:hAnsiTheme="minorHAnsi" w:cstheme="minorBidi"/>
              <w:noProof/>
              <w:sz w:val="22"/>
              <w:szCs w:val="22"/>
              <w:lang w:val="es-GT" w:eastAsia="es-GT"/>
            </w:rPr>
          </w:pPr>
          <w:hyperlink w:anchor="_Toc98924130" w:history="1">
            <w:r w:rsidRPr="001D2E40">
              <w:rPr>
                <w:rStyle w:val="Hipervnculo"/>
                <w:noProof/>
                <w:lang w:val="es-MX"/>
              </w:rPr>
              <w:t>IV.</w:t>
            </w:r>
            <w:r>
              <w:rPr>
                <w:rFonts w:asciiTheme="minorHAnsi" w:eastAsiaTheme="minorEastAsia" w:hAnsiTheme="minorHAnsi" w:cstheme="minorBidi"/>
                <w:noProof/>
                <w:sz w:val="22"/>
                <w:szCs w:val="22"/>
                <w:lang w:val="es-GT" w:eastAsia="es-GT"/>
              </w:rPr>
              <w:tab/>
            </w:r>
            <w:r w:rsidRPr="001D2E40">
              <w:rPr>
                <w:rStyle w:val="Hipervnculo"/>
                <w:noProof/>
                <w:lang w:val="es-MX"/>
              </w:rPr>
              <w:t>Política Fiscal en Guatemala</w:t>
            </w:r>
            <w:r>
              <w:rPr>
                <w:noProof/>
                <w:webHidden/>
              </w:rPr>
              <w:tab/>
            </w:r>
            <w:r>
              <w:rPr>
                <w:noProof/>
                <w:webHidden/>
              </w:rPr>
              <w:fldChar w:fldCharType="begin"/>
            </w:r>
            <w:r>
              <w:rPr>
                <w:noProof/>
                <w:webHidden/>
              </w:rPr>
              <w:instrText xml:space="preserve"> PAGEREF _Toc98924130 \h </w:instrText>
            </w:r>
            <w:r>
              <w:rPr>
                <w:noProof/>
                <w:webHidden/>
              </w:rPr>
            </w:r>
            <w:r>
              <w:rPr>
                <w:noProof/>
                <w:webHidden/>
              </w:rPr>
              <w:fldChar w:fldCharType="separate"/>
            </w:r>
            <w:r>
              <w:rPr>
                <w:noProof/>
                <w:webHidden/>
              </w:rPr>
              <w:t>11</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31" w:history="1">
            <w:r w:rsidRPr="001D2E40">
              <w:rPr>
                <w:rStyle w:val="Hipervnculo"/>
                <w:noProof/>
              </w:rPr>
              <w:t>A.</w:t>
            </w:r>
            <w:r>
              <w:rPr>
                <w:rFonts w:asciiTheme="minorHAnsi" w:eastAsiaTheme="minorEastAsia" w:hAnsiTheme="minorHAnsi" w:cstheme="minorBidi"/>
                <w:noProof/>
                <w:sz w:val="22"/>
                <w:szCs w:val="22"/>
                <w:lang w:val="es-GT" w:eastAsia="es-GT"/>
              </w:rPr>
              <w:tab/>
            </w:r>
            <w:r w:rsidRPr="001D2E40">
              <w:rPr>
                <w:rStyle w:val="Hipervnculo"/>
                <w:noProof/>
              </w:rPr>
              <w:t>Ingresos Fiscales</w:t>
            </w:r>
            <w:r>
              <w:rPr>
                <w:noProof/>
                <w:webHidden/>
              </w:rPr>
              <w:tab/>
            </w:r>
            <w:r>
              <w:rPr>
                <w:noProof/>
                <w:webHidden/>
              </w:rPr>
              <w:fldChar w:fldCharType="begin"/>
            </w:r>
            <w:r>
              <w:rPr>
                <w:noProof/>
                <w:webHidden/>
              </w:rPr>
              <w:instrText xml:space="preserve"> PAGEREF _Toc98924131 \h </w:instrText>
            </w:r>
            <w:r>
              <w:rPr>
                <w:noProof/>
                <w:webHidden/>
              </w:rPr>
            </w:r>
            <w:r>
              <w:rPr>
                <w:noProof/>
                <w:webHidden/>
              </w:rPr>
              <w:fldChar w:fldCharType="separate"/>
            </w:r>
            <w:r>
              <w:rPr>
                <w:noProof/>
                <w:webHidden/>
              </w:rPr>
              <w:t>14</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32" w:history="1">
            <w:r w:rsidRPr="001D2E40">
              <w:rPr>
                <w:rStyle w:val="Hipervnculo"/>
                <w:noProof/>
              </w:rPr>
              <w:t>B.</w:t>
            </w:r>
            <w:r>
              <w:rPr>
                <w:rFonts w:asciiTheme="minorHAnsi" w:eastAsiaTheme="minorEastAsia" w:hAnsiTheme="minorHAnsi" w:cstheme="minorBidi"/>
                <w:noProof/>
                <w:sz w:val="22"/>
                <w:szCs w:val="22"/>
                <w:lang w:val="es-GT" w:eastAsia="es-GT"/>
              </w:rPr>
              <w:tab/>
            </w:r>
            <w:r w:rsidRPr="001D2E40">
              <w:rPr>
                <w:rStyle w:val="Hipervnculo"/>
                <w:noProof/>
              </w:rPr>
              <w:t>Deuda Pública</w:t>
            </w:r>
            <w:r>
              <w:rPr>
                <w:noProof/>
                <w:webHidden/>
              </w:rPr>
              <w:tab/>
            </w:r>
            <w:r>
              <w:rPr>
                <w:noProof/>
                <w:webHidden/>
              </w:rPr>
              <w:fldChar w:fldCharType="begin"/>
            </w:r>
            <w:r>
              <w:rPr>
                <w:noProof/>
                <w:webHidden/>
              </w:rPr>
              <w:instrText xml:space="preserve"> PAGEREF _Toc98924132 \h </w:instrText>
            </w:r>
            <w:r>
              <w:rPr>
                <w:noProof/>
                <w:webHidden/>
              </w:rPr>
            </w:r>
            <w:r>
              <w:rPr>
                <w:noProof/>
                <w:webHidden/>
              </w:rPr>
              <w:fldChar w:fldCharType="separate"/>
            </w:r>
            <w:r>
              <w:rPr>
                <w:noProof/>
                <w:webHidden/>
              </w:rPr>
              <w:t>17</w:t>
            </w:r>
            <w:r>
              <w:rPr>
                <w:noProof/>
                <w:webHidden/>
              </w:rPr>
              <w:fldChar w:fldCharType="end"/>
            </w:r>
          </w:hyperlink>
        </w:p>
        <w:p w:rsidR="005C391A" w:rsidRDefault="005C391A" w:rsidP="005C391A">
          <w:pPr>
            <w:pStyle w:val="TDC3"/>
            <w:jc w:val="right"/>
            <w:rPr>
              <w:rFonts w:asciiTheme="minorHAnsi" w:eastAsiaTheme="minorEastAsia" w:hAnsiTheme="minorHAnsi" w:cstheme="minorBidi"/>
              <w:noProof/>
              <w:sz w:val="22"/>
              <w:szCs w:val="22"/>
              <w:lang w:val="es-GT" w:eastAsia="es-GT"/>
            </w:rPr>
          </w:pPr>
          <w:hyperlink w:anchor="_Toc98924133" w:history="1">
            <w:r w:rsidRPr="001D2E40">
              <w:rPr>
                <w:rStyle w:val="Hipervnculo"/>
                <w:noProof/>
              </w:rPr>
              <w:t>1</w:t>
            </w:r>
            <w:r>
              <w:rPr>
                <w:rFonts w:asciiTheme="minorHAnsi" w:eastAsiaTheme="minorEastAsia" w:hAnsiTheme="minorHAnsi" w:cstheme="minorBidi"/>
                <w:noProof/>
                <w:sz w:val="22"/>
                <w:szCs w:val="22"/>
                <w:lang w:val="es-GT" w:eastAsia="es-GT"/>
              </w:rPr>
              <w:tab/>
            </w:r>
            <w:r w:rsidRPr="001D2E40">
              <w:rPr>
                <w:rStyle w:val="Hipervnculo"/>
                <w:noProof/>
              </w:rPr>
              <w:t>Indicadores de la Deuda Pública</w:t>
            </w:r>
            <w:r>
              <w:rPr>
                <w:noProof/>
                <w:webHidden/>
              </w:rPr>
              <w:tab/>
            </w:r>
            <w:r>
              <w:rPr>
                <w:noProof/>
                <w:webHidden/>
              </w:rPr>
              <w:fldChar w:fldCharType="begin"/>
            </w:r>
            <w:r>
              <w:rPr>
                <w:noProof/>
                <w:webHidden/>
              </w:rPr>
              <w:instrText xml:space="preserve"> PAGEREF _Toc98924133 \h </w:instrText>
            </w:r>
            <w:r>
              <w:rPr>
                <w:noProof/>
                <w:webHidden/>
              </w:rPr>
            </w:r>
            <w:r>
              <w:rPr>
                <w:noProof/>
                <w:webHidden/>
              </w:rPr>
              <w:fldChar w:fldCharType="separate"/>
            </w:r>
            <w:r>
              <w:rPr>
                <w:noProof/>
                <w:webHidden/>
              </w:rPr>
              <w:t>19</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34" w:history="1">
            <w:r w:rsidRPr="001D2E40">
              <w:rPr>
                <w:rStyle w:val="Hipervnculo"/>
                <w:noProof/>
              </w:rPr>
              <w:t>C.</w:t>
            </w:r>
            <w:r>
              <w:rPr>
                <w:rFonts w:asciiTheme="minorHAnsi" w:eastAsiaTheme="minorEastAsia" w:hAnsiTheme="minorHAnsi" w:cstheme="minorBidi"/>
                <w:noProof/>
                <w:sz w:val="22"/>
                <w:szCs w:val="22"/>
                <w:lang w:val="es-GT" w:eastAsia="es-GT"/>
              </w:rPr>
              <w:tab/>
            </w:r>
            <w:r w:rsidRPr="001D2E40">
              <w:rPr>
                <w:rStyle w:val="Hipervnculo"/>
                <w:noProof/>
              </w:rPr>
              <w:t>Ejecución del Gasto Público</w:t>
            </w:r>
            <w:r>
              <w:rPr>
                <w:noProof/>
                <w:webHidden/>
              </w:rPr>
              <w:tab/>
            </w:r>
            <w:r>
              <w:rPr>
                <w:noProof/>
                <w:webHidden/>
              </w:rPr>
              <w:fldChar w:fldCharType="begin"/>
            </w:r>
            <w:r>
              <w:rPr>
                <w:noProof/>
                <w:webHidden/>
              </w:rPr>
              <w:instrText xml:space="preserve"> PAGEREF _Toc98924134 \h </w:instrText>
            </w:r>
            <w:r>
              <w:rPr>
                <w:noProof/>
                <w:webHidden/>
              </w:rPr>
            </w:r>
            <w:r>
              <w:rPr>
                <w:noProof/>
                <w:webHidden/>
              </w:rPr>
              <w:fldChar w:fldCharType="separate"/>
            </w:r>
            <w:r>
              <w:rPr>
                <w:noProof/>
                <w:webHidden/>
              </w:rPr>
              <w:t>22</w:t>
            </w:r>
            <w:r>
              <w:rPr>
                <w:noProof/>
                <w:webHidden/>
              </w:rPr>
              <w:fldChar w:fldCharType="end"/>
            </w:r>
          </w:hyperlink>
        </w:p>
        <w:p w:rsidR="005C391A" w:rsidRDefault="005C391A" w:rsidP="005C391A">
          <w:pPr>
            <w:pStyle w:val="TDC3"/>
            <w:jc w:val="right"/>
            <w:rPr>
              <w:rFonts w:asciiTheme="minorHAnsi" w:eastAsiaTheme="minorEastAsia" w:hAnsiTheme="minorHAnsi" w:cstheme="minorBidi"/>
              <w:noProof/>
              <w:sz w:val="22"/>
              <w:szCs w:val="22"/>
              <w:lang w:val="es-GT" w:eastAsia="es-GT"/>
            </w:rPr>
          </w:pPr>
          <w:hyperlink w:anchor="_Toc98924135" w:history="1">
            <w:r w:rsidRPr="001D2E40">
              <w:rPr>
                <w:rStyle w:val="Hipervnculo"/>
                <w:noProof/>
              </w:rPr>
              <w:t>1</w:t>
            </w:r>
            <w:r>
              <w:rPr>
                <w:rFonts w:asciiTheme="minorHAnsi" w:eastAsiaTheme="minorEastAsia" w:hAnsiTheme="minorHAnsi" w:cstheme="minorBidi"/>
                <w:noProof/>
                <w:sz w:val="22"/>
                <w:szCs w:val="22"/>
                <w:lang w:val="es-GT" w:eastAsia="es-GT"/>
              </w:rPr>
              <w:tab/>
            </w:r>
            <w:r w:rsidRPr="001D2E40">
              <w:rPr>
                <w:rStyle w:val="Hipervnculo"/>
                <w:noProof/>
              </w:rPr>
              <w:t>Gasto Social y Acuerdos de Paz</w:t>
            </w:r>
            <w:r>
              <w:rPr>
                <w:noProof/>
                <w:webHidden/>
              </w:rPr>
              <w:tab/>
            </w:r>
            <w:r>
              <w:rPr>
                <w:noProof/>
                <w:webHidden/>
              </w:rPr>
              <w:fldChar w:fldCharType="begin"/>
            </w:r>
            <w:r>
              <w:rPr>
                <w:noProof/>
                <w:webHidden/>
              </w:rPr>
              <w:instrText xml:space="preserve"> PAGEREF _Toc98924135 \h </w:instrText>
            </w:r>
            <w:r>
              <w:rPr>
                <w:noProof/>
                <w:webHidden/>
              </w:rPr>
            </w:r>
            <w:r>
              <w:rPr>
                <w:noProof/>
                <w:webHidden/>
              </w:rPr>
              <w:fldChar w:fldCharType="separate"/>
            </w:r>
            <w:r>
              <w:rPr>
                <w:noProof/>
                <w:webHidden/>
              </w:rPr>
              <w:t>24</w:t>
            </w:r>
            <w:r>
              <w:rPr>
                <w:noProof/>
                <w:webHidden/>
              </w:rPr>
              <w:fldChar w:fldCharType="end"/>
            </w:r>
          </w:hyperlink>
        </w:p>
        <w:p w:rsidR="005C391A" w:rsidRDefault="005C391A" w:rsidP="005C391A">
          <w:pPr>
            <w:pStyle w:val="TDC3"/>
            <w:jc w:val="right"/>
            <w:rPr>
              <w:rFonts w:asciiTheme="minorHAnsi" w:eastAsiaTheme="minorEastAsia" w:hAnsiTheme="minorHAnsi" w:cstheme="minorBidi"/>
              <w:noProof/>
              <w:sz w:val="22"/>
              <w:szCs w:val="22"/>
              <w:lang w:val="es-GT" w:eastAsia="es-GT"/>
            </w:rPr>
          </w:pPr>
          <w:hyperlink w:anchor="_Toc98924136" w:history="1">
            <w:r w:rsidRPr="001D2E40">
              <w:rPr>
                <w:rStyle w:val="Hipervnculo"/>
                <w:noProof/>
              </w:rPr>
              <w:t>2</w:t>
            </w:r>
            <w:r>
              <w:rPr>
                <w:rFonts w:asciiTheme="minorHAnsi" w:eastAsiaTheme="minorEastAsia" w:hAnsiTheme="minorHAnsi" w:cstheme="minorBidi"/>
                <w:noProof/>
                <w:sz w:val="22"/>
                <w:szCs w:val="22"/>
                <w:lang w:val="es-GT" w:eastAsia="es-GT"/>
              </w:rPr>
              <w:tab/>
            </w:r>
            <w:r w:rsidRPr="001D2E40">
              <w:rPr>
                <w:rStyle w:val="Hipervnculo"/>
                <w:noProof/>
              </w:rPr>
              <w:t>Ejecución de los Fideicomisos para Programas de Protección Social</w:t>
            </w:r>
            <w:r>
              <w:rPr>
                <w:noProof/>
                <w:webHidden/>
              </w:rPr>
              <w:tab/>
            </w:r>
            <w:r>
              <w:rPr>
                <w:noProof/>
                <w:webHidden/>
              </w:rPr>
              <w:fldChar w:fldCharType="begin"/>
            </w:r>
            <w:r>
              <w:rPr>
                <w:noProof/>
                <w:webHidden/>
              </w:rPr>
              <w:instrText xml:space="preserve"> PAGEREF _Toc98924136 \h </w:instrText>
            </w:r>
            <w:r>
              <w:rPr>
                <w:noProof/>
                <w:webHidden/>
              </w:rPr>
            </w:r>
            <w:r>
              <w:rPr>
                <w:noProof/>
                <w:webHidden/>
              </w:rPr>
              <w:fldChar w:fldCharType="separate"/>
            </w:r>
            <w:r>
              <w:rPr>
                <w:noProof/>
                <w:webHidden/>
              </w:rPr>
              <w:t>25</w:t>
            </w:r>
            <w:r>
              <w:rPr>
                <w:noProof/>
                <w:webHidden/>
              </w:rPr>
              <w:fldChar w:fldCharType="end"/>
            </w:r>
          </w:hyperlink>
        </w:p>
        <w:p w:rsidR="005C391A" w:rsidRDefault="005C391A" w:rsidP="005C391A">
          <w:pPr>
            <w:pStyle w:val="TDC3"/>
            <w:jc w:val="right"/>
            <w:rPr>
              <w:rFonts w:asciiTheme="minorHAnsi" w:eastAsiaTheme="minorEastAsia" w:hAnsiTheme="minorHAnsi" w:cstheme="minorBidi"/>
              <w:noProof/>
              <w:sz w:val="22"/>
              <w:szCs w:val="22"/>
              <w:lang w:val="es-GT" w:eastAsia="es-GT"/>
            </w:rPr>
          </w:pPr>
          <w:hyperlink w:anchor="_Toc98924137" w:history="1">
            <w:r w:rsidRPr="001D2E40">
              <w:rPr>
                <w:rStyle w:val="Hipervnculo"/>
                <w:noProof/>
              </w:rPr>
              <w:t>3</w:t>
            </w:r>
            <w:r>
              <w:rPr>
                <w:rFonts w:asciiTheme="minorHAnsi" w:eastAsiaTheme="minorEastAsia" w:hAnsiTheme="minorHAnsi" w:cstheme="minorBidi"/>
                <w:noProof/>
                <w:sz w:val="22"/>
                <w:szCs w:val="22"/>
                <w:lang w:val="es-GT" w:eastAsia="es-GT"/>
              </w:rPr>
              <w:tab/>
            </w:r>
            <w:r w:rsidRPr="001D2E40">
              <w:rPr>
                <w:rStyle w:val="Hipervnculo"/>
                <w:noProof/>
              </w:rPr>
              <w:t>Gasto Público Ejecutado a través de ONG</w:t>
            </w:r>
            <w:r>
              <w:rPr>
                <w:noProof/>
                <w:webHidden/>
              </w:rPr>
              <w:tab/>
            </w:r>
            <w:r>
              <w:rPr>
                <w:noProof/>
                <w:webHidden/>
              </w:rPr>
              <w:fldChar w:fldCharType="begin"/>
            </w:r>
            <w:r>
              <w:rPr>
                <w:noProof/>
                <w:webHidden/>
              </w:rPr>
              <w:instrText xml:space="preserve"> PAGEREF _Toc98924137 \h </w:instrText>
            </w:r>
            <w:r>
              <w:rPr>
                <w:noProof/>
                <w:webHidden/>
              </w:rPr>
            </w:r>
            <w:r>
              <w:rPr>
                <w:noProof/>
                <w:webHidden/>
              </w:rPr>
              <w:fldChar w:fldCharType="separate"/>
            </w:r>
            <w:r>
              <w:rPr>
                <w:noProof/>
                <w:webHidden/>
              </w:rPr>
              <w:t>25</w:t>
            </w:r>
            <w:r>
              <w:rPr>
                <w:noProof/>
                <w:webHidden/>
              </w:rPr>
              <w:fldChar w:fldCharType="end"/>
            </w:r>
          </w:hyperlink>
        </w:p>
        <w:p w:rsidR="005C391A" w:rsidRDefault="005C391A" w:rsidP="005C391A">
          <w:pPr>
            <w:pStyle w:val="TDC3"/>
            <w:jc w:val="right"/>
            <w:rPr>
              <w:rFonts w:asciiTheme="minorHAnsi" w:eastAsiaTheme="minorEastAsia" w:hAnsiTheme="minorHAnsi" w:cstheme="minorBidi"/>
              <w:noProof/>
              <w:sz w:val="22"/>
              <w:szCs w:val="22"/>
              <w:lang w:val="es-GT" w:eastAsia="es-GT"/>
            </w:rPr>
          </w:pPr>
          <w:hyperlink w:anchor="_Toc98924138" w:history="1">
            <w:r w:rsidRPr="001D2E40">
              <w:rPr>
                <w:rStyle w:val="Hipervnculo"/>
                <w:noProof/>
              </w:rPr>
              <w:t>4</w:t>
            </w:r>
            <w:r>
              <w:rPr>
                <w:rFonts w:asciiTheme="minorHAnsi" w:eastAsiaTheme="minorEastAsia" w:hAnsiTheme="minorHAnsi" w:cstheme="minorBidi"/>
                <w:noProof/>
                <w:sz w:val="22"/>
                <w:szCs w:val="22"/>
                <w:lang w:val="es-GT" w:eastAsia="es-GT"/>
              </w:rPr>
              <w:tab/>
            </w:r>
            <w:r w:rsidRPr="001D2E40">
              <w:rPr>
                <w:rStyle w:val="Hipervnculo"/>
                <w:noProof/>
              </w:rPr>
              <w:t>Programa General de Atención al Covid-19</w:t>
            </w:r>
            <w:r>
              <w:rPr>
                <w:noProof/>
                <w:webHidden/>
              </w:rPr>
              <w:tab/>
            </w:r>
            <w:r>
              <w:rPr>
                <w:noProof/>
                <w:webHidden/>
              </w:rPr>
              <w:fldChar w:fldCharType="begin"/>
            </w:r>
            <w:r>
              <w:rPr>
                <w:noProof/>
                <w:webHidden/>
              </w:rPr>
              <w:instrText xml:space="preserve"> PAGEREF _Toc98924138 \h </w:instrText>
            </w:r>
            <w:r>
              <w:rPr>
                <w:noProof/>
                <w:webHidden/>
              </w:rPr>
            </w:r>
            <w:r>
              <w:rPr>
                <w:noProof/>
                <w:webHidden/>
              </w:rPr>
              <w:fldChar w:fldCharType="separate"/>
            </w:r>
            <w:r>
              <w:rPr>
                <w:noProof/>
                <w:webHidden/>
              </w:rPr>
              <w:t>26</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39" w:history="1">
            <w:r w:rsidRPr="001D2E40">
              <w:rPr>
                <w:rStyle w:val="Hipervnculo"/>
                <w:noProof/>
              </w:rPr>
              <w:t>D.</w:t>
            </w:r>
            <w:r>
              <w:rPr>
                <w:rFonts w:asciiTheme="minorHAnsi" w:eastAsiaTheme="minorEastAsia" w:hAnsiTheme="minorHAnsi" w:cstheme="minorBidi"/>
                <w:noProof/>
                <w:sz w:val="22"/>
                <w:szCs w:val="22"/>
                <w:lang w:val="es-GT" w:eastAsia="es-GT"/>
              </w:rPr>
              <w:tab/>
            </w:r>
            <w:r w:rsidRPr="001D2E40">
              <w:rPr>
                <w:rStyle w:val="Hipervnculo"/>
                <w:noProof/>
              </w:rPr>
              <w:t>Déficit Fiscal Sostenible</w:t>
            </w:r>
            <w:r>
              <w:rPr>
                <w:noProof/>
                <w:webHidden/>
              </w:rPr>
              <w:tab/>
            </w:r>
            <w:r>
              <w:rPr>
                <w:noProof/>
                <w:webHidden/>
              </w:rPr>
              <w:fldChar w:fldCharType="begin"/>
            </w:r>
            <w:r>
              <w:rPr>
                <w:noProof/>
                <w:webHidden/>
              </w:rPr>
              <w:instrText xml:space="preserve"> PAGEREF _Toc98924139 \h </w:instrText>
            </w:r>
            <w:r>
              <w:rPr>
                <w:noProof/>
                <w:webHidden/>
              </w:rPr>
            </w:r>
            <w:r>
              <w:rPr>
                <w:noProof/>
                <w:webHidden/>
              </w:rPr>
              <w:fldChar w:fldCharType="separate"/>
            </w:r>
            <w:r>
              <w:rPr>
                <w:noProof/>
                <w:webHidden/>
              </w:rPr>
              <w:t>27</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40" w:history="1">
            <w:r w:rsidRPr="001D2E40">
              <w:rPr>
                <w:rStyle w:val="Hipervnculo"/>
                <w:noProof/>
              </w:rPr>
              <w:t>E.</w:t>
            </w:r>
            <w:r>
              <w:rPr>
                <w:rFonts w:asciiTheme="minorHAnsi" w:eastAsiaTheme="minorEastAsia" w:hAnsiTheme="minorHAnsi" w:cstheme="minorBidi"/>
                <w:noProof/>
                <w:sz w:val="22"/>
                <w:szCs w:val="22"/>
                <w:lang w:val="es-GT" w:eastAsia="es-GT"/>
              </w:rPr>
              <w:tab/>
            </w:r>
            <w:r w:rsidRPr="001D2E40">
              <w:rPr>
                <w:rStyle w:val="Hipervnculo"/>
                <w:noProof/>
              </w:rPr>
              <w:t>Situación Financiera de la Administración Central</w:t>
            </w:r>
            <w:r>
              <w:rPr>
                <w:noProof/>
                <w:webHidden/>
              </w:rPr>
              <w:tab/>
            </w:r>
            <w:r>
              <w:rPr>
                <w:noProof/>
                <w:webHidden/>
              </w:rPr>
              <w:fldChar w:fldCharType="begin"/>
            </w:r>
            <w:r>
              <w:rPr>
                <w:noProof/>
                <w:webHidden/>
              </w:rPr>
              <w:instrText xml:space="preserve"> PAGEREF _Toc98924140 \h </w:instrText>
            </w:r>
            <w:r>
              <w:rPr>
                <w:noProof/>
                <w:webHidden/>
              </w:rPr>
            </w:r>
            <w:r>
              <w:rPr>
                <w:noProof/>
                <w:webHidden/>
              </w:rPr>
              <w:fldChar w:fldCharType="separate"/>
            </w:r>
            <w:r>
              <w:rPr>
                <w:noProof/>
                <w:webHidden/>
              </w:rPr>
              <w:t>28</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41" w:history="1">
            <w:r w:rsidRPr="001D2E40">
              <w:rPr>
                <w:rStyle w:val="Hipervnculo"/>
                <w:noProof/>
              </w:rPr>
              <w:t>F.</w:t>
            </w:r>
            <w:r>
              <w:rPr>
                <w:rFonts w:asciiTheme="minorHAnsi" w:eastAsiaTheme="minorEastAsia" w:hAnsiTheme="minorHAnsi" w:cstheme="minorBidi"/>
                <w:noProof/>
                <w:sz w:val="22"/>
                <w:szCs w:val="22"/>
                <w:lang w:val="es-GT" w:eastAsia="es-GT"/>
              </w:rPr>
              <w:tab/>
            </w:r>
            <w:r w:rsidRPr="001D2E40">
              <w:rPr>
                <w:rStyle w:val="Hipervnculo"/>
                <w:noProof/>
              </w:rPr>
              <w:t>Principales Metas y Resultados de Ejecución Física</w:t>
            </w:r>
            <w:r>
              <w:rPr>
                <w:noProof/>
                <w:webHidden/>
              </w:rPr>
              <w:tab/>
            </w:r>
            <w:r>
              <w:rPr>
                <w:noProof/>
                <w:webHidden/>
              </w:rPr>
              <w:fldChar w:fldCharType="begin"/>
            </w:r>
            <w:r>
              <w:rPr>
                <w:noProof/>
                <w:webHidden/>
              </w:rPr>
              <w:instrText xml:space="preserve"> PAGEREF _Toc98924141 \h </w:instrText>
            </w:r>
            <w:r>
              <w:rPr>
                <w:noProof/>
                <w:webHidden/>
              </w:rPr>
            </w:r>
            <w:r>
              <w:rPr>
                <w:noProof/>
                <w:webHidden/>
              </w:rPr>
              <w:fldChar w:fldCharType="separate"/>
            </w:r>
            <w:r>
              <w:rPr>
                <w:noProof/>
                <w:webHidden/>
              </w:rPr>
              <w:t>30</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42" w:history="1">
            <w:r w:rsidRPr="001D2E40">
              <w:rPr>
                <w:rStyle w:val="Hipervnculo"/>
                <w:noProof/>
              </w:rPr>
              <w:t>G.</w:t>
            </w:r>
            <w:r>
              <w:rPr>
                <w:rFonts w:asciiTheme="minorHAnsi" w:eastAsiaTheme="minorEastAsia" w:hAnsiTheme="minorHAnsi" w:cstheme="minorBidi"/>
                <w:noProof/>
                <w:sz w:val="22"/>
                <w:szCs w:val="22"/>
                <w:lang w:val="es-GT" w:eastAsia="es-GT"/>
              </w:rPr>
              <w:tab/>
            </w:r>
            <w:r w:rsidRPr="001D2E40">
              <w:rPr>
                <w:rStyle w:val="Hipervnculo"/>
                <w:noProof/>
              </w:rPr>
              <w:t>Fondos Extrapresupuestarios</w:t>
            </w:r>
            <w:r>
              <w:rPr>
                <w:noProof/>
                <w:webHidden/>
              </w:rPr>
              <w:tab/>
            </w:r>
            <w:r>
              <w:rPr>
                <w:noProof/>
                <w:webHidden/>
              </w:rPr>
              <w:fldChar w:fldCharType="begin"/>
            </w:r>
            <w:r>
              <w:rPr>
                <w:noProof/>
                <w:webHidden/>
              </w:rPr>
              <w:instrText xml:space="preserve"> PAGEREF _Toc98924142 \h </w:instrText>
            </w:r>
            <w:r>
              <w:rPr>
                <w:noProof/>
                <w:webHidden/>
              </w:rPr>
            </w:r>
            <w:r>
              <w:rPr>
                <w:noProof/>
                <w:webHidden/>
              </w:rPr>
              <w:fldChar w:fldCharType="separate"/>
            </w:r>
            <w:r>
              <w:rPr>
                <w:noProof/>
                <w:webHidden/>
              </w:rPr>
              <w:t>43</w:t>
            </w:r>
            <w:r>
              <w:rPr>
                <w:noProof/>
                <w:webHidden/>
              </w:rPr>
              <w:fldChar w:fldCharType="end"/>
            </w:r>
          </w:hyperlink>
        </w:p>
        <w:p w:rsidR="005C391A" w:rsidRDefault="005C391A" w:rsidP="005C391A">
          <w:pPr>
            <w:pStyle w:val="TDC1"/>
            <w:rPr>
              <w:rFonts w:asciiTheme="minorHAnsi" w:eastAsiaTheme="minorEastAsia" w:hAnsiTheme="minorHAnsi" w:cstheme="minorBidi"/>
              <w:noProof/>
              <w:sz w:val="22"/>
              <w:szCs w:val="22"/>
              <w:lang w:val="es-GT" w:eastAsia="es-GT"/>
            </w:rPr>
          </w:pPr>
          <w:hyperlink w:anchor="_Toc98924143" w:history="1">
            <w:r w:rsidRPr="001D2E40">
              <w:rPr>
                <w:rStyle w:val="Hipervnculo"/>
                <w:noProof/>
                <w:lang w:val="es-MX"/>
              </w:rPr>
              <w:t>V.</w:t>
            </w:r>
            <w:r>
              <w:rPr>
                <w:rFonts w:asciiTheme="minorHAnsi" w:eastAsiaTheme="minorEastAsia" w:hAnsiTheme="minorHAnsi" w:cstheme="minorBidi"/>
                <w:noProof/>
                <w:sz w:val="22"/>
                <w:szCs w:val="22"/>
                <w:lang w:val="es-GT" w:eastAsia="es-GT"/>
              </w:rPr>
              <w:tab/>
            </w:r>
            <w:r w:rsidRPr="001D2E40">
              <w:rPr>
                <w:rStyle w:val="Hipervnculo"/>
                <w:noProof/>
                <w:lang w:val="es-MX"/>
              </w:rPr>
              <w:t>Logros de la Gestión de las Finanzas Públicas durante el 2022</w:t>
            </w:r>
            <w:r>
              <w:rPr>
                <w:noProof/>
                <w:webHidden/>
              </w:rPr>
              <w:tab/>
            </w:r>
            <w:r>
              <w:rPr>
                <w:noProof/>
                <w:webHidden/>
              </w:rPr>
              <w:fldChar w:fldCharType="begin"/>
            </w:r>
            <w:r>
              <w:rPr>
                <w:noProof/>
                <w:webHidden/>
              </w:rPr>
              <w:instrText xml:space="preserve"> PAGEREF _Toc98924143 \h </w:instrText>
            </w:r>
            <w:r>
              <w:rPr>
                <w:noProof/>
                <w:webHidden/>
              </w:rPr>
            </w:r>
            <w:r>
              <w:rPr>
                <w:noProof/>
                <w:webHidden/>
              </w:rPr>
              <w:fldChar w:fldCharType="separate"/>
            </w:r>
            <w:r>
              <w:rPr>
                <w:noProof/>
                <w:webHidden/>
              </w:rPr>
              <w:t>52</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44" w:history="1">
            <w:r w:rsidRPr="001D2E40">
              <w:rPr>
                <w:rStyle w:val="Hipervnculo"/>
                <w:rFonts w:eastAsia="Calibri"/>
                <w:noProof/>
                <w:lang w:val="es-GT" w:eastAsia="en-US" w:bidi="en-US"/>
              </w:rPr>
              <w:t>A.</w:t>
            </w:r>
            <w:r>
              <w:rPr>
                <w:rFonts w:asciiTheme="minorHAnsi" w:eastAsiaTheme="minorEastAsia" w:hAnsiTheme="minorHAnsi" w:cstheme="minorBidi"/>
                <w:noProof/>
                <w:sz w:val="22"/>
                <w:szCs w:val="22"/>
                <w:lang w:val="es-GT" w:eastAsia="es-GT"/>
              </w:rPr>
              <w:tab/>
            </w:r>
            <w:r w:rsidRPr="001D2E40">
              <w:rPr>
                <w:rStyle w:val="Hipervnculo"/>
                <w:rFonts w:eastAsia="Calibri"/>
                <w:noProof/>
                <w:lang w:val="es-GT" w:eastAsia="en-US" w:bidi="en-US"/>
              </w:rPr>
              <w:t>Gobierno Abierto y Transparencia Fiscal</w:t>
            </w:r>
            <w:r>
              <w:rPr>
                <w:noProof/>
                <w:webHidden/>
              </w:rPr>
              <w:tab/>
            </w:r>
            <w:r>
              <w:rPr>
                <w:noProof/>
                <w:webHidden/>
              </w:rPr>
              <w:fldChar w:fldCharType="begin"/>
            </w:r>
            <w:r>
              <w:rPr>
                <w:noProof/>
                <w:webHidden/>
              </w:rPr>
              <w:instrText xml:space="preserve"> PAGEREF _Toc98924144 \h </w:instrText>
            </w:r>
            <w:r>
              <w:rPr>
                <w:noProof/>
                <w:webHidden/>
              </w:rPr>
            </w:r>
            <w:r>
              <w:rPr>
                <w:noProof/>
                <w:webHidden/>
              </w:rPr>
              <w:fldChar w:fldCharType="separate"/>
            </w:r>
            <w:r>
              <w:rPr>
                <w:noProof/>
                <w:webHidden/>
              </w:rPr>
              <w:t>52</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45" w:history="1">
            <w:r w:rsidRPr="001D2E40">
              <w:rPr>
                <w:rStyle w:val="Hipervnculo"/>
                <w:rFonts w:eastAsia="Calibri"/>
                <w:noProof/>
                <w:lang w:val="es-GT" w:eastAsia="en-US" w:bidi="en-US"/>
              </w:rPr>
              <w:t>B.</w:t>
            </w:r>
            <w:r>
              <w:rPr>
                <w:rFonts w:asciiTheme="minorHAnsi" w:eastAsiaTheme="minorEastAsia" w:hAnsiTheme="minorHAnsi" w:cstheme="minorBidi"/>
                <w:noProof/>
                <w:sz w:val="22"/>
                <w:szCs w:val="22"/>
                <w:lang w:val="es-GT" w:eastAsia="es-GT"/>
              </w:rPr>
              <w:tab/>
            </w:r>
            <w:r w:rsidRPr="001D2E40">
              <w:rPr>
                <w:rStyle w:val="Hipervnculo"/>
                <w:rFonts w:eastAsia="Calibri"/>
                <w:noProof/>
                <w:lang w:val="es-GT" w:eastAsia="en-US" w:bidi="en-US"/>
              </w:rPr>
              <w:t>Realización de los Talleres de Presupuesto Abierto 2022</w:t>
            </w:r>
            <w:r>
              <w:rPr>
                <w:noProof/>
                <w:webHidden/>
              </w:rPr>
              <w:tab/>
            </w:r>
            <w:r>
              <w:rPr>
                <w:noProof/>
                <w:webHidden/>
              </w:rPr>
              <w:fldChar w:fldCharType="begin"/>
            </w:r>
            <w:r>
              <w:rPr>
                <w:noProof/>
                <w:webHidden/>
              </w:rPr>
              <w:instrText xml:space="preserve"> PAGEREF _Toc98924145 \h </w:instrText>
            </w:r>
            <w:r>
              <w:rPr>
                <w:noProof/>
                <w:webHidden/>
              </w:rPr>
            </w:r>
            <w:r>
              <w:rPr>
                <w:noProof/>
                <w:webHidden/>
              </w:rPr>
              <w:fldChar w:fldCharType="separate"/>
            </w:r>
            <w:r>
              <w:rPr>
                <w:noProof/>
                <w:webHidden/>
              </w:rPr>
              <w:t>53</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46" w:history="1">
            <w:r w:rsidRPr="001D2E40">
              <w:rPr>
                <w:rStyle w:val="Hipervnculo"/>
                <w:rFonts w:eastAsia="Calibri"/>
                <w:noProof/>
                <w:lang w:val="es-GT" w:eastAsia="en-US" w:bidi="en-US"/>
              </w:rPr>
              <w:t>C.</w:t>
            </w:r>
            <w:r>
              <w:rPr>
                <w:rFonts w:asciiTheme="minorHAnsi" w:eastAsiaTheme="minorEastAsia" w:hAnsiTheme="minorHAnsi" w:cstheme="minorBidi"/>
                <w:noProof/>
                <w:sz w:val="22"/>
                <w:szCs w:val="22"/>
                <w:lang w:val="es-GT" w:eastAsia="es-GT"/>
              </w:rPr>
              <w:tab/>
            </w:r>
            <w:r w:rsidRPr="001D2E40">
              <w:rPr>
                <w:rStyle w:val="Hipervnculo"/>
                <w:rFonts w:eastAsia="Calibri"/>
                <w:noProof/>
                <w:lang w:val="es-GT" w:eastAsia="en-US" w:bidi="en-US"/>
              </w:rPr>
              <w:t>Gestión de Riesgos Fiscales</w:t>
            </w:r>
            <w:r>
              <w:rPr>
                <w:noProof/>
                <w:webHidden/>
              </w:rPr>
              <w:tab/>
            </w:r>
            <w:r>
              <w:rPr>
                <w:noProof/>
                <w:webHidden/>
              </w:rPr>
              <w:fldChar w:fldCharType="begin"/>
            </w:r>
            <w:r>
              <w:rPr>
                <w:noProof/>
                <w:webHidden/>
              </w:rPr>
              <w:instrText xml:space="preserve"> PAGEREF _Toc98924146 \h </w:instrText>
            </w:r>
            <w:r>
              <w:rPr>
                <w:noProof/>
                <w:webHidden/>
              </w:rPr>
            </w:r>
            <w:r>
              <w:rPr>
                <w:noProof/>
                <w:webHidden/>
              </w:rPr>
              <w:fldChar w:fldCharType="separate"/>
            </w:r>
            <w:r>
              <w:rPr>
                <w:noProof/>
                <w:webHidden/>
              </w:rPr>
              <w:t>55</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47" w:history="1">
            <w:r w:rsidRPr="001D2E40">
              <w:rPr>
                <w:rStyle w:val="Hipervnculo"/>
                <w:rFonts w:eastAsia="Calibri"/>
                <w:noProof/>
                <w:lang w:val="es-GT" w:eastAsia="en-US" w:bidi="en-US"/>
              </w:rPr>
              <w:t>D.</w:t>
            </w:r>
            <w:r>
              <w:rPr>
                <w:rFonts w:asciiTheme="minorHAnsi" w:eastAsiaTheme="minorEastAsia" w:hAnsiTheme="minorHAnsi" w:cstheme="minorBidi"/>
                <w:noProof/>
                <w:sz w:val="22"/>
                <w:szCs w:val="22"/>
                <w:lang w:val="es-GT" w:eastAsia="es-GT"/>
              </w:rPr>
              <w:tab/>
            </w:r>
            <w:r w:rsidRPr="001D2E40">
              <w:rPr>
                <w:rStyle w:val="Hipervnculo"/>
                <w:rFonts w:eastAsia="Calibri"/>
                <w:noProof/>
                <w:lang w:val="es-GT" w:eastAsia="en-US" w:bidi="en-US"/>
              </w:rPr>
              <w:t>Otras Acciones que Promueven la Transparencia Fiscal</w:t>
            </w:r>
            <w:r>
              <w:rPr>
                <w:noProof/>
                <w:webHidden/>
              </w:rPr>
              <w:tab/>
            </w:r>
            <w:r>
              <w:rPr>
                <w:noProof/>
                <w:webHidden/>
              </w:rPr>
              <w:fldChar w:fldCharType="begin"/>
            </w:r>
            <w:r>
              <w:rPr>
                <w:noProof/>
                <w:webHidden/>
              </w:rPr>
              <w:instrText xml:space="preserve"> PAGEREF _Toc98924147 \h </w:instrText>
            </w:r>
            <w:r>
              <w:rPr>
                <w:noProof/>
                <w:webHidden/>
              </w:rPr>
            </w:r>
            <w:r>
              <w:rPr>
                <w:noProof/>
                <w:webHidden/>
              </w:rPr>
              <w:fldChar w:fldCharType="separate"/>
            </w:r>
            <w:r>
              <w:rPr>
                <w:noProof/>
                <w:webHidden/>
              </w:rPr>
              <w:t>55</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48" w:history="1">
            <w:r w:rsidRPr="001D2E40">
              <w:rPr>
                <w:rStyle w:val="Hipervnculo"/>
                <w:noProof/>
                <w:lang w:val="es-GT"/>
              </w:rPr>
              <w:t>E.</w:t>
            </w:r>
            <w:r>
              <w:rPr>
                <w:rFonts w:asciiTheme="minorHAnsi" w:eastAsiaTheme="minorEastAsia" w:hAnsiTheme="minorHAnsi" w:cstheme="minorBidi"/>
                <w:noProof/>
                <w:sz w:val="22"/>
                <w:szCs w:val="22"/>
                <w:lang w:val="es-GT" w:eastAsia="es-GT"/>
              </w:rPr>
              <w:tab/>
            </w:r>
            <w:r w:rsidRPr="001D2E40">
              <w:rPr>
                <w:rStyle w:val="Hipervnculo"/>
                <w:noProof/>
                <w:lang w:val="es-GT"/>
              </w:rPr>
              <w:t>Desarrollos Tecnológicos en Apoyo a la Transparencia Fiscal</w:t>
            </w:r>
            <w:r>
              <w:rPr>
                <w:noProof/>
                <w:webHidden/>
              </w:rPr>
              <w:tab/>
            </w:r>
            <w:r>
              <w:rPr>
                <w:noProof/>
                <w:webHidden/>
              </w:rPr>
              <w:fldChar w:fldCharType="begin"/>
            </w:r>
            <w:r>
              <w:rPr>
                <w:noProof/>
                <w:webHidden/>
              </w:rPr>
              <w:instrText xml:space="preserve"> PAGEREF _Toc98924148 \h </w:instrText>
            </w:r>
            <w:r>
              <w:rPr>
                <w:noProof/>
                <w:webHidden/>
              </w:rPr>
            </w:r>
            <w:r>
              <w:rPr>
                <w:noProof/>
                <w:webHidden/>
              </w:rPr>
              <w:fldChar w:fldCharType="separate"/>
            </w:r>
            <w:r>
              <w:rPr>
                <w:noProof/>
                <w:webHidden/>
              </w:rPr>
              <w:t>56</w:t>
            </w:r>
            <w:r>
              <w:rPr>
                <w:noProof/>
                <w:webHidden/>
              </w:rPr>
              <w:fldChar w:fldCharType="end"/>
            </w:r>
          </w:hyperlink>
        </w:p>
        <w:p w:rsidR="005C391A" w:rsidRDefault="005C391A" w:rsidP="005C391A">
          <w:pPr>
            <w:pStyle w:val="TDC2"/>
            <w:jc w:val="right"/>
            <w:rPr>
              <w:rFonts w:asciiTheme="minorHAnsi" w:eastAsiaTheme="minorEastAsia" w:hAnsiTheme="minorHAnsi" w:cstheme="minorBidi"/>
              <w:noProof/>
              <w:sz w:val="22"/>
              <w:szCs w:val="22"/>
              <w:lang w:val="es-GT" w:eastAsia="es-GT"/>
            </w:rPr>
          </w:pPr>
          <w:hyperlink w:anchor="_Toc98924149" w:history="1">
            <w:r w:rsidRPr="001D2E40">
              <w:rPr>
                <w:rStyle w:val="Hipervnculo"/>
                <w:noProof/>
                <w:lang w:val="es-GT"/>
              </w:rPr>
              <w:t>F.</w:t>
            </w:r>
            <w:r>
              <w:rPr>
                <w:rFonts w:asciiTheme="minorHAnsi" w:eastAsiaTheme="minorEastAsia" w:hAnsiTheme="minorHAnsi" w:cstheme="minorBidi"/>
                <w:noProof/>
                <w:sz w:val="22"/>
                <w:szCs w:val="22"/>
                <w:lang w:val="es-GT" w:eastAsia="es-GT"/>
              </w:rPr>
              <w:tab/>
            </w:r>
            <w:r w:rsidRPr="001D2E40">
              <w:rPr>
                <w:rStyle w:val="Hipervnculo"/>
                <w:noProof/>
                <w:lang w:val="es-GT"/>
              </w:rPr>
              <w:t>Mejoras en los Procesos y Sistemas para las Adquisiciones del Estado</w:t>
            </w:r>
            <w:r>
              <w:rPr>
                <w:noProof/>
                <w:webHidden/>
              </w:rPr>
              <w:tab/>
            </w:r>
            <w:r>
              <w:rPr>
                <w:noProof/>
                <w:webHidden/>
              </w:rPr>
              <w:fldChar w:fldCharType="begin"/>
            </w:r>
            <w:r>
              <w:rPr>
                <w:noProof/>
                <w:webHidden/>
              </w:rPr>
              <w:instrText xml:space="preserve"> PAGEREF _Toc98924149 \h </w:instrText>
            </w:r>
            <w:r>
              <w:rPr>
                <w:noProof/>
                <w:webHidden/>
              </w:rPr>
            </w:r>
            <w:r>
              <w:rPr>
                <w:noProof/>
                <w:webHidden/>
              </w:rPr>
              <w:fldChar w:fldCharType="separate"/>
            </w:r>
            <w:r>
              <w:rPr>
                <w:noProof/>
                <w:webHidden/>
              </w:rPr>
              <w:t>58</w:t>
            </w:r>
            <w:r>
              <w:rPr>
                <w:noProof/>
                <w:webHidden/>
              </w:rPr>
              <w:fldChar w:fldCharType="end"/>
            </w:r>
          </w:hyperlink>
        </w:p>
        <w:p w:rsidR="00AE2697" w:rsidRPr="00124AD6" w:rsidRDefault="00782AE7" w:rsidP="005C391A">
          <w:pPr>
            <w:pStyle w:val="TDC2"/>
            <w:tabs>
              <w:tab w:val="clear" w:pos="880"/>
              <w:tab w:val="clear" w:pos="8828"/>
              <w:tab w:val="left" w:pos="0"/>
              <w:tab w:val="right" w:leader="dot" w:pos="8931"/>
            </w:tabs>
            <w:ind w:left="0"/>
            <w:jc w:val="right"/>
          </w:pPr>
          <w:r w:rsidRPr="00F161D7">
            <w:rPr>
              <w:bCs/>
            </w:rPr>
            <w:fldChar w:fldCharType="end"/>
          </w:r>
          <w:r w:rsidR="00F161D7" w:rsidRPr="00F161D7">
            <w:rPr>
              <w:bCs/>
            </w:rPr>
            <w:t>VI.</w:t>
          </w:r>
          <w:r w:rsidR="00FA4718">
            <w:rPr>
              <w:b/>
              <w:bCs/>
            </w:rPr>
            <w:t xml:space="preserve">   </w:t>
          </w:r>
          <w:r w:rsidR="00F161D7" w:rsidRPr="00F161D7">
            <w:rPr>
              <w:bCs/>
            </w:rPr>
            <w:t>Anexos………………………………………………………………</w:t>
          </w:r>
          <w:r w:rsidR="00392BA1">
            <w:rPr>
              <w:bCs/>
            </w:rPr>
            <w:t>……</w:t>
          </w:r>
          <w:r w:rsidR="00F161D7">
            <w:rPr>
              <w:bCs/>
            </w:rPr>
            <w:t>…</w:t>
          </w:r>
          <w:r w:rsidR="00F161D7" w:rsidRPr="00F161D7">
            <w:rPr>
              <w:bCs/>
            </w:rPr>
            <w:t>………</w:t>
          </w:r>
          <w:r w:rsidR="00392BA1" w:rsidRPr="00F161D7">
            <w:rPr>
              <w:bCs/>
            </w:rPr>
            <w:t>……</w:t>
          </w:r>
          <w:r w:rsidR="008753EE">
            <w:rPr>
              <w:bCs/>
            </w:rPr>
            <w:t>6</w:t>
          </w:r>
          <w:r w:rsidR="00E44DA6">
            <w:rPr>
              <w:bCs/>
            </w:rPr>
            <w:t>2</w:t>
          </w:r>
        </w:p>
      </w:sdtContent>
    </w:sdt>
    <w:bookmarkStart w:id="1" w:name="_Toc411001584" w:displacedByCustomXml="prev"/>
    <w:p w:rsidR="004B710F" w:rsidRDefault="004B710F">
      <w:r w:rsidRPr="00124AD6">
        <w:br w:type="page"/>
      </w:r>
    </w:p>
    <w:p w:rsidR="00C61CA7" w:rsidRPr="00124AD6" w:rsidRDefault="00C61CA7" w:rsidP="00C61CA7">
      <w:pPr>
        <w:pStyle w:val="Ttulo1"/>
        <w:rPr>
          <w:lang w:val="es-MX"/>
        </w:rPr>
      </w:pPr>
      <w:bookmarkStart w:id="2" w:name="_Toc4742458"/>
      <w:bookmarkStart w:id="3" w:name="_Toc65064199"/>
      <w:bookmarkStart w:id="4" w:name="_Toc417992518"/>
      <w:bookmarkStart w:id="5" w:name="_Toc98924126"/>
      <w:r w:rsidRPr="00124AD6">
        <w:rPr>
          <w:lang w:val="es-MX"/>
        </w:rPr>
        <w:lastRenderedPageBreak/>
        <w:t>Entorno Macroeconómico Internacional</w:t>
      </w:r>
      <w:bookmarkEnd w:id="2"/>
      <w:bookmarkEnd w:id="3"/>
      <w:bookmarkEnd w:id="5"/>
    </w:p>
    <w:p w:rsidR="00C61CA7" w:rsidRDefault="00C61CA7" w:rsidP="00C61CA7">
      <w:pPr>
        <w:rPr>
          <w:lang w:val="es-MX"/>
        </w:rPr>
      </w:pPr>
    </w:p>
    <w:p w:rsidR="00272741" w:rsidRDefault="00272741" w:rsidP="00272741">
      <w:pPr>
        <w:pStyle w:val="Default"/>
        <w:jc w:val="both"/>
        <w:rPr>
          <w:rFonts w:ascii="Times New Roman" w:hAnsi="Times New Roman" w:cs="Times New Roman"/>
          <w:color w:val="auto"/>
        </w:rPr>
      </w:pPr>
      <w:r>
        <w:rPr>
          <w:rFonts w:ascii="Times New Roman" w:hAnsi="Times New Roman" w:cs="Times New Roman"/>
          <w:color w:val="auto"/>
        </w:rPr>
        <w:t>El Fondo Monetario Internacional</w:t>
      </w:r>
      <w:r w:rsidR="00A71451">
        <w:rPr>
          <w:rFonts w:ascii="Times New Roman" w:hAnsi="Times New Roman" w:cs="Times New Roman"/>
          <w:color w:val="auto"/>
        </w:rPr>
        <w:t xml:space="preserve"> (FMI)</w:t>
      </w:r>
      <w:r>
        <w:rPr>
          <w:rFonts w:ascii="Times New Roman" w:hAnsi="Times New Roman" w:cs="Times New Roman"/>
          <w:color w:val="auto"/>
        </w:rPr>
        <w:t xml:space="preserve"> e</w:t>
      </w:r>
      <w:r w:rsidRPr="001F0922">
        <w:rPr>
          <w:rFonts w:ascii="Times New Roman" w:hAnsi="Times New Roman" w:cs="Times New Roman"/>
          <w:color w:val="auto"/>
        </w:rPr>
        <w:t>stim</w:t>
      </w:r>
      <w:r w:rsidR="00A71451">
        <w:rPr>
          <w:rFonts w:ascii="Times New Roman" w:hAnsi="Times New Roman" w:cs="Times New Roman"/>
          <w:color w:val="auto"/>
        </w:rPr>
        <w:t>ó</w:t>
      </w:r>
      <w:r w:rsidRPr="001F0922">
        <w:rPr>
          <w:rFonts w:ascii="Times New Roman" w:hAnsi="Times New Roman" w:cs="Times New Roman"/>
          <w:color w:val="auto"/>
        </w:rPr>
        <w:t xml:space="preserve"> que el crecimiento mundial </w:t>
      </w:r>
      <w:r>
        <w:rPr>
          <w:rFonts w:ascii="Times New Roman" w:hAnsi="Times New Roman" w:cs="Times New Roman"/>
          <w:color w:val="auto"/>
        </w:rPr>
        <w:t xml:space="preserve">correspondiente a </w:t>
      </w:r>
      <w:r w:rsidRPr="001F0922">
        <w:rPr>
          <w:rFonts w:ascii="Times New Roman" w:hAnsi="Times New Roman" w:cs="Times New Roman"/>
          <w:color w:val="auto"/>
        </w:rPr>
        <w:t>2021 se</w:t>
      </w:r>
      <w:r>
        <w:rPr>
          <w:rFonts w:ascii="Times New Roman" w:hAnsi="Times New Roman" w:cs="Times New Roman"/>
          <w:color w:val="auto"/>
        </w:rPr>
        <w:t>r</w:t>
      </w:r>
      <w:r w:rsidR="00A71451">
        <w:rPr>
          <w:rFonts w:ascii="Times New Roman" w:hAnsi="Times New Roman" w:cs="Times New Roman"/>
          <w:color w:val="auto"/>
        </w:rPr>
        <w:t>ía</w:t>
      </w:r>
      <w:r w:rsidRPr="001F0922">
        <w:rPr>
          <w:rFonts w:ascii="Times New Roman" w:hAnsi="Times New Roman" w:cs="Times New Roman"/>
          <w:color w:val="auto"/>
        </w:rPr>
        <w:t xml:space="preserve"> de 5</w:t>
      </w:r>
      <w:r>
        <w:rPr>
          <w:rFonts w:ascii="Times New Roman" w:hAnsi="Times New Roman" w:cs="Times New Roman"/>
          <w:color w:val="auto"/>
        </w:rPr>
        <w:t>.</w:t>
      </w:r>
      <w:r w:rsidRPr="001F0922">
        <w:rPr>
          <w:rFonts w:ascii="Times New Roman" w:hAnsi="Times New Roman" w:cs="Times New Roman"/>
          <w:color w:val="auto"/>
        </w:rPr>
        <w:t xml:space="preserve">9% y que </w:t>
      </w:r>
      <w:r>
        <w:rPr>
          <w:rFonts w:ascii="Times New Roman" w:hAnsi="Times New Roman" w:cs="Times New Roman"/>
          <w:color w:val="auto"/>
        </w:rPr>
        <w:t xml:space="preserve">el mismo tenderá </w:t>
      </w:r>
      <w:r w:rsidRPr="001F0922">
        <w:rPr>
          <w:rFonts w:ascii="Times New Roman" w:hAnsi="Times New Roman" w:cs="Times New Roman"/>
          <w:color w:val="auto"/>
        </w:rPr>
        <w:t xml:space="preserve">a </w:t>
      </w:r>
      <w:r>
        <w:rPr>
          <w:rFonts w:ascii="Times New Roman" w:hAnsi="Times New Roman" w:cs="Times New Roman"/>
          <w:color w:val="auto"/>
        </w:rPr>
        <w:t xml:space="preserve">moderarse en torno al </w:t>
      </w:r>
      <w:r w:rsidRPr="001F0922">
        <w:rPr>
          <w:rFonts w:ascii="Times New Roman" w:hAnsi="Times New Roman" w:cs="Times New Roman"/>
          <w:color w:val="auto"/>
        </w:rPr>
        <w:t>4</w:t>
      </w:r>
      <w:r>
        <w:rPr>
          <w:rFonts w:ascii="Times New Roman" w:hAnsi="Times New Roman" w:cs="Times New Roman"/>
          <w:color w:val="auto"/>
        </w:rPr>
        <w:t>.</w:t>
      </w:r>
      <w:r w:rsidRPr="001F0922">
        <w:rPr>
          <w:rFonts w:ascii="Times New Roman" w:hAnsi="Times New Roman" w:cs="Times New Roman"/>
          <w:color w:val="auto"/>
        </w:rPr>
        <w:t xml:space="preserve">4% en 2022. La proyección de base refleja los efectos previstos </w:t>
      </w:r>
      <w:r w:rsidR="00A71451">
        <w:rPr>
          <w:rFonts w:ascii="Times New Roman" w:hAnsi="Times New Roman" w:cs="Times New Roman"/>
          <w:color w:val="auto"/>
        </w:rPr>
        <w:t>por</w:t>
      </w:r>
      <w:r w:rsidRPr="001F0922">
        <w:rPr>
          <w:rFonts w:ascii="Times New Roman" w:hAnsi="Times New Roman" w:cs="Times New Roman"/>
          <w:color w:val="auto"/>
        </w:rPr>
        <w:t xml:space="preserve"> las restricciones a la movilidad, los cierres de fronteras y el impacto en la salud </w:t>
      </w:r>
      <w:r w:rsidR="00EE15BD">
        <w:rPr>
          <w:rFonts w:ascii="Times New Roman" w:hAnsi="Times New Roman" w:cs="Times New Roman"/>
          <w:color w:val="auto"/>
        </w:rPr>
        <w:t xml:space="preserve">por la </w:t>
      </w:r>
      <w:r w:rsidR="00D567C1">
        <w:rPr>
          <w:rFonts w:ascii="Times New Roman" w:hAnsi="Times New Roman" w:cs="Times New Roman"/>
          <w:color w:val="auto"/>
        </w:rPr>
        <w:t>propagación</w:t>
      </w:r>
      <w:r w:rsidRPr="001F0922">
        <w:rPr>
          <w:rFonts w:ascii="Times New Roman" w:hAnsi="Times New Roman" w:cs="Times New Roman"/>
          <w:color w:val="auto"/>
        </w:rPr>
        <w:t xml:space="preserve"> de la variante ómicron</w:t>
      </w:r>
      <w:r w:rsidR="00D567C1">
        <w:rPr>
          <w:rFonts w:ascii="Times New Roman" w:hAnsi="Times New Roman" w:cs="Times New Roman"/>
          <w:color w:val="auto"/>
        </w:rPr>
        <w:t xml:space="preserve"> del Covid-19</w:t>
      </w:r>
      <w:r w:rsidRPr="001F0922">
        <w:rPr>
          <w:rFonts w:ascii="Times New Roman" w:hAnsi="Times New Roman" w:cs="Times New Roman"/>
          <w:color w:val="auto"/>
        </w:rPr>
        <w:t xml:space="preserve">. Estos </w:t>
      </w:r>
      <w:r>
        <w:rPr>
          <w:rFonts w:ascii="Times New Roman" w:hAnsi="Times New Roman" w:cs="Times New Roman"/>
          <w:color w:val="auto"/>
        </w:rPr>
        <w:t xml:space="preserve">pronósticos </w:t>
      </w:r>
      <w:r w:rsidRPr="001F0922">
        <w:rPr>
          <w:rFonts w:ascii="Times New Roman" w:hAnsi="Times New Roman" w:cs="Times New Roman"/>
          <w:color w:val="auto"/>
        </w:rPr>
        <w:t>varían según la susceptibilidad de la población de cada país, el rigor de las restricciones a la movilidad, el impacto previsto de las infecciones en la oferta de mano de obra y la importancia de los sectores con intenso contacto personal</w:t>
      </w:r>
      <w:r>
        <w:rPr>
          <w:rFonts w:ascii="Times New Roman" w:hAnsi="Times New Roman" w:cs="Times New Roman"/>
          <w:color w:val="auto"/>
        </w:rPr>
        <w:t>, situaciones que</w:t>
      </w:r>
      <w:r w:rsidRPr="001F0922">
        <w:rPr>
          <w:rFonts w:ascii="Times New Roman" w:hAnsi="Times New Roman" w:cs="Times New Roman"/>
          <w:color w:val="auto"/>
        </w:rPr>
        <w:t xml:space="preserve"> lastrarían el crecimiento </w:t>
      </w:r>
      <w:r w:rsidR="00B73EDD">
        <w:rPr>
          <w:rFonts w:ascii="Times New Roman" w:hAnsi="Times New Roman" w:cs="Times New Roman"/>
          <w:color w:val="auto"/>
        </w:rPr>
        <w:t xml:space="preserve">esperado </w:t>
      </w:r>
      <w:r w:rsidRPr="001F0922">
        <w:rPr>
          <w:rFonts w:ascii="Times New Roman" w:hAnsi="Times New Roman" w:cs="Times New Roman"/>
          <w:color w:val="auto"/>
        </w:rPr>
        <w:t>durante el primer trimestre de 2022.</w:t>
      </w:r>
    </w:p>
    <w:p w:rsidR="00272741" w:rsidRDefault="00272741" w:rsidP="00272741">
      <w:pPr>
        <w:pStyle w:val="Default"/>
        <w:jc w:val="both"/>
        <w:rPr>
          <w:rFonts w:ascii="Times New Roman" w:hAnsi="Times New Roman" w:cs="Times New Roman"/>
          <w:color w:val="auto"/>
        </w:rPr>
      </w:pPr>
    </w:p>
    <w:p w:rsidR="00272741" w:rsidRDefault="00272741" w:rsidP="00272741">
      <w:pPr>
        <w:pStyle w:val="Default"/>
        <w:jc w:val="both"/>
        <w:rPr>
          <w:rFonts w:ascii="Times New Roman" w:hAnsi="Times New Roman" w:cs="Times New Roman"/>
          <w:color w:val="auto"/>
        </w:rPr>
      </w:pPr>
      <w:r w:rsidRPr="001F0922">
        <w:rPr>
          <w:rFonts w:ascii="Times New Roman" w:hAnsi="Times New Roman" w:cs="Times New Roman"/>
          <w:color w:val="auto"/>
        </w:rPr>
        <w:t>Se prevé que el impacto negativo se atenúe a partir del segundo trimestre</w:t>
      </w:r>
      <w:r>
        <w:rPr>
          <w:rFonts w:ascii="Times New Roman" w:hAnsi="Times New Roman" w:cs="Times New Roman"/>
          <w:color w:val="auto"/>
        </w:rPr>
        <w:t xml:space="preserve"> 2022</w:t>
      </w:r>
      <w:r w:rsidRPr="001F0922">
        <w:rPr>
          <w:rFonts w:ascii="Times New Roman" w:hAnsi="Times New Roman" w:cs="Times New Roman"/>
          <w:color w:val="auto"/>
        </w:rPr>
        <w:t xml:space="preserve">, suponiendo que la escalada mundial de infecciones causadas por la variante ómicron perderá ímpetu y que el virus no mutará hacia nuevas variantes que requieran más restricciones a la movilidad. </w:t>
      </w:r>
      <w:r>
        <w:rPr>
          <w:rFonts w:ascii="Times New Roman" w:hAnsi="Times New Roman" w:cs="Times New Roman"/>
          <w:color w:val="auto"/>
        </w:rPr>
        <w:t>(Fondo Monetario Internacional</w:t>
      </w:r>
      <w:r w:rsidR="003B1358">
        <w:rPr>
          <w:rFonts w:ascii="Times New Roman" w:hAnsi="Times New Roman" w:cs="Times New Roman"/>
          <w:color w:val="auto"/>
        </w:rPr>
        <w:t>;</w:t>
      </w:r>
      <w:r>
        <w:rPr>
          <w:rFonts w:ascii="Times New Roman" w:hAnsi="Times New Roman" w:cs="Times New Roman"/>
          <w:color w:val="auto"/>
        </w:rPr>
        <w:t xml:space="preserve"> actualización de perspectivas de la economía mundial, enero</w:t>
      </w:r>
      <w:r w:rsidR="003B1358">
        <w:rPr>
          <w:rFonts w:ascii="Times New Roman" w:hAnsi="Times New Roman" w:cs="Times New Roman"/>
          <w:color w:val="auto"/>
        </w:rPr>
        <w:t xml:space="preserve"> de</w:t>
      </w:r>
      <w:r>
        <w:rPr>
          <w:rFonts w:ascii="Times New Roman" w:hAnsi="Times New Roman" w:cs="Times New Roman"/>
          <w:color w:val="auto"/>
        </w:rPr>
        <w:t xml:space="preserve"> 2022).</w:t>
      </w:r>
    </w:p>
    <w:p w:rsidR="00272741" w:rsidRDefault="00272741" w:rsidP="00272741">
      <w:pPr>
        <w:pStyle w:val="Default"/>
        <w:jc w:val="both"/>
        <w:rPr>
          <w:rFonts w:ascii="Times New Roman" w:hAnsi="Times New Roman" w:cs="Times New Roman"/>
          <w:color w:val="auto"/>
        </w:rPr>
      </w:pPr>
    </w:p>
    <w:p w:rsidR="00272741" w:rsidRPr="00190F0E" w:rsidRDefault="00272741" w:rsidP="00272741">
      <w:pPr>
        <w:jc w:val="center"/>
        <w:rPr>
          <w:b/>
        </w:rPr>
      </w:pPr>
      <w:r w:rsidRPr="00190F0E">
        <w:rPr>
          <w:b/>
        </w:rPr>
        <w:t>Cuadro 1</w:t>
      </w:r>
    </w:p>
    <w:p w:rsidR="00272741" w:rsidRPr="00124AD6" w:rsidRDefault="00272741" w:rsidP="00272741">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Crecimiento Económico Mundial</w:t>
      </w:r>
    </w:p>
    <w:p w:rsidR="00272741" w:rsidRDefault="00272741" w:rsidP="00272741">
      <w:pPr>
        <w:autoSpaceDE w:val="0"/>
        <w:autoSpaceDN w:val="0"/>
        <w:adjustRightInd w:val="0"/>
        <w:jc w:val="center"/>
        <w:rPr>
          <w:rFonts w:eastAsia="Calibri"/>
          <w:b/>
          <w:bCs/>
          <w:color w:val="000000"/>
          <w:lang w:val="es-GT" w:eastAsia="es-GT"/>
        </w:rPr>
      </w:pPr>
      <w:r>
        <w:rPr>
          <w:rFonts w:eastAsia="Calibri"/>
          <w:b/>
          <w:bCs/>
          <w:color w:val="000000"/>
          <w:lang w:val="es-GT" w:eastAsia="es-GT"/>
        </w:rPr>
        <w:t xml:space="preserve">Período </w:t>
      </w:r>
      <w:r w:rsidRPr="00124AD6">
        <w:rPr>
          <w:rFonts w:eastAsia="Calibri"/>
          <w:b/>
          <w:bCs/>
          <w:color w:val="000000"/>
          <w:lang w:val="es-GT" w:eastAsia="es-GT"/>
        </w:rPr>
        <w:t>20</w:t>
      </w:r>
      <w:r>
        <w:rPr>
          <w:rFonts w:eastAsia="Calibri"/>
          <w:b/>
          <w:bCs/>
          <w:color w:val="000000"/>
          <w:lang w:val="es-GT" w:eastAsia="es-GT"/>
        </w:rPr>
        <w:t>20</w:t>
      </w:r>
      <w:r w:rsidR="007E03F2">
        <w:rPr>
          <w:rFonts w:eastAsia="Calibri"/>
          <w:b/>
          <w:bCs/>
          <w:color w:val="000000"/>
          <w:lang w:val="es-GT" w:eastAsia="es-GT"/>
        </w:rPr>
        <w:t xml:space="preserve"> </w:t>
      </w:r>
      <w:r w:rsidRPr="00124AD6">
        <w:rPr>
          <w:rFonts w:eastAsia="Calibri"/>
          <w:b/>
          <w:bCs/>
          <w:color w:val="000000"/>
          <w:lang w:val="es-GT" w:eastAsia="es-GT"/>
        </w:rPr>
        <w:t>-</w:t>
      </w:r>
      <w:r w:rsidR="007E03F2">
        <w:rPr>
          <w:rFonts w:eastAsia="Calibri"/>
          <w:b/>
          <w:bCs/>
          <w:color w:val="000000"/>
          <w:lang w:val="es-GT" w:eastAsia="es-GT"/>
        </w:rPr>
        <w:t xml:space="preserve"> </w:t>
      </w:r>
      <w:r>
        <w:rPr>
          <w:rFonts w:eastAsia="Calibri"/>
          <w:b/>
          <w:bCs/>
          <w:color w:val="000000"/>
          <w:lang w:val="es-GT" w:eastAsia="es-GT"/>
        </w:rPr>
        <w:t>2022</w:t>
      </w:r>
    </w:p>
    <w:p w:rsidR="00272741" w:rsidRDefault="00272741" w:rsidP="00272741">
      <w:pPr>
        <w:autoSpaceDE w:val="0"/>
        <w:autoSpaceDN w:val="0"/>
        <w:adjustRightInd w:val="0"/>
        <w:jc w:val="center"/>
        <w:rPr>
          <w:rFonts w:eastAsia="Calibri"/>
          <w:b/>
          <w:color w:val="000000"/>
          <w:lang w:val="es-GT" w:eastAsia="es-GT"/>
        </w:rPr>
      </w:pPr>
      <w:r>
        <w:rPr>
          <w:rFonts w:eastAsia="Calibri"/>
          <w:b/>
          <w:bCs/>
          <w:color w:val="000000"/>
          <w:lang w:val="es-GT" w:eastAsia="es-GT"/>
        </w:rPr>
        <w:t>(Cifras en P</w:t>
      </w:r>
      <w:r w:rsidRPr="00190F0E">
        <w:rPr>
          <w:rFonts w:eastAsia="Calibri"/>
          <w:b/>
          <w:color w:val="000000"/>
          <w:lang w:val="es-GT" w:eastAsia="es-GT"/>
        </w:rPr>
        <w:t>orcentajes</w:t>
      </w:r>
      <w:r>
        <w:rPr>
          <w:rFonts w:eastAsia="Calibri"/>
          <w:b/>
          <w:color w:val="000000"/>
          <w:lang w:val="es-GT" w:eastAsia="es-GT"/>
        </w:rPr>
        <w:t>)</w:t>
      </w:r>
    </w:p>
    <w:tbl>
      <w:tblPr>
        <w:tblpPr w:leftFromText="141" w:rightFromText="141" w:vertAnchor="text" w:horzAnchor="margin" w:tblpXSpec="center" w:tblpY="101"/>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69"/>
        <w:gridCol w:w="1413"/>
        <w:gridCol w:w="1417"/>
        <w:gridCol w:w="1276"/>
      </w:tblGrid>
      <w:tr w:rsidR="00027A1A" w:rsidRPr="00170B1D" w:rsidTr="003B1358">
        <w:trPr>
          <w:trHeight w:val="402"/>
        </w:trPr>
        <w:tc>
          <w:tcPr>
            <w:tcW w:w="3969" w:type="dxa"/>
            <w:shd w:val="clear" w:color="auto" w:fill="00B0F0"/>
            <w:noWrap/>
            <w:vAlign w:val="bottom"/>
            <w:hideMark/>
          </w:tcPr>
          <w:p w:rsidR="003B1358" w:rsidRPr="00170B1D" w:rsidRDefault="003B1358" w:rsidP="003B1358">
            <w:pPr>
              <w:rPr>
                <w:color w:val="000000"/>
                <w:sz w:val="22"/>
                <w:lang w:val="es-GT" w:eastAsia="es-GT"/>
              </w:rPr>
            </w:pPr>
            <w:r w:rsidRPr="00170B1D">
              <w:rPr>
                <w:color w:val="000000"/>
                <w:sz w:val="22"/>
                <w:lang w:val="es-GT" w:eastAsia="es-GT"/>
              </w:rPr>
              <w:t> </w:t>
            </w:r>
          </w:p>
        </w:tc>
        <w:tc>
          <w:tcPr>
            <w:tcW w:w="1413" w:type="dxa"/>
            <w:shd w:val="clear" w:color="auto" w:fill="00B0F0"/>
            <w:noWrap/>
            <w:vAlign w:val="center"/>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2020</w:t>
            </w:r>
          </w:p>
        </w:tc>
        <w:tc>
          <w:tcPr>
            <w:tcW w:w="1417" w:type="dxa"/>
            <w:shd w:val="clear" w:color="auto" w:fill="00B0F0"/>
            <w:noWrap/>
            <w:vAlign w:val="center"/>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2021/</w:t>
            </w:r>
            <w:r>
              <w:rPr>
                <w:b/>
                <w:bCs/>
                <w:color w:val="000000"/>
                <w:sz w:val="22"/>
                <w:lang w:val="es-GT" w:eastAsia="es-GT"/>
              </w:rPr>
              <w:t>e</w:t>
            </w:r>
          </w:p>
        </w:tc>
        <w:tc>
          <w:tcPr>
            <w:tcW w:w="1276" w:type="dxa"/>
            <w:shd w:val="clear" w:color="auto" w:fill="00B0F0"/>
            <w:noWrap/>
            <w:vAlign w:val="center"/>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2022/p</w:t>
            </w:r>
          </w:p>
        </w:tc>
      </w:tr>
      <w:tr w:rsidR="00027A1A" w:rsidRPr="00170B1D" w:rsidTr="003B1358">
        <w:trPr>
          <w:trHeight w:val="300"/>
        </w:trPr>
        <w:tc>
          <w:tcPr>
            <w:tcW w:w="3969" w:type="dxa"/>
            <w:shd w:val="clear" w:color="000000" w:fill="FFFFFF"/>
            <w:noWrap/>
            <w:vAlign w:val="bottom"/>
            <w:hideMark/>
          </w:tcPr>
          <w:p w:rsidR="003B1358" w:rsidRPr="00170B1D" w:rsidRDefault="003B1358" w:rsidP="003B1358">
            <w:pPr>
              <w:rPr>
                <w:b/>
                <w:bCs/>
                <w:color w:val="000000"/>
                <w:sz w:val="22"/>
                <w:lang w:val="es-GT" w:eastAsia="es-GT"/>
              </w:rPr>
            </w:pPr>
            <w:r w:rsidRPr="00170B1D">
              <w:rPr>
                <w:b/>
                <w:bCs/>
                <w:color w:val="000000"/>
                <w:sz w:val="22"/>
                <w:lang w:val="es-GT" w:eastAsia="es-GT"/>
              </w:rPr>
              <w:t>Producto Mundial</w:t>
            </w:r>
          </w:p>
        </w:tc>
        <w:tc>
          <w:tcPr>
            <w:tcW w:w="1413" w:type="dxa"/>
            <w:shd w:val="clear" w:color="000000" w:fill="FFFFFF"/>
            <w:noWrap/>
            <w:vAlign w:val="bottom"/>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-3.1</w:t>
            </w:r>
          </w:p>
        </w:tc>
        <w:tc>
          <w:tcPr>
            <w:tcW w:w="1417" w:type="dxa"/>
            <w:shd w:val="clear" w:color="000000" w:fill="FFFFFF"/>
            <w:noWrap/>
            <w:vAlign w:val="bottom"/>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5.9</w:t>
            </w:r>
          </w:p>
        </w:tc>
        <w:tc>
          <w:tcPr>
            <w:tcW w:w="1276" w:type="dxa"/>
            <w:shd w:val="clear" w:color="auto" w:fill="auto"/>
            <w:noWrap/>
            <w:vAlign w:val="bottom"/>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4.4</w:t>
            </w:r>
          </w:p>
        </w:tc>
      </w:tr>
      <w:tr w:rsidR="00027A1A" w:rsidRPr="00170B1D" w:rsidTr="003B1358">
        <w:trPr>
          <w:trHeight w:val="300"/>
        </w:trPr>
        <w:tc>
          <w:tcPr>
            <w:tcW w:w="3969" w:type="dxa"/>
            <w:shd w:val="clear" w:color="000000" w:fill="FFFFFF"/>
            <w:noWrap/>
            <w:vAlign w:val="bottom"/>
            <w:hideMark/>
          </w:tcPr>
          <w:p w:rsidR="003B1358" w:rsidRPr="00170B1D" w:rsidRDefault="003B1358" w:rsidP="003B1358">
            <w:pPr>
              <w:rPr>
                <w:b/>
                <w:bCs/>
                <w:color w:val="000000"/>
                <w:sz w:val="22"/>
                <w:lang w:val="es-GT" w:eastAsia="es-GT"/>
              </w:rPr>
            </w:pPr>
            <w:r w:rsidRPr="00170B1D">
              <w:rPr>
                <w:b/>
                <w:bCs/>
                <w:color w:val="000000"/>
                <w:sz w:val="22"/>
                <w:lang w:val="es-GT" w:eastAsia="es-GT"/>
              </w:rPr>
              <w:t>Economías Avanzadas</w:t>
            </w:r>
          </w:p>
        </w:tc>
        <w:tc>
          <w:tcPr>
            <w:tcW w:w="1413" w:type="dxa"/>
            <w:shd w:val="clear" w:color="000000" w:fill="FFFFFF"/>
            <w:noWrap/>
            <w:vAlign w:val="bottom"/>
            <w:hideMark/>
          </w:tcPr>
          <w:p w:rsidR="003B1358" w:rsidRPr="003B1358" w:rsidRDefault="003B1358" w:rsidP="003B1358">
            <w:pPr>
              <w:jc w:val="center"/>
              <w:rPr>
                <w:b/>
                <w:color w:val="000000"/>
                <w:sz w:val="22"/>
                <w:lang w:val="es-GT" w:eastAsia="es-GT"/>
              </w:rPr>
            </w:pPr>
            <w:r w:rsidRPr="003B1358">
              <w:rPr>
                <w:b/>
                <w:color w:val="000000"/>
                <w:sz w:val="22"/>
                <w:lang w:val="es-GT" w:eastAsia="es-GT"/>
              </w:rPr>
              <w:t>-4.5</w:t>
            </w:r>
          </w:p>
        </w:tc>
        <w:tc>
          <w:tcPr>
            <w:tcW w:w="1417" w:type="dxa"/>
            <w:shd w:val="clear" w:color="000000" w:fill="FFFFFF"/>
            <w:noWrap/>
            <w:vAlign w:val="bottom"/>
            <w:hideMark/>
          </w:tcPr>
          <w:p w:rsidR="003B1358" w:rsidRPr="003B1358" w:rsidRDefault="003B1358" w:rsidP="003B1358">
            <w:pPr>
              <w:jc w:val="center"/>
              <w:rPr>
                <w:b/>
                <w:color w:val="000000"/>
                <w:sz w:val="22"/>
                <w:lang w:val="es-GT" w:eastAsia="es-GT"/>
              </w:rPr>
            </w:pPr>
            <w:r w:rsidRPr="003B1358">
              <w:rPr>
                <w:b/>
                <w:color w:val="000000"/>
                <w:sz w:val="22"/>
                <w:lang w:val="es-GT" w:eastAsia="es-GT"/>
              </w:rPr>
              <w:t>5.0</w:t>
            </w:r>
          </w:p>
        </w:tc>
        <w:tc>
          <w:tcPr>
            <w:tcW w:w="1276" w:type="dxa"/>
            <w:shd w:val="clear" w:color="auto" w:fill="auto"/>
            <w:noWrap/>
            <w:vAlign w:val="bottom"/>
            <w:hideMark/>
          </w:tcPr>
          <w:p w:rsidR="003B1358" w:rsidRPr="003B1358" w:rsidRDefault="003B1358" w:rsidP="003B1358">
            <w:pPr>
              <w:jc w:val="center"/>
              <w:rPr>
                <w:b/>
                <w:color w:val="000000"/>
                <w:sz w:val="22"/>
                <w:lang w:val="es-GT" w:eastAsia="es-GT"/>
              </w:rPr>
            </w:pPr>
            <w:r w:rsidRPr="003B1358">
              <w:rPr>
                <w:b/>
                <w:color w:val="000000"/>
                <w:sz w:val="22"/>
                <w:lang w:val="es-GT" w:eastAsia="es-GT"/>
              </w:rPr>
              <w:t>3.9</w:t>
            </w:r>
          </w:p>
        </w:tc>
      </w:tr>
      <w:tr w:rsidR="00027A1A" w:rsidRPr="00170B1D" w:rsidTr="003B1358">
        <w:trPr>
          <w:trHeight w:val="300"/>
        </w:trPr>
        <w:tc>
          <w:tcPr>
            <w:tcW w:w="3969" w:type="dxa"/>
            <w:shd w:val="clear" w:color="000000" w:fill="FFFFFF"/>
            <w:noWrap/>
            <w:vAlign w:val="bottom"/>
            <w:hideMark/>
          </w:tcPr>
          <w:p w:rsidR="003B1358" w:rsidRPr="00170B1D" w:rsidRDefault="003B1358" w:rsidP="003B1358">
            <w:pPr>
              <w:ind w:firstLineChars="100" w:firstLine="220"/>
              <w:rPr>
                <w:color w:val="000000"/>
                <w:sz w:val="22"/>
                <w:szCs w:val="22"/>
                <w:lang w:val="es-GT" w:eastAsia="es-GT"/>
              </w:rPr>
            </w:pPr>
            <w:r w:rsidRPr="00170B1D">
              <w:rPr>
                <w:color w:val="000000"/>
                <w:sz w:val="22"/>
                <w:szCs w:val="22"/>
                <w:lang w:val="es-GT" w:eastAsia="es-GT"/>
              </w:rPr>
              <w:t>Estados Unidos</w:t>
            </w:r>
            <w:r>
              <w:rPr>
                <w:color w:val="000000"/>
                <w:sz w:val="22"/>
                <w:szCs w:val="22"/>
                <w:lang w:val="es-GT" w:eastAsia="es-GT"/>
              </w:rPr>
              <w:t xml:space="preserve"> de América</w:t>
            </w:r>
          </w:p>
        </w:tc>
        <w:tc>
          <w:tcPr>
            <w:tcW w:w="1413" w:type="dxa"/>
            <w:shd w:val="clear" w:color="000000" w:fill="FFFFFF"/>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-3.4</w:t>
            </w:r>
          </w:p>
        </w:tc>
        <w:tc>
          <w:tcPr>
            <w:tcW w:w="1417" w:type="dxa"/>
            <w:shd w:val="clear" w:color="000000" w:fill="FFFFFF"/>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5.6</w:t>
            </w:r>
          </w:p>
        </w:tc>
        <w:tc>
          <w:tcPr>
            <w:tcW w:w="1276" w:type="dxa"/>
            <w:shd w:val="clear" w:color="auto" w:fill="auto"/>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4.0</w:t>
            </w:r>
          </w:p>
        </w:tc>
      </w:tr>
      <w:tr w:rsidR="00027A1A" w:rsidRPr="00170B1D" w:rsidTr="003B1358">
        <w:trPr>
          <w:trHeight w:val="300"/>
        </w:trPr>
        <w:tc>
          <w:tcPr>
            <w:tcW w:w="3969" w:type="dxa"/>
            <w:shd w:val="clear" w:color="000000" w:fill="FFFFFF"/>
            <w:noWrap/>
            <w:vAlign w:val="bottom"/>
            <w:hideMark/>
          </w:tcPr>
          <w:p w:rsidR="003B1358" w:rsidRPr="00170B1D" w:rsidRDefault="003B1358" w:rsidP="003B1358">
            <w:pPr>
              <w:ind w:firstLineChars="100" w:firstLine="220"/>
              <w:rPr>
                <w:color w:val="000000"/>
                <w:sz w:val="22"/>
                <w:szCs w:val="22"/>
                <w:lang w:val="es-GT" w:eastAsia="es-GT"/>
              </w:rPr>
            </w:pPr>
            <w:r w:rsidRPr="00170B1D">
              <w:rPr>
                <w:color w:val="000000"/>
                <w:sz w:val="22"/>
                <w:szCs w:val="22"/>
                <w:lang w:val="es-GT" w:eastAsia="es-GT"/>
              </w:rPr>
              <w:t>Zona del Euro</w:t>
            </w:r>
          </w:p>
        </w:tc>
        <w:tc>
          <w:tcPr>
            <w:tcW w:w="1413" w:type="dxa"/>
            <w:shd w:val="clear" w:color="000000" w:fill="FFFFFF"/>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-6.3</w:t>
            </w:r>
          </w:p>
        </w:tc>
        <w:tc>
          <w:tcPr>
            <w:tcW w:w="1417" w:type="dxa"/>
            <w:shd w:val="clear" w:color="000000" w:fill="FFFFFF"/>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5.2</w:t>
            </w:r>
          </w:p>
        </w:tc>
        <w:tc>
          <w:tcPr>
            <w:tcW w:w="1276" w:type="dxa"/>
            <w:shd w:val="clear" w:color="auto" w:fill="auto"/>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3.9</w:t>
            </w:r>
          </w:p>
        </w:tc>
      </w:tr>
      <w:tr w:rsidR="00027A1A" w:rsidRPr="00170B1D" w:rsidTr="003B1358">
        <w:trPr>
          <w:trHeight w:val="300"/>
        </w:trPr>
        <w:tc>
          <w:tcPr>
            <w:tcW w:w="3969" w:type="dxa"/>
            <w:shd w:val="clear" w:color="000000" w:fill="FFFFFF"/>
            <w:noWrap/>
            <w:vAlign w:val="bottom"/>
            <w:hideMark/>
          </w:tcPr>
          <w:p w:rsidR="003B1358" w:rsidRPr="00170B1D" w:rsidRDefault="003B1358" w:rsidP="003B1358">
            <w:pPr>
              <w:rPr>
                <w:color w:val="000000"/>
                <w:sz w:val="22"/>
                <w:lang w:val="es-GT" w:eastAsia="es-GT"/>
              </w:rPr>
            </w:pPr>
            <w:r w:rsidRPr="00170B1D">
              <w:rPr>
                <w:color w:val="000000"/>
                <w:sz w:val="22"/>
                <w:lang w:val="es-GT" w:eastAsia="es-GT"/>
              </w:rPr>
              <w:t> </w:t>
            </w:r>
          </w:p>
        </w:tc>
        <w:tc>
          <w:tcPr>
            <w:tcW w:w="1413" w:type="dxa"/>
            <w:shd w:val="clear" w:color="000000" w:fill="FFFFFF"/>
            <w:noWrap/>
            <w:vAlign w:val="bottom"/>
            <w:hideMark/>
          </w:tcPr>
          <w:p w:rsidR="003B1358" w:rsidRPr="00170B1D" w:rsidRDefault="003B1358" w:rsidP="003B1358">
            <w:pPr>
              <w:jc w:val="center"/>
              <w:rPr>
                <w:color w:val="000000"/>
                <w:sz w:val="22"/>
                <w:lang w:val="es-GT" w:eastAsia="es-GT"/>
              </w:rPr>
            </w:pPr>
          </w:p>
        </w:tc>
        <w:tc>
          <w:tcPr>
            <w:tcW w:w="1417" w:type="dxa"/>
            <w:shd w:val="clear" w:color="000000" w:fill="FFFFFF"/>
            <w:noWrap/>
            <w:vAlign w:val="bottom"/>
            <w:hideMark/>
          </w:tcPr>
          <w:p w:rsidR="003B1358" w:rsidRPr="00170B1D" w:rsidRDefault="003B1358" w:rsidP="003B1358">
            <w:pPr>
              <w:jc w:val="center"/>
              <w:rPr>
                <w:color w:val="000000"/>
                <w:sz w:val="22"/>
                <w:lang w:val="es-GT" w:eastAsia="es-GT"/>
              </w:rPr>
            </w:pPr>
          </w:p>
        </w:tc>
        <w:tc>
          <w:tcPr>
            <w:tcW w:w="1276" w:type="dxa"/>
            <w:shd w:val="clear" w:color="auto" w:fill="auto"/>
            <w:noWrap/>
            <w:vAlign w:val="bottom"/>
            <w:hideMark/>
          </w:tcPr>
          <w:p w:rsidR="003B1358" w:rsidRPr="00170B1D" w:rsidRDefault="003B1358" w:rsidP="003B1358">
            <w:pPr>
              <w:jc w:val="center"/>
              <w:rPr>
                <w:color w:val="000000"/>
                <w:sz w:val="22"/>
                <w:lang w:val="es-GT" w:eastAsia="es-GT"/>
              </w:rPr>
            </w:pPr>
          </w:p>
        </w:tc>
      </w:tr>
      <w:tr w:rsidR="00027A1A" w:rsidRPr="00170B1D" w:rsidTr="003B1358">
        <w:trPr>
          <w:trHeight w:val="300"/>
        </w:trPr>
        <w:tc>
          <w:tcPr>
            <w:tcW w:w="3969" w:type="dxa"/>
            <w:shd w:val="clear" w:color="000000" w:fill="FFFFFF"/>
            <w:noWrap/>
            <w:vAlign w:val="bottom"/>
            <w:hideMark/>
          </w:tcPr>
          <w:p w:rsidR="003B1358" w:rsidRPr="00170B1D" w:rsidRDefault="003B1358" w:rsidP="003B1358">
            <w:pPr>
              <w:rPr>
                <w:b/>
                <w:bCs/>
                <w:color w:val="000000"/>
                <w:sz w:val="22"/>
                <w:lang w:val="es-GT" w:eastAsia="es-GT"/>
              </w:rPr>
            </w:pPr>
            <w:r w:rsidRPr="00170B1D">
              <w:rPr>
                <w:b/>
                <w:bCs/>
                <w:color w:val="000000"/>
                <w:sz w:val="22"/>
                <w:lang w:val="es-GT" w:eastAsia="es-GT"/>
              </w:rPr>
              <w:t>Economías Emergentes y en Desarrollo</w:t>
            </w:r>
          </w:p>
        </w:tc>
        <w:tc>
          <w:tcPr>
            <w:tcW w:w="1413" w:type="dxa"/>
            <w:shd w:val="clear" w:color="000000" w:fill="FFFFFF"/>
            <w:noWrap/>
            <w:vAlign w:val="bottom"/>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-2.1</w:t>
            </w:r>
          </w:p>
        </w:tc>
        <w:tc>
          <w:tcPr>
            <w:tcW w:w="1417" w:type="dxa"/>
            <w:shd w:val="clear" w:color="000000" w:fill="FFFFFF"/>
            <w:noWrap/>
            <w:vAlign w:val="bottom"/>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6.5</w:t>
            </w:r>
          </w:p>
        </w:tc>
        <w:tc>
          <w:tcPr>
            <w:tcW w:w="1276" w:type="dxa"/>
            <w:shd w:val="clear" w:color="auto" w:fill="auto"/>
            <w:noWrap/>
            <w:vAlign w:val="bottom"/>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4.8</w:t>
            </w:r>
          </w:p>
        </w:tc>
      </w:tr>
      <w:tr w:rsidR="00027A1A" w:rsidRPr="00170B1D" w:rsidTr="003B1358">
        <w:trPr>
          <w:trHeight w:val="300"/>
        </w:trPr>
        <w:tc>
          <w:tcPr>
            <w:tcW w:w="3969" w:type="dxa"/>
            <w:shd w:val="clear" w:color="000000" w:fill="FFFFFF"/>
            <w:noWrap/>
            <w:vAlign w:val="bottom"/>
            <w:hideMark/>
          </w:tcPr>
          <w:p w:rsidR="003B1358" w:rsidRPr="00170B1D" w:rsidRDefault="003B1358" w:rsidP="003B1358">
            <w:pPr>
              <w:rPr>
                <w:b/>
                <w:bCs/>
                <w:color w:val="000000"/>
                <w:sz w:val="22"/>
                <w:lang w:val="es-GT" w:eastAsia="es-GT"/>
              </w:rPr>
            </w:pPr>
            <w:r w:rsidRPr="00170B1D">
              <w:rPr>
                <w:b/>
                <w:bCs/>
                <w:color w:val="000000"/>
                <w:sz w:val="22"/>
                <w:lang w:val="es-GT" w:eastAsia="es-GT"/>
              </w:rPr>
              <w:t>Asia</w:t>
            </w:r>
          </w:p>
        </w:tc>
        <w:tc>
          <w:tcPr>
            <w:tcW w:w="1413" w:type="dxa"/>
            <w:shd w:val="clear" w:color="000000" w:fill="FFFFFF"/>
            <w:noWrap/>
            <w:vAlign w:val="bottom"/>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-0.8</w:t>
            </w:r>
          </w:p>
        </w:tc>
        <w:tc>
          <w:tcPr>
            <w:tcW w:w="1417" w:type="dxa"/>
            <w:shd w:val="clear" w:color="000000" w:fill="FFFFFF"/>
            <w:noWrap/>
            <w:vAlign w:val="bottom"/>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7.2</w:t>
            </w:r>
          </w:p>
        </w:tc>
        <w:tc>
          <w:tcPr>
            <w:tcW w:w="1276" w:type="dxa"/>
            <w:shd w:val="clear" w:color="auto" w:fill="auto"/>
            <w:noWrap/>
            <w:vAlign w:val="bottom"/>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5.9</w:t>
            </w:r>
          </w:p>
        </w:tc>
      </w:tr>
      <w:tr w:rsidR="00027A1A" w:rsidRPr="00170B1D" w:rsidTr="003B1358">
        <w:trPr>
          <w:trHeight w:val="300"/>
        </w:trPr>
        <w:tc>
          <w:tcPr>
            <w:tcW w:w="3969" w:type="dxa"/>
            <w:shd w:val="clear" w:color="000000" w:fill="FFFFFF"/>
            <w:noWrap/>
            <w:vAlign w:val="bottom"/>
            <w:hideMark/>
          </w:tcPr>
          <w:p w:rsidR="003B1358" w:rsidRPr="00170B1D" w:rsidRDefault="003B1358" w:rsidP="003B1358">
            <w:pPr>
              <w:ind w:firstLineChars="200" w:firstLine="440"/>
              <w:rPr>
                <w:color w:val="000000"/>
                <w:sz w:val="22"/>
                <w:szCs w:val="22"/>
                <w:lang w:val="es-GT" w:eastAsia="es-GT"/>
              </w:rPr>
            </w:pPr>
            <w:r w:rsidRPr="00170B1D">
              <w:rPr>
                <w:color w:val="000000"/>
                <w:sz w:val="22"/>
                <w:szCs w:val="22"/>
                <w:lang w:val="es-GT" w:eastAsia="es-GT"/>
              </w:rPr>
              <w:t>China</w:t>
            </w:r>
          </w:p>
        </w:tc>
        <w:tc>
          <w:tcPr>
            <w:tcW w:w="1413" w:type="dxa"/>
            <w:shd w:val="clear" w:color="000000" w:fill="FFFFFF"/>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2.3</w:t>
            </w:r>
          </w:p>
        </w:tc>
        <w:tc>
          <w:tcPr>
            <w:tcW w:w="1417" w:type="dxa"/>
            <w:shd w:val="clear" w:color="000000" w:fill="FFFFFF"/>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8.1</w:t>
            </w:r>
          </w:p>
        </w:tc>
        <w:tc>
          <w:tcPr>
            <w:tcW w:w="1276" w:type="dxa"/>
            <w:shd w:val="clear" w:color="auto" w:fill="auto"/>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4.8</w:t>
            </w:r>
          </w:p>
        </w:tc>
      </w:tr>
      <w:tr w:rsidR="00027A1A" w:rsidRPr="00170B1D" w:rsidTr="003B1358">
        <w:trPr>
          <w:trHeight w:val="300"/>
        </w:trPr>
        <w:tc>
          <w:tcPr>
            <w:tcW w:w="3969" w:type="dxa"/>
            <w:shd w:val="clear" w:color="000000" w:fill="FFFFFF"/>
            <w:noWrap/>
            <w:vAlign w:val="bottom"/>
            <w:hideMark/>
          </w:tcPr>
          <w:p w:rsidR="003B1358" w:rsidRPr="00170B1D" w:rsidRDefault="003B1358" w:rsidP="003B1358">
            <w:pPr>
              <w:ind w:firstLineChars="200" w:firstLine="440"/>
              <w:rPr>
                <w:color w:val="000000"/>
                <w:sz w:val="22"/>
                <w:szCs w:val="22"/>
                <w:lang w:val="es-GT" w:eastAsia="es-GT"/>
              </w:rPr>
            </w:pPr>
            <w:r w:rsidRPr="00170B1D">
              <w:rPr>
                <w:color w:val="000000"/>
                <w:sz w:val="22"/>
                <w:szCs w:val="22"/>
                <w:lang w:val="es-GT" w:eastAsia="es-GT"/>
              </w:rPr>
              <w:t xml:space="preserve">India </w:t>
            </w:r>
          </w:p>
        </w:tc>
        <w:tc>
          <w:tcPr>
            <w:tcW w:w="1413" w:type="dxa"/>
            <w:shd w:val="clear" w:color="000000" w:fill="FFFFFF"/>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-7.3</w:t>
            </w:r>
          </w:p>
        </w:tc>
        <w:tc>
          <w:tcPr>
            <w:tcW w:w="1417" w:type="dxa"/>
            <w:shd w:val="clear" w:color="000000" w:fill="FFFFFF"/>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9.0</w:t>
            </w:r>
          </w:p>
        </w:tc>
        <w:tc>
          <w:tcPr>
            <w:tcW w:w="1276" w:type="dxa"/>
            <w:shd w:val="clear" w:color="auto" w:fill="auto"/>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9.0</w:t>
            </w:r>
          </w:p>
        </w:tc>
      </w:tr>
      <w:tr w:rsidR="00027A1A" w:rsidRPr="00170B1D" w:rsidTr="003B1358">
        <w:trPr>
          <w:trHeight w:val="300"/>
        </w:trPr>
        <w:tc>
          <w:tcPr>
            <w:tcW w:w="3969" w:type="dxa"/>
            <w:shd w:val="clear" w:color="000000" w:fill="FFFFFF"/>
            <w:noWrap/>
            <w:vAlign w:val="bottom"/>
            <w:hideMark/>
          </w:tcPr>
          <w:p w:rsidR="003B1358" w:rsidRPr="00170B1D" w:rsidRDefault="003B1358" w:rsidP="003B1358">
            <w:pPr>
              <w:rPr>
                <w:color w:val="000000"/>
                <w:sz w:val="22"/>
                <w:lang w:val="es-GT" w:eastAsia="es-GT"/>
              </w:rPr>
            </w:pPr>
            <w:r w:rsidRPr="00170B1D">
              <w:rPr>
                <w:color w:val="000000"/>
                <w:sz w:val="22"/>
                <w:lang w:val="es-GT" w:eastAsia="es-GT"/>
              </w:rPr>
              <w:t> </w:t>
            </w:r>
          </w:p>
        </w:tc>
        <w:tc>
          <w:tcPr>
            <w:tcW w:w="1413" w:type="dxa"/>
            <w:shd w:val="clear" w:color="000000" w:fill="FFFFFF"/>
            <w:noWrap/>
            <w:vAlign w:val="bottom"/>
            <w:hideMark/>
          </w:tcPr>
          <w:p w:rsidR="003B1358" w:rsidRPr="00170B1D" w:rsidRDefault="003B1358" w:rsidP="003B1358">
            <w:pPr>
              <w:jc w:val="center"/>
              <w:rPr>
                <w:color w:val="000000"/>
                <w:sz w:val="22"/>
                <w:lang w:val="es-GT" w:eastAsia="es-GT"/>
              </w:rPr>
            </w:pPr>
          </w:p>
        </w:tc>
        <w:tc>
          <w:tcPr>
            <w:tcW w:w="1417" w:type="dxa"/>
            <w:shd w:val="clear" w:color="000000" w:fill="FFFFFF"/>
            <w:noWrap/>
            <w:vAlign w:val="bottom"/>
            <w:hideMark/>
          </w:tcPr>
          <w:p w:rsidR="003B1358" w:rsidRPr="00170B1D" w:rsidRDefault="003B1358" w:rsidP="003B1358">
            <w:pPr>
              <w:jc w:val="center"/>
              <w:rPr>
                <w:color w:val="000000"/>
                <w:sz w:val="22"/>
                <w:lang w:val="es-GT" w:eastAsia="es-GT"/>
              </w:rPr>
            </w:pPr>
          </w:p>
        </w:tc>
        <w:tc>
          <w:tcPr>
            <w:tcW w:w="1276" w:type="dxa"/>
            <w:shd w:val="clear" w:color="auto" w:fill="auto"/>
            <w:noWrap/>
            <w:vAlign w:val="bottom"/>
            <w:hideMark/>
          </w:tcPr>
          <w:p w:rsidR="003B1358" w:rsidRPr="00170B1D" w:rsidRDefault="003B1358" w:rsidP="003B1358">
            <w:pPr>
              <w:jc w:val="center"/>
              <w:rPr>
                <w:color w:val="000000"/>
                <w:sz w:val="22"/>
                <w:lang w:val="es-GT" w:eastAsia="es-GT"/>
              </w:rPr>
            </w:pPr>
          </w:p>
        </w:tc>
      </w:tr>
      <w:tr w:rsidR="00027A1A" w:rsidRPr="00170B1D" w:rsidTr="003B1358">
        <w:trPr>
          <w:trHeight w:val="300"/>
        </w:trPr>
        <w:tc>
          <w:tcPr>
            <w:tcW w:w="3969" w:type="dxa"/>
            <w:shd w:val="clear" w:color="000000" w:fill="FFFFFF"/>
            <w:noWrap/>
            <w:vAlign w:val="bottom"/>
            <w:hideMark/>
          </w:tcPr>
          <w:p w:rsidR="003B1358" w:rsidRPr="00170B1D" w:rsidRDefault="003B1358" w:rsidP="003B1358">
            <w:pPr>
              <w:rPr>
                <w:b/>
                <w:bCs/>
                <w:color w:val="000000"/>
                <w:sz w:val="22"/>
                <w:lang w:val="es-GT" w:eastAsia="es-GT"/>
              </w:rPr>
            </w:pPr>
            <w:r w:rsidRPr="00170B1D">
              <w:rPr>
                <w:b/>
                <w:bCs/>
                <w:color w:val="000000"/>
                <w:sz w:val="22"/>
                <w:lang w:val="es-GT" w:eastAsia="es-GT"/>
              </w:rPr>
              <w:t xml:space="preserve">América Latina y </w:t>
            </w:r>
            <w:r>
              <w:rPr>
                <w:b/>
                <w:bCs/>
                <w:color w:val="000000"/>
                <w:sz w:val="22"/>
                <w:lang w:val="es-GT" w:eastAsia="es-GT"/>
              </w:rPr>
              <w:t>E</w:t>
            </w:r>
            <w:r w:rsidRPr="00170B1D">
              <w:rPr>
                <w:b/>
                <w:bCs/>
                <w:color w:val="000000"/>
                <w:sz w:val="22"/>
                <w:lang w:val="es-GT" w:eastAsia="es-GT"/>
              </w:rPr>
              <w:t>l Caribe</w:t>
            </w:r>
          </w:p>
        </w:tc>
        <w:tc>
          <w:tcPr>
            <w:tcW w:w="1413" w:type="dxa"/>
            <w:shd w:val="clear" w:color="000000" w:fill="FFFFFF"/>
            <w:noWrap/>
            <w:vAlign w:val="bottom"/>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-7.0</w:t>
            </w:r>
          </w:p>
        </w:tc>
        <w:tc>
          <w:tcPr>
            <w:tcW w:w="1417" w:type="dxa"/>
            <w:shd w:val="clear" w:color="000000" w:fill="FFFFFF"/>
            <w:noWrap/>
            <w:vAlign w:val="bottom"/>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6.8</w:t>
            </w:r>
          </w:p>
        </w:tc>
        <w:tc>
          <w:tcPr>
            <w:tcW w:w="1276" w:type="dxa"/>
            <w:shd w:val="clear" w:color="auto" w:fill="auto"/>
            <w:noWrap/>
            <w:vAlign w:val="bottom"/>
            <w:hideMark/>
          </w:tcPr>
          <w:p w:rsidR="003B1358" w:rsidRPr="00170B1D" w:rsidRDefault="003B1358" w:rsidP="003B1358">
            <w:pPr>
              <w:jc w:val="center"/>
              <w:rPr>
                <w:b/>
                <w:bCs/>
                <w:color w:val="000000"/>
                <w:sz w:val="22"/>
                <w:lang w:val="es-GT" w:eastAsia="es-GT"/>
              </w:rPr>
            </w:pPr>
            <w:r w:rsidRPr="00170B1D">
              <w:rPr>
                <w:b/>
                <w:bCs/>
                <w:color w:val="000000"/>
                <w:sz w:val="22"/>
                <w:lang w:val="es-GT" w:eastAsia="es-GT"/>
              </w:rPr>
              <w:t>2.4</w:t>
            </w:r>
          </w:p>
        </w:tc>
      </w:tr>
      <w:tr w:rsidR="00027A1A" w:rsidRPr="00170B1D" w:rsidTr="003B1358">
        <w:trPr>
          <w:trHeight w:val="300"/>
        </w:trPr>
        <w:tc>
          <w:tcPr>
            <w:tcW w:w="3969" w:type="dxa"/>
            <w:shd w:val="clear" w:color="000000" w:fill="FFFFFF"/>
            <w:noWrap/>
            <w:vAlign w:val="bottom"/>
            <w:hideMark/>
          </w:tcPr>
          <w:p w:rsidR="003B1358" w:rsidRPr="00170B1D" w:rsidRDefault="003B1358" w:rsidP="003B1358">
            <w:pPr>
              <w:ind w:firstLineChars="200" w:firstLine="440"/>
              <w:rPr>
                <w:color w:val="000000"/>
                <w:sz w:val="22"/>
                <w:szCs w:val="22"/>
                <w:lang w:val="es-GT" w:eastAsia="es-GT"/>
              </w:rPr>
            </w:pPr>
            <w:r w:rsidRPr="00170B1D">
              <w:rPr>
                <w:color w:val="000000"/>
                <w:sz w:val="22"/>
                <w:szCs w:val="22"/>
                <w:lang w:val="es-GT" w:eastAsia="es-GT"/>
              </w:rPr>
              <w:t>Brasil</w:t>
            </w:r>
          </w:p>
        </w:tc>
        <w:tc>
          <w:tcPr>
            <w:tcW w:w="1413" w:type="dxa"/>
            <w:shd w:val="clear" w:color="000000" w:fill="FFFFFF"/>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-4.1</w:t>
            </w:r>
          </w:p>
        </w:tc>
        <w:tc>
          <w:tcPr>
            <w:tcW w:w="1417" w:type="dxa"/>
            <w:shd w:val="clear" w:color="000000" w:fill="FFFFFF"/>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4.7</w:t>
            </w:r>
          </w:p>
        </w:tc>
        <w:tc>
          <w:tcPr>
            <w:tcW w:w="1276" w:type="dxa"/>
            <w:shd w:val="clear" w:color="auto" w:fill="auto"/>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0.3</w:t>
            </w:r>
          </w:p>
        </w:tc>
      </w:tr>
      <w:tr w:rsidR="00027A1A" w:rsidRPr="00170B1D" w:rsidTr="003B1358">
        <w:trPr>
          <w:trHeight w:val="300"/>
        </w:trPr>
        <w:tc>
          <w:tcPr>
            <w:tcW w:w="3969" w:type="dxa"/>
            <w:shd w:val="clear" w:color="000000" w:fill="FFFFFF"/>
            <w:noWrap/>
            <w:vAlign w:val="bottom"/>
            <w:hideMark/>
          </w:tcPr>
          <w:p w:rsidR="003B1358" w:rsidRPr="00170B1D" w:rsidRDefault="003B1358" w:rsidP="003B1358">
            <w:pPr>
              <w:ind w:firstLineChars="200" w:firstLine="440"/>
              <w:rPr>
                <w:color w:val="000000"/>
                <w:sz w:val="22"/>
                <w:szCs w:val="22"/>
                <w:lang w:val="es-GT" w:eastAsia="es-GT"/>
              </w:rPr>
            </w:pPr>
            <w:r w:rsidRPr="00170B1D">
              <w:rPr>
                <w:color w:val="000000"/>
                <w:sz w:val="22"/>
                <w:szCs w:val="22"/>
                <w:lang w:val="es-GT" w:eastAsia="es-GT"/>
              </w:rPr>
              <w:t>México</w:t>
            </w:r>
          </w:p>
        </w:tc>
        <w:tc>
          <w:tcPr>
            <w:tcW w:w="1413" w:type="dxa"/>
            <w:shd w:val="clear" w:color="000000" w:fill="FFFFFF"/>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-8.3</w:t>
            </w:r>
          </w:p>
        </w:tc>
        <w:tc>
          <w:tcPr>
            <w:tcW w:w="1417" w:type="dxa"/>
            <w:shd w:val="clear" w:color="000000" w:fill="FFFFFF"/>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5.3</w:t>
            </w:r>
          </w:p>
        </w:tc>
        <w:tc>
          <w:tcPr>
            <w:tcW w:w="1276" w:type="dxa"/>
            <w:shd w:val="clear" w:color="auto" w:fill="auto"/>
            <w:noWrap/>
            <w:vAlign w:val="bottom"/>
            <w:hideMark/>
          </w:tcPr>
          <w:p w:rsidR="003B1358" w:rsidRPr="00170B1D" w:rsidRDefault="003B1358" w:rsidP="003B1358">
            <w:pPr>
              <w:jc w:val="center"/>
              <w:rPr>
                <w:color w:val="000000"/>
                <w:sz w:val="22"/>
                <w:lang w:val="es-GT" w:eastAsia="es-GT"/>
              </w:rPr>
            </w:pPr>
            <w:r w:rsidRPr="00170B1D">
              <w:rPr>
                <w:color w:val="000000"/>
                <w:sz w:val="22"/>
                <w:lang w:val="es-GT" w:eastAsia="es-GT"/>
              </w:rPr>
              <w:t>2.8</w:t>
            </w:r>
          </w:p>
        </w:tc>
      </w:tr>
    </w:tbl>
    <w:p w:rsidR="00272741" w:rsidRDefault="00272741" w:rsidP="00272741">
      <w:pPr>
        <w:pStyle w:val="Default"/>
        <w:jc w:val="both"/>
        <w:rPr>
          <w:rFonts w:ascii="Calibri" w:eastAsia="Calibri" w:hAnsi="Calibri" w:cs="Times New Roman"/>
          <w:color w:val="auto"/>
          <w:sz w:val="20"/>
          <w:szCs w:val="20"/>
          <w:lang w:val="es-GT" w:eastAsia="es-GT"/>
        </w:rPr>
      </w:pPr>
      <w:r>
        <w:rPr>
          <w:lang w:val="es-GT"/>
        </w:rPr>
        <w:fldChar w:fldCharType="begin"/>
      </w:r>
      <w:r>
        <w:rPr>
          <w:lang w:val="es-GT"/>
        </w:rPr>
        <w:instrText xml:space="preserve"> LINK Excel.Sheet.12 "C:\\Users\\deefoper18\\Desktop\\Informe Semestral de la actividad economica\\Cuadros para Informe de fin de año 2021 parte macro e ingresos al 100322.xlsx" "Crecimiento mundial!F4C2:F17C5" \a \f 4 \h  \* MERGEFORMAT </w:instrText>
      </w:r>
      <w:r>
        <w:rPr>
          <w:lang w:val="es-GT"/>
        </w:rPr>
        <w:fldChar w:fldCharType="separate"/>
      </w:r>
    </w:p>
    <w:p w:rsidR="00272741" w:rsidRDefault="00272741" w:rsidP="00272741">
      <w:pPr>
        <w:pStyle w:val="Default"/>
        <w:ind w:firstLine="708"/>
        <w:jc w:val="both"/>
        <w:rPr>
          <w:rFonts w:ascii="Times New Roman" w:hAnsi="Times New Roman" w:cs="Times New Roman"/>
          <w:color w:val="auto"/>
          <w:sz w:val="18"/>
          <w:lang w:val="es-GT"/>
        </w:rPr>
      </w:pPr>
      <w:r>
        <w:rPr>
          <w:rFonts w:ascii="Times New Roman" w:hAnsi="Times New Roman" w:cs="Times New Roman"/>
          <w:color w:val="auto"/>
          <w:sz w:val="18"/>
          <w:lang w:val="es-GT"/>
        </w:rPr>
        <w:fldChar w:fldCharType="end"/>
      </w:r>
      <w:r w:rsidRPr="000044B0">
        <w:rPr>
          <w:rFonts w:ascii="Times New Roman" w:hAnsi="Times New Roman" w:cs="Times New Roman"/>
          <w:color w:val="auto"/>
          <w:sz w:val="18"/>
          <w:lang w:val="es-GT"/>
        </w:rPr>
        <w:t>Fuente:</w:t>
      </w:r>
      <w:r>
        <w:rPr>
          <w:rFonts w:ascii="Times New Roman" w:hAnsi="Times New Roman" w:cs="Times New Roman"/>
          <w:color w:val="auto"/>
          <w:sz w:val="18"/>
          <w:lang w:val="es-GT"/>
        </w:rPr>
        <w:t xml:space="preserve"> </w:t>
      </w:r>
      <w:r w:rsidRPr="000044B0">
        <w:rPr>
          <w:rFonts w:ascii="Times New Roman" w:hAnsi="Times New Roman" w:cs="Times New Roman"/>
          <w:color w:val="auto"/>
          <w:sz w:val="18"/>
          <w:lang w:val="es-GT"/>
        </w:rPr>
        <w:t>FMI</w:t>
      </w:r>
      <w:r>
        <w:rPr>
          <w:rFonts w:ascii="Times New Roman" w:hAnsi="Times New Roman" w:cs="Times New Roman"/>
          <w:color w:val="auto"/>
          <w:sz w:val="18"/>
          <w:lang w:val="es-GT"/>
        </w:rPr>
        <w:t>:</w:t>
      </w:r>
      <w:r w:rsidRPr="000044B0">
        <w:rPr>
          <w:rFonts w:ascii="Times New Roman" w:hAnsi="Times New Roman" w:cs="Times New Roman"/>
          <w:color w:val="auto"/>
          <w:sz w:val="18"/>
          <w:lang w:val="es-GT"/>
        </w:rPr>
        <w:t xml:space="preserve"> "Proyecciones de </w:t>
      </w:r>
      <w:r w:rsidR="003B1358">
        <w:rPr>
          <w:rFonts w:ascii="Times New Roman" w:hAnsi="Times New Roman" w:cs="Times New Roman"/>
          <w:color w:val="auto"/>
          <w:sz w:val="18"/>
          <w:lang w:val="es-GT"/>
        </w:rPr>
        <w:t>C</w:t>
      </w:r>
      <w:r w:rsidRPr="000044B0">
        <w:rPr>
          <w:rFonts w:ascii="Times New Roman" w:hAnsi="Times New Roman" w:cs="Times New Roman"/>
          <w:color w:val="auto"/>
          <w:sz w:val="18"/>
          <w:lang w:val="es-GT"/>
        </w:rPr>
        <w:t xml:space="preserve">recimiento de Perspectivas de la </w:t>
      </w:r>
      <w:r w:rsidR="003B1358">
        <w:rPr>
          <w:rFonts w:ascii="Times New Roman" w:hAnsi="Times New Roman" w:cs="Times New Roman"/>
          <w:color w:val="auto"/>
          <w:sz w:val="18"/>
          <w:lang w:val="es-GT"/>
        </w:rPr>
        <w:t>E</w:t>
      </w:r>
      <w:r w:rsidRPr="000044B0">
        <w:rPr>
          <w:rFonts w:ascii="Times New Roman" w:hAnsi="Times New Roman" w:cs="Times New Roman"/>
          <w:color w:val="auto"/>
          <w:sz w:val="18"/>
          <w:lang w:val="es-GT"/>
        </w:rPr>
        <w:t xml:space="preserve">conomía </w:t>
      </w:r>
      <w:r w:rsidR="003B1358">
        <w:rPr>
          <w:rFonts w:ascii="Times New Roman" w:hAnsi="Times New Roman" w:cs="Times New Roman"/>
          <w:color w:val="auto"/>
          <w:sz w:val="18"/>
          <w:lang w:val="es-GT"/>
        </w:rPr>
        <w:t>M</w:t>
      </w:r>
      <w:r w:rsidRPr="000044B0">
        <w:rPr>
          <w:rFonts w:ascii="Times New Roman" w:hAnsi="Times New Roman" w:cs="Times New Roman"/>
          <w:color w:val="auto"/>
          <w:sz w:val="18"/>
          <w:lang w:val="es-GT"/>
        </w:rPr>
        <w:t>undial</w:t>
      </w:r>
      <w:r>
        <w:rPr>
          <w:rFonts w:ascii="Times New Roman" w:hAnsi="Times New Roman" w:cs="Times New Roman"/>
          <w:color w:val="auto"/>
          <w:sz w:val="18"/>
          <w:lang w:val="es-GT"/>
        </w:rPr>
        <w:t>”</w:t>
      </w:r>
      <w:r w:rsidR="003B1358">
        <w:rPr>
          <w:rFonts w:ascii="Times New Roman" w:hAnsi="Times New Roman" w:cs="Times New Roman"/>
          <w:color w:val="auto"/>
          <w:sz w:val="18"/>
          <w:lang w:val="es-GT"/>
        </w:rPr>
        <w:t>;</w:t>
      </w:r>
      <w:r w:rsidRPr="000044B0">
        <w:rPr>
          <w:rFonts w:ascii="Times New Roman" w:hAnsi="Times New Roman" w:cs="Times New Roman"/>
          <w:color w:val="auto"/>
          <w:sz w:val="18"/>
          <w:lang w:val="es-GT"/>
        </w:rPr>
        <w:t xml:space="preserve"> </w:t>
      </w:r>
      <w:r>
        <w:rPr>
          <w:rFonts w:ascii="Times New Roman" w:hAnsi="Times New Roman" w:cs="Times New Roman"/>
          <w:color w:val="auto"/>
          <w:sz w:val="18"/>
          <w:lang w:val="es-GT"/>
        </w:rPr>
        <w:t>e</w:t>
      </w:r>
      <w:r w:rsidRPr="000044B0">
        <w:rPr>
          <w:rFonts w:ascii="Times New Roman" w:hAnsi="Times New Roman" w:cs="Times New Roman"/>
          <w:color w:val="auto"/>
          <w:sz w:val="18"/>
          <w:lang w:val="es-GT"/>
        </w:rPr>
        <w:t>nero de 202</w:t>
      </w:r>
      <w:r>
        <w:rPr>
          <w:rFonts w:ascii="Times New Roman" w:hAnsi="Times New Roman" w:cs="Times New Roman"/>
          <w:color w:val="auto"/>
          <w:sz w:val="18"/>
          <w:lang w:val="es-GT"/>
        </w:rPr>
        <w:t>2.</w:t>
      </w:r>
    </w:p>
    <w:p w:rsidR="00272741" w:rsidRPr="000044B0" w:rsidRDefault="00272741" w:rsidP="00272741">
      <w:pPr>
        <w:pStyle w:val="Default"/>
        <w:ind w:firstLine="708"/>
        <w:jc w:val="both"/>
        <w:rPr>
          <w:rFonts w:ascii="Times New Roman" w:hAnsi="Times New Roman" w:cs="Times New Roman"/>
          <w:color w:val="auto"/>
          <w:sz w:val="18"/>
          <w:lang w:val="es-GT"/>
        </w:rPr>
      </w:pPr>
      <w:r w:rsidRPr="000044B0">
        <w:rPr>
          <w:rFonts w:ascii="Times New Roman" w:hAnsi="Times New Roman" w:cs="Times New Roman"/>
          <w:color w:val="auto"/>
          <w:sz w:val="18"/>
          <w:lang w:val="es-GT"/>
        </w:rPr>
        <w:t>e/estimación</w:t>
      </w:r>
      <w:r w:rsidR="003B1358">
        <w:rPr>
          <w:rFonts w:ascii="Times New Roman" w:hAnsi="Times New Roman" w:cs="Times New Roman"/>
          <w:color w:val="auto"/>
          <w:sz w:val="18"/>
          <w:lang w:val="es-GT"/>
        </w:rPr>
        <w:t xml:space="preserve">; </w:t>
      </w:r>
      <w:r w:rsidRPr="000044B0">
        <w:rPr>
          <w:rFonts w:ascii="Times New Roman" w:hAnsi="Times New Roman" w:cs="Times New Roman"/>
          <w:color w:val="auto"/>
          <w:sz w:val="18"/>
          <w:lang w:val="es-GT"/>
        </w:rPr>
        <w:t>p/proyección</w:t>
      </w:r>
      <w:r w:rsidR="003B1358">
        <w:rPr>
          <w:rFonts w:ascii="Times New Roman" w:hAnsi="Times New Roman" w:cs="Times New Roman"/>
          <w:color w:val="auto"/>
          <w:sz w:val="18"/>
          <w:lang w:val="es-GT"/>
        </w:rPr>
        <w:t>.</w:t>
      </w:r>
    </w:p>
    <w:p w:rsidR="00272741" w:rsidRDefault="00272741" w:rsidP="00272741">
      <w:pPr>
        <w:autoSpaceDE w:val="0"/>
        <w:autoSpaceDN w:val="0"/>
        <w:adjustRightInd w:val="0"/>
        <w:jc w:val="both"/>
      </w:pPr>
    </w:p>
    <w:p w:rsidR="00272741" w:rsidRDefault="00272741" w:rsidP="00272741">
      <w:pPr>
        <w:autoSpaceDE w:val="0"/>
        <w:autoSpaceDN w:val="0"/>
        <w:adjustRightInd w:val="0"/>
        <w:jc w:val="both"/>
      </w:pPr>
      <w:r>
        <w:t xml:space="preserve">De acuerdo con el Banco Mundial, el crecimiento de la región de América Latina y </w:t>
      </w:r>
      <w:r w:rsidR="003B1358">
        <w:t>E</w:t>
      </w:r>
      <w:r>
        <w:t xml:space="preserve">l Caribe se recuperó hasta ubicarse en un estimado del 6.8 % en 2021, impulsado por </w:t>
      </w:r>
      <w:r w:rsidR="003B1358">
        <w:t xml:space="preserve">las </w:t>
      </w:r>
      <w:r>
        <w:t>condiciones externas favorables y diversos acontecimientos relacionados con la pandemia. La cantidad de nuevos casos de C</w:t>
      </w:r>
      <w:r w:rsidR="003B1358">
        <w:t>ovid</w:t>
      </w:r>
      <w:r>
        <w:t>-19 disminuyó drásticamente en toda la región durante la segunda mitad del año; sin embargo, volvieron a aumentar a fines de diciembre</w:t>
      </w:r>
      <w:r w:rsidR="003B1358">
        <w:t xml:space="preserve"> de 2021</w:t>
      </w:r>
      <w:r>
        <w:t xml:space="preserve">, a pesar del avance en el proceso de vacunación. La fuerte demanda en destinos clave de las exportaciones (Estados Unidos y China), </w:t>
      </w:r>
      <w:r>
        <w:lastRenderedPageBreak/>
        <w:t xml:space="preserve">los precios altos de los productos básicos y el volumen elevado y constante de las remesas enviadas a los países de América Central y </w:t>
      </w:r>
      <w:r w:rsidR="003B1358">
        <w:t>E</w:t>
      </w:r>
      <w:r>
        <w:t>l Caribe también apoyaron el crecimiento en 2021.</w:t>
      </w:r>
    </w:p>
    <w:p w:rsidR="00272741" w:rsidRDefault="00272741" w:rsidP="00272741">
      <w:pPr>
        <w:autoSpaceDE w:val="0"/>
        <w:autoSpaceDN w:val="0"/>
        <w:adjustRightInd w:val="0"/>
        <w:jc w:val="both"/>
      </w:pPr>
    </w:p>
    <w:p w:rsidR="00272741" w:rsidRDefault="00272741" w:rsidP="00272741">
      <w:pPr>
        <w:autoSpaceDE w:val="0"/>
        <w:autoSpaceDN w:val="0"/>
        <w:adjustRightInd w:val="0"/>
        <w:jc w:val="both"/>
      </w:pPr>
      <w:r>
        <w:t xml:space="preserve">La inflación se ha incrementado en toda la región, y en la mayoría de los casos ha superado las metas establecidas por los bancos centrales. Este aumento se atribuye a la consolidación de la demanda asociada con la reapertura económica, al incremento de los precios de los alimentos y </w:t>
      </w:r>
      <w:r w:rsidR="00271021">
        <w:t xml:space="preserve">de </w:t>
      </w:r>
      <w:r>
        <w:t xml:space="preserve">la energía, a las interrupciones en la producción de electricidad relacionadas con el clima y, en algunos países, a la depreciación de la moneda y los fuertes incrementos en la masa monetaria. Varios países, incluidos Brasil, Chile y Paraguay, están sufriendo la peor sequía en décadas, lo que hace necesario utilizar combustibles fósiles más costosos para producir la electricidad habitualmente generada a partir de la energía hidroeléctrica (Banco Mundial, Perspectivas </w:t>
      </w:r>
      <w:r w:rsidR="003A274A">
        <w:t>E</w:t>
      </w:r>
      <w:r>
        <w:t xml:space="preserve">conómicas </w:t>
      </w:r>
      <w:r w:rsidR="003A274A">
        <w:t>M</w:t>
      </w:r>
      <w:r>
        <w:t xml:space="preserve">undiales: América Latina y </w:t>
      </w:r>
      <w:r w:rsidR="003A274A">
        <w:t>E</w:t>
      </w:r>
      <w:r>
        <w:t>l Caribe</w:t>
      </w:r>
      <w:r w:rsidR="003A274A">
        <w:t>;</w:t>
      </w:r>
      <w:r>
        <w:t xml:space="preserve"> enero</w:t>
      </w:r>
      <w:r w:rsidR="003A274A">
        <w:t xml:space="preserve"> de</w:t>
      </w:r>
      <w:r>
        <w:t xml:space="preserve"> 2022).</w:t>
      </w:r>
    </w:p>
    <w:p w:rsidR="00272741" w:rsidRDefault="00272741" w:rsidP="00272741">
      <w:pPr>
        <w:autoSpaceDE w:val="0"/>
        <w:autoSpaceDN w:val="0"/>
        <w:adjustRightInd w:val="0"/>
        <w:jc w:val="both"/>
      </w:pPr>
    </w:p>
    <w:p w:rsidR="00272741" w:rsidRDefault="00272741" w:rsidP="00272741">
      <w:pPr>
        <w:pStyle w:val="Default"/>
        <w:jc w:val="both"/>
        <w:rPr>
          <w:rFonts w:ascii="Times New Roman" w:hAnsi="Times New Roman" w:cs="Times New Roman"/>
          <w:color w:val="auto"/>
        </w:rPr>
      </w:pPr>
    </w:p>
    <w:p w:rsidR="00272741" w:rsidRDefault="00272741" w:rsidP="00272741">
      <w:pPr>
        <w:pStyle w:val="Ttulo1"/>
        <w:rPr>
          <w:lang w:val="es-MX"/>
        </w:rPr>
      </w:pPr>
      <w:bookmarkStart w:id="6" w:name="_Toc97729971"/>
      <w:bookmarkStart w:id="7" w:name="_Toc98924127"/>
      <w:r w:rsidRPr="00FF0421">
        <w:rPr>
          <w:lang w:val="es-MX"/>
        </w:rPr>
        <w:t>Perspectivas Económicas</w:t>
      </w:r>
      <w:bookmarkEnd w:id="6"/>
      <w:bookmarkEnd w:id="7"/>
    </w:p>
    <w:p w:rsidR="00272741" w:rsidRPr="00FF0421" w:rsidRDefault="00272741" w:rsidP="00272741">
      <w:pPr>
        <w:rPr>
          <w:lang w:val="es-MX"/>
        </w:rPr>
      </w:pPr>
    </w:p>
    <w:p w:rsidR="00272741" w:rsidRDefault="00272741" w:rsidP="00272741">
      <w:pPr>
        <w:autoSpaceDE w:val="0"/>
        <w:autoSpaceDN w:val="0"/>
        <w:adjustRightInd w:val="0"/>
        <w:jc w:val="both"/>
      </w:pPr>
      <w:r>
        <w:t>Basándose en los riesgos señalados, las proyecciones de base se inclinan a la baja. La aparición de nuevas variantes del virus causante de</w:t>
      </w:r>
      <w:r w:rsidR="00820838">
        <w:t>l Covid</w:t>
      </w:r>
      <w:r>
        <w:t>-19 podría prolongar la pandemia y volver a plantear problemas económicos. Además, las perturbaciones de las cadenas de suministro</w:t>
      </w:r>
      <w:r w:rsidR="00820838">
        <w:t>s</w:t>
      </w:r>
      <w:r>
        <w:t xml:space="preserve">, la volatilidad de los precios de la energía y </w:t>
      </w:r>
      <w:r w:rsidR="00820838">
        <w:t xml:space="preserve">las </w:t>
      </w:r>
      <w:r>
        <w:t>presiones salariales específicas generan gran incertidumbre en torno a la trayectoria de la inflación y de las políticas</w:t>
      </w:r>
      <w:r w:rsidR="00820838">
        <w:t xml:space="preserve"> económicas</w:t>
      </w:r>
      <w:r>
        <w:t>.</w:t>
      </w:r>
    </w:p>
    <w:p w:rsidR="00272741" w:rsidRDefault="00272741" w:rsidP="00272741">
      <w:pPr>
        <w:autoSpaceDE w:val="0"/>
        <w:autoSpaceDN w:val="0"/>
        <w:adjustRightInd w:val="0"/>
        <w:jc w:val="both"/>
      </w:pPr>
    </w:p>
    <w:p w:rsidR="00272741" w:rsidRDefault="00272741" w:rsidP="00272741">
      <w:pPr>
        <w:autoSpaceDE w:val="0"/>
        <w:autoSpaceDN w:val="0"/>
        <w:adjustRightInd w:val="0"/>
        <w:jc w:val="both"/>
      </w:pPr>
      <w:r>
        <w:t>A medida que suban las tasas de</w:t>
      </w:r>
      <w:r w:rsidR="00820838">
        <w:t xml:space="preserve"> interés de la</w:t>
      </w:r>
      <w:r>
        <w:t xml:space="preserve"> política monetaria </w:t>
      </w:r>
      <w:r w:rsidR="00820838">
        <w:t>en</w:t>
      </w:r>
      <w:r>
        <w:t xml:space="preserve"> las economías avanzadas, podrían surgir riesgos para la estabilidad financiera, así como</w:t>
      </w:r>
      <w:r w:rsidR="00EB36D6">
        <w:t>,</w:t>
      </w:r>
      <w:r>
        <w:t xml:space="preserve"> para los flujos de capital, las monedas y la situación fiscal de las economías de mercados emergentes y en desarrollo, especialmente teniendo en cuenta que los niveles de deuda se incrementaron significativamente en los dos últimos años. Podrían materializarse </w:t>
      </w:r>
      <w:r w:rsidR="00461782">
        <w:t xml:space="preserve">también </w:t>
      </w:r>
      <w:r>
        <w:t>otros riesgos mundiales dado que las tensiones geopolíticas siguen siendo agudas y la actual emergencia climática sigue arrastrando una fuerte probabilidad de grandes catástrofes provocadas por fenómenos naturales (Fondo Monetario Internacional).</w:t>
      </w:r>
    </w:p>
    <w:p w:rsidR="00272741" w:rsidRDefault="00272741" w:rsidP="00272741">
      <w:pPr>
        <w:jc w:val="both"/>
      </w:pPr>
    </w:p>
    <w:p w:rsidR="00272741" w:rsidRDefault="00272741" w:rsidP="00272741">
      <w:pPr>
        <w:jc w:val="both"/>
      </w:pPr>
      <w:r>
        <w:t>Se prevé que el crecimiento regional disminuirá hasta ubicarse en el 2.4 % en 2022</w:t>
      </w:r>
      <w:r w:rsidR="00821E51">
        <w:t>,</w:t>
      </w:r>
      <w:r>
        <w:t xml:space="preserve"> a medida que se endurezca la política fiscal y monetaria; la demora en las mejoras en las condiciones del mercado laboral continúe y las condiciones externas se vuelvan menos favorables. El proceso de recuperación hacia los niveles del </w:t>
      </w:r>
      <w:r w:rsidR="00821E51">
        <w:t>P</w:t>
      </w:r>
      <w:r>
        <w:t xml:space="preserve">roducto </w:t>
      </w:r>
      <w:r w:rsidR="00821E51">
        <w:t>I</w:t>
      </w:r>
      <w:r>
        <w:t xml:space="preserve">nterno </w:t>
      </w:r>
      <w:r w:rsidR="00821E51">
        <w:t>B</w:t>
      </w:r>
      <w:r>
        <w:t xml:space="preserve">ruto (PIB) anteriores a la pandemia será desigual en la región y prolongado en algunos países. Las proyecciones elaboradas implican que, si se ponderan las cifras en función del PIB, la región de América Latina y </w:t>
      </w:r>
      <w:r w:rsidR="00821E51">
        <w:t>E</w:t>
      </w:r>
      <w:r>
        <w:t>l Caribe perderá terreno en el ingreso per cápita</w:t>
      </w:r>
      <w:r w:rsidR="00821E51">
        <w:t>,</w:t>
      </w:r>
      <w:r>
        <w:t xml:space="preserve"> no solo </w:t>
      </w:r>
      <w:r w:rsidR="00821E51">
        <w:t>con</w:t>
      </w:r>
      <w:r>
        <w:t xml:space="preserve"> relación </w:t>
      </w:r>
      <w:r w:rsidR="00821E51">
        <w:t>a</w:t>
      </w:r>
      <w:r>
        <w:t xml:space="preserve"> las economías avanzadas, sino también con respecto a las de Asia </w:t>
      </w:r>
      <w:r w:rsidR="00821E51">
        <w:t>O</w:t>
      </w:r>
      <w:r>
        <w:t xml:space="preserve">riental y el Pacífico, así como con las de Europa y Asia </w:t>
      </w:r>
      <w:r w:rsidR="00821E51">
        <w:t>C</w:t>
      </w:r>
      <w:r>
        <w:t>entral.</w:t>
      </w:r>
    </w:p>
    <w:p w:rsidR="00272741" w:rsidRDefault="00272741" w:rsidP="00272741">
      <w:pPr>
        <w:jc w:val="both"/>
      </w:pPr>
    </w:p>
    <w:p w:rsidR="00272741" w:rsidRDefault="00272741" w:rsidP="00272741">
      <w:pPr>
        <w:jc w:val="both"/>
      </w:pPr>
      <w:r>
        <w:t>Se proyecta que la economía de Brasil se desacelerará hasta llegar al 0.3 % en 2022</w:t>
      </w:r>
      <w:r w:rsidR="00821E51">
        <w:t xml:space="preserve">, </w:t>
      </w:r>
      <w:r>
        <w:t>debido a la limitada confianza de los inversionistas, la erosión del poder adquisitivo derivada de la alta inflación, el endurecimiento de la política macroeconómica, la desaceleración de la demanda de China y la caída de los precios del mineral de hierro. El crecimiento de México, por su parte, disminuirá según las proyecciones hasta el 2.8 % en 2022.</w:t>
      </w:r>
    </w:p>
    <w:p w:rsidR="00272741" w:rsidRDefault="00272741" w:rsidP="00272741">
      <w:pPr>
        <w:jc w:val="both"/>
        <w:rPr>
          <w:sz w:val="18"/>
        </w:rPr>
      </w:pPr>
    </w:p>
    <w:p w:rsidR="00E45225" w:rsidRDefault="00E45225" w:rsidP="00272741">
      <w:pPr>
        <w:jc w:val="both"/>
        <w:rPr>
          <w:sz w:val="18"/>
        </w:rPr>
      </w:pPr>
    </w:p>
    <w:p w:rsidR="00E45225" w:rsidRPr="00D43015" w:rsidRDefault="00E45225" w:rsidP="00272741">
      <w:pPr>
        <w:jc w:val="both"/>
        <w:rPr>
          <w:sz w:val="18"/>
        </w:rPr>
      </w:pPr>
    </w:p>
    <w:p w:rsidR="00272741" w:rsidRDefault="00272741" w:rsidP="00272741">
      <w:pPr>
        <w:jc w:val="both"/>
      </w:pPr>
      <w:r>
        <w:t>Se espera que los cuellos de botella de las cadenas de suministro persistan durante la primera mitad de 2022, mientras que la demanda externa se verá limitada por la desaceleración del crecimiento de Estados Unidos, y la política macroeconómica se endurecerá.</w:t>
      </w:r>
    </w:p>
    <w:p w:rsidR="00272741" w:rsidRDefault="00272741" w:rsidP="00272741">
      <w:pPr>
        <w:jc w:val="both"/>
      </w:pPr>
    </w:p>
    <w:p w:rsidR="008E6006" w:rsidRDefault="008E6006" w:rsidP="00272741">
      <w:pPr>
        <w:jc w:val="both"/>
      </w:pPr>
    </w:p>
    <w:p w:rsidR="00272741" w:rsidRPr="00D03CCB" w:rsidRDefault="00272741" w:rsidP="00272741">
      <w:pPr>
        <w:pStyle w:val="Ttulo1"/>
        <w:rPr>
          <w:lang w:val="es-MX"/>
        </w:rPr>
      </w:pPr>
      <w:bookmarkStart w:id="8" w:name="_Toc97729972"/>
      <w:bookmarkStart w:id="9" w:name="_Toc98924128"/>
      <w:r w:rsidRPr="00D03CCB">
        <w:rPr>
          <w:lang w:val="es-MX"/>
        </w:rPr>
        <w:t>Entorno Macroeconómico Nacional</w:t>
      </w:r>
      <w:bookmarkEnd w:id="8"/>
      <w:bookmarkEnd w:id="9"/>
    </w:p>
    <w:p w:rsidR="00272741" w:rsidRPr="00124AD6" w:rsidRDefault="00272741" w:rsidP="00272741">
      <w:pPr>
        <w:rPr>
          <w:lang w:val="es-MX"/>
        </w:rPr>
      </w:pPr>
    </w:p>
    <w:p w:rsidR="00272741" w:rsidRPr="008D3189" w:rsidRDefault="00272741" w:rsidP="00272741">
      <w:pPr>
        <w:jc w:val="both"/>
      </w:pPr>
      <w:r w:rsidRPr="008D3189">
        <w:t>Luego de la contracción del Producto Interno Bruto en 2020 (-1.5% respecto de 2019), como resultado principalmente de las medidas sanitarias y las restricciones de movilidad para las mercancías y las personas, para contener la propagación del C</w:t>
      </w:r>
      <w:r w:rsidR="008E6006" w:rsidRPr="008D3189">
        <w:t>ovid</w:t>
      </w:r>
      <w:r w:rsidRPr="008D3189">
        <w:t>-19</w:t>
      </w:r>
      <w:r w:rsidR="006F2B0B">
        <w:t>,</w:t>
      </w:r>
      <w:r w:rsidRPr="008D3189">
        <w:t xml:space="preserve"> y de la desaceleración de la economía mundial que esto propició, el proceso de recuperación de la actividad económica se consolidó en 2021, dadas las mejoras en las perspectivas de la economía mundial (principalmente los Estados Unidos de América como principal socio comercial) y a la mejora en las condiciones económicas internas.</w:t>
      </w:r>
    </w:p>
    <w:p w:rsidR="00272741" w:rsidRDefault="00272741" w:rsidP="00272741">
      <w:pPr>
        <w:jc w:val="both"/>
        <w:rPr>
          <w:sz w:val="23"/>
          <w:szCs w:val="23"/>
        </w:rPr>
      </w:pPr>
    </w:p>
    <w:p w:rsidR="00272741" w:rsidRPr="001923E8" w:rsidRDefault="00272741" w:rsidP="00272741">
      <w:pPr>
        <w:jc w:val="both"/>
      </w:pPr>
      <w:r w:rsidRPr="001923E8">
        <w:t xml:space="preserve">En este contexto, la estimación de cierre para 2021 </w:t>
      </w:r>
      <w:r>
        <w:t>del Banco de Guatemala, establece</w:t>
      </w:r>
      <w:r w:rsidRPr="001923E8">
        <w:t xml:space="preserve"> un crecimiento del PIB de 7.5%, explicado, </w:t>
      </w:r>
      <w:r>
        <w:t>además de</w:t>
      </w:r>
      <w:r w:rsidRPr="001923E8">
        <w:t xml:space="preserve"> la</w:t>
      </w:r>
      <w:r>
        <w:t>s</w:t>
      </w:r>
      <w:r w:rsidRPr="001923E8">
        <w:t xml:space="preserve"> mejora</w:t>
      </w:r>
      <w:r>
        <w:t>s</w:t>
      </w:r>
      <w:r w:rsidRPr="001923E8">
        <w:t xml:space="preserve"> en las perspectivas de la economía mundia</w:t>
      </w:r>
      <w:r>
        <w:t xml:space="preserve">l señaladas, </w:t>
      </w:r>
      <w:r w:rsidR="00D50396">
        <w:t>por</w:t>
      </w:r>
      <w:r>
        <w:t xml:space="preserve"> </w:t>
      </w:r>
      <w:r w:rsidRPr="001923E8">
        <w:t xml:space="preserve">la recuperación del consumo privado y </w:t>
      </w:r>
      <w:r>
        <w:t>e</w:t>
      </w:r>
      <w:r w:rsidRPr="001923E8">
        <w:t>l comportamiento positivo de todas las actividades económicas.</w:t>
      </w:r>
    </w:p>
    <w:p w:rsidR="00272741" w:rsidRDefault="00272741" w:rsidP="00272741">
      <w:pPr>
        <w:jc w:val="both"/>
      </w:pPr>
    </w:p>
    <w:p w:rsidR="00C43BB6" w:rsidRDefault="00C43BB6" w:rsidP="00272741">
      <w:pPr>
        <w:jc w:val="both"/>
      </w:pPr>
    </w:p>
    <w:p w:rsidR="00272741" w:rsidRPr="00124AD6" w:rsidRDefault="00272741" w:rsidP="00272741">
      <w:pPr>
        <w:jc w:val="center"/>
        <w:rPr>
          <w:b/>
        </w:rPr>
      </w:pPr>
      <w:r w:rsidRPr="00124AD6">
        <w:rPr>
          <w:b/>
        </w:rPr>
        <w:t>Gráfica 1</w:t>
      </w:r>
    </w:p>
    <w:p w:rsidR="00272741" w:rsidRPr="00124AD6" w:rsidRDefault="00272741" w:rsidP="00272741">
      <w:pPr>
        <w:jc w:val="center"/>
        <w:rPr>
          <w:b/>
        </w:rPr>
      </w:pPr>
      <w:r w:rsidRPr="00124AD6">
        <w:rPr>
          <w:b/>
        </w:rPr>
        <w:t>Guatemala: Producto Interno Bruto</w:t>
      </w:r>
      <w:r>
        <w:rPr>
          <w:b/>
        </w:rPr>
        <w:t xml:space="preserve"> e</w:t>
      </w:r>
      <w:r w:rsidRPr="00124AD6">
        <w:rPr>
          <w:b/>
        </w:rPr>
        <w:t xml:space="preserve">n </w:t>
      </w:r>
      <w:r>
        <w:rPr>
          <w:b/>
        </w:rPr>
        <w:t>T</w:t>
      </w:r>
      <w:r w:rsidRPr="00124AD6">
        <w:rPr>
          <w:b/>
        </w:rPr>
        <w:t xml:space="preserve">érminos </w:t>
      </w:r>
      <w:r>
        <w:rPr>
          <w:b/>
        </w:rPr>
        <w:t>R</w:t>
      </w:r>
      <w:r w:rsidRPr="00124AD6">
        <w:rPr>
          <w:b/>
        </w:rPr>
        <w:t>eales</w:t>
      </w:r>
    </w:p>
    <w:p w:rsidR="00272741" w:rsidRDefault="00272741" w:rsidP="00272741">
      <w:pPr>
        <w:jc w:val="center"/>
        <w:rPr>
          <w:b/>
        </w:rPr>
      </w:pPr>
      <w:r w:rsidRPr="00124AD6">
        <w:rPr>
          <w:b/>
        </w:rPr>
        <w:t xml:space="preserve">(Tasas de </w:t>
      </w:r>
      <w:r>
        <w:rPr>
          <w:b/>
        </w:rPr>
        <w:t>V</w:t>
      </w:r>
      <w:r w:rsidRPr="00124AD6">
        <w:rPr>
          <w:b/>
        </w:rPr>
        <w:t xml:space="preserve">ariación </w:t>
      </w:r>
      <w:r>
        <w:rPr>
          <w:b/>
        </w:rPr>
        <w:t>I</w:t>
      </w:r>
      <w:r w:rsidRPr="00124AD6">
        <w:rPr>
          <w:b/>
        </w:rPr>
        <w:t>nteranual 20</w:t>
      </w:r>
      <w:r>
        <w:rPr>
          <w:b/>
        </w:rPr>
        <w:t xml:space="preserve">14 </w:t>
      </w:r>
      <w:r w:rsidR="00D50396">
        <w:rPr>
          <w:b/>
        </w:rPr>
        <w:t>-</w:t>
      </w:r>
      <w:r w:rsidRPr="00124AD6">
        <w:rPr>
          <w:b/>
        </w:rPr>
        <w:t xml:space="preserve"> 20</w:t>
      </w:r>
      <w:r>
        <w:rPr>
          <w:b/>
        </w:rPr>
        <w:t>22</w:t>
      </w:r>
      <w:r w:rsidRPr="00124AD6">
        <w:rPr>
          <w:b/>
        </w:rPr>
        <w:t>)</w:t>
      </w:r>
    </w:p>
    <w:p w:rsidR="00272741" w:rsidRPr="00124AD6" w:rsidRDefault="00272741" w:rsidP="00272741">
      <w:pPr>
        <w:jc w:val="center"/>
        <w:rPr>
          <w:b/>
        </w:rPr>
      </w:pPr>
      <w:r>
        <w:rPr>
          <w:noProof/>
        </w:rPr>
        <w:drawing>
          <wp:inline distT="0" distB="0" distL="0" distR="0" wp14:anchorId="2E04B153" wp14:editId="05139BA4">
            <wp:extent cx="5742432" cy="3241040"/>
            <wp:effectExtent l="0" t="0" r="0" b="0"/>
            <wp:docPr id="50" name="Gráfico 50">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272741" w:rsidRDefault="009F5D06" w:rsidP="00272741">
      <w:pPr>
        <w:rPr>
          <w:noProof/>
          <w:sz w:val="18"/>
          <w:lang w:val="es-GT" w:eastAsia="es-GT"/>
        </w:rPr>
      </w:pPr>
      <w:r>
        <w:rPr>
          <w:noProof/>
          <w:sz w:val="18"/>
          <w:lang w:val="es-GT" w:eastAsia="es-GT"/>
        </w:rPr>
        <w:t xml:space="preserve">               </w:t>
      </w:r>
      <w:r w:rsidR="00272741" w:rsidRPr="00745918">
        <w:rPr>
          <w:noProof/>
          <w:sz w:val="18"/>
          <w:lang w:val="es-GT" w:eastAsia="es-GT"/>
        </w:rPr>
        <w:t>p/preliminar</w:t>
      </w:r>
    </w:p>
    <w:p w:rsidR="00272741" w:rsidRPr="00745918" w:rsidRDefault="009F5D06" w:rsidP="00272741">
      <w:pPr>
        <w:rPr>
          <w:noProof/>
          <w:sz w:val="18"/>
          <w:lang w:val="es-GT" w:eastAsia="es-GT"/>
        </w:rPr>
      </w:pPr>
      <w:r>
        <w:rPr>
          <w:noProof/>
          <w:sz w:val="18"/>
          <w:lang w:val="es-GT" w:eastAsia="es-GT"/>
        </w:rPr>
        <w:t xml:space="preserve">               </w:t>
      </w:r>
      <w:r w:rsidR="00272741">
        <w:rPr>
          <w:noProof/>
          <w:sz w:val="18"/>
          <w:lang w:val="es-GT" w:eastAsia="es-GT"/>
        </w:rPr>
        <w:t>e/estimado</w:t>
      </w:r>
    </w:p>
    <w:p w:rsidR="00272741" w:rsidRPr="00745918" w:rsidRDefault="009F5D06" w:rsidP="00272741">
      <w:pPr>
        <w:rPr>
          <w:noProof/>
          <w:sz w:val="18"/>
          <w:lang w:val="es-GT" w:eastAsia="es-GT"/>
        </w:rPr>
      </w:pPr>
      <w:r>
        <w:rPr>
          <w:noProof/>
          <w:sz w:val="18"/>
          <w:lang w:val="es-GT" w:eastAsia="es-GT"/>
        </w:rPr>
        <w:t xml:space="preserve">               </w:t>
      </w:r>
      <w:r w:rsidR="00272741" w:rsidRPr="00745918">
        <w:rPr>
          <w:noProof/>
          <w:sz w:val="18"/>
          <w:lang w:val="es-GT" w:eastAsia="es-GT"/>
        </w:rPr>
        <w:t>py/proyectado</w:t>
      </w:r>
    </w:p>
    <w:p w:rsidR="00272741" w:rsidRPr="00745918" w:rsidRDefault="009F5D06" w:rsidP="00272741">
      <w:pPr>
        <w:rPr>
          <w:noProof/>
          <w:sz w:val="18"/>
          <w:lang w:val="es-GT" w:eastAsia="es-GT"/>
        </w:rPr>
      </w:pPr>
      <w:r>
        <w:rPr>
          <w:noProof/>
          <w:sz w:val="18"/>
          <w:lang w:val="es-GT" w:eastAsia="es-GT"/>
        </w:rPr>
        <w:t xml:space="preserve">               </w:t>
      </w:r>
      <w:r w:rsidR="00272741" w:rsidRPr="00745918">
        <w:rPr>
          <w:noProof/>
          <w:sz w:val="18"/>
          <w:lang w:val="es-GT" w:eastAsia="es-GT"/>
        </w:rPr>
        <w:t>Fuente: Banco de Guatemala</w:t>
      </w:r>
      <w:r w:rsidR="00D50396">
        <w:rPr>
          <w:noProof/>
          <w:sz w:val="18"/>
          <w:lang w:val="es-GT" w:eastAsia="es-GT"/>
        </w:rPr>
        <w:t>.</w:t>
      </w:r>
    </w:p>
    <w:p w:rsidR="00272741" w:rsidRPr="00F019F5" w:rsidRDefault="00272741" w:rsidP="00272741">
      <w:pPr>
        <w:jc w:val="both"/>
      </w:pPr>
      <w:r w:rsidRPr="00F019F5">
        <w:lastRenderedPageBreak/>
        <w:t>Asimismo, para 2022 se prevé que se mantenga el impulso que inició en la segunda mitad de 2020, por lo que el PIB estaría registrando un crecimiento estimado entre 3.5% y 5.5%. Dichas proyecciones se asocian al incremento esperado en la demanda interna, la cual estaría influenciada por el crecimiento del gasto de consumo final privado, en parte por el aumento de las remesas familiares, así como</w:t>
      </w:r>
      <w:r w:rsidR="0053016C" w:rsidRPr="00F019F5">
        <w:t>,</w:t>
      </w:r>
      <w:r w:rsidRPr="00F019F5">
        <w:t xml:space="preserve"> por el aumento de la formación bruta de capital fijo y de la demanda externa (Banco de Guatemala, Informe de Política Monetaria a septiembre de 2021).</w:t>
      </w:r>
    </w:p>
    <w:p w:rsidR="00272741" w:rsidRPr="00F019F5" w:rsidRDefault="00272741" w:rsidP="00272741">
      <w:pPr>
        <w:jc w:val="both"/>
      </w:pPr>
    </w:p>
    <w:p w:rsidR="00272741" w:rsidRPr="00F019F5" w:rsidRDefault="00272741" w:rsidP="00272741">
      <w:pPr>
        <w:jc w:val="both"/>
      </w:pPr>
      <w:r w:rsidRPr="00F019F5">
        <w:t xml:space="preserve">El Índice de Confianza de la Actividad Económica </w:t>
      </w:r>
      <w:r w:rsidR="007D6DA7" w:rsidRPr="00F019F5">
        <w:t>(</w:t>
      </w:r>
      <w:r w:rsidRPr="00F019F5">
        <w:t>ICAE</w:t>
      </w:r>
      <w:r w:rsidR="007D6DA7" w:rsidRPr="00F019F5">
        <w:t>)</w:t>
      </w:r>
      <w:r w:rsidRPr="00F019F5">
        <w:t>, refleja la percepción que</w:t>
      </w:r>
      <w:r w:rsidR="006F2B0B">
        <w:t>,</w:t>
      </w:r>
      <w:r w:rsidRPr="00F019F5">
        <w:t xml:space="preserve"> sobre la situación económica actual y el ambiente para los negocios, tiene el panel de analistas económicos entrevistados para su realización.</w:t>
      </w:r>
    </w:p>
    <w:p w:rsidR="00272741" w:rsidRPr="00F019F5" w:rsidRDefault="00272741" w:rsidP="00272741">
      <w:pPr>
        <w:jc w:val="both"/>
      </w:pPr>
    </w:p>
    <w:p w:rsidR="00272741" w:rsidRPr="00F019F5" w:rsidRDefault="00272741" w:rsidP="00272741">
      <w:pPr>
        <w:jc w:val="both"/>
      </w:pPr>
      <w:r w:rsidRPr="00F019F5">
        <w:t xml:space="preserve">En diciembre </w:t>
      </w:r>
      <w:r w:rsidR="007D6DA7" w:rsidRPr="00F019F5">
        <w:t xml:space="preserve">de </w:t>
      </w:r>
      <w:r w:rsidRPr="00F019F5">
        <w:t>2021, el nivel del Índice de Confianza de la Actividad Económica se situó en 78.75, superior en 28.91 puntos con respecto al registrado en diciembre de 2020 (49.84 puntos), reflejando un aumento considerable en la percepción del panel de analistas privados con respecto al clima de negocios y de inversión que prevalec</w:t>
      </w:r>
      <w:r w:rsidR="006F2B0B">
        <w:t>ió</w:t>
      </w:r>
      <w:r w:rsidRPr="00F019F5">
        <w:t xml:space="preserve"> en la actividad económica en los </w:t>
      </w:r>
      <w:r w:rsidR="006F2B0B">
        <w:t>siguientes</w:t>
      </w:r>
      <w:r w:rsidRPr="00F019F5">
        <w:t xml:space="preserve"> seis meses. Este aumento es reflejo de la sólida recuperación de la actividad económica a lo largo de 2021, lo cual incidió para que dicho indicador registrara en noviembre su nivel más alto en los últimos años. Asimismo, la recuperación en el nivel de confianza económica manifestada en los resultados a partir de abril </w:t>
      </w:r>
      <w:r w:rsidR="0070228B" w:rsidRPr="00F019F5">
        <w:t xml:space="preserve">de </w:t>
      </w:r>
      <w:r w:rsidRPr="00F019F5">
        <w:t xml:space="preserve">2021, se encuentra en línea con las expectativas del panel de analistas privados, respecto del crecimiento económico previsto para 2021 y 2022 (Banco de Guatemala, Evaluación de la Política Monetaria, Cambiaria y Crediticia, a noviembre de 2021 y </w:t>
      </w:r>
      <w:r w:rsidR="0070228B" w:rsidRPr="00F019F5">
        <w:t>P</w:t>
      </w:r>
      <w:r w:rsidRPr="00F019F5">
        <w:t xml:space="preserve">erspectivas </w:t>
      </w:r>
      <w:r w:rsidR="0070228B" w:rsidRPr="00F019F5">
        <w:t>E</w:t>
      </w:r>
      <w:r w:rsidRPr="00F019F5">
        <w:t>conómicas para 2022</w:t>
      </w:r>
      <w:r w:rsidR="0070228B" w:rsidRPr="00F019F5">
        <w:t>;</w:t>
      </w:r>
      <w:r w:rsidRPr="00F019F5">
        <w:t xml:space="preserve"> </w:t>
      </w:r>
      <w:r w:rsidR="0070228B" w:rsidRPr="00F019F5">
        <w:t>d</w:t>
      </w:r>
      <w:r w:rsidRPr="00F019F5">
        <w:t xml:space="preserve">iciembre </w:t>
      </w:r>
      <w:r w:rsidR="0070228B" w:rsidRPr="00F019F5">
        <w:t xml:space="preserve">de </w:t>
      </w:r>
      <w:r w:rsidRPr="00F019F5">
        <w:t>2021).</w:t>
      </w:r>
    </w:p>
    <w:p w:rsidR="00272741" w:rsidRPr="00C43BB6" w:rsidRDefault="00272741" w:rsidP="00272741">
      <w:pPr>
        <w:jc w:val="both"/>
        <w:rPr>
          <w:sz w:val="36"/>
        </w:rPr>
      </w:pPr>
    </w:p>
    <w:p w:rsidR="00272741" w:rsidRPr="00124AD6" w:rsidRDefault="00272741" w:rsidP="00272741">
      <w:pPr>
        <w:jc w:val="center"/>
        <w:rPr>
          <w:b/>
        </w:rPr>
      </w:pPr>
      <w:r w:rsidRPr="00124AD6">
        <w:rPr>
          <w:b/>
        </w:rPr>
        <w:t>Gráfica 2</w:t>
      </w:r>
    </w:p>
    <w:p w:rsidR="00272741" w:rsidRPr="00124AD6" w:rsidRDefault="00272741" w:rsidP="00272741">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Índice de Confianza de la Actividad Económica</w:t>
      </w:r>
      <w:r>
        <w:rPr>
          <w:rFonts w:eastAsia="Calibri"/>
          <w:b/>
          <w:bCs/>
          <w:color w:val="000000"/>
          <w:lang w:val="es-GT" w:eastAsia="es-GT"/>
        </w:rPr>
        <w:t xml:space="preserve"> 2016</w:t>
      </w:r>
      <w:r w:rsidR="009F5D06">
        <w:rPr>
          <w:rFonts w:eastAsia="Calibri"/>
          <w:b/>
          <w:bCs/>
          <w:color w:val="000000"/>
          <w:lang w:val="es-GT" w:eastAsia="es-GT"/>
        </w:rPr>
        <w:t xml:space="preserve"> </w:t>
      </w:r>
      <w:r>
        <w:rPr>
          <w:rFonts w:eastAsia="Calibri"/>
          <w:b/>
          <w:bCs/>
          <w:color w:val="000000"/>
          <w:lang w:val="es-GT" w:eastAsia="es-GT"/>
        </w:rPr>
        <w:t>-</w:t>
      </w:r>
      <w:r w:rsidR="009F5D06">
        <w:rPr>
          <w:rFonts w:eastAsia="Calibri"/>
          <w:b/>
          <w:bCs/>
          <w:color w:val="000000"/>
          <w:lang w:val="es-GT" w:eastAsia="es-GT"/>
        </w:rPr>
        <w:t xml:space="preserve"> </w:t>
      </w:r>
      <w:r>
        <w:rPr>
          <w:rFonts w:eastAsia="Calibri"/>
          <w:b/>
          <w:bCs/>
          <w:color w:val="000000"/>
          <w:lang w:val="es-GT" w:eastAsia="es-GT"/>
        </w:rPr>
        <w:t>2021</w:t>
      </w:r>
    </w:p>
    <w:p w:rsidR="00272741" w:rsidRPr="00124AD6" w:rsidRDefault="00272741" w:rsidP="00272741">
      <w:pPr>
        <w:jc w:val="center"/>
        <w:rPr>
          <w:lang w:val="es-MX"/>
        </w:rPr>
      </w:pPr>
      <w:r>
        <w:rPr>
          <w:rFonts w:eastAsia="Calibri"/>
          <w:b/>
          <w:bCs/>
          <w:color w:val="000000"/>
          <w:lang w:val="es-GT" w:eastAsia="es-GT"/>
        </w:rPr>
        <w:t xml:space="preserve">(En </w:t>
      </w:r>
      <w:r w:rsidR="00D43015">
        <w:rPr>
          <w:rFonts w:eastAsia="Calibri"/>
          <w:b/>
          <w:bCs/>
          <w:color w:val="000000"/>
          <w:lang w:val="es-GT" w:eastAsia="es-GT"/>
        </w:rPr>
        <w:t>P</w:t>
      </w:r>
      <w:r>
        <w:rPr>
          <w:rFonts w:eastAsia="Calibri"/>
          <w:b/>
          <w:bCs/>
          <w:color w:val="000000"/>
          <w:lang w:val="es-GT" w:eastAsia="es-GT"/>
        </w:rPr>
        <w:t xml:space="preserve">untos de </w:t>
      </w:r>
      <w:r w:rsidR="00D43015">
        <w:rPr>
          <w:rFonts w:eastAsia="Calibri"/>
          <w:b/>
          <w:bCs/>
          <w:color w:val="000000"/>
          <w:lang w:val="es-GT" w:eastAsia="es-GT"/>
        </w:rPr>
        <w:t>N</w:t>
      </w:r>
      <w:r>
        <w:rPr>
          <w:rFonts w:eastAsia="Calibri"/>
          <w:b/>
          <w:bCs/>
          <w:color w:val="000000"/>
          <w:lang w:val="es-GT" w:eastAsia="es-GT"/>
        </w:rPr>
        <w:t xml:space="preserve">ivel de </w:t>
      </w:r>
      <w:r w:rsidR="00D43015">
        <w:rPr>
          <w:rFonts w:eastAsia="Calibri"/>
          <w:b/>
          <w:bCs/>
          <w:color w:val="000000"/>
          <w:lang w:val="es-GT" w:eastAsia="es-GT"/>
        </w:rPr>
        <w:t>C</w:t>
      </w:r>
      <w:r>
        <w:rPr>
          <w:rFonts w:eastAsia="Calibri"/>
          <w:b/>
          <w:bCs/>
          <w:color w:val="000000"/>
          <w:lang w:val="es-GT" w:eastAsia="es-GT"/>
        </w:rPr>
        <w:t>onfianza)</w:t>
      </w:r>
    </w:p>
    <w:p w:rsidR="00272741" w:rsidRDefault="00272741" w:rsidP="00272741">
      <w:pPr>
        <w:jc w:val="center"/>
        <w:rPr>
          <w:sz w:val="16"/>
          <w:lang w:val="es-MX"/>
        </w:rPr>
      </w:pPr>
      <w:r>
        <w:rPr>
          <w:noProof/>
        </w:rPr>
        <w:drawing>
          <wp:inline distT="0" distB="0" distL="0" distR="0" wp14:anchorId="5C4697ED" wp14:editId="1B3F4587">
            <wp:extent cx="5612130" cy="3179928"/>
            <wp:effectExtent l="0" t="0" r="7620" b="1905"/>
            <wp:docPr id="51" name="Gráfico 5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272741" w:rsidRPr="00D43015" w:rsidRDefault="009F5D06" w:rsidP="00272741">
      <w:pPr>
        <w:jc w:val="both"/>
        <w:rPr>
          <w:sz w:val="18"/>
          <w:lang w:val="es-MX"/>
        </w:rPr>
      </w:pPr>
      <w:r w:rsidRPr="00D43015">
        <w:rPr>
          <w:sz w:val="18"/>
          <w:lang w:val="es-MX"/>
        </w:rPr>
        <w:t xml:space="preserve">       </w:t>
      </w:r>
      <w:r w:rsidR="00272741" w:rsidRPr="00D43015">
        <w:rPr>
          <w:sz w:val="18"/>
          <w:lang w:val="es-MX"/>
        </w:rPr>
        <w:t>Fuente: Banco de Guatemala.</w:t>
      </w:r>
    </w:p>
    <w:p w:rsidR="00272741" w:rsidRDefault="00272741" w:rsidP="00272741">
      <w:pPr>
        <w:jc w:val="both"/>
      </w:pPr>
      <w:r>
        <w:lastRenderedPageBreak/>
        <w:t>E</w:t>
      </w:r>
      <w:r w:rsidRPr="00B72FFF">
        <w:t xml:space="preserve">l ritmo inflacionario se situó </w:t>
      </w:r>
      <w:r>
        <w:t>a</w:t>
      </w:r>
      <w:r w:rsidRPr="00B72FFF">
        <w:t xml:space="preserve"> diciembre de 202</w:t>
      </w:r>
      <w:r>
        <w:t xml:space="preserve">1 </w:t>
      </w:r>
      <w:r w:rsidRPr="00B72FFF">
        <w:t xml:space="preserve">en </w:t>
      </w:r>
      <w:r>
        <w:t>3.07</w:t>
      </w:r>
      <w:r w:rsidRPr="00B72FFF">
        <w:t xml:space="preserve">%, </w:t>
      </w:r>
      <w:r>
        <w:t xml:space="preserve">justo en el límite inferior </w:t>
      </w:r>
      <w:r w:rsidRPr="00B72FFF">
        <w:t>de la meta determinada por la Junta Monetaria (</w:t>
      </w:r>
      <w:r>
        <w:t>4</w:t>
      </w:r>
      <w:r w:rsidRPr="00B72FFF">
        <w:t>.0 +/- 1 punto porcentual).</w:t>
      </w:r>
    </w:p>
    <w:p w:rsidR="00272741" w:rsidRDefault="00272741" w:rsidP="00272741">
      <w:pPr>
        <w:jc w:val="both"/>
      </w:pPr>
    </w:p>
    <w:p w:rsidR="00272741" w:rsidRDefault="00272741" w:rsidP="00272741">
      <w:pPr>
        <w:jc w:val="both"/>
      </w:pPr>
      <w:r w:rsidRPr="00C97029">
        <w:t>De acuerdo con el Banco de Guatemala, el comportamiento de la inflación continúa influenciado de manera importante por el incremento de los precios en algunas divisiones de gasto, particularmente:  Transporte; Vivienda</w:t>
      </w:r>
      <w:r w:rsidR="007B2AF1" w:rsidRPr="00C97029">
        <w:t>, A</w:t>
      </w:r>
      <w:r w:rsidRPr="00C97029">
        <w:t xml:space="preserve">gua, </w:t>
      </w:r>
      <w:r w:rsidR="007B2AF1" w:rsidRPr="00C97029">
        <w:t>E</w:t>
      </w:r>
      <w:r w:rsidRPr="00C97029">
        <w:t xml:space="preserve">lectricidad, </w:t>
      </w:r>
      <w:r w:rsidR="007B2AF1" w:rsidRPr="00C97029">
        <w:t>G</w:t>
      </w:r>
      <w:r w:rsidRPr="00C97029">
        <w:t xml:space="preserve">as y </w:t>
      </w:r>
      <w:r w:rsidR="007B2AF1" w:rsidRPr="00C97029">
        <w:t>O</w:t>
      </w:r>
      <w:r w:rsidRPr="00C97029">
        <w:t xml:space="preserve">tros </w:t>
      </w:r>
      <w:r w:rsidR="007B2AF1" w:rsidRPr="00C97029">
        <w:t>C</w:t>
      </w:r>
      <w:r w:rsidRPr="00C97029">
        <w:t>ombustibles</w:t>
      </w:r>
      <w:r w:rsidR="007B2AF1" w:rsidRPr="00C97029">
        <w:t>,</w:t>
      </w:r>
      <w:r w:rsidRPr="00C97029">
        <w:t xml:space="preserve"> las cuales han sido afectadas por importantes choques de oferta. En el caso de la división de transporte, el aumento refleja los mayores precios de los combustibles, derivados del alza en el precio internacional del petróleo, y el aumento en los precios del servicio de transporte aéreo, atribuible a los mayores costos de operación y a una recuperación de la demanda. En cuanto a la división de vivienda, agua, electricidad, gas y otros combustibles, el incremento se debe tanto al aumento del precio del gas propano como al alza de las tarifas de energía eléctrica. Por su parte, el resto de divisiones de gasto, incluida la de alimentos y bebidas no alcohólicas, mantienen variaciones interanuales por debajo del valor central de la meta de inflación, lo que refleja, en parte, las condiciones de demanda agregada, particularmente las relativas al consumo privado</w:t>
      </w:r>
      <w:r>
        <w:rPr>
          <w:sz w:val="23"/>
          <w:szCs w:val="23"/>
        </w:rPr>
        <w:t>.</w:t>
      </w:r>
    </w:p>
    <w:p w:rsidR="00272741" w:rsidRDefault="00272741" w:rsidP="00272741">
      <w:pPr>
        <w:jc w:val="both"/>
      </w:pPr>
    </w:p>
    <w:p w:rsidR="00272741" w:rsidRPr="00124AD6" w:rsidRDefault="00272741" w:rsidP="00272741">
      <w:pPr>
        <w:jc w:val="center"/>
        <w:rPr>
          <w:b/>
        </w:rPr>
      </w:pPr>
      <w:r w:rsidRPr="00124AD6">
        <w:rPr>
          <w:b/>
        </w:rPr>
        <w:t xml:space="preserve">Gráfica </w:t>
      </w:r>
      <w:r>
        <w:rPr>
          <w:b/>
        </w:rPr>
        <w:t>3</w:t>
      </w:r>
    </w:p>
    <w:p w:rsidR="00272741" w:rsidRDefault="00272741" w:rsidP="00272741">
      <w:pPr>
        <w:jc w:val="center"/>
        <w:rPr>
          <w:b/>
        </w:rPr>
      </w:pPr>
      <w:r w:rsidRPr="00124AD6">
        <w:rPr>
          <w:b/>
        </w:rPr>
        <w:t>Guatemala: Ritmo Inflacionario</w:t>
      </w:r>
      <w:r>
        <w:rPr>
          <w:b/>
        </w:rPr>
        <w:t xml:space="preserve"> Total y Subyacente 2012</w:t>
      </w:r>
      <w:r w:rsidR="009F5D06">
        <w:rPr>
          <w:b/>
        </w:rPr>
        <w:t xml:space="preserve"> </w:t>
      </w:r>
      <w:r>
        <w:rPr>
          <w:b/>
        </w:rPr>
        <w:t>-</w:t>
      </w:r>
      <w:r w:rsidR="009F5D06">
        <w:rPr>
          <w:b/>
        </w:rPr>
        <w:t xml:space="preserve"> </w:t>
      </w:r>
      <w:r>
        <w:rPr>
          <w:b/>
        </w:rPr>
        <w:t>2021</w:t>
      </w:r>
    </w:p>
    <w:p w:rsidR="00272741" w:rsidRDefault="00272741" w:rsidP="00272741">
      <w:pPr>
        <w:jc w:val="center"/>
        <w:rPr>
          <w:b/>
        </w:rPr>
      </w:pPr>
      <w:r>
        <w:rPr>
          <w:b/>
        </w:rPr>
        <w:t xml:space="preserve">(En </w:t>
      </w:r>
      <w:r w:rsidR="007B2AF1">
        <w:rPr>
          <w:b/>
        </w:rPr>
        <w:t>P</w:t>
      </w:r>
      <w:r>
        <w:rPr>
          <w:b/>
        </w:rPr>
        <w:t>orcentaje)</w:t>
      </w:r>
    </w:p>
    <w:p w:rsidR="00272741" w:rsidRDefault="00272741" w:rsidP="00272741">
      <w:pPr>
        <w:jc w:val="center"/>
        <w:rPr>
          <w:b/>
        </w:rPr>
      </w:pPr>
      <w:r>
        <w:rPr>
          <w:noProof/>
        </w:rPr>
        <w:drawing>
          <wp:inline distT="0" distB="0" distL="0" distR="0" wp14:anchorId="655B0B21" wp14:editId="70C6EEF1">
            <wp:extent cx="5318151" cy="3357676"/>
            <wp:effectExtent l="0" t="0" r="0" b="0"/>
            <wp:docPr id="52" name="Gráfico 52">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272741" w:rsidRPr="00D43015" w:rsidRDefault="009F5D06" w:rsidP="00272741">
      <w:pPr>
        <w:rPr>
          <w:sz w:val="18"/>
          <w:lang w:val="es-MX"/>
        </w:rPr>
      </w:pPr>
      <w:r w:rsidRPr="00D43015">
        <w:rPr>
          <w:sz w:val="18"/>
          <w:lang w:val="es-MX"/>
        </w:rPr>
        <w:t xml:space="preserve">          </w:t>
      </w:r>
      <w:r w:rsidR="00272741" w:rsidRPr="00D43015">
        <w:rPr>
          <w:sz w:val="18"/>
          <w:lang w:val="es-MX"/>
        </w:rPr>
        <w:t>Fuente: Banco de Guatemala.</w:t>
      </w:r>
    </w:p>
    <w:p w:rsidR="00272741" w:rsidRPr="00D43015" w:rsidRDefault="009F5D06" w:rsidP="00272741">
      <w:pPr>
        <w:rPr>
          <w:sz w:val="18"/>
          <w:lang w:val="es-MX"/>
        </w:rPr>
      </w:pPr>
      <w:r w:rsidRPr="00D43015">
        <w:rPr>
          <w:sz w:val="18"/>
          <w:lang w:val="es-MX"/>
        </w:rPr>
        <w:t xml:space="preserve">          </w:t>
      </w:r>
      <w:r w:rsidR="00272741" w:rsidRPr="00D43015">
        <w:rPr>
          <w:sz w:val="18"/>
          <w:lang w:val="es-MX"/>
        </w:rPr>
        <w:t xml:space="preserve">Base de </w:t>
      </w:r>
      <w:r w:rsidR="00D43015">
        <w:rPr>
          <w:sz w:val="18"/>
          <w:lang w:val="es-MX"/>
        </w:rPr>
        <w:t>D</w:t>
      </w:r>
      <w:r w:rsidR="00272741" w:rsidRPr="00D43015">
        <w:rPr>
          <w:sz w:val="18"/>
          <w:lang w:val="es-MX"/>
        </w:rPr>
        <w:t xml:space="preserve">atos </w:t>
      </w:r>
      <w:r w:rsidR="00D43015">
        <w:rPr>
          <w:sz w:val="18"/>
          <w:lang w:val="es-MX"/>
        </w:rPr>
        <w:t>I</w:t>
      </w:r>
      <w:r w:rsidR="00272741" w:rsidRPr="00D43015">
        <w:rPr>
          <w:sz w:val="18"/>
          <w:lang w:val="es-MX"/>
        </w:rPr>
        <w:t xml:space="preserve">nflación </w:t>
      </w:r>
      <w:r w:rsidR="00D43015">
        <w:rPr>
          <w:sz w:val="18"/>
          <w:lang w:val="es-MX"/>
        </w:rPr>
        <w:t>S</w:t>
      </w:r>
      <w:r w:rsidR="00272741" w:rsidRPr="00D43015">
        <w:rPr>
          <w:sz w:val="18"/>
          <w:lang w:val="es-MX"/>
        </w:rPr>
        <w:t xml:space="preserve">ubyacente y </w:t>
      </w:r>
      <w:r w:rsidR="00D43015">
        <w:rPr>
          <w:sz w:val="18"/>
          <w:lang w:val="es-MX"/>
        </w:rPr>
        <w:t>R</w:t>
      </w:r>
      <w:r w:rsidR="00272741" w:rsidRPr="00D43015">
        <w:rPr>
          <w:sz w:val="18"/>
          <w:lang w:val="es-MX"/>
        </w:rPr>
        <w:t xml:space="preserve">itmo </w:t>
      </w:r>
      <w:r w:rsidR="00D43015">
        <w:rPr>
          <w:sz w:val="18"/>
          <w:lang w:val="es-MX"/>
        </w:rPr>
        <w:t>I</w:t>
      </w:r>
      <w:r w:rsidR="00272741" w:rsidRPr="00D43015">
        <w:rPr>
          <w:sz w:val="18"/>
          <w:lang w:val="es-MX"/>
        </w:rPr>
        <w:t xml:space="preserve">nflacionario </w:t>
      </w:r>
      <w:r w:rsidR="00D43015">
        <w:rPr>
          <w:sz w:val="18"/>
          <w:lang w:val="es-MX"/>
        </w:rPr>
        <w:t>T</w:t>
      </w:r>
      <w:r w:rsidR="00272741" w:rsidRPr="00D43015">
        <w:rPr>
          <w:sz w:val="18"/>
          <w:lang w:val="es-MX"/>
        </w:rPr>
        <w:t>otal 2021.</w:t>
      </w:r>
    </w:p>
    <w:p w:rsidR="00272741" w:rsidRPr="00C43BB6" w:rsidRDefault="00272741" w:rsidP="00272741">
      <w:pPr>
        <w:jc w:val="both"/>
        <w:rPr>
          <w:lang w:val="es-MX"/>
        </w:rPr>
      </w:pPr>
    </w:p>
    <w:p w:rsidR="00272741" w:rsidRDefault="00272741" w:rsidP="00272741">
      <w:pPr>
        <w:jc w:val="both"/>
      </w:pPr>
      <w:r w:rsidRPr="00B71583">
        <w:t xml:space="preserve">Por el lado de la demanda, la inflación subyacente </w:t>
      </w:r>
      <w:r>
        <w:t>se ubicó en 3.2</w:t>
      </w:r>
      <w:r w:rsidRPr="00B71583">
        <w:t xml:space="preserve">%, </w:t>
      </w:r>
      <w:r>
        <w:t>ligeramente por encima</w:t>
      </w:r>
      <w:r w:rsidRPr="00B71583">
        <w:t xml:space="preserve"> del límite inferior de la meta</w:t>
      </w:r>
      <w:r>
        <w:t xml:space="preserve"> de política</w:t>
      </w:r>
      <w:r w:rsidR="0088100B">
        <w:t xml:space="preserve"> monetaria</w:t>
      </w:r>
      <w:r w:rsidRPr="00B71583">
        <w:t>, sugiriendo</w:t>
      </w:r>
      <w:r>
        <w:t xml:space="preserve"> </w:t>
      </w:r>
      <w:r w:rsidRPr="00B71583">
        <w:t xml:space="preserve">que, al aislar los efectos de los choques de oferta </w:t>
      </w:r>
      <w:r>
        <w:t xml:space="preserve">tanto </w:t>
      </w:r>
      <w:r w:rsidRPr="00B71583">
        <w:t xml:space="preserve">en el rubro de alimentos, como en el rubro de </w:t>
      </w:r>
      <w:r w:rsidR="00CA10D9">
        <w:t xml:space="preserve">los </w:t>
      </w:r>
      <w:r w:rsidRPr="00B71583">
        <w:t xml:space="preserve">energéticos, el nivel de inflación es congruente </w:t>
      </w:r>
      <w:r w:rsidRPr="00292B5F">
        <w:t>con la posición cíclica de la economía</w:t>
      </w:r>
      <w:r>
        <w:t xml:space="preserve"> y </w:t>
      </w:r>
      <w:r w:rsidRPr="00B71583">
        <w:t xml:space="preserve">los factores que influencian el ritmo inflacionario tienen su origen en choques de oferta. </w:t>
      </w:r>
      <w:r>
        <w:t>(Banco de Guatemala, 2021).</w:t>
      </w:r>
    </w:p>
    <w:p w:rsidR="00272741" w:rsidRPr="00812ACB" w:rsidRDefault="00272741" w:rsidP="00272741">
      <w:pPr>
        <w:jc w:val="both"/>
        <w:rPr>
          <w:lang w:val="es-MX"/>
        </w:rPr>
      </w:pPr>
      <w:r w:rsidRPr="00124AD6">
        <w:rPr>
          <w:lang w:val="es-MX"/>
        </w:rPr>
        <w:lastRenderedPageBreak/>
        <w:t xml:space="preserve">Por su parte, las remesas familiares registraron un </w:t>
      </w:r>
      <w:r>
        <w:rPr>
          <w:lang w:val="es-MX"/>
        </w:rPr>
        <w:t xml:space="preserve">acumulado de </w:t>
      </w:r>
      <w:r w:rsidR="00851F56">
        <w:rPr>
          <w:lang w:val="es-MX"/>
        </w:rPr>
        <w:t>US</w:t>
      </w:r>
      <w:r>
        <w:rPr>
          <w:lang w:val="es-MX"/>
        </w:rPr>
        <w:t>$15,295.7 millones</w:t>
      </w:r>
      <w:r w:rsidR="00851F56">
        <w:rPr>
          <w:lang w:val="es-MX"/>
        </w:rPr>
        <w:t>,</w:t>
      </w:r>
      <w:r>
        <w:rPr>
          <w:lang w:val="es-MX"/>
        </w:rPr>
        <w:t xml:space="preserve"> lo que representa cerca del 17</w:t>
      </w:r>
      <w:r w:rsidR="00851F56">
        <w:rPr>
          <w:lang w:val="es-MX"/>
        </w:rPr>
        <w:t>.0</w:t>
      </w:r>
      <w:r>
        <w:rPr>
          <w:lang w:val="es-MX"/>
        </w:rPr>
        <w:t xml:space="preserve">% del Producto Interno Bruto, mostrando un </w:t>
      </w:r>
      <w:r w:rsidRPr="00124AD6">
        <w:rPr>
          <w:lang w:val="es-MX"/>
        </w:rPr>
        <w:t xml:space="preserve">crecimiento de </w:t>
      </w:r>
      <w:r w:rsidR="00851F56">
        <w:rPr>
          <w:lang w:val="es-MX"/>
        </w:rPr>
        <w:t>US</w:t>
      </w:r>
      <w:r>
        <w:rPr>
          <w:lang w:val="es-MX"/>
        </w:rPr>
        <w:t>$3,955.</w:t>
      </w:r>
      <w:r w:rsidR="00851F56">
        <w:rPr>
          <w:lang w:val="es-MX"/>
        </w:rPr>
        <w:t xml:space="preserve">3 </w:t>
      </w:r>
      <w:r>
        <w:rPr>
          <w:lang w:val="es-MX"/>
        </w:rPr>
        <w:t>millones (34.9%)</w:t>
      </w:r>
      <w:r w:rsidRPr="00124AD6">
        <w:rPr>
          <w:lang w:val="es-MX"/>
        </w:rPr>
        <w:t>, con relación a</w:t>
      </w:r>
      <w:r w:rsidR="00851F56">
        <w:rPr>
          <w:lang w:val="es-MX"/>
        </w:rPr>
        <w:t>l monto de</w:t>
      </w:r>
      <w:r w:rsidRPr="00124AD6">
        <w:rPr>
          <w:lang w:val="es-MX"/>
        </w:rPr>
        <w:t xml:space="preserve"> 20</w:t>
      </w:r>
      <w:r>
        <w:rPr>
          <w:lang w:val="es-MX"/>
        </w:rPr>
        <w:t>20. Est</w:t>
      </w:r>
      <w:r w:rsidR="00851F56">
        <w:rPr>
          <w:lang w:val="es-MX"/>
        </w:rPr>
        <w:t>a situación</w:t>
      </w:r>
      <w:r>
        <w:rPr>
          <w:lang w:val="es-MX"/>
        </w:rPr>
        <w:t xml:space="preserve"> está respaldad</w:t>
      </w:r>
      <w:r w:rsidR="00851F56">
        <w:rPr>
          <w:lang w:val="es-MX"/>
        </w:rPr>
        <w:t>a</w:t>
      </w:r>
      <w:r>
        <w:rPr>
          <w:sz w:val="23"/>
          <w:szCs w:val="23"/>
        </w:rPr>
        <w:t xml:space="preserve"> en buena medida por la rápida recuperación del mercado laboral estadounidense, particularmente en el segmento de empleo hispano</w:t>
      </w:r>
      <w:r w:rsidRPr="00BB752F">
        <w:rPr>
          <w:lang w:val="es-MX"/>
        </w:rPr>
        <w:t xml:space="preserve"> </w:t>
      </w:r>
      <w:r>
        <w:rPr>
          <w:lang w:val="es-MX"/>
        </w:rPr>
        <w:t>(</w:t>
      </w:r>
      <w:r w:rsidRPr="00812ACB">
        <w:rPr>
          <w:lang w:val="es-MX"/>
        </w:rPr>
        <w:t>Banco de Guatemala,</w:t>
      </w:r>
      <w:r>
        <w:rPr>
          <w:lang w:val="es-MX"/>
        </w:rPr>
        <w:t xml:space="preserve"> 2021, ibidem).</w:t>
      </w:r>
    </w:p>
    <w:p w:rsidR="00272741" w:rsidRPr="003C79A0" w:rsidRDefault="00272741" w:rsidP="00272741">
      <w:pPr>
        <w:jc w:val="both"/>
        <w:rPr>
          <w:sz w:val="6"/>
          <w:lang w:val="es-MX"/>
        </w:rPr>
      </w:pPr>
    </w:p>
    <w:p w:rsidR="00272741" w:rsidRPr="00124AD6" w:rsidRDefault="00272741" w:rsidP="00272741">
      <w:pPr>
        <w:autoSpaceDE w:val="0"/>
        <w:autoSpaceDN w:val="0"/>
        <w:adjustRightInd w:val="0"/>
        <w:rPr>
          <w:lang w:val="es-MX"/>
        </w:rPr>
      </w:pPr>
    </w:p>
    <w:p w:rsidR="00272741" w:rsidRPr="00124AD6" w:rsidRDefault="00272741" w:rsidP="00272741">
      <w:pPr>
        <w:jc w:val="center"/>
        <w:rPr>
          <w:b/>
        </w:rPr>
      </w:pPr>
      <w:r w:rsidRPr="00124AD6">
        <w:rPr>
          <w:b/>
        </w:rPr>
        <w:t xml:space="preserve">Gráfica </w:t>
      </w:r>
      <w:r>
        <w:rPr>
          <w:b/>
        </w:rPr>
        <w:t>4</w:t>
      </w:r>
    </w:p>
    <w:p w:rsidR="00272741" w:rsidRDefault="00272741" w:rsidP="00272741">
      <w:pPr>
        <w:jc w:val="center"/>
        <w:rPr>
          <w:b/>
        </w:rPr>
      </w:pPr>
      <w:r w:rsidRPr="00124AD6">
        <w:rPr>
          <w:b/>
        </w:rPr>
        <w:t>Guatemala: Remesas Familiares</w:t>
      </w:r>
      <w:r>
        <w:rPr>
          <w:b/>
        </w:rPr>
        <w:t xml:space="preserve"> 2010</w:t>
      </w:r>
      <w:r w:rsidR="00851F56">
        <w:rPr>
          <w:b/>
        </w:rPr>
        <w:t xml:space="preserve"> </w:t>
      </w:r>
      <w:r>
        <w:rPr>
          <w:b/>
        </w:rPr>
        <w:t>-</w:t>
      </w:r>
      <w:r w:rsidR="00851F56">
        <w:rPr>
          <w:b/>
        </w:rPr>
        <w:t xml:space="preserve"> </w:t>
      </w:r>
      <w:r>
        <w:rPr>
          <w:b/>
        </w:rPr>
        <w:t>2021</w:t>
      </w:r>
    </w:p>
    <w:p w:rsidR="00272741" w:rsidRPr="00124AD6" w:rsidRDefault="00272741" w:rsidP="00272741">
      <w:pPr>
        <w:jc w:val="center"/>
        <w:rPr>
          <w:b/>
        </w:rPr>
      </w:pPr>
      <w:r>
        <w:rPr>
          <w:b/>
        </w:rPr>
        <w:t>(En Millones de US Dólares)</w:t>
      </w:r>
    </w:p>
    <w:p w:rsidR="00272741" w:rsidRDefault="00272741" w:rsidP="00272741">
      <w:pPr>
        <w:jc w:val="center"/>
        <w:rPr>
          <w:b/>
        </w:rPr>
      </w:pPr>
      <w:r>
        <w:rPr>
          <w:noProof/>
        </w:rPr>
        <w:drawing>
          <wp:inline distT="0" distB="0" distL="0" distR="0" wp14:anchorId="1AC97A5B" wp14:editId="3E67B0A1">
            <wp:extent cx="5742432" cy="3521075"/>
            <wp:effectExtent l="0" t="0" r="0" b="3175"/>
            <wp:docPr id="53" name="Gráfico 53">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72741" w:rsidRPr="00A00CA7" w:rsidRDefault="009F5D06" w:rsidP="00272741">
      <w:pPr>
        <w:jc w:val="both"/>
        <w:rPr>
          <w:noProof/>
          <w:sz w:val="18"/>
        </w:rPr>
      </w:pPr>
      <w:r w:rsidRPr="00A00CA7">
        <w:rPr>
          <w:noProof/>
          <w:sz w:val="18"/>
        </w:rPr>
        <w:t xml:space="preserve">     </w:t>
      </w:r>
      <w:r w:rsidR="00272741" w:rsidRPr="00A00CA7">
        <w:rPr>
          <w:noProof/>
          <w:sz w:val="18"/>
        </w:rPr>
        <w:t xml:space="preserve"> Fuente: Banco de Guatemala.</w:t>
      </w:r>
    </w:p>
    <w:p w:rsidR="00272741" w:rsidRPr="003C79A0" w:rsidRDefault="00272741" w:rsidP="00272741">
      <w:pPr>
        <w:jc w:val="both"/>
        <w:rPr>
          <w:sz w:val="6"/>
          <w:lang w:val="es-MX"/>
        </w:rPr>
      </w:pPr>
    </w:p>
    <w:p w:rsidR="00272741" w:rsidRDefault="00272741" w:rsidP="00272741">
      <w:pPr>
        <w:jc w:val="both"/>
        <w:rPr>
          <w:lang w:val="es-MX"/>
        </w:rPr>
      </w:pPr>
    </w:p>
    <w:p w:rsidR="00272741" w:rsidRPr="008476CB" w:rsidRDefault="00272741" w:rsidP="00272741">
      <w:pPr>
        <w:jc w:val="both"/>
        <w:rPr>
          <w:lang w:val="es-MX"/>
        </w:rPr>
      </w:pPr>
      <w:r w:rsidRPr="008476CB">
        <w:rPr>
          <w:lang w:val="es-MX"/>
        </w:rPr>
        <w:t>El dinamismo registrado en el ingreso de divisas por remesas familiares y en el crédito bancario al sector privado, configuraron el escenario de incremento del consumo e inversión de los hogares y de recuperación de la demanda interna</w:t>
      </w:r>
      <w:r w:rsidRPr="008476CB">
        <w:t>, lo que coadyuva a reducir los niveles de pobreza</w:t>
      </w:r>
      <w:r w:rsidR="00230D5A" w:rsidRPr="008476CB">
        <w:t>, así como</w:t>
      </w:r>
      <w:r w:rsidRPr="008476CB">
        <w:rPr>
          <w:lang w:val="es-MX"/>
        </w:rPr>
        <w:t xml:space="preserve"> al crecimiento observado en la economía nacional durante el 2021.</w:t>
      </w:r>
    </w:p>
    <w:p w:rsidR="00272741" w:rsidRPr="008476CB" w:rsidRDefault="00272741" w:rsidP="00272741">
      <w:pPr>
        <w:jc w:val="both"/>
        <w:rPr>
          <w:lang w:val="es-MX"/>
        </w:rPr>
      </w:pPr>
    </w:p>
    <w:p w:rsidR="00272741" w:rsidRDefault="00272741" w:rsidP="00272741">
      <w:pPr>
        <w:jc w:val="both"/>
        <w:rPr>
          <w:lang w:val="es-MX"/>
        </w:rPr>
      </w:pPr>
      <w:r w:rsidRPr="008476CB">
        <w:rPr>
          <w:lang w:val="es-MX"/>
        </w:rPr>
        <w:t xml:space="preserve">Las Reservas Monetarias Internacionales Netas </w:t>
      </w:r>
      <w:r w:rsidR="00A55C70" w:rsidRPr="008476CB">
        <w:rPr>
          <w:lang w:val="es-MX"/>
        </w:rPr>
        <w:t>(</w:t>
      </w:r>
      <w:r w:rsidRPr="008476CB">
        <w:rPr>
          <w:lang w:val="es-MX"/>
        </w:rPr>
        <w:t>RIN</w:t>
      </w:r>
      <w:r w:rsidR="00A55C70" w:rsidRPr="008476CB">
        <w:rPr>
          <w:lang w:val="es-MX"/>
        </w:rPr>
        <w:t>)</w:t>
      </w:r>
      <w:r w:rsidRPr="008476CB">
        <w:rPr>
          <w:lang w:val="es-MX"/>
        </w:rPr>
        <w:t xml:space="preserve"> continuaron reflejando la sólida posición externa del país. Al 31 de diciembre de 2021 se situaron en US$20,939.6 millones, mayor en US$2,741.4 millones (13.4%) al acumulado para el mismo per</w:t>
      </w:r>
      <w:r w:rsidR="000970AD" w:rsidRPr="008476CB">
        <w:rPr>
          <w:lang w:val="es-MX"/>
        </w:rPr>
        <w:t>í</w:t>
      </w:r>
      <w:r w:rsidRPr="008476CB">
        <w:rPr>
          <w:lang w:val="es-MX"/>
        </w:rPr>
        <w:t xml:space="preserve">odo de 2020, como resultado principalmente, de la colocación de bonos del tesoro en el mercado internacional (US$1,000.0 millones), </w:t>
      </w:r>
      <w:r w:rsidRPr="008476CB">
        <w:t>del incremento en la tenencia de derechos especiales de giro del FMI,</w:t>
      </w:r>
      <w:r w:rsidRPr="008476CB">
        <w:rPr>
          <w:lang w:val="es-MX"/>
        </w:rPr>
        <w:t xml:space="preserve"> de las compras netas por activación de la regla cambiaria (US$1,443.5 millones) y de la acumulación de reservas (US$1,500.0 millones), lo cual fue compensado parcialmente, por los pagos netos </w:t>
      </w:r>
      <w:r w:rsidR="000970AD" w:rsidRPr="008476CB">
        <w:rPr>
          <w:lang w:val="es-MX"/>
        </w:rPr>
        <w:t>de</w:t>
      </w:r>
      <w:r w:rsidRPr="008476CB">
        <w:rPr>
          <w:lang w:val="es-MX"/>
        </w:rPr>
        <w:t xml:space="preserve"> deuda externa del sector público y por el pago de intereses de los depósitos a plazo en dólares de los Estados Unidos de América. El nivel de reservas equivale a 9.9 meses de importación de bienes</w:t>
      </w:r>
      <w:r>
        <w:rPr>
          <w:lang w:val="es-MX"/>
        </w:rPr>
        <w:t>.</w:t>
      </w:r>
    </w:p>
    <w:p w:rsidR="00272741" w:rsidRDefault="00272741" w:rsidP="00272741">
      <w:pPr>
        <w:jc w:val="both"/>
        <w:rPr>
          <w:lang w:val="es-MX"/>
        </w:rPr>
      </w:pPr>
    </w:p>
    <w:p w:rsidR="00A3167E" w:rsidRDefault="00A3167E" w:rsidP="00272741">
      <w:pPr>
        <w:jc w:val="both"/>
        <w:rPr>
          <w:lang w:val="es-MX"/>
        </w:rPr>
      </w:pPr>
    </w:p>
    <w:p w:rsidR="00272741" w:rsidRPr="00124AD6" w:rsidRDefault="00272741" w:rsidP="00272741">
      <w:pPr>
        <w:jc w:val="center"/>
        <w:rPr>
          <w:b/>
          <w:lang w:val="es-MX"/>
        </w:rPr>
      </w:pPr>
      <w:r w:rsidRPr="00124AD6">
        <w:rPr>
          <w:b/>
          <w:lang w:val="es-MX"/>
        </w:rPr>
        <w:t xml:space="preserve">Gráfica </w:t>
      </w:r>
      <w:r>
        <w:rPr>
          <w:b/>
          <w:lang w:val="es-MX"/>
        </w:rPr>
        <w:t>5</w:t>
      </w:r>
    </w:p>
    <w:p w:rsidR="00272741" w:rsidRPr="00124AD6" w:rsidRDefault="00272741" w:rsidP="00272741">
      <w:pPr>
        <w:jc w:val="center"/>
        <w:rPr>
          <w:b/>
          <w:lang w:val="es-MX"/>
        </w:rPr>
      </w:pPr>
      <w:r w:rsidRPr="00124AD6">
        <w:rPr>
          <w:b/>
          <w:lang w:val="es-MX"/>
        </w:rPr>
        <w:t>Reservas Monetarias Internacionales 2010</w:t>
      </w:r>
      <w:r w:rsidR="00321A95">
        <w:rPr>
          <w:b/>
          <w:lang w:val="es-MX"/>
        </w:rPr>
        <w:t xml:space="preserve"> </w:t>
      </w:r>
      <w:r w:rsidRPr="00124AD6">
        <w:rPr>
          <w:b/>
          <w:lang w:val="es-MX"/>
        </w:rPr>
        <w:t>-</w:t>
      </w:r>
      <w:r w:rsidR="00321A95">
        <w:rPr>
          <w:b/>
          <w:lang w:val="es-MX"/>
        </w:rPr>
        <w:t xml:space="preserve"> </w:t>
      </w:r>
      <w:r w:rsidRPr="00124AD6">
        <w:rPr>
          <w:b/>
          <w:lang w:val="es-MX"/>
        </w:rPr>
        <w:t>20</w:t>
      </w:r>
      <w:r>
        <w:rPr>
          <w:b/>
          <w:lang w:val="es-MX"/>
        </w:rPr>
        <w:t>21</w:t>
      </w:r>
    </w:p>
    <w:p w:rsidR="00272741" w:rsidRDefault="00272741" w:rsidP="00272741">
      <w:pPr>
        <w:jc w:val="center"/>
        <w:rPr>
          <w:noProof/>
          <w:lang w:val="es-GT" w:eastAsia="es-GT"/>
        </w:rPr>
      </w:pPr>
      <w:r w:rsidRPr="00124AD6">
        <w:rPr>
          <w:b/>
          <w:lang w:val="es-MX"/>
        </w:rPr>
        <w:t>(En Millones de US Dólares)</w:t>
      </w:r>
    </w:p>
    <w:p w:rsidR="00272741" w:rsidRDefault="00272741" w:rsidP="00272741">
      <w:pPr>
        <w:jc w:val="center"/>
        <w:rPr>
          <w:noProof/>
          <w:lang w:val="es-GT" w:eastAsia="es-GT"/>
        </w:rPr>
      </w:pPr>
      <w:r>
        <w:rPr>
          <w:noProof/>
        </w:rPr>
        <w:drawing>
          <wp:inline distT="0" distB="0" distL="0" distR="0" wp14:anchorId="2AEFD37A" wp14:editId="4D90B1A2">
            <wp:extent cx="5691226" cy="4070350"/>
            <wp:effectExtent l="0" t="0" r="5080" b="6350"/>
            <wp:docPr id="54" name="Gráfico 54">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72741" w:rsidRPr="00A00CA7" w:rsidRDefault="009F5D06" w:rsidP="00272741">
      <w:pPr>
        <w:rPr>
          <w:sz w:val="28"/>
          <w:lang w:val="es-MX"/>
        </w:rPr>
      </w:pPr>
      <w:r w:rsidRPr="00A00CA7">
        <w:rPr>
          <w:sz w:val="18"/>
          <w:lang w:val="es-MX"/>
        </w:rPr>
        <w:t xml:space="preserve">   </w:t>
      </w:r>
      <w:r w:rsidR="00EB4304">
        <w:rPr>
          <w:sz w:val="18"/>
          <w:lang w:val="es-MX"/>
        </w:rPr>
        <w:t xml:space="preserve"> </w:t>
      </w:r>
      <w:r w:rsidRPr="00A00CA7">
        <w:rPr>
          <w:sz w:val="18"/>
          <w:lang w:val="es-MX"/>
        </w:rPr>
        <w:t xml:space="preserve">  </w:t>
      </w:r>
      <w:r w:rsidR="00272741" w:rsidRPr="00A00CA7">
        <w:rPr>
          <w:sz w:val="18"/>
          <w:lang w:val="es-MX"/>
        </w:rPr>
        <w:t>Fuente: Banco de Guatemala.</w:t>
      </w:r>
    </w:p>
    <w:p w:rsidR="00272741" w:rsidRPr="00A3167E" w:rsidRDefault="00272741" w:rsidP="00272741">
      <w:pPr>
        <w:rPr>
          <w:sz w:val="40"/>
          <w:lang w:val="es-MX"/>
        </w:rPr>
      </w:pPr>
    </w:p>
    <w:p w:rsidR="00272741" w:rsidRPr="00124AD6" w:rsidRDefault="00272741" w:rsidP="00272741">
      <w:pPr>
        <w:pStyle w:val="Ttulo2"/>
        <w:numPr>
          <w:ilvl w:val="0"/>
          <w:numId w:val="4"/>
        </w:numPr>
        <w:spacing w:line="276" w:lineRule="auto"/>
        <w:ind w:left="0" w:firstLine="0"/>
        <w:rPr>
          <w:rFonts w:ascii="Times New Roman" w:hAnsi="Times New Roman"/>
          <w:color w:val="auto"/>
          <w:sz w:val="24"/>
          <w:szCs w:val="24"/>
          <w:shd w:val="clear" w:color="auto" w:fill="FFFFFF"/>
        </w:rPr>
      </w:pPr>
      <w:bookmarkStart w:id="10" w:name="_Toc97729973"/>
      <w:bookmarkStart w:id="11" w:name="_Toc98924129"/>
      <w:r w:rsidRPr="00124AD6">
        <w:rPr>
          <w:rFonts w:ascii="Times New Roman" w:hAnsi="Times New Roman"/>
          <w:color w:val="auto"/>
          <w:sz w:val="24"/>
          <w:szCs w:val="24"/>
          <w:shd w:val="clear" w:color="auto" w:fill="FFFFFF"/>
        </w:rPr>
        <w:t xml:space="preserve">Decisiones de </w:t>
      </w:r>
      <w:r>
        <w:rPr>
          <w:rFonts w:ascii="Times New Roman" w:hAnsi="Times New Roman"/>
          <w:color w:val="auto"/>
          <w:sz w:val="24"/>
          <w:szCs w:val="24"/>
          <w:shd w:val="clear" w:color="auto" w:fill="FFFFFF"/>
        </w:rPr>
        <w:t>P</w:t>
      </w:r>
      <w:r w:rsidRPr="00124AD6">
        <w:rPr>
          <w:rFonts w:ascii="Times New Roman" w:hAnsi="Times New Roman"/>
          <w:color w:val="auto"/>
          <w:sz w:val="24"/>
          <w:szCs w:val="24"/>
          <w:shd w:val="clear" w:color="auto" w:fill="FFFFFF"/>
        </w:rPr>
        <w:t xml:space="preserve">olítica </w:t>
      </w:r>
      <w:r>
        <w:rPr>
          <w:rFonts w:ascii="Times New Roman" w:hAnsi="Times New Roman"/>
          <w:color w:val="auto"/>
          <w:sz w:val="24"/>
          <w:szCs w:val="24"/>
          <w:shd w:val="clear" w:color="auto" w:fill="FFFFFF"/>
        </w:rPr>
        <w:t>M</w:t>
      </w:r>
      <w:r w:rsidRPr="00124AD6">
        <w:rPr>
          <w:rFonts w:ascii="Times New Roman" w:hAnsi="Times New Roman"/>
          <w:color w:val="auto"/>
          <w:sz w:val="24"/>
          <w:szCs w:val="24"/>
          <w:shd w:val="clear" w:color="auto" w:fill="FFFFFF"/>
        </w:rPr>
        <w:t>onetaria</w:t>
      </w:r>
      <w:bookmarkEnd w:id="10"/>
      <w:bookmarkEnd w:id="11"/>
    </w:p>
    <w:p w:rsidR="00272741" w:rsidRPr="00AA5C01" w:rsidRDefault="00272741" w:rsidP="00272741">
      <w:pPr>
        <w:jc w:val="both"/>
        <w:rPr>
          <w:sz w:val="14"/>
          <w:lang w:val="es-MX"/>
        </w:rPr>
      </w:pPr>
    </w:p>
    <w:p w:rsidR="00272741" w:rsidRPr="00EB4304" w:rsidRDefault="00272741" w:rsidP="00272741">
      <w:pPr>
        <w:jc w:val="both"/>
        <w:rPr>
          <w:lang w:val="es-MX"/>
        </w:rPr>
      </w:pPr>
      <w:r w:rsidRPr="00EB4304">
        <w:rPr>
          <w:lang w:val="es-MX"/>
        </w:rPr>
        <w:t xml:space="preserve">La Junta Monetaria, conforme el calendario previsto para 2021, </w:t>
      </w:r>
      <w:r w:rsidRPr="00EB4304">
        <w:t>se reunió en febrero, marzo, abril, mayo, junio, agosto, septiembre y noviembre</w:t>
      </w:r>
      <w:r w:rsidR="00A53F72" w:rsidRPr="00EB4304">
        <w:t>,</w:t>
      </w:r>
      <w:r w:rsidRPr="00EB4304">
        <w:t xml:space="preserve"> para decidir sobre el nivel de la tasa de interés líder de </w:t>
      </w:r>
      <w:r w:rsidR="00A53F72" w:rsidRPr="00EB4304">
        <w:t xml:space="preserve">la </w:t>
      </w:r>
      <w:r w:rsidRPr="00EB4304">
        <w:t>política monetaria</w:t>
      </w:r>
      <w:r w:rsidRPr="00EB4304">
        <w:rPr>
          <w:lang w:val="es-MX"/>
        </w:rPr>
        <w:t>.</w:t>
      </w:r>
    </w:p>
    <w:p w:rsidR="00272741" w:rsidRPr="00EB4304" w:rsidRDefault="00272741" w:rsidP="00272741">
      <w:pPr>
        <w:jc w:val="both"/>
        <w:rPr>
          <w:lang w:val="es-MX"/>
        </w:rPr>
      </w:pPr>
    </w:p>
    <w:p w:rsidR="00272741" w:rsidRPr="00EB4304" w:rsidRDefault="00272741" w:rsidP="00272741">
      <w:pPr>
        <w:jc w:val="both"/>
      </w:pPr>
      <w:r w:rsidRPr="00EB4304">
        <w:t>En dichas sesiones, la Junta Monetaria decidió mantener la referida tasa en 1.75%, tomando como base el análisis integral de la coyuntura tanto externa como interna, expresado en un balance de riesgos de inflación. En el ámbito externo, destacó que las perspectivas de crecimiento económico continúan evidenciando una expansión dinámica de la actividad económica para 2021, congruente con el comportamiento reciente de los principales indicadores de corto plazo, a pesar de que los riesgos asociados a la evolución de la pandemia siguen generando incertidumbre. Asimismo, tomó en cuenta que el precio internacional del barril de petróleo aumentó en las últimas semanas y la proyección disponible continúa anticipando que, en el escenario base, el precio medio durante el presente año, sería superior al observado en 2020.</w:t>
      </w:r>
    </w:p>
    <w:p w:rsidR="00272741" w:rsidRDefault="00272741" w:rsidP="00272741">
      <w:pPr>
        <w:jc w:val="both"/>
        <w:rPr>
          <w:sz w:val="23"/>
          <w:szCs w:val="23"/>
        </w:rPr>
      </w:pPr>
    </w:p>
    <w:p w:rsidR="00054C08" w:rsidRPr="00362D7A" w:rsidRDefault="00054C08" w:rsidP="00272741">
      <w:pPr>
        <w:jc w:val="both"/>
        <w:rPr>
          <w:sz w:val="36"/>
          <w:szCs w:val="23"/>
        </w:rPr>
      </w:pPr>
    </w:p>
    <w:p w:rsidR="00272741" w:rsidRPr="00EB4304" w:rsidRDefault="00272741" w:rsidP="00272741">
      <w:pPr>
        <w:jc w:val="both"/>
        <w:rPr>
          <w:szCs w:val="23"/>
        </w:rPr>
      </w:pPr>
      <w:r w:rsidRPr="00EB4304">
        <w:rPr>
          <w:szCs w:val="23"/>
        </w:rPr>
        <w:t>En el ámbito interno, el Banco de Guatemala señaló que la actividad económica refleja un crecimiento sostenido, asociado al mayor dinamismo de la demanda externa y al comportamiento de algunos indicadores internos de corto plazo, lo cual es consistente con las proyecciones de crecimiento económico del país, tanto para 2021 como para 2022. Adicionalmente, enfatizó que el ritmo inflacionario ha venido desacelerándose gradualmente, aunque prevalece la probabilidad de ocurrencia de ciertos choques de oferta, particularmente en el transporte y en los alimentos, en tanto que los pronósticos y las expectativas de inflación para el presente año y el próximo, continúan ubicándose dentro de la meta (4.0% +/- 1 punto porcentual).</w:t>
      </w:r>
    </w:p>
    <w:p w:rsidR="00272741" w:rsidRDefault="00272741" w:rsidP="00272741">
      <w:pPr>
        <w:jc w:val="both"/>
        <w:rPr>
          <w:sz w:val="23"/>
          <w:szCs w:val="23"/>
        </w:rPr>
      </w:pPr>
    </w:p>
    <w:p w:rsidR="00272741" w:rsidRPr="00362D7A" w:rsidRDefault="00272741" w:rsidP="00272741">
      <w:pPr>
        <w:jc w:val="both"/>
        <w:rPr>
          <w:sz w:val="40"/>
          <w:lang w:val="es-MX"/>
        </w:rPr>
      </w:pPr>
    </w:p>
    <w:p w:rsidR="00272741" w:rsidRPr="00124AD6" w:rsidRDefault="00272741" w:rsidP="00272741">
      <w:pPr>
        <w:jc w:val="center"/>
        <w:rPr>
          <w:b/>
          <w:lang w:val="es-MX"/>
        </w:rPr>
      </w:pPr>
      <w:r w:rsidRPr="00124AD6">
        <w:rPr>
          <w:b/>
          <w:lang w:val="es-MX"/>
        </w:rPr>
        <w:t xml:space="preserve">Gráfica </w:t>
      </w:r>
      <w:r>
        <w:rPr>
          <w:b/>
          <w:lang w:val="es-MX"/>
        </w:rPr>
        <w:t>6</w:t>
      </w:r>
    </w:p>
    <w:p w:rsidR="00272741" w:rsidRDefault="00272741" w:rsidP="00272741">
      <w:pPr>
        <w:jc w:val="center"/>
        <w:rPr>
          <w:b/>
          <w:lang w:val="es-MX"/>
        </w:rPr>
      </w:pPr>
      <w:r w:rsidRPr="00124AD6">
        <w:rPr>
          <w:b/>
          <w:lang w:val="es-MX"/>
        </w:rPr>
        <w:t>Tasa Líder</w:t>
      </w:r>
      <w:r>
        <w:rPr>
          <w:b/>
          <w:lang w:val="es-MX"/>
        </w:rPr>
        <w:t xml:space="preserve"> </w:t>
      </w:r>
      <w:r w:rsidRPr="00124AD6">
        <w:rPr>
          <w:b/>
          <w:lang w:val="es-MX"/>
        </w:rPr>
        <w:t xml:space="preserve">de </w:t>
      </w:r>
      <w:r>
        <w:rPr>
          <w:b/>
          <w:lang w:val="es-MX"/>
        </w:rPr>
        <w:t xml:space="preserve">la </w:t>
      </w:r>
      <w:r w:rsidRPr="00124AD6">
        <w:rPr>
          <w:b/>
          <w:lang w:val="es-MX"/>
        </w:rPr>
        <w:t>Política Monetaria</w:t>
      </w:r>
      <w:r>
        <w:rPr>
          <w:b/>
          <w:lang w:val="es-MX"/>
        </w:rPr>
        <w:t xml:space="preserve"> 2008</w:t>
      </w:r>
      <w:r w:rsidR="00AF1116">
        <w:rPr>
          <w:b/>
          <w:lang w:val="es-MX"/>
        </w:rPr>
        <w:t xml:space="preserve"> </w:t>
      </w:r>
      <w:r>
        <w:rPr>
          <w:b/>
          <w:lang w:val="es-MX"/>
        </w:rPr>
        <w:t>-</w:t>
      </w:r>
      <w:r w:rsidR="00AF1116">
        <w:rPr>
          <w:b/>
          <w:lang w:val="es-MX"/>
        </w:rPr>
        <w:t xml:space="preserve"> </w:t>
      </w:r>
      <w:r>
        <w:rPr>
          <w:b/>
          <w:lang w:val="es-MX"/>
        </w:rPr>
        <w:t>2021</w:t>
      </w:r>
    </w:p>
    <w:p w:rsidR="00272741" w:rsidRPr="00124AD6" w:rsidRDefault="00272741" w:rsidP="00272741">
      <w:pPr>
        <w:jc w:val="center"/>
        <w:rPr>
          <w:b/>
          <w:lang w:val="es-MX"/>
        </w:rPr>
      </w:pPr>
      <w:r>
        <w:rPr>
          <w:b/>
          <w:lang w:val="es-MX"/>
        </w:rPr>
        <w:t xml:space="preserve">(En </w:t>
      </w:r>
      <w:r w:rsidR="00AF1116">
        <w:rPr>
          <w:b/>
          <w:lang w:val="es-MX"/>
        </w:rPr>
        <w:t>P</w:t>
      </w:r>
      <w:r>
        <w:rPr>
          <w:b/>
          <w:lang w:val="es-MX"/>
        </w:rPr>
        <w:t>orcentajes)</w:t>
      </w:r>
    </w:p>
    <w:p w:rsidR="00272741" w:rsidRDefault="00272741" w:rsidP="00272741">
      <w:pPr>
        <w:jc w:val="center"/>
        <w:rPr>
          <w:noProof/>
          <w:lang w:val="es-GT" w:eastAsia="es-GT"/>
        </w:rPr>
      </w:pPr>
      <w:r>
        <w:rPr>
          <w:noProof/>
        </w:rPr>
        <w:drawing>
          <wp:inline distT="0" distB="0" distL="0" distR="0" wp14:anchorId="42FB642D" wp14:editId="413EE166">
            <wp:extent cx="5998210" cy="3701491"/>
            <wp:effectExtent l="0" t="0" r="2540" b="0"/>
            <wp:docPr id="55" name="Gráfico 55">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272741" w:rsidRPr="00EB4304" w:rsidRDefault="00C32A58" w:rsidP="00272741">
      <w:pPr>
        <w:rPr>
          <w:sz w:val="18"/>
          <w:lang w:val="es-MX"/>
        </w:rPr>
      </w:pPr>
      <w:r w:rsidRPr="00EB4304">
        <w:rPr>
          <w:sz w:val="18"/>
          <w:lang w:val="es-MX"/>
        </w:rPr>
        <w:t xml:space="preserve">  </w:t>
      </w:r>
      <w:r w:rsidR="00272741" w:rsidRPr="00EB4304">
        <w:rPr>
          <w:sz w:val="18"/>
          <w:lang w:val="es-MX"/>
        </w:rPr>
        <w:t>Fuente: Banco de Guatemala.</w:t>
      </w:r>
    </w:p>
    <w:p w:rsidR="00272741" w:rsidRPr="00362D7A" w:rsidRDefault="00272741" w:rsidP="00272741">
      <w:pPr>
        <w:jc w:val="both"/>
        <w:rPr>
          <w:lang w:val="es-MX"/>
        </w:rPr>
      </w:pPr>
    </w:p>
    <w:p w:rsidR="00272741" w:rsidRDefault="00272741" w:rsidP="00272741"/>
    <w:p w:rsidR="00272741" w:rsidRDefault="00272741" w:rsidP="00272741">
      <w:pPr>
        <w:jc w:val="both"/>
      </w:pPr>
      <w:r>
        <w:t xml:space="preserve">De acuerdo con el Banco de Guatemala, el tipo de cambio nominal en 2021 permaneció estable, </w:t>
      </w:r>
      <w:r w:rsidRPr="008D6EAF">
        <w:t>congruente con su estacionalidad y con la evolución de sus fundamentos, en particular, del crecimiento del flujo de remesas familiares y del comportamiento del valor de las importaciones y de las exportaciones.</w:t>
      </w:r>
    </w:p>
    <w:p w:rsidR="00272741" w:rsidRDefault="00272741" w:rsidP="00272741">
      <w:pPr>
        <w:rPr>
          <w:b/>
          <w:lang w:val="es-MX"/>
        </w:rPr>
      </w:pPr>
    </w:p>
    <w:p w:rsidR="00272741" w:rsidRDefault="00272741" w:rsidP="00272741">
      <w:pPr>
        <w:rPr>
          <w:b/>
          <w:lang w:val="es-MX"/>
        </w:rPr>
      </w:pPr>
      <w:r>
        <w:rPr>
          <w:b/>
          <w:lang w:val="es-MX"/>
        </w:rPr>
        <w:br w:type="page"/>
      </w:r>
    </w:p>
    <w:p w:rsidR="00054C08" w:rsidRDefault="00054C08" w:rsidP="00272741">
      <w:pPr>
        <w:rPr>
          <w:b/>
          <w:lang w:val="es-MX"/>
        </w:rPr>
      </w:pPr>
    </w:p>
    <w:p w:rsidR="00272741" w:rsidRPr="00124AD6" w:rsidRDefault="00272741" w:rsidP="00272741">
      <w:pPr>
        <w:jc w:val="center"/>
        <w:rPr>
          <w:b/>
          <w:lang w:val="es-MX"/>
        </w:rPr>
      </w:pPr>
      <w:r w:rsidRPr="00124AD6">
        <w:rPr>
          <w:b/>
          <w:lang w:val="es-MX"/>
        </w:rPr>
        <w:t xml:space="preserve">Gráfica </w:t>
      </w:r>
      <w:r>
        <w:rPr>
          <w:b/>
          <w:lang w:val="es-MX"/>
        </w:rPr>
        <w:t>7</w:t>
      </w:r>
    </w:p>
    <w:p w:rsidR="00272741" w:rsidRPr="00124AD6" w:rsidRDefault="00272741" w:rsidP="00272741">
      <w:pPr>
        <w:jc w:val="center"/>
        <w:rPr>
          <w:b/>
          <w:lang w:val="es-MX"/>
        </w:rPr>
      </w:pPr>
      <w:r w:rsidRPr="00124AD6">
        <w:rPr>
          <w:b/>
          <w:lang w:val="es-MX"/>
        </w:rPr>
        <w:t>Tipo de Cambio</w:t>
      </w:r>
      <w:r>
        <w:rPr>
          <w:b/>
          <w:lang w:val="es-MX"/>
        </w:rPr>
        <w:t xml:space="preserve"> 2011</w:t>
      </w:r>
      <w:r w:rsidR="00AF1116">
        <w:rPr>
          <w:b/>
          <w:lang w:val="es-MX"/>
        </w:rPr>
        <w:t xml:space="preserve"> </w:t>
      </w:r>
      <w:r>
        <w:rPr>
          <w:b/>
          <w:lang w:val="es-MX"/>
        </w:rPr>
        <w:t>-</w:t>
      </w:r>
      <w:r w:rsidR="00AF1116">
        <w:rPr>
          <w:b/>
          <w:lang w:val="es-MX"/>
        </w:rPr>
        <w:t xml:space="preserve"> </w:t>
      </w:r>
      <w:r>
        <w:rPr>
          <w:b/>
          <w:lang w:val="es-MX"/>
        </w:rPr>
        <w:t>2021</w:t>
      </w:r>
    </w:p>
    <w:p w:rsidR="00272741" w:rsidRDefault="00272741" w:rsidP="00272741">
      <w:pPr>
        <w:jc w:val="center"/>
        <w:rPr>
          <w:b/>
          <w:lang w:val="es-MX"/>
        </w:rPr>
      </w:pPr>
      <w:r w:rsidRPr="00124AD6">
        <w:rPr>
          <w:b/>
          <w:lang w:val="es-MX"/>
        </w:rPr>
        <w:t>(</w:t>
      </w:r>
      <w:r>
        <w:rPr>
          <w:b/>
          <w:lang w:val="es-MX"/>
        </w:rPr>
        <w:t xml:space="preserve">En </w:t>
      </w:r>
      <w:r w:rsidR="00AF1116">
        <w:rPr>
          <w:b/>
          <w:lang w:val="es-MX"/>
        </w:rPr>
        <w:t>Q</w:t>
      </w:r>
      <w:r w:rsidRPr="00124AD6">
        <w:rPr>
          <w:b/>
          <w:lang w:val="es-MX"/>
        </w:rPr>
        <w:t>uetzales por US</w:t>
      </w:r>
      <w:r>
        <w:rPr>
          <w:b/>
          <w:lang w:val="es-MX"/>
        </w:rPr>
        <w:t>$1</w:t>
      </w:r>
      <w:r w:rsidRPr="00124AD6">
        <w:rPr>
          <w:b/>
          <w:lang w:val="es-MX"/>
        </w:rPr>
        <w:t>)</w:t>
      </w:r>
    </w:p>
    <w:p w:rsidR="00272741" w:rsidRDefault="00272741" w:rsidP="00272741">
      <w:pPr>
        <w:jc w:val="center"/>
        <w:rPr>
          <w:noProof/>
          <w:lang w:val="es-GT" w:eastAsia="es-GT"/>
        </w:rPr>
      </w:pPr>
      <w:r>
        <w:rPr>
          <w:noProof/>
        </w:rPr>
        <w:drawing>
          <wp:inline distT="0" distB="0" distL="0" distR="0" wp14:anchorId="2459D1BC" wp14:editId="24CFDE4F">
            <wp:extent cx="5813425" cy="3111689"/>
            <wp:effectExtent l="0" t="0" r="0" b="0"/>
            <wp:docPr id="56" name="Gráfico 56">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72741" w:rsidRPr="00EB4304" w:rsidRDefault="007F44ED" w:rsidP="00272741">
      <w:pPr>
        <w:rPr>
          <w:sz w:val="18"/>
          <w:lang w:val="es-MX"/>
        </w:rPr>
      </w:pPr>
      <w:r w:rsidRPr="00EB4304">
        <w:rPr>
          <w:sz w:val="18"/>
          <w:lang w:val="es-MX"/>
        </w:rPr>
        <w:t xml:space="preserve">      </w:t>
      </w:r>
      <w:r w:rsidR="00272741" w:rsidRPr="00EB4304">
        <w:rPr>
          <w:sz w:val="18"/>
          <w:lang w:val="es-MX"/>
        </w:rPr>
        <w:t>Fuente: Banco de Guatemala.</w:t>
      </w:r>
    </w:p>
    <w:p w:rsidR="00272741" w:rsidRPr="00362D7A" w:rsidRDefault="00272741" w:rsidP="00272741">
      <w:pPr>
        <w:rPr>
          <w:sz w:val="36"/>
          <w:lang w:val="es-MX"/>
        </w:rPr>
      </w:pPr>
    </w:p>
    <w:p w:rsidR="00272741" w:rsidRPr="00EB4304" w:rsidRDefault="00272741" w:rsidP="00272741">
      <w:pPr>
        <w:jc w:val="both"/>
        <w:rPr>
          <w:sz w:val="28"/>
        </w:rPr>
      </w:pPr>
      <w:r w:rsidRPr="00362D7A">
        <w:t>El tipo de cambio de referencia nominal promedio ponderado mantuvo un valor de Q.7.75 por dólar, durante el año 2021. En ese contexto, el Banco de Guatemala continuó participando en el mercado cambiario con el objetivo de reducir la volatilidad del tipo de cambio</w:t>
      </w:r>
      <w:r w:rsidRPr="00EB4304">
        <w:rPr>
          <w:szCs w:val="23"/>
        </w:rPr>
        <w:t xml:space="preserve"> nominal, sin alterar su tendencia, realizando mediante la regla de participación a noviembre 2021, compras netas de divisas por US$495.9 millones; al mismo tiempo que, con el propósito de reducir el excedente de divisas en el mercado cambiario, efectuó bajo el mecanismo de acumulación de reservas monetarias internacionales</w:t>
      </w:r>
      <w:r w:rsidR="003535D9" w:rsidRPr="00EB4304">
        <w:rPr>
          <w:szCs w:val="23"/>
        </w:rPr>
        <w:t>,</w:t>
      </w:r>
      <w:r w:rsidRPr="00EB4304">
        <w:rPr>
          <w:szCs w:val="23"/>
        </w:rPr>
        <w:t xml:space="preserve"> compras de divisas por US$1,443.5 millones.</w:t>
      </w:r>
    </w:p>
    <w:p w:rsidR="00272741" w:rsidRPr="00362D7A" w:rsidRDefault="00272741" w:rsidP="00272741">
      <w:pPr>
        <w:rPr>
          <w:sz w:val="36"/>
        </w:rPr>
      </w:pPr>
    </w:p>
    <w:p w:rsidR="00272741" w:rsidRDefault="00272741" w:rsidP="00272741"/>
    <w:p w:rsidR="00272741" w:rsidRPr="00401118" w:rsidRDefault="00272741" w:rsidP="00272741">
      <w:pPr>
        <w:pStyle w:val="Ttulo1"/>
        <w:rPr>
          <w:lang w:val="es-MX"/>
        </w:rPr>
      </w:pPr>
      <w:bookmarkStart w:id="12" w:name="_Toc97729974"/>
      <w:bookmarkStart w:id="13" w:name="_Toc98924130"/>
      <w:r w:rsidRPr="00401118">
        <w:rPr>
          <w:lang w:val="es-MX"/>
        </w:rPr>
        <w:t>Política Fiscal en Guatemala</w:t>
      </w:r>
      <w:bookmarkEnd w:id="12"/>
      <w:bookmarkEnd w:id="13"/>
    </w:p>
    <w:p w:rsidR="00272741" w:rsidRPr="00124AD6" w:rsidRDefault="00272741" w:rsidP="00272741">
      <w:pPr>
        <w:jc w:val="both"/>
      </w:pPr>
    </w:p>
    <w:p w:rsidR="00272741" w:rsidRDefault="00272741" w:rsidP="00272741">
      <w:pPr>
        <w:jc w:val="both"/>
      </w:pPr>
      <w:r>
        <w:t xml:space="preserve">El Proyecto de Presupuesto General de Ingresos y Egresos del Estado para el Ejercicio Fiscal 2021, no fue aprobado en el término que establece la Constitución Política de la República de Guatemala, propiciando una situación inédita dado que </w:t>
      </w:r>
      <w:r w:rsidR="009A414D">
        <w:t>no se aprobaba por tercer</w:t>
      </w:r>
      <w:r>
        <w:t xml:space="preserve"> año consecutivo</w:t>
      </w:r>
      <w:r w:rsidR="00EC0962">
        <w:t>;</w:t>
      </w:r>
      <w:r>
        <w:t xml:space="preserve"> por lo tanto, entró en vig</w:t>
      </w:r>
      <w:r w:rsidR="009A414D">
        <w:t>encia</w:t>
      </w:r>
      <w:r>
        <w:t xml:space="preserve"> el presupuesto del </w:t>
      </w:r>
      <w:r w:rsidR="009A414D">
        <w:t>E</w:t>
      </w:r>
      <w:r>
        <w:t xml:space="preserve">jercicio </w:t>
      </w:r>
      <w:r w:rsidR="009A414D">
        <w:t>F</w:t>
      </w:r>
      <w:r>
        <w:t xml:space="preserve">iscal 2019. De esa cuenta, conforme lo establecido en el artículo 171, literal b) de la Constitución Política de la República de Guatemala, para el </w:t>
      </w:r>
      <w:r w:rsidR="009A414D">
        <w:t>E</w:t>
      </w:r>
      <w:r>
        <w:t xml:space="preserve">jercicio </w:t>
      </w:r>
      <w:r w:rsidR="009A414D">
        <w:t>F</w:t>
      </w:r>
      <w:r>
        <w:t>iscal 2021 continuó en vigencia el presupuesto del año anterior</w:t>
      </w:r>
      <w:r w:rsidR="009A414D">
        <w:t xml:space="preserve"> (</w:t>
      </w:r>
      <w:r w:rsidR="006549C7">
        <w:t>inicial</w:t>
      </w:r>
      <w:r w:rsidR="009A414D">
        <w:t xml:space="preserve"> más ampliaciones)</w:t>
      </w:r>
      <w:r>
        <w:t>, por un monto de Q.107,521.5 millones.</w:t>
      </w:r>
    </w:p>
    <w:p w:rsidR="00272741" w:rsidRDefault="00272741" w:rsidP="00272741">
      <w:pPr>
        <w:jc w:val="both"/>
      </w:pPr>
    </w:p>
    <w:p w:rsidR="00272741" w:rsidRDefault="00272741" w:rsidP="00272741">
      <w:pPr>
        <w:jc w:val="both"/>
      </w:pPr>
      <w:r>
        <w:t xml:space="preserve">Con base en lo anterior, la dinámica de la ejecución del gasto, en enero </w:t>
      </w:r>
      <w:r w:rsidR="00C440C9">
        <w:t xml:space="preserve">de </w:t>
      </w:r>
      <w:r>
        <w:t>2021 fue moderada, dado que las entidades se encontraban en proceso de hacer las readecuaciones presupuestarias necesarias para viabilizar la ejecución del presupuesto durante el año 2021</w:t>
      </w:r>
      <w:r w:rsidR="00C440C9">
        <w:t>,</w:t>
      </w:r>
      <w:r>
        <w:t xml:space="preserve"> a</w:t>
      </w:r>
      <w:r w:rsidR="00C440C9">
        <w:t>u</w:t>
      </w:r>
      <w:r>
        <w:t xml:space="preserve">n cuando la </w:t>
      </w:r>
      <w:r>
        <w:lastRenderedPageBreak/>
        <w:t xml:space="preserve">distribución analítica del presupuesto para el </w:t>
      </w:r>
      <w:r w:rsidR="009A1C44">
        <w:t>E</w:t>
      </w:r>
      <w:r>
        <w:t xml:space="preserve">jercicio </w:t>
      </w:r>
      <w:r w:rsidR="009A1C44">
        <w:t>F</w:t>
      </w:r>
      <w:r>
        <w:t xml:space="preserve">iscal 2021 se aprobó mediante Acuerdo Gubernativo </w:t>
      </w:r>
      <w:r w:rsidR="00C440C9">
        <w:t xml:space="preserve">No. </w:t>
      </w:r>
      <w:r>
        <w:t>253-2020. No obstante, el 12 de enero de 2021, el Congreso de la República aprobó el Decreto N</w:t>
      </w:r>
      <w:r w:rsidR="00C440C9">
        <w:t>o.</w:t>
      </w:r>
      <w:r>
        <w:t xml:space="preserve"> 1-2021</w:t>
      </w:r>
      <w:r w:rsidR="00C440C9">
        <w:t>,</w:t>
      </w:r>
      <w:r>
        <w:t xml:space="preserve"> “Ley para el </w:t>
      </w:r>
      <w:r w:rsidR="00C440C9">
        <w:t>F</w:t>
      </w:r>
      <w:r>
        <w:t xml:space="preserve">inanciamiento de </w:t>
      </w:r>
      <w:r w:rsidR="00C440C9">
        <w:t>V</w:t>
      </w:r>
      <w:r>
        <w:t xml:space="preserve">acunas contra el </w:t>
      </w:r>
      <w:r w:rsidR="00C440C9">
        <w:t>C</w:t>
      </w:r>
      <w:r>
        <w:t>oronavirus C</w:t>
      </w:r>
      <w:r w:rsidR="00C440C9">
        <w:t>ovid</w:t>
      </w:r>
      <w:r>
        <w:t xml:space="preserve">-19”, mediante el cual se declaró de interés nacional la vacunación de la población guatemalteca, de forma gratuita, universal y voluntaria; además, facultó al Ministerio de Finanzas Públicas </w:t>
      </w:r>
      <w:r w:rsidR="001857B8">
        <w:t xml:space="preserve">para </w:t>
      </w:r>
      <w:r>
        <w:t>readecuar el presupuesto vigente hasta por Q.1,500.0 millones, con el objetivo de ampliar el presupuesto del Ministerio de Salud Pública y Asistencia Social y canalizar los recursos necesarios para la adquisición de las vacunas.</w:t>
      </w:r>
    </w:p>
    <w:p w:rsidR="00272741" w:rsidRPr="007B21C8" w:rsidRDefault="00272741" w:rsidP="00272741">
      <w:pPr>
        <w:jc w:val="both"/>
        <w:rPr>
          <w:sz w:val="40"/>
        </w:rPr>
      </w:pPr>
    </w:p>
    <w:p w:rsidR="00272741" w:rsidRDefault="00272741" w:rsidP="00272741">
      <w:pPr>
        <w:jc w:val="both"/>
      </w:pPr>
      <w:r>
        <w:t>Posteriormente, el 27 de enero</w:t>
      </w:r>
      <w:r w:rsidR="006549C7">
        <w:t xml:space="preserve"> de 2021</w:t>
      </w:r>
      <w:r>
        <w:t xml:space="preserve"> el Organismo Ejecutivo anunció que el presupuesto ajustado para el </w:t>
      </w:r>
      <w:r w:rsidR="006549C7">
        <w:t>E</w:t>
      </w:r>
      <w:r>
        <w:t xml:space="preserve">jercicio </w:t>
      </w:r>
      <w:r w:rsidR="006549C7">
        <w:t>F</w:t>
      </w:r>
      <w:r>
        <w:t>iscal 2021 sería de Q.94,354.0 millones (Q.13,167.5 millones menos que el presupuesto inicial), tomando en consideración que algunas fuentes de financiamiento del presupuesto no serían ejecutables en 2021, principalmente aquellas que en 2020 financiaron la respuesta de política fiscal para mitigar los efectos económicos y sociales ante el C</w:t>
      </w:r>
      <w:r w:rsidR="006A12E2">
        <w:t>ovid</w:t>
      </w:r>
      <w:r>
        <w:t xml:space="preserve">-19, como es el caso del financiamiento que provino directamente del Banco de Guatemala, que el Congreso de la República aprobó que fuera otorgado con base en la excepción, en caso de catástrofe o desastres naturales contenida en el artículo 133 de la Constitución Política de la República de Guatemala. Asimismo, los desembolsos de préstamos </w:t>
      </w:r>
      <w:r w:rsidR="007446AF">
        <w:t xml:space="preserve">externos </w:t>
      </w:r>
      <w:r>
        <w:t>serían menores</w:t>
      </w:r>
      <w:r w:rsidR="007446AF">
        <w:t>, porque ya no se tendrían los que se destinaron a la atención de la pandemia del Covid-19 en 2020</w:t>
      </w:r>
      <w:r>
        <w:t>.</w:t>
      </w:r>
    </w:p>
    <w:p w:rsidR="00272741" w:rsidRPr="007B21C8" w:rsidRDefault="00272741" w:rsidP="00272741">
      <w:pPr>
        <w:jc w:val="both"/>
        <w:rPr>
          <w:sz w:val="40"/>
        </w:rPr>
      </w:pPr>
    </w:p>
    <w:p w:rsidR="00272741" w:rsidRDefault="00272741" w:rsidP="00272741">
      <w:pPr>
        <w:jc w:val="both"/>
        <w:rPr>
          <w:lang w:val="es-MX"/>
        </w:rPr>
      </w:pPr>
      <w:r>
        <w:t>El 13 de septiembre</w:t>
      </w:r>
      <w:r w:rsidR="00E32F0F">
        <w:t xml:space="preserve"> de 2021</w:t>
      </w:r>
      <w:r>
        <w:t>, el Congreso de la República aprobó el Decreto N</w:t>
      </w:r>
      <w:r w:rsidR="00E32F0F">
        <w:t>o.</w:t>
      </w:r>
      <w:r>
        <w:t xml:space="preserve"> 11-2021</w:t>
      </w:r>
      <w:r w:rsidR="00E32F0F">
        <w:t>,</w:t>
      </w:r>
      <w:r>
        <w:t xml:space="preserve"> “Ley de </w:t>
      </w:r>
      <w:r w:rsidR="00E32F0F">
        <w:t>E</w:t>
      </w:r>
      <w:r>
        <w:t xml:space="preserve">mergencia </w:t>
      </w:r>
      <w:r w:rsidR="00E32F0F">
        <w:t>N</w:t>
      </w:r>
      <w:r>
        <w:t xml:space="preserve">acional para </w:t>
      </w:r>
      <w:r w:rsidR="00E32F0F">
        <w:t>A</w:t>
      </w:r>
      <w:r>
        <w:t xml:space="preserve">tención de la </w:t>
      </w:r>
      <w:r w:rsidR="00E32F0F">
        <w:t>P</w:t>
      </w:r>
      <w:r>
        <w:t>andemia C</w:t>
      </w:r>
      <w:r w:rsidR="00E32F0F">
        <w:t>ovid</w:t>
      </w:r>
      <w:r>
        <w:t xml:space="preserve">-19”, de carácter temporal y condicionada, con el objeto de continuar atendiendo a la población expuesta a la pandemia y fijar las disposiciones para la adquisición de insumos y contratación de servicios personales. Para el efecto, se autorizó la readecuación del Presupuesto General de Ingresos y Egresos del Estado en favor del Ministerio de Salud Pública y Asistencia Social hasta por Q.1,878.0 millones, para que dicho </w:t>
      </w:r>
      <w:r w:rsidR="00E32F0F">
        <w:t>M</w:t>
      </w:r>
      <w:r>
        <w:t>inisterio cubr</w:t>
      </w:r>
      <w:r w:rsidR="00E32F0F">
        <w:t>iera</w:t>
      </w:r>
      <w:r>
        <w:t xml:space="preserve"> los compromisos de gasto que se deriv</w:t>
      </w:r>
      <w:r w:rsidR="00E32F0F">
        <w:t>a</w:t>
      </w:r>
      <w:r w:rsidR="00E603FB">
        <w:t>ro</w:t>
      </w:r>
      <w:r>
        <w:t xml:space="preserve">n de la atención de la emergencia sanitaria provocada por </w:t>
      </w:r>
      <w:r w:rsidR="00E32F0F">
        <w:t>el Covid</w:t>
      </w:r>
      <w:r>
        <w:t>-19.</w:t>
      </w:r>
    </w:p>
    <w:p w:rsidR="00272741" w:rsidRPr="007B21C8" w:rsidRDefault="00272741" w:rsidP="00272741">
      <w:pPr>
        <w:rPr>
          <w:sz w:val="40"/>
        </w:rPr>
      </w:pPr>
    </w:p>
    <w:p w:rsidR="00272741" w:rsidRDefault="00272741" w:rsidP="00272741">
      <w:pPr>
        <w:jc w:val="both"/>
        <w:rPr>
          <w:sz w:val="23"/>
          <w:szCs w:val="23"/>
        </w:rPr>
      </w:pPr>
      <w:r>
        <w:t>Del período 2011 a 2019</w:t>
      </w:r>
      <w:r w:rsidR="00D12147">
        <w:t>,</w:t>
      </w:r>
      <w:r>
        <w:t xml:space="preserve"> el resultado presupuestario mantuvo un déficit fiscal promedio de 1.9%. En 2020</w:t>
      </w:r>
      <w:r w:rsidR="00D222E1">
        <w:t>,</w:t>
      </w:r>
      <w:r>
        <w:t xml:space="preserve"> derivado de la caída de los ingresos y la aplicación por parte del gobierno de una política fiscal expansiva y </w:t>
      </w:r>
      <w:r w:rsidR="00392BA1">
        <w:t>contra cíclica</w:t>
      </w:r>
      <w:r>
        <w:t>, el déficit fiscal ascendió al monto de Q.29,477.7 millones, equivalente</w:t>
      </w:r>
      <w:r w:rsidR="00D222E1">
        <w:t>s</w:t>
      </w:r>
      <w:r>
        <w:t xml:space="preserve"> al 4.9% del PIB.</w:t>
      </w:r>
    </w:p>
    <w:p w:rsidR="00272741" w:rsidRPr="007B21C8" w:rsidRDefault="00272741" w:rsidP="00272741">
      <w:pPr>
        <w:jc w:val="both"/>
        <w:rPr>
          <w:b/>
          <w:sz w:val="40"/>
        </w:rPr>
      </w:pPr>
    </w:p>
    <w:p w:rsidR="00272741" w:rsidRDefault="00272741" w:rsidP="00272741">
      <w:pPr>
        <w:jc w:val="both"/>
      </w:pPr>
      <w:r w:rsidRPr="007C48E3">
        <w:t>Para 2021</w:t>
      </w:r>
      <w:r>
        <w:t xml:space="preserve"> la existencia de un déficit fiscal controlado de Q.7,879.</w:t>
      </w:r>
      <w:r w:rsidR="005E5419">
        <w:t>9</w:t>
      </w:r>
      <w:r>
        <w:t xml:space="preserve"> </w:t>
      </w:r>
      <w:r w:rsidR="001F36CB">
        <w:t xml:space="preserve">millones, </w:t>
      </w:r>
      <w:r>
        <w:t>equivalente</w:t>
      </w:r>
      <w:r w:rsidR="001F36CB">
        <w:t>s</w:t>
      </w:r>
      <w:r>
        <w:t xml:space="preserve"> a</w:t>
      </w:r>
      <w:r w:rsidR="001F36CB">
        <w:t>l</w:t>
      </w:r>
      <w:r>
        <w:t xml:space="preserve"> 1.2% del PIB, </w:t>
      </w:r>
      <w:r w:rsidR="00A165A6">
        <w:t>fue</w:t>
      </w:r>
      <w:r>
        <w:t xml:space="preserve"> congruente con un proceso de consolidación de una política fiscal integral, sostenible, transparente y disciplinada que, junto al buen desempeño de la recaudación tributaria, contribuyeron a obtener un resultado presupuestario </w:t>
      </w:r>
      <w:r w:rsidRPr="00062207">
        <w:t>por debajo</w:t>
      </w:r>
      <w:r>
        <w:t xml:space="preserve"> </w:t>
      </w:r>
      <w:r w:rsidRPr="00062207">
        <w:t>de</w:t>
      </w:r>
      <w:r>
        <w:t xml:space="preserve">l </w:t>
      </w:r>
      <w:r w:rsidRPr="00062207">
        <w:t>3.3%</w:t>
      </w:r>
      <w:r>
        <w:t xml:space="preserve"> estimado en el </w:t>
      </w:r>
      <w:r w:rsidRPr="00062207">
        <w:t xml:space="preserve">presupuesto </w:t>
      </w:r>
      <w:r w:rsidR="00A165A6">
        <w:t>que se estimó susceptible de ejecutar</w:t>
      </w:r>
      <w:r>
        <w:t>.</w:t>
      </w:r>
    </w:p>
    <w:p w:rsidR="00272741" w:rsidRPr="00062207" w:rsidRDefault="00272741" w:rsidP="00272741">
      <w:pPr>
        <w:jc w:val="both"/>
      </w:pPr>
    </w:p>
    <w:p w:rsidR="00272741" w:rsidRPr="007C48E3" w:rsidRDefault="00272741" w:rsidP="00272741">
      <w:pPr>
        <w:rPr>
          <w:b/>
          <w:lang w:val="es-ES_tradnl"/>
        </w:rPr>
      </w:pPr>
    </w:p>
    <w:p w:rsidR="00272741" w:rsidRDefault="00272741" w:rsidP="00272741">
      <w:pPr>
        <w:rPr>
          <w:b/>
          <w:lang w:val="es-MX"/>
        </w:rPr>
      </w:pPr>
      <w:r>
        <w:rPr>
          <w:b/>
          <w:lang w:val="es-MX"/>
        </w:rPr>
        <w:br w:type="page"/>
      </w:r>
    </w:p>
    <w:p w:rsidR="00054C08" w:rsidRDefault="00054C08" w:rsidP="00272741">
      <w:pPr>
        <w:rPr>
          <w:b/>
          <w:lang w:val="es-MX"/>
        </w:rPr>
      </w:pPr>
    </w:p>
    <w:p w:rsidR="00272741" w:rsidRDefault="00272741" w:rsidP="00272741">
      <w:pPr>
        <w:jc w:val="center"/>
        <w:rPr>
          <w:b/>
          <w:lang w:val="es-MX"/>
        </w:rPr>
      </w:pPr>
      <w:r w:rsidRPr="00C17181">
        <w:rPr>
          <w:b/>
          <w:lang w:val="es-MX"/>
        </w:rPr>
        <w:t>Gráfica 8</w:t>
      </w:r>
    </w:p>
    <w:p w:rsidR="00272741" w:rsidRDefault="00272741" w:rsidP="00272741">
      <w:pPr>
        <w:jc w:val="center"/>
        <w:rPr>
          <w:b/>
          <w:lang w:val="es-MX"/>
        </w:rPr>
      </w:pPr>
      <w:r w:rsidRPr="00C17181">
        <w:rPr>
          <w:b/>
          <w:lang w:val="es-MX"/>
        </w:rPr>
        <w:t>Resultado Presupuestario</w:t>
      </w:r>
      <w:r>
        <w:rPr>
          <w:b/>
          <w:lang w:val="es-MX"/>
        </w:rPr>
        <w:t xml:space="preserve"> 2011</w:t>
      </w:r>
      <w:r w:rsidR="00A319AC">
        <w:rPr>
          <w:b/>
          <w:lang w:val="es-MX"/>
        </w:rPr>
        <w:t xml:space="preserve"> </w:t>
      </w:r>
      <w:r>
        <w:rPr>
          <w:b/>
          <w:lang w:val="es-MX"/>
        </w:rPr>
        <w:t>-</w:t>
      </w:r>
      <w:r w:rsidR="00A319AC">
        <w:rPr>
          <w:b/>
          <w:lang w:val="es-MX"/>
        </w:rPr>
        <w:t xml:space="preserve"> </w:t>
      </w:r>
      <w:r>
        <w:rPr>
          <w:b/>
          <w:lang w:val="es-MX"/>
        </w:rPr>
        <w:t>2021*</w:t>
      </w:r>
    </w:p>
    <w:p w:rsidR="00272741" w:rsidRDefault="00272741" w:rsidP="00272741">
      <w:pPr>
        <w:jc w:val="center"/>
        <w:rPr>
          <w:b/>
          <w:lang w:val="es-MX"/>
        </w:rPr>
      </w:pPr>
      <w:r w:rsidRPr="00C17181">
        <w:rPr>
          <w:b/>
          <w:lang w:val="es-MX"/>
        </w:rPr>
        <w:t>al 31 de diciembre de cada año</w:t>
      </w:r>
    </w:p>
    <w:p w:rsidR="00272741" w:rsidRDefault="00272741" w:rsidP="00272741">
      <w:pPr>
        <w:jc w:val="center"/>
        <w:rPr>
          <w:b/>
          <w:lang w:val="es-MX"/>
        </w:rPr>
      </w:pPr>
      <w:r w:rsidRPr="00C17181">
        <w:rPr>
          <w:b/>
          <w:lang w:val="es-MX"/>
        </w:rPr>
        <w:t>(Cifras en Millones de Quetzales y como Porcentaje del PIB)</w:t>
      </w:r>
    </w:p>
    <w:p w:rsidR="00272741" w:rsidRDefault="00272741" w:rsidP="00272741">
      <w:pPr>
        <w:jc w:val="center"/>
        <w:rPr>
          <w:noProof/>
        </w:rPr>
      </w:pPr>
      <w:r>
        <w:rPr>
          <w:noProof/>
        </w:rPr>
        <w:drawing>
          <wp:inline distT="0" distB="0" distL="0" distR="0" wp14:anchorId="55903B57" wp14:editId="19414CC1">
            <wp:extent cx="5976518" cy="4198925"/>
            <wp:effectExtent l="0" t="0" r="5715" b="0"/>
            <wp:docPr id="57" name="Gráfico 57">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72741" w:rsidRPr="00EB4304" w:rsidRDefault="007F44ED" w:rsidP="00272741">
      <w:pPr>
        <w:jc w:val="both"/>
        <w:rPr>
          <w:sz w:val="18"/>
        </w:rPr>
      </w:pPr>
      <w:r>
        <w:rPr>
          <w:sz w:val="16"/>
        </w:rPr>
        <w:t xml:space="preserve">        </w:t>
      </w:r>
      <w:r w:rsidR="00272741" w:rsidRPr="00EB4304">
        <w:rPr>
          <w:sz w:val="18"/>
        </w:rPr>
        <w:t>*   Cifras preliminares</w:t>
      </w:r>
    </w:p>
    <w:p w:rsidR="00272741" w:rsidRPr="00EB4304" w:rsidRDefault="007F44ED" w:rsidP="00272741">
      <w:pPr>
        <w:jc w:val="both"/>
        <w:rPr>
          <w:sz w:val="18"/>
        </w:rPr>
      </w:pPr>
      <w:r w:rsidRPr="00EB4304">
        <w:rPr>
          <w:sz w:val="18"/>
        </w:rPr>
        <w:t xml:space="preserve">            </w:t>
      </w:r>
      <w:r w:rsidR="00272741" w:rsidRPr="00EB4304">
        <w:rPr>
          <w:sz w:val="18"/>
        </w:rPr>
        <w:t>Fuente: Ministerio de Finanzas Públicas.</w:t>
      </w:r>
    </w:p>
    <w:p w:rsidR="00272741" w:rsidRPr="00054C08" w:rsidRDefault="00272741" w:rsidP="00272741">
      <w:pPr>
        <w:jc w:val="both"/>
        <w:rPr>
          <w:sz w:val="36"/>
        </w:rPr>
      </w:pPr>
    </w:p>
    <w:p w:rsidR="00272741" w:rsidRPr="002746C4" w:rsidRDefault="00272741" w:rsidP="00272741">
      <w:pPr>
        <w:jc w:val="both"/>
      </w:pPr>
      <w:r w:rsidRPr="00BC5DA6">
        <w:t>El déficit se financió principalmente con la emisión de Bonos del Tesoro</w:t>
      </w:r>
      <w:r>
        <w:t xml:space="preserve"> </w:t>
      </w:r>
      <w:r w:rsidR="00901BA1">
        <w:t>(</w:t>
      </w:r>
      <w:r w:rsidRPr="002746C4">
        <w:t>68.4%</w:t>
      </w:r>
      <w:r w:rsidR="00901BA1">
        <w:t>)</w:t>
      </w:r>
      <w:r w:rsidRPr="002746C4">
        <w:t xml:space="preserve"> en el mercado interno y el 31.6% en el mercado internacional de capitales</w:t>
      </w:r>
      <w:r>
        <w:t>,</w:t>
      </w:r>
      <w:r w:rsidRPr="002746C4">
        <w:t xml:space="preserve"> mediante la colocación de un Eurobono por US$1,000.0 millones (equivalente</w:t>
      </w:r>
      <w:r w:rsidR="00901BA1">
        <w:t>s</w:t>
      </w:r>
      <w:r w:rsidRPr="002746C4">
        <w:t xml:space="preserve"> a Q</w:t>
      </w:r>
      <w:r>
        <w:t>.</w:t>
      </w:r>
      <w:r w:rsidRPr="002746C4">
        <w:t xml:space="preserve">7,732.2 millones). Respecto </w:t>
      </w:r>
      <w:r w:rsidR="00901BA1">
        <w:t>de</w:t>
      </w:r>
      <w:r w:rsidRPr="002746C4">
        <w:t xml:space="preserve"> las colocaciones internas, lo adjudicado fue de Q</w:t>
      </w:r>
      <w:r>
        <w:t>.</w:t>
      </w:r>
      <w:r w:rsidRPr="002746C4">
        <w:t>16,746.3 millones.</w:t>
      </w:r>
    </w:p>
    <w:p w:rsidR="00272741" w:rsidRPr="00054C08" w:rsidRDefault="00272741" w:rsidP="00272741">
      <w:pPr>
        <w:jc w:val="both"/>
        <w:rPr>
          <w:sz w:val="32"/>
        </w:rPr>
      </w:pPr>
    </w:p>
    <w:p w:rsidR="00272741" w:rsidRPr="002746C4" w:rsidRDefault="00272741" w:rsidP="00272741">
      <w:pPr>
        <w:jc w:val="both"/>
      </w:pPr>
      <w:r w:rsidRPr="002746C4">
        <w:t>Los desembolsos de préstamos externos, por Q</w:t>
      </w:r>
      <w:r>
        <w:t>.</w:t>
      </w:r>
      <w:r w:rsidRPr="002746C4">
        <w:t>443.7 millones, muestran una disminución en Q</w:t>
      </w:r>
      <w:r>
        <w:t>.</w:t>
      </w:r>
      <w:r w:rsidRPr="002746C4">
        <w:t xml:space="preserve">3,735.5 millones </w:t>
      </w:r>
      <w:r w:rsidR="00D11D3E">
        <w:t xml:space="preserve">con </w:t>
      </w:r>
      <w:r w:rsidRPr="002746C4">
        <w:t>respecto a los obtenidos en 2020. El mayor</w:t>
      </w:r>
      <w:r w:rsidR="00D11D3E">
        <w:t xml:space="preserve"> aporte</w:t>
      </w:r>
      <w:r w:rsidRPr="002746C4">
        <w:t xml:space="preserve"> fue </w:t>
      </w:r>
      <w:r>
        <w:t xml:space="preserve">por parte </w:t>
      </w:r>
      <w:r w:rsidRPr="002746C4">
        <w:t xml:space="preserve">del Banco Centroamericano de Integración Económica (BCIE) por </w:t>
      </w:r>
      <w:r>
        <w:t xml:space="preserve">un monto de </w:t>
      </w:r>
      <w:r w:rsidRPr="002746C4">
        <w:t>Q</w:t>
      </w:r>
      <w:r>
        <w:t>.</w:t>
      </w:r>
      <w:r w:rsidRPr="002746C4">
        <w:t>215.9 millones</w:t>
      </w:r>
      <w:r w:rsidR="00D11D3E">
        <w:t>,</w:t>
      </w:r>
      <w:r w:rsidRPr="002746C4">
        <w:t xml:space="preserve"> correspondientes al </w:t>
      </w:r>
      <w:r w:rsidR="00D11D3E">
        <w:t>P</w:t>
      </w:r>
      <w:r w:rsidRPr="002746C4">
        <w:t xml:space="preserve">rograma de </w:t>
      </w:r>
      <w:r w:rsidR="00D11D3E">
        <w:t>I</w:t>
      </w:r>
      <w:r w:rsidRPr="002746C4">
        <w:t xml:space="preserve">nversión y </w:t>
      </w:r>
      <w:r w:rsidR="00D11D3E">
        <w:t>M</w:t>
      </w:r>
      <w:r w:rsidRPr="002746C4">
        <w:t xml:space="preserve">odernización para el </w:t>
      </w:r>
      <w:r w:rsidR="00D11D3E">
        <w:t>S</w:t>
      </w:r>
      <w:r w:rsidRPr="002746C4">
        <w:t xml:space="preserve">ector </w:t>
      </w:r>
      <w:r w:rsidR="00D11D3E">
        <w:t>J</w:t>
      </w:r>
      <w:r w:rsidRPr="002746C4">
        <w:t>usticia</w:t>
      </w:r>
      <w:r>
        <w:t>;</w:t>
      </w:r>
      <w:r w:rsidRPr="002746C4">
        <w:t xml:space="preserve"> seguidamente </w:t>
      </w:r>
      <w:r>
        <w:t xml:space="preserve">el de </w:t>
      </w:r>
      <w:r w:rsidRPr="002746C4">
        <w:t xml:space="preserve">la Agencia Japonesa de Cooperación Internacional </w:t>
      </w:r>
      <w:r>
        <w:t xml:space="preserve">(JICA) </w:t>
      </w:r>
      <w:r w:rsidRPr="002746C4">
        <w:t>por Q</w:t>
      </w:r>
      <w:r>
        <w:t>.</w:t>
      </w:r>
      <w:r w:rsidRPr="002746C4">
        <w:t xml:space="preserve">103.0 millones </w:t>
      </w:r>
      <w:r>
        <w:t>correspondientes al</w:t>
      </w:r>
      <w:r w:rsidRPr="002746C4">
        <w:t xml:space="preserve"> Pr</w:t>
      </w:r>
      <w:r>
        <w:t>oyecto</w:t>
      </w:r>
      <w:r w:rsidRPr="002746C4">
        <w:t xml:space="preserve"> </w:t>
      </w:r>
      <w:r>
        <w:t>M</w:t>
      </w:r>
      <w:r w:rsidRPr="002746C4">
        <w:t xml:space="preserve">ejoramiento de </w:t>
      </w:r>
      <w:r>
        <w:t>C</w:t>
      </w:r>
      <w:r w:rsidRPr="002746C4">
        <w:t xml:space="preserve">arreteras en </w:t>
      </w:r>
      <w:r w:rsidR="00D11D3E">
        <w:t xml:space="preserve">la </w:t>
      </w:r>
      <w:r>
        <w:t>ZONAPAZ.</w:t>
      </w:r>
    </w:p>
    <w:p w:rsidR="00272741" w:rsidRDefault="00272741" w:rsidP="00272741">
      <w:pPr>
        <w:jc w:val="both"/>
      </w:pPr>
    </w:p>
    <w:p w:rsidR="00054C08" w:rsidRDefault="00054C08" w:rsidP="00272741">
      <w:pPr>
        <w:jc w:val="both"/>
      </w:pPr>
    </w:p>
    <w:p w:rsidR="00054C08" w:rsidRDefault="00054C08" w:rsidP="00272741">
      <w:pPr>
        <w:jc w:val="both"/>
      </w:pPr>
    </w:p>
    <w:p w:rsidR="009648DA" w:rsidRPr="00362D7A" w:rsidRDefault="009648DA" w:rsidP="00272741">
      <w:pPr>
        <w:jc w:val="both"/>
        <w:rPr>
          <w:sz w:val="36"/>
        </w:rPr>
      </w:pPr>
    </w:p>
    <w:p w:rsidR="00272741" w:rsidRDefault="00272741" w:rsidP="00272741">
      <w:pPr>
        <w:pStyle w:val="Ttulo2"/>
        <w:numPr>
          <w:ilvl w:val="0"/>
          <w:numId w:val="3"/>
        </w:numPr>
        <w:spacing w:line="276" w:lineRule="auto"/>
        <w:ind w:left="567" w:hanging="567"/>
        <w:rPr>
          <w:rFonts w:ascii="Times New Roman" w:hAnsi="Times New Roman"/>
          <w:color w:val="auto"/>
          <w:sz w:val="24"/>
          <w:szCs w:val="24"/>
        </w:rPr>
      </w:pPr>
      <w:bookmarkStart w:id="14" w:name="_Toc97729975"/>
      <w:bookmarkStart w:id="15" w:name="_Toc98924131"/>
      <w:r>
        <w:rPr>
          <w:rFonts w:ascii="Times New Roman" w:hAnsi="Times New Roman"/>
          <w:color w:val="auto"/>
          <w:sz w:val="24"/>
          <w:szCs w:val="24"/>
        </w:rPr>
        <w:t>Ingresos Fiscales</w:t>
      </w:r>
      <w:bookmarkEnd w:id="14"/>
      <w:bookmarkEnd w:id="15"/>
    </w:p>
    <w:p w:rsidR="00272741" w:rsidRPr="00362D7A" w:rsidRDefault="00272741" w:rsidP="00272741">
      <w:pPr>
        <w:rPr>
          <w:sz w:val="28"/>
        </w:rPr>
      </w:pPr>
    </w:p>
    <w:p w:rsidR="00272741" w:rsidRPr="007761F8" w:rsidRDefault="00272741" w:rsidP="00272741">
      <w:pPr>
        <w:jc w:val="both"/>
      </w:pPr>
      <w:r w:rsidRPr="007761F8">
        <w:t xml:space="preserve">Durante el </w:t>
      </w:r>
      <w:r w:rsidR="00D11D3E" w:rsidRPr="007761F8">
        <w:t>E</w:t>
      </w:r>
      <w:r w:rsidRPr="007761F8">
        <w:t xml:space="preserve">jercicio </w:t>
      </w:r>
      <w:r w:rsidR="00D11D3E" w:rsidRPr="007761F8">
        <w:t>F</w:t>
      </w:r>
      <w:r w:rsidRPr="007761F8">
        <w:t xml:space="preserve">iscal 2021, los ingresos totales </w:t>
      </w:r>
      <w:r w:rsidR="004F1102" w:rsidRPr="007761F8">
        <w:t xml:space="preserve">devengados </w:t>
      </w:r>
      <w:r w:rsidRPr="007761F8">
        <w:t xml:space="preserve">del Gobierno Central alcanzaron </w:t>
      </w:r>
      <w:r w:rsidR="004F1102" w:rsidRPr="007761F8">
        <w:t>el</w:t>
      </w:r>
      <w:r w:rsidRPr="007761F8">
        <w:t xml:space="preserve"> monto de Q.</w:t>
      </w:r>
      <w:r w:rsidR="002D0486" w:rsidRPr="007761F8">
        <w:t>104,923.</w:t>
      </w:r>
      <w:r w:rsidR="00CD0D02" w:rsidRPr="007761F8">
        <w:t>9</w:t>
      </w:r>
      <w:r w:rsidRPr="007761F8">
        <w:t xml:space="preserve"> millones</w:t>
      </w:r>
      <w:r w:rsidR="007761F8" w:rsidRPr="007761F8">
        <w:t xml:space="preserve">, entre los cuales </w:t>
      </w:r>
      <w:r w:rsidRPr="007761F8">
        <w:t xml:space="preserve">destaca la participación de los ingresos tributarios que representaron el </w:t>
      </w:r>
      <w:r w:rsidR="00CD0D02" w:rsidRPr="007761F8">
        <w:t>74.4</w:t>
      </w:r>
      <w:r w:rsidRPr="007761F8">
        <w:t>% de los ingresos percibidos.</w:t>
      </w:r>
    </w:p>
    <w:p w:rsidR="00272741" w:rsidRPr="00362D7A" w:rsidRDefault="00272741" w:rsidP="00272741">
      <w:pPr>
        <w:jc w:val="both"/>
        <w:rPr>
          <w:sz w:val="28"/>
        </w:rPr>
      </w:pPr>
    </w:p>
    <w:p w:rsidR="00272741" w:rsidRPr="007761F8" w:rsidRDefault="00272741" w:rsidP="00272741">
      <w:pPr>
        <w:jc w:val="both"/>
      </w:pPr>
      <w:r w:rsidRPr="007761F8">
        <w:t xml:space="preserve">Los Ingresos No Tributarios se </w:t>
      </w:r>
      <w:r w:rsidR="00CD0D02" w:rsidRPr="007761F8">
        <w:t>percibieron en</w:t>
      </w:r>
      <w:r w:rsidRPr="007761F8">
        <w:t xml:space="preserve"> Q.</w:t>
      </w:r>
      <w:r w:rsidR="00CD0D02" w:rsidRPr="007761F8">
        <w:t>694.1</w:t>
      </w:r>
      <w:r w:rsidRPr="007761F8">
        <w:t xml:space="preserve"> millones</w:t>
      </w:r>
      <w:r w:rsidR="00CD0D02" w:rsidRPr="007761F8">
        <w:t>;</w:t>
      </w:r>
      <w:r w:rsidRPr="007761F8">
        <w:t xml:space="preserve"> destacan adicionalmente, los  ingresos por endeudamiento público mediante la colocación neta de Bonos del Tesoro </w:t>
      </w:r>
      <w:r w:rsidR="00CD0D02" w:rsidRPr="007761F8">
        <w:t xml:space="preserve">en </w:t>
      </w:r>
      <w:r w:rsidRPr="007761F8">
        <w:t>Q.</w:t>
      </w:r>
      <w:r w:rsidR="00CD0D02" w:rsidRPr="007761F8">
        <w:t>17,986.0</w:t>
      </w:r>
      <w:r w:rsidRPr="007761F8">
        <w:t xml:space="preserve"> millones; por contribuciones a la seguridad y previsión social </w:t>
      </w:r>
      <w:r w:rsidR="00CD0D02" w:rsidRPr="007761F8">
        <w:t xml:space="preserve">en </w:t>
      </w:r>
      <w:r w:rsidRPr="007761F8">
        <w:t>Q.</w:t>
      </w:r>
      <w:r w:rsidR="00CD0D02" w:rsidRPr="007761F8">
        <w:t xml:space="preserve">2,669.8 </w:t>
      </w:r>
      <w:r w:rsidRPr="007761F8">
        <w:t>millones</w:t>
      </w:r>
      <w:r w:rsidR="00CD0D02" w:rsidRPr="007761F8">
        <w:t>; por</w:t>
      </w:r>
      <w:r w:rsidRPr="007761F8">
        <w:t xml:space="preserve"> endeudamiento público mediante préstamos externos</w:t>
      </w:r>
      <w:r w:rsidR="00CD0D02" w:rsidRPr="007761F8">
        <w:t xml:space="preserve"> en Q.4,642.8 millones</w:t>
      </w:r>
      <w:r w:rsidRPr="007761F8">
        <w:t xml:space="preserve"> y Q.</w:t>
      </w:r>
      <w:r w:rsidR="00CD0D02" w:rsidRPr="007761F8">
        <w:t>431.0</w:t>
      </w:r>
      <w:r w:rsidRPr="007761F8">
        <w:t xml:space="preserve"> millones </w:t>
      </w:r>
      <w:r w:rsidR="00CD0D02" w:rsidRPr="007761F8">
        <w:t>por venta de bienes y servicios de la administración pública.</w:t>
      </w:r>
    </w:p>
    <w:p w:rsidR="00272741" w:rsidRPr="009648DA" w:rsidRDefault="00272741" w:rsidP="00272741">
      <w:pPr>
        <w:jc w:val="both"/>
        <w:rPr>
          <w:sz w:val="44"/>
        </w:rPr>
      </w:pPr>
    </w:p>
    <w:p w:rsidR="00272741" w:rsidRPr="007761F8" w:rsidRDefault="00272741" w:rsidP="00272741">
      <w:pPr>
        <w:tabs>
          <w:tab w:val="left" w:pos="426"/>
        </w:tabs>
        <w:jc w:val="center"/>
        <w:rPr>
          <w:b/>
        </w:rPr>
      </w:pPr>
      <w:r w:rsidRPr="007761F8">
        <w:rPr>
          <w:b/>
        </w:rPr>
        <w:t>Cuadro 2</w:t>
      </w:r>
    </w:p>
    <w:p w:rsidR="00272741" w:rsidRPr="007761F8" w:rsidRDefault="00272741" w:rsidP="00272741">
      <w:pPr>
        <w:tabs>
          <w:tab w:val="left" w:pos="426"/>
        </w:tabs>
        <w:jc w:val="center"/>
        <w:rPr>
          <w:b/>
        </w:rPr>
      </w:pPr>
      <w:r w:rsidRPr="007761F8">
        <w:rPr>
          <w:b/>
        </w:rPr>
        <w:t>Ingresos Totales</w:t>
      </w:r>
    </w:p>
    <w:p w:rsidR="00272741" w:rsidRPr="007761F8" w:rsidRDefault="00272741" w:rsidP="00272741">
      <w:pPr>
        <w:tabs>
          <w:tab w:val="left" w:pos="426"/>
        </w:tabs>
        <w:jc w:val="center"/>
        <w:rPr>
          <w:b/>
        </w:rPr>
      </w:pPr>
      <w:r w:rsidRPr="007761F8">
        <w:rPr>
          <w:b/>
        </w:rPr>
        <w:t>Ejercicio Fiscal 2021*</w:t>
      </w:r>
    </w:p>
    <w:p w:rsidR="00272741" w:rsidRPr="007761F8" w:rsidRDefault="00272741" w:rsidP="00272741">
      <w:pPr>
        <w:tabs>
          <w:tab w:val="left" w:pos="426"/>
        </w:tabs>
        <w:jc w:val="center"/>
        <w:rPr>
          <w:b/>
        </w:rPr>
      </w:pPr>
      <w:r w:rsidRPr="007761F8">
        <w:rPr>
          <w:b/>
        </w:rPr>
        <w:t>(Cifras en Millones de Quetzales)</w:t>
      </w:r>
    </w:p>
    <w:tbl>
      <w:tblPr>
        <w:tblW w:w="9497" w:type="dxa"/>
        <w:tblCellMar>
          <w:left w:w="70" w:type="dxa"/>
          <w:right w:w="70" w:type="dxa"/>
        </w:tblCellMar>
        <w:tblLook w:val="04A0" w:firstRow="1" w:lastRow="0" w:firstColumn="1" w:lastColumn="0" w:noHBand="0" w:noVBand="1"/>
      </w:tblPr>
      <w:tblGrid>
        <w:gridCol w:w="4531"/>
        <w:gridCol w:w="1418"/>
        <w:gridCol w:w="1276"/>
        <w:gridCol w:w="1275"/>
        <w:gridCol w:w="997"/>
      </w:tblGrid>
      <w:tr w:rsidR="00027A1A" w:rsidRPr="00027A1A" w:rsidTr="00362D7A">
        <w:trPr>
          <w:trHeight w:val="630"/>
        </w:trPr>
        <w:tc>
          <w:tcPr>
            <w:tcW w:w="4531"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027A1A" w:rsidRPr="00027A1A" w:rsidRDefault="00027A1A" w:rsidP="00027A1A">
            <w:pPr>
              <w:jc w:val="center"/>
              <w:rPr>
                <w:b/>
                <w:bCs/>
                <w:sz w:val="22"/>
                <w:szCs w:val="22"/>
                <w:lang w:val="es-GT" w:eastAsia="es-GT"/>
              </w:rPr>
            </w:pPr>
            <w:r w:rsidRPr="00027A1A">
              <w:rPr>
                <w:b/>
                <w:bCs/>
                <w:sz w:val="22"/>
                <w:szCs w:val="22"/>
                <w:lang w:val="es-GT" w:eastAsia="es-GT"/>
              </w:rPr>
              <w:t>Clase de Ingresos</w:t>
            </w:r>
          </w:p>
        </w:tc>
        <w:tc>
          <w:tcPr>
            <w:tcW w:w="1418" w:type="dxa"/>
            <w:tcBorders>
              <w:top w:val="single" w:sz="4" w:space="0" w:color="auto"/>
              <w:left w:val="nil"/>
              <w:bottom w:val="single" w:sz="4" w:space="0" w:color="auto"/>
              <w:right w:val="single" w:sz="4" w:space="0" w:color="auto"/>
            </w:tcBorders>
            <w:shd w:val="clear" w:color="000000" w:fill="8DB4E2"/>
            <w:noWrap/>
            <w:vAlign w:val="center"/>
            <w:hideMark/>
          </w:tcPr>
          <w:p w:rsidR="00027A1A" w:rsidRPr="00027A1A" w:rsidRDefault="00027A1A" w:rsidP="00027A1A">
            <w:pPr>
              <w:jc w:val="center"/>
              <w:rPr>
                <w:b/>
                <w:bCs/>
                <w:sz w:val="22"/>
                <w:szCs w:val="22"/>
                <w:lang w:val="es-GT" w:eastAsia="es-GT"/>
              </w:rPr>
            </w:pPr>
            <w:r w:rsidRPr="00027A1A">
              <w:rPr>
                <w:b/>
                <w:bCs/>
                <w:sz w:val="22"/>
                <w:szCs w:val="22"/>
                <w:lang w:val="es-GT" w:eastAsia="es-GT"/>
              </w:rPr>
              <w:t>Aprobado</w:t>
            </w:r>
          </w:p>
        </w:tc>
        <w:tc>
          <w:tcPr>
            <w:tcW w:w="1276" w:type="dxa"/>
            <w:tcBorders>
              <w:top w:val="single" w:sz="4" w:space="0" w:color="auto"/>
              <w:left w:val="nil"/>
              <w:bottom w:val="single" w:sz="4" w:space="0" w:color="auto"/>
              <w:right w:val="single" w:sz="4" w:space="0" w:color="auto"/>
            </w:tcBorders>
            <w:shd w:val="clear" w:color="000000" w:fill="8DB4E2"/>
            <w:noWrap/>
            <w:vAlign w:val="center"/>
            <w:hideMark/>
          </w:tcPr>
          <w:p w:rsidR="00027A1A" w:rsidRPr="00027A1A" w:rsidRDefault="00027A1A" w:rsidP="00027A1A">
            <w:pPr>
              <w:jc w:val="center"/>
              <w:rPr>
                <w:b/>
                <w:bCs/>
                <w:sz w:val="22"/>
                <w:szCs w:val="22"/>
                <w:lang w:val="es-GT" w:eastAsia="es-GT"/>
              </w:rPr>
            </w:pPr>
            <w:r w:rsidRPr="00027A1A">
              <w:rPr>
                <w:b/>
                <w:bCs/>
                <w:sz w:val="22"/>
                <w:szCs w:val="22"/>
                <w:lang w:val="es-GT" w:eastAsia="es-GT"/>
              </w:rPr>
              <w:t>Devengado</w:t>
            </w:r>
          </w:p>
        </w:tc>
        <w:tc>
          <w:tcPr>
            <w:tcW w:w="1275" w:type="dxa"/>
            <w:tcBorders>
              <w:top w:val="single" w:sz="4" w:space="0" w:color="auto"/>
              <w:left w:val="nil"/>
              <w:bottom w:val="single" w:sz="4" w:space="0" w:color="auto"/>
              <w:right w:val="single" w:sz="4" w:space="0" w:color="auto"/>
            </w:tcBorders>
            <w:shd w:val="clear" w:color="000000" w:fill="8DB4E2"/>
            <w:noWrap/>
            <w:vAlign w:val="center"/>
            <w:hideMark/>
          </w:tcPr>
          <w:p w:rsidR="00027A1A" w:rsidRPr="00027A1A" w:rsidRDefault="00027A1A" w:rsidP="00027A1A">
            <w:pPr>
              <w:jc w:val="center"/>
              <w:rPr>
                <w:b/>
                <w:bCs/>
                <w:sz w:val="22"/>
                <w:szCs w:val="22"/>
                <w:lang w:val="es-GT" w:eastAsia="es-GT"/>
              </w:rPr>
            </w:pPr>
            <w:r w:rsidRPr="00027A1A">
              <w:rPr>
                <w:b/>
                <w:bCs/>
                <w:sz w:val="22"/>
                <w:szCs w:val="22"/>
                <w:lang w:val="es-GT" w:eastAsia="es-GT"/>
              </w:rPr>
              <w:t>Diferencia</w:t>
            </w:r>
          </w:p>
        </w:tc>
        <w:tc>
          <w:tcPr>
            <w:tcW w:w="997" w:type="dxa"/>
            <w:tcBorders>
              <w:top w:val="single" w:sz="4" w:space="0" w:color="auto"/>
              <w:left w:val="nil"/>
              <w:bottom w:val="single" w:sz="4" w:space="0" w:color="auto"/>
              <w:right w:val="single" w:sz="4" w:space="0" w:color="auto"/>
            </w:tcBorders>
            <w:shd w:val="clear" w:color="000000" w:fill="8DB4E2"/>
            <w:noWrap/>
            <w:vAlign w:val="center"/>
            <w:hideMark/>
          </w:tcPr>
          <w:p w:rsidR="00027A1A" w:rsidRPr="00027A1A" w:rsidRDefault="00027A1A" w:rsidP="00027A1A">
            <w:pPr>
              <w:jc w:val="center"/>
              <w:rPr>
                <w:b/>
                <w:bCs/>
                <w:sz w:val="22"/>
                <w:szCs w:val="22"/>
                <w:lang w:val="es-GT" w:eastAsia="es-GT"/>
              </w:rPr>
            </w:pPr>
            <w:r>
              <w:rPr>
                <w:b/>
                <w:bCs/>
                <w:sz w:val="22"/>
                <w:szCs w:val="22"/>
                <w:lang w:val="es-GT" w:eastAsia="es-GT"/>
              </w:rPr>
              <w:t>%</w:t>
            </w:r>
          </w:p>
        </w:tc>
      </w:tr>
      <w:tr w:rsidR="00027A1A" w:rsidRPr="00027A1A" w:rsidTr="00FF3DDF">
        <w:trPr>
          <w:trHeight w:val="330"/>
        </w:trPr>
        <w:tc>
          <w:tcPr>
            <w:tcW w:w="4531" w:type="dxa"/>
            <w:tcBorders>
              <w:top w:val="single" w:sz="4" w:space="0" w:color="auto"/>
              <w:left w:val="single" w:sz="4" w:space="0" w:color="auto"/>
              <w:bottom w:val="nil"/>
              <w:right w:val="single" w:sz="4" w:space="0" w:color="auto"/>
            </w:tcBorders>
            <w:shd w:val="clear" w:color="auto" w:fill="auto"/>
            <w:noWrap/>
            <w:vAlign w:val="bottom"/>
            <w:hideMark/>
          </w:tcPr>
          <w:p w:rsidR="00027A1A" w:rsidRPr="00027A1A" w:rsidRDefault="00027A1A" w:rsidP="00027A1A">
            <w:pPr>
              <w:rPr>
                <w:color w:val="000000"/>
                <w:sz w:val="22"/>
                <w:szCs w:val="22"/>
                <w:lang w:val="es-GT" w:eastAsia="es-GT"/>
              </w:rPr>
            </w:pPr>
            <w:r w:rsidRPr="00027A1A">
              <w:rPr>
                <w:color w:val="000000"/>
                <w:sz w:val="22"/>
                <w:szCs w:val="22"/>
                <w:lang w:val="es-GT" w:eastAsia="es-GT"/>
              </w:rPr>
              <w:t>Ingresos Tributarios</w:t>
            </w:r>
          </w:p>
        </w:tc>
        <w:tc>
          <w:tcPr>
            <w:tcW w:w="1418" w:type="dxa"/>
            <w:tcBorders>
              <w:top w:val="single" w:sz="4" w:space="0" w:color="auto"/>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64,027.7</w:t>
            </w:r>
          </w:p>
        </w:tc>
        <w:tc>
          <w:tcPr>
            <w:tcW w:w="1276" w:type="dxa"/>
            <w:tcBorders>
              <w:top w:val="single" w:sz="4" w:space="0" w:color="auto"/>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78,019.1</w:t>
            </w:r>
          </w:p>
        </w:tc>
        <w:tc>
          <w:tcPr>
            <w:tcW w:w="1275" w:type="dxa"/>
            <w:tcBorders>
              <w:top w:val="single" w:sz="4" w:space="0" w:color="auto"/>
              <w:left w:val="nil"/>
              <w:bottom w:val="nil"/>
              <w:right w:val="single" w:sz="4" w:space="0" w:color="auto"/>
            </w:tcBorders>
            <w:shd w:val="clear" w:color="auto" w:fill="auto"/>
            <w:noWrap/>
            <w:vAlign w:val="bottom"/>
            <w:hideMark/>
          </w:tcPr>
          <w:p w:rsidR="00027A1A" w:rsidRPr="00027A1A" w:rsidRDefault="009F5F77" w:rsidP="00027A1A">
            <w:pPr>
              <w:jc w:val="right"/>
              <w:rPr>
                <w:color w:val="000000"/>
                <w:sz w:val="22"/>
                <w:szCs w:val="22"/>
                <w:lang w:val="es-GT" w:eastAsia="es-GT"/>
              </w:rPr>
            </w:pPr>
            <w:r>
              <w:rPr>
                <w:color w:val="000000"/>
                <w:sz w:val="22"/>
                <w:szCs w:val="22"/>
                <w:lang w:val="es-GT" w:eastAsia="es-GT"/>
              </w:rPr>
              <w:t>-</w:t>
            </w:r>
            <w:r w:rsidR="00027A1A" w:rsidRPr="00027A1A">
              <w:rPr>
                <w:color w:val="000000"/>
                <w:sz w:val="22"/>
                <w:szCs w:val="22"/>
                <w:lang w:val="es-GT" w:eastAsia="es-GT"/>
              </w:rPr>
              <w:t>13,991.4</w:t>
            </w:r>
          </w:p>
        </w:tc>
        <w:tc>
          <w:tcPr>
            <w:tcW w:w="997" w:type="dxa"/>
            <w:tcBorders>
              <w:top w:val="single" w:sz="4" w:space="0" w:color="auto"/>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74.4%</w:t>
            </w:r>
          </w:p>
        </w:tc>
      </w:tr>
      <w:tr w:rsidR="00027A1A" w:rsidRPr="00027A1A" w:rsidTr="00FF3DDF">
        <w:trPr>
          <w:trHeight w:val="330"/>
        </w:trPr>
        <w:tc>
          <w:tcPr>
            <w:tcW w:w="4531" w:type="dxa"/>
            <w:tcBorders>
              <w:top w:val="nil"/>
              <w:left w:val="single" w:sz="4" w:space="0" w:color="auto"/>
              <w:bottom w:val="nil"/>
              <w:right w:val="single" w:sz="4" w:space="0" w:color="auto"/>
            </w:tcBorders>
            <w:shd w:val="clear" w:color="auto" w:fill="auto"/>
            <w:noWrap/>
            <w:vAlign w:val="bottom"/>
            <w:hideMark/>
          </w:tcPr>
          <w:p w:rsidR="00027A1A" w:rsidRPr="00027A1A" w:rsidRDefault="00027A1A" w:rsidP="00027A1A">
            <w:pPr>
              <w:rPr>
                <w:color w:val="000000"/>
                <w:sz w:val="22"/>
                <w:szCs w:val="22"/>
                <w:lang w:val="es-GT" w:eastAsia="es-GT"/>
              </w:rPr>
            </w:pPr>
            <w:r w:rsidRPr="00027A1A">
              <w:rPr>
                <w:color w:val="000000"/>
                <w:sz w:val="22"/>
                <w:szCs w:val="22"/>
                <w:lang w:val="es-GT" w:eastAsia="es-GT"/>
              </w:rPr>
              <w:t>Ingresos No Tributarios</w:t>
            </w:r>
          </w:p>
        </w:tc>
        <w:tc>
          <w:tcPr>
            <w:tcW w:w="1418"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817.2</w:t>
            </w:r>
          </w:p>
        </w:tc>
        <w:tc>
          <w:tcPr>
            <w:tcW w:w="1276"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694.1</w:t>
            </w:r>
          </w:p>
        </w:tc>
        <w:tc>
          <w:tcPr>
            <w:tcW w:w="1275"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123.1</w:t>
            </w:r>
          </w:p>
        </w:tc>
        <w:tc>
          <w:tcPr>
            <w:tcW w:w="997"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0.7%</w:t>
            </w:r>
          </w:p>
        </w:tc>
      </w:tr>
      <w:tr w:rsidR="00027A1A" w:rsidRPr="00027A1A" w:rsidTr="00FF3DDF">
        <w:trPr>
          <w:trHeight w:val="330"/>
        </w:trPr>
        <w:tc>
          <w:tcPr>
            <w:tcW w:w="4531" w:type="dxa"/>
            <w:tcBorders>
              <w:top w:val="nil"/>
              <w:left w:val="single" w:sz="4" w:space="0" w:color="auto"/>
              <w:bottom w:val="nil"/>
              <w:right w:val="single" w:sz="4" w:space="0" w:color="auto"/>
            </w:tcBorders>
            <w:shd w:val="clear" w:color="auto" w:fill="auto"/>
            <w:noWrap/>
            <w:vAlign w:val="bottom"/>
            <w:hideMark/>
          </w:tcPr>
          <w:p w:rsidR="00027A1A" w:rsidRPr="00027A1A" w:rsidRDefault="00027A1A" w:rsidP="00027A1A">
            <w:pPr>
              <w:rPr>
                <w:color w:val="000000"/>
                <w:sz w:val="22"/>
                <w:szCs w:val="22"/>
                <w:lang w:val="es-GT" w:eastAsia="es-GT"/>
              </w:rPr>
            </w:pPr>
            <w:r w:rsidRPr="00027A1A">
              <w:rPr>
                <w:color w:val="000000"/>
                <w:sz w:val="22"/>
                <w:szCs w:val="22"/>
                <w:lang w:val="es-GT" w:eastAsia="es-GT"/>
              </w:rPr>
              <w:t>Contribuciones a la Seguridad y Previsión Social</w:t>
            </w:r>
          </w:p>
        </w:tc>
        <w:tc>
          <w:tcPr>
            <w:tcW w:w="1418"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2,587.2</w:t>
            </w:r>
          </w:p>
        </w:tc>
        <w:tc>
          <w:tcPr>
            <w:tcW w:w="1276"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2,669.8</w:t>
            </w:r>
          </w:p>
        </w:tc>
        <w:tc>
          <w:tcPr>
            <w:tcW w:w="1275" w:type="dxa"/>
            <w:tcBorders>
              <w:top w:val="nil"/>
              <w:left w:val="nil"/>
              <w:bottom w:val="nil"/>
              <w:right w:val="single" w:sz="4" w:space="0" w:color="auto"/>
            </w:tcBorders>
            <w:shd w:val="clear" w:color="auto" w:fill="auto"/>
            <w:noWrap/>
            <w:vAlign w:val="bottom"/>
            <w:hideMark/>
          </w:tcPr>
          <w:p w:rsidR="00027A1A" w:rsidRPr="00027A1A" w:rsidRDefault="009F5F77" w:rsidP="00027A1A">
            <w:pPr>
              <w:jc w:val="right"/>
              <w:rPr>
                <w:color w:val="000000"/>
                <w:sz w:val="22"/>
                <w:szCs w:val="22"/>
                <w:lang w:val="es-GT" w:eastAsia="es-GT"/>
              </w:rPr>
            </w:pPr>
            <w:r>
              <w:rPr>
                <w:color w:val="000000"/>
                <w:sz w:val="22"/>
                <w:szCs w:val="22"/>
                <w:lang w:val="es-GT" w:eastAsia="es-GT"/>
              </w:rPr>
              <w:t>-</w:t>
            </w:r>
            <w:r w:rsidR="00027A1A" w:rsidRPr="00027A1A">
              <w:rPr>
                <w:color w:val="000000"/>
                <w:sz w:val="22"/>
                <w:szCs w:val="22"/>
                <w:lang w:val="es-GT" w:eastAsia="es-GT"/>
              </w:rPr>
              <w:t>82.6</w:t>
            </w:r>
          </w:p>
        </w:tc>
        <w:tc>
          <w:tcPr>
            <w:tcW w:w="997"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2.5%</w:t>
            </w:r>
          </w:p>
        </w:tc>
      </w:tr>
      <w:tr w:rsidR="00027A1A" w:rsidRPr="00027A1A" w:rsidTr="00FF3DDF">
        <w:trPr>
          <w:trHeight w:val="330"/>
        </w:trPr>
        <w:tc>
          <w:tcPr>
            <w:tcW w:w="4531" w:type="dxa"/>
            <w:tcBorders>
              <w:top w:val="nil"/>
              <w:left w:val="single" w:sz="4" w:space="0" w:color="auto"/>
              <w:bottom w:val="nil"/>
              <w:right w:val="single" w:sz="4" w:space="0" w:color="auto"/>
            </w:tcBorders>
            <w:shd w:val="clear" w:color="auto" w:fill="auto"/>
            <w:noWrap/>
            <w:vAlign w:val="bottom"/>
            <w:hideMark/>
          </w:tcPr>
          <w:p w:rsidR="00027A1A" w:rsidRPr="00027A1A" w:rsidRDefault="00027A1A" w:rsidP="00027A1A">
            <w:pPr>
              <w:rPr>
                <w:color w:val="000000"/>
                <w:sz w:val="22"/>
                <w:szCs w:val="22"/>
                <w:lang w:val="es-GT" w:eastAsia="es-GT"/>
              </w:rPr>
            </w:pPr>
            <w:r w:rsidRPr="00027A1A">
              <w:rPr>
                <w:color w:val="000000"/>
                <w:sz w:val="22"/>
                <w:szCs w:val="22"/>
                <w:lang w:val="es-GT" w:eastAsia="es-GT"/>
              </w:rPr>
              <w:t>Venta de Bienes y Servicios de la Administración Pública</w:t>
            </w:r>
          </w:p>
        </w:tc>
        <w:tc>
          <w:tcPr>
            <w:tcW w:w="1418"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415.7</w:t>
            </w:r>
          </w:p>
        </w:tc>
        <w:tc>
          <w:tcPr>
            <w:tcW w:w="1276"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431.0</w:t>
            </w:r>
          </w:p>
        </w:tc>
        <w:tc>
          <w:tcPr>
            <w:tcW w:w="1275" w:type="dxa"/>
            <w:tcBorders>
              <w:top w:val="nil"/>
              <w:left w:val="nil"/>
              <w:bottom w:val="nil"/>
              <w:right w:val="single" w:sz="4" w:space="0" w:color="auto"/>
            </w:tcBorders>
            <w:shd w:val="clear" w:color="auto" w:fill="auto"/>
            <w:noWrap/>
            <w:vAlign w:val="bottom"/>
            <w:hideMark/>
          </w:tcPr>
          <w:p w:rsidR="00027A1A" w:rsidRPr="00027A1A" w:rsidRDefault="009F5F77" w:rsidP="00027A1A">
            <w:pPr>
              <w:jc w:val="right"/>
              <w:rPr>
                <w:color w:val="000000"/>
                <w:sz w:val="22"/>
                <w:szCs w:val="22"/>
                <w:lang w:val="es-GT" w:eastAsia="es-GT"/>
              </w:rPr>
            </w:pPr>
            <w:r>
              <w:rPr>
                <w:color w:val="000000"/>
                <w:sz w:val="22"/>
                <w:szCs w:val="22"/>
                <w:lang w:val="es-GT" w:eastAsia="es-GT"/>
              </w:rPr>
              <w:t>-</w:t>
            </w:r>
            <w:r w:rsidR="00027A1A" w:rsidRPr="00027A1A">
              <w:rPr>
                <w:color w:val="000000"/>
                <w:sz w:val="22"/>
                <w:szCs w:val="22"/>
                <w:lang w:val="es-GT" w:eastAsia="es-GT"/>
              </w:rPr>
              <w:t>15.3</w:t>
            </w:r>
          </w:p>
        </w:tc>
        <w:tc>
          <w:tcPr>
            <w:tcW w:w="997"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0.4%</w:t>
            </w:r>
          </w:p>
        </w:tc>
      </w:tr>
      <w:tr w:rsidR="00027A1A" w:rsidRPr="00027A1A" w:rsidTr="00FF3DDF">
        <w:trPr>
          <w:trHeight w:val="330"/>
        </w:trPr>
        <w:tc>
          <w:tcPr>
            <w:tcW w:w="4531" w:type="dxa"/>
            <w:tcBorders>
              <w:top w:val="nil"/>
              <w:left w:val="single" w:sz="4" w:space="0" w:color="auto"/>
              <w:bottom w:val="nil"/>
              <w:right w:val="single" w:sz="4" w:space="0" w:color="auto"/>
            </w:tcBorders>
            <w:shd w:val="clear" w:color="auto" w:fill="auto"/>
            <w:noWrap/>
            <w:vAlign w:val="bottom"/>
            <w:hideMark/>
          </w:tcPr>
          <w:p w:rsidR="00027A1A" w:rsidRPr="00027A1A" w:rsidRDefault="00027A1A" w:rsidP="00027A1A">
            <w:pPr>
              <w:rPr>
                <w:color w:val="000000"/>
                <w:sz w:val="22"/>
                <w:szCs w:val="22"/>
                <w:lang w:val="es-GT" w:eastAsia="es-GT"/>
              </w:rPr>
            </w:pPr>
            <w:r w:rsidRPr="00027A1A">
              <w:rPr>
                <w:color w:val="000000"/>
                <w:sz w:val="22"/>
                <w:szCs w:val="22"/>
                <w:lang w:val="es-GT" w:eastAsia="es-GT"/>
              </w:rPr>
              <w:t>Rentas de la Propiedad</w:t>
            </w:r>
          </w:p>
        </w:tc>
        <w:tc>
          <w:tcPr>
            <w:tcW w:w="1418"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423.5</w:t>
            </w:r>
          </w:p>
        </w:tc>
        <w:tc>
          <w:tcPr>
            <w:tcW w:w="1276"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167.4</w:t>
            </w:r>
          </w:p>
        </w:tc>
        <w:tc>
          <w:tcPr>
            <w:tcW w:w="1275"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256.1</w:t>
            </w:r>
          </w:p>
        </w:tc>
        <w:tc>
          <w:tcPr>
            <w:tcW w:w="997"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0.2%</w:t>
            </w:r>
          </w:p>
        </w:tc>
      </w:tr>
      <w:tr w:rsidR="00027A1A" w:rsidRPr="00027A1A" w:rsidTr="00FF3DDF">
        <w:trPr>
          <w:trHeight w:val="330"/>
        </w:trPr>
        <w:tc>
          <w:tcPr>
            <w:tcW w:w="4531" w:type="dxa"/>
            <w:tcBorders>
              <w:top w:val="nil"/>
              <w:left w:val="single" w:sz="4" w:space="0" w:color="auto"/>
              <w:bottom w:val="nil"/>
              <w:right w:val="single" w:sz="4" w:space="0" w:color="auto"/>
            </w:tcBorders>
            <w:shd w:val="clear" w:color="auto" w:fill="auto"/>
            <w:noWrap/>
            <w:vAlign w:val="bottom"/>
            <w:hideMark/>
          </w:tcPr>
          <w:p w:rsidR="00027A1A" w:rsidRPr="00027A1A" w:rsidRDefault="00027A1A" w:rsidP="00027A1A">
            <w:pPr>
              <w:rPr>
                <w:color w:val="000000"/>
                <w:sz w:val="22"/>
                <w:szCs w:val="22"/>
                <w:lang w:val="es-GT" w:eastAsia="es-GT"/>
              </w:rPr>
            </w:pPr>
            <w:r w:rsidRPr="00027A1A">
              <w:rPr>
                <w:color w:val="000000"/>
                <w:sz w:val="22"/>
                <w:szCs w:val="22"/>
                <w:lang w:val="es-GT" w:eastAsia="es-GT"/>
              </w:rPr>
              <w:t>Transferencias Corrientes</w:t>
            </w:r>
          </w:p>
        </w:tc>
        <w:tc>
          <w:tcPr>
            <w:tcW w:w="1418"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272.8</w:t>
            </w:r>
          </w:p>
        </w:tc>
        <w:tc>
          <w:tcPr>
            <w:tcW w:w="1276"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131.0</w:t>
            </w:r>
          </w:p>
        </w:tc>
        <w:tc>
          <w:tcPr>
            <w:tcW w:w="1275"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141.8</w:t>
            </w:r>
          </w:p>
        </w:tc>
        <w:tc>
          <w:tcPr>
            <w:tcW w:w="997"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0.1%</w:t>
            </w:r>
          </w:p>
        </w:tc>
      </w:tr>
      <w:tr w:rsidR="00027A1A" w:rsidRPr="00027A1A" w:rsidTr="00FF3DDF">
        <w:trPr>
          <w:trHeight w:val="330"/>
        </w:trPr>
        <w:tc>
          <w:tcPr>
            <w:tcW w:w="4531" w:type="dxa"/>
            <w:tcBorders>
              <w:top w:val="nil"/>
              <w:left w:val="single" w:sz="4" w:space="0" w:color="auto"/>
              <w:bottom w:val="nil"/>
              <w:right w:val="single" w:sz="4" w:space="0" w:color="auto"/>
            </w:tcBorders>
            <w:shd w:val="clear" w:color="auto" w:fill="auto"/>
            <w:noWrap/>
            <w:vAlign w:val="bottom"/>
            <w:hideMark/>
          </w:tcPr>
          <w:p w:rsidR="00027A1A" w:rsidRPr="00027A1A" w:rsidRDefault="00027A1A" w:rsidP="00027A1A">
            <w:pPr>
              <w:rPr>
                <w:color w:val="000000"/>
                <w:sz w:val="22"/>
                <w:szCs w:val="22"/>
                <w:lang w:val="es-GT" w:eastAsia="es-GT"/>
              </w:rPr>
            </w:pPr>
            <w:r w:rsidRPr="00027A1A">
              <w:rPr>
                <w:color w:val="000000"/>
                <w:sz w:val="22"/>
                <w:szCs w:val="22"/>
                <w:lang w:val="es-GT" w:eastAsia="es-GT"/>
              </w:rPr>
              <w:t>Transferencias de Capital</w:t>
            </w:r>
          </w:p>
        </w:tc>
        <w:tc>
          <w:tcPr>
            <w:tcW w:w="1418"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0.0</w:t>
            </w:r>
          </w:p>
        </w:tc>
        <w:tc>
          <w:tcPr>
            <w:tcW w:w="1276"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60.7</w:t>
            </w:r>
          </w:p>
        </w:tc>
        <w:tc>
          <w:tcPr>
            <w:tcW w:w="1275" w:type="dxa"/>
            <w:tcBorders>
              <w:top w:val="nil"/>
              <w:left w:val="nil"/>
              <w:bottom w:val="nil"/>
              <w:right w:val="single" w:sz="4" w:space="0" w:color="auto"/>
            </w:tcBorders>
            <w:shd w:val="clear" w:color="auto" w:fill="auto"/>
            <w:noWrap/>
            <w:vAlign w:val="bottom"/>
            <w:hideMark/>
          </w:tcPr>
          <w:p w:rsidR="00027A1A" w:rsidRPr="00027A1A" w:rsidRDefault="009F5F77" w:rsidP="00027A1A">
            <w:pPr>
              <w:jc w:val="right"/>
              <w:rPr>
                <w:color w:val="000000"/>
                <w:sz w:val="22"/>
                <w:szCs w:val="22"/>
                <w:lang w:val="es-GT" w:eastAsia="es-GT"/>
              </w:rPr>
            </w:pPr>
            <w:r>
              <w:rPr>
                <w:color w:val="000000"/>
                <w:sz w:val="22"/>
                <w:szCs w:val="22"/>
                <w:lang w:val="es-GT" w:eastAsia="es-GT"/>
              </w:rPr>
              <w:t>-</w:t>
            </w:r>
            <w:r w:rsidR="00027A1A" w:rsidRPr="00027A1A">
              <w:rPr>
                <w:color w:val="000000"/>
                <w:sz w:val="22"/>
                <w:szCs w:val="22"/>
                <w:lang w:val="es-GT" w:eastAsia="es-GT"/>
              </w:rPr>
              <w:t>60.7</w:t>
            </w:r>
          </w:p>
        </w:tc>
        <w:tc>
          <w:tcPr>
            <w:tcW w:w="997"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0.1%</w:t>
            </w:r>
          </w:p>
        </w:tc>
      </w:tr>
      <w:tr w:rsidR="00027A1A" w:rsidRPr="00027A1A" w:rsidTr="00FF3DDF">
        <w:trPr>
          <w:trHeight w:val="330"/>
        </w:trPr>
        <w:tc>
          <w:tcPr>
            <w:tcW w:w="4531" w:type="dxa"/>
            <w:tcBorders>
              <w:top w:val="nil"/>
              <w:left w:val="single" w:sz="4" w:space="0" w:color="auto"/>
              <w:bottom w:val="nil"/>
              <w:right w:val="single" w:sz="4" w:space="0" w:color="auto"/>
            </w:tcBorders>
            <w:shd w:val="clear" w:color="auto" w:fill="auto"/>
            <w:noWrap/>
            <w:vAlign w:val="bottom"/>
            <w:hideMark/>
          </w:tcPr>
          <w:p w:rsidR="00027A1A" w:rsidRPr="00027A1A" w:rsidRDefault="00027A1A" w:rsidP="00027A1A">
            <w:pPr>
              <w:rPr>
                <w:color w:val="000000"/>
                <w:sz w:val="22"/>
                <w:szCs w:val="22"/>
                <w:lang w:val="es-GT" w:eastAsia="es-GT"/>
              </w:rPr>
            </w:pPr>
            <w:r w:rsidRPr="00027A1A">
              <w:rPr>
                <w:color w:val="000000"/>
                <w:sz w:val="22"/>
                <w:szCs w:val="22"/>
                <w:lang w:val="es-GT" w:eastAsia="es-GT"/>
              </w:rPr>
              <w:t>Recuperación de Préstamos de Largo Plazo</w:t>
            </w:r>
          </w:p>
        </w:tc>
        <w:tc>
          <w:tcPr>
            <w:tcW w:w="1418"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3.4</w:t>
            </w:r>
          </w:p>
        </w:tc>
        <w:tc>
          <w:tcPr>
            <w:tcW w:w="1276"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122.0</w:t>
            </w:r>
          </w:p>
        </w:tc>
        <w:tc>
          <w:tcPr>
            <w:tcW w:w="1275" w:type="dxa"/>
            <w:tcBorders>
              <w:top w:val="nil"/>
              <w:left w:val="nil"/>
              <w:bottom w:val="nil"/>
              <w:right w:val="single" w:sz="4" w:space="0" w:color="auto"/>
            </w:tcBorders>
            <w:shd w:val="clear" w:color="auto" w:fill="auto"/>
            <w:noWrap/>
            <w:vAlign w:val="bottom"/>
            <w:hideMark/>
          </w:tcPr>
          <w:p w:rsidR="00027A1A" w:rsidRPr="00027A1A" w:rsidRDefault="009F5F77" w:rsidP="00027A1A">
            <w:pPr>
              <w:jc w:val="right"/>
              <w:rPr>
                <w:color w:val="000000"/>
                <w:sz w:val="22"/>
                <w:szCs w:val="22"/>
                <w:lang w:val="es-GT" w:eastAsia="es-GT"/>
              </w:rPr>
            </w:pPr>
            <w:r>
              <w:rPr>
                <w:color w:val="000000"/>
                <w:sz w:val="22"/>
                <w:szCs w:val="22"/>
                <w:lang w:val="es-GT" w:eastAsia="es-GT"/>
              </w:rPr>
              <w:t>-</w:t>
            </w:r>
            <w:r w:rsidR="00027A1A" w:rsidRPr="00027A1A">
              <w:rPr>
                <w:color w:val="000000"/>
                <w:sz w:val="22"/>
                <w:szCs w:val="22"/>
                <w:lang w:val="es-GT" w:eastAsia="es-GT"/>
              </w:rPr>
              <w:t>118.6</w:t>
            </w:r>
          </w:p>
        </w:tc>
        <w:tc>
          <w:tcPr>
            <w:tcW w:w="997"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0.1%</w:t>
            </w:r>
          </w:p>
        </w:tc>
      </w:tr>
      <w:tr w:rsidR="00027A1A" w:rsidRPr="00027A1A" w:rsidTr="00FF3DDF">
        <w:trPr>
          <w:trHeight w:val="330"/>
        </w:trPr>
        <w:tc>
          <w:tcPr>
            <w:tcW w:w="4531" w:type="dxa"/>
            <w:tcBorders>
              <w:top w:val="nil"/>
              <w:left w:val="single" w:sz="4" w:space="0" w:color="auto"/>
              <w:bottom w:val="nil"/>
              <w:right w:val="single" w:sz="4" w:space="0" w:color="auto"/>
            </w:tcBorders>
            <w:shd w:val="clear" w:color="auto" w:fill="auto"/>
            <w:noWrap/>
            <w:vAlign w:val="bottom"/>
            <w:hideMark/>
          </w:tcPr>
          <w:p w:rsidR="00027A1A" w:rsidRPr="00027A1A" w:rsidRDefault="00027A1A" w:rsidP="00027A1A">
            <w:pPr>
              <w:rPr>
                <w:color w:val="000000"/>
                <w:sz w:val="22"/>
                <w:szCs w:val="22"/>
                <w:lang w:val="es-GT" w:eastAsia="es-GT"/>
              </w:rPr>
            </w:pPr>
            <w:r w:rsidRPr="00027A1A">
              <w:rPr>
                <w:color w:val="000000"/>
                <w:sz w:val="22"/>
                <w:szCs w:val="22"/>
                <w:lang w:val="es-GT" w:eastAsia="es-GT"/>
              </w:rPr>
              <w:t>Disminución de Otros Activos Financieros</w:t>
            </w:r>
          </w:p>
        </w:tc>
        <w:tc>
          <w:tcPr>
            <w:tcW w:w="1418"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3,367.4</w:t>
            </w:r>
          </w:p>
        </w:tc>
        <w:tc>
          <w:tcPr>
            <w:tcW w:w="1276"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0.0</w:t>
            </w:r>
          </w:p>
        </w:tc>
        <w:tc>
          <w:tcPr>
            <w:tcW w:w="1275"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3,367.4</w:t>
            </w:r>
          </w:p>
        </w:tc>
        <w:tc>
          <w:tcPr>
            <w:tcW w:w="997"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0.0%</w:t>
            </w:r>
          </w:p>
        </w:tc>
      </w:tr>
      <w:tr w:rsidR="00027A1A" w:rsidRPr="00027A1A" w:rsidTr="00FF3DDF">
        <w:trPr>
          <w:trHeight w:val="330"/>
        </w:trPr>
        <w:tc>
          <w:tcPr>
            <w:tcW w:w="4531" w:type="dxa"/>
            <w:tcBorders>
              <w:top w:val="nil"/>
              <w:left w:val="single" w:sz="4" w:space="0" w:color="auto"/>
              <w:bottom w:val="nil"/>
              <w:right w:val="single" w:sz="4" w:space="0" w:color="auto"/>
            </w:tcBorders>
            <w:shd w:val="clear" w:color="auto" w:fill="auto"/>
            <w:noWrap/>
            <w:vAlign w:val="bottom"/>
            <w:hideMark/>
          </w:tcPr>
          <w:p w:rsidR="00027A1A" w:rsidRPr="00027A1A" w:rsidRDefault="00027A1A" w:rsidP="00027A1A">
            <w:pPr>
              <w:rPr>
                <w:color w:val="000000"/>
                <w:sz w:val="22"/>
                <w:szCs w:val="22"/>
                <w:lang w:val="es-GT" w:eastAsia="es-GT"/>
              </w:rPr>
            </w:pPr>
            <w:r w:rsidRPr="00027A1A">
              <w:rPr>
                <w:color w:val="000000"/>
                <w:sz w:val="22"/>
                <w:szCs w:val="22"/>
                <w:lang w:val="es-GT" w:eastAsia="es-GT"/>
              </w:rPr>
              <w:t>Endeudamiento Público Interno</w:t>
            </w:r>
          </w:p>
        </w:tc>
        <w:tc>
          <w:tcPr>
            <w:tcW w:w="1418"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30,048.0</w:t>
            </w:r>
          </w:p>
        </w:tc>
        <w:tc>
          <w:tcPr>
            <w:tcW w:w="1276"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17,986.0</w:t>
            </w:r>
          </w:p>
        </w:tc>
        <w:tc>
          <w:tcPr>
            <w:tcW w:w="1275"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12,062.0</w:t>
            </w:r>
          </w:p>
        </w:tc>
        <w:tc>
          <w:tcPr>
            <w:tcW w:w="997"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17.1%</w:t>
            </w:r>
          </w:p>
        </w:tc>
      </w:tr>
      <w:tr w:rsidR="00027A1A" w:rsidRPr="00027A1A" w:rsidTr="00FF3DDF">
        <w:trPr>
          <w:trHeight w:val="330"/>
        </w:trPr>
        <w:tc>
          <w:tcPr>
            <w:tcW w:w="4531" w:type="dxa"/>
            <w:tcBorders>
              <w:top w:val="nil"/>
              <w:left w:val="single" w:sz="4" w:space="0" w:color="auto"/>
              <w:bottom w:val="nil"/>
              <w:right w:val="single" w:sz="4" w:space="0" w:color="auto"/>
            </w:tcBorders>
            <w:shd w:val="clear" w:color="auto" w:fill="auto"/>
            <w:noWrap/>
            <w:vAlign w:val="bottom"/>
            <w:hideMark/>
          </w:tcPr>
          <w:p w:rsidR="00027A1A" w:rsidRPr="00027A1A" w:rsidRDefault="00027A1A" w:rsidP="00027A1A">
            <w:pPr>
              <w:rPr>
                <w:color w:val="000000"/>
                <w:sz w:val="22"/>
                <w:szCs w:val="22"/>
                <w:lang w:val="es-GT" w:eastAsia="es-GT"/>
              </w:rPr>
            </w:pPr>
            <w:r w:rsidRPr="00027A1A">
              <w:rPr>
                <w:color w:val="000000"/>
                <w:sz w:val="22"/>
                <w:szCs w:val="22"/>
                <w:lang w:val="es-GT" w:eastAsia="es-GT"/>
              </w:rPr>
              <w:t>Endeudamiento Público Externo</w:t>
            </w:r>
          </w:p>
        </w:tc>
        <w:tc>
          <w:tcPr>
            <w:tcW w:w="1418"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5,558.7</w:t>
            </w:r>
          </w:p>
        </w:tc>
        <w:tc>
          <w:tcPr>
            <w:tcW w:w="1276"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4,642.8</w:t>
            </w:r>
          </w:p>
        </w:tc>
        <w:tc>
          <w:tcPr>
            <w:tcW w:w="1275"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915.9</w:t>
            </w:r>
          </w:p>
        </w:tc>
        <w:tc>
          <w:tcPr>
            <w:tcW w:w="997" w:type="dxa"/>
            <w:tcBorders>
              <w:top w:val="nil"/>
              <w:left w:val="nil"/>
              <w:bottom w:val="nil"/>
              <w:right w:val="single" w:sz="4" w:space="0" w:color="auto"/>
            </w:tcBorders>
            <w:shd w:val="clear" w:color="auto" w:fill="auto"/>
            <w:noWrap/>
            <w:vAlign w:val="bottom"/>
            <w:hideMark/>
          </w:tcPr>
          <w:p w:rsidR="00027A1A" w:rsidRPr="00027A1A" w:rsidRDefault="00027A1A" w:rsidP="00027A1A">
            <w:pPr>
              <w:jc w:val="right"/>
              <w:rPr>
                <w:color w:val="000000"/>
                <w:sz w:val="22"/>
                <w:szCs w:val="22"/>
                <w:lang w:val="es-GT" w:eastAsia="es-GT"/>
              </w:rPr>
            </w:pPr>
            <w:r w:rsidRPr="00027A1A">
              <w:rPr>
                <w:color w:val="000000"/>
                <w:sz w:val="22"/>
                <w:szCs w:val="22"/>
                <w:lang w:val="es-GT" w:eastAsia="es-GT"/>
              </w:rPr>
              <w:t>4.4%</w:t>
            </w:r>
          </w:p>
        </w:tc>
      </w:tr>
      <w:tr w:rsidR="00027A1A" w:rsidRPr="00027A1A" w:rsidTr="00FF3DDF">
        <w:trPr>
          <w:trHeight w:val="330"/>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rsidR="00027A1A" w:rsidRPr="00027A1A" w:rsidRDefault="00027A1A" w:rsidP="00027A1A">
            <w:pPr>
              <w:jc w:val="center"/>
              <w:rPr>
                <w:b/>
                <w:bCs/>
                <w:color w:val="000000"/>
                <w:sz w:val="22"/>
                <w:szCs w:val="22"/>
                <w:lang w:val="es-GT" w:eastAsia="es-GT"/>
              </w:rPr>
            </w:pPr>
            <w:r w:rsidRPr="00027A1A">
              <w:rPr>
                <w:b/>
                <w:bCs/>
                <w:color w:val="000000"/>
                <w:sz w:val="22"/>
                <w:szCs w:val="22"/>
                <w:lang w:val="es-GT" w:eastAsia="es-GT"/>
              </w:rPr>
              <w:t>Total</w:t>
            </w:r>
          </w:p>
        </w:tc>
        <w:tc>
          <w:tcPr>
            <w:tcW w:w="1418" w:type="dxa"/>
            <w:tcBorders>
              <w:top w:val="nil"/>
              <w:left w:val="nil"/>
              <w:bottom w:val="single" w:sz="4" w:space="0" w:color="auto"/>
              <w:right w:val="single" w:sz="4" w:space="0" w:color="auto"/>
            </w:tcBorders>
            <w:shd w:val="clear" w:color="auto" w:fill="auto"/>
            <w:noWrap/>
            <w:vAlign w:val="bottom"/>
            <w:hideMark/>
          </w:tcPr>
          <w:p w:rsidR="00027A1A" w:rsidRPr="00027A1A" w:rsidRDefault="00027A1A" w:rsidP="00027A1A">
            <w:pPr>
              <w:jc w:val="right"/>
              <w:rPr>
                <w:b/>
                <w:bCs/>
                <w:color w:val="000000"/>
                <w:sz w:val="22"/>
                <w:szCs w:val="22"/>
                <w:lang w:val="es-GT" w:eastAsia="es-GT"/>
              </w:rPr>
            </w:pPr>
            <w:r w:rsidRPr="00027A1A">
              <w:rPr>
                <w:b/>
                <w:bCs/>
                <w:color w:val="000000"/>
                <w:sz w:val="22"/>
                <w:szCs w:val="22"/>
                <w:lang w:val="es-GT" w:eastAsia="es-GT"/>
              </w:rPr>
              <w:t>107,521.5</w:t>
            </w:r>
          </w:p>
        </w:tc>
        <w:tc>
          <w:tcPr>
            <w:tcW w:w="1276" w:type="dxa"/>
            <w:tcBorders>
              <w:top w:val="nil"/>
              <w:left w:val="nil"/>
              <w:bottom w:val="single" w:sz="4" w:space="0" w:color="auto"/>
              <w:right w:val="single" w:sz="4" w:space="0" w:color="auto"/>
            </w:tcBorders>
            <w:shd w:val="clear" w:color="auto" w:fill="auto"/>
            <w:noWrap/>
            <w:vAlign w:val="bottom"/>
            <w:hideMark/>
          </w:tcPr>
          <w:p w:rsidR="00027A1A" w:rsidRPr="00027A1A" w:rsidRDefault="00027A1A" w:rsidP="00027A1A">
            <w:pPr>
              <w:jc w:val="right"/>
              <w:rPr>
                <w:b/>
                <w:bCs/>
                <w:color w:val="000000"/>
                <w:sz w:val="22"/>
                <w:szCs w:val="22"/>
                <w:lang w:val="es-GT" w:eastAsia="es-GT"/>
              </w:rPr>
            </w:pPr>
            <w:r w:rsidRPr="00027A1A">
              <w:rPr>
                <w:b/>
                <w:bCs/>
                <w:color w:val="000000"/>
                <w:sz w:val="22"/>
                <w:szCs w:val="22"/>
                <w:lang w:val="es-GT" w:eastAsia="es-GT"/>
              </w:rPr>
              <w:t>104,923.9</w:t>
            </w:r>
          </w:p>
        </w:tc>
        <w:tc>
          <w:tcPr>
            <w:tcW w:w="1275" w:type="dxa"/>
            <w:tcBorders>
              <w:top w:val="nil"/>
              <w:left w:val="nil"/>
              <w:bottom w:val="single" w:sz="4" w:space="0" w:color="auto"/>
              <w:right w:val="single" w:sz="4" w:space="0" w:color="auto"/>
            </w:tcBorders>
            <w:shd w:val="clear" w:color="auto" w:fill="auto"/>
            <w:noWrap/>
            <w:vAlign w:val="bottom"/>
            <w:hideMark/>
          </w:tcPr>
          <w:p w:rsidR="00027A1A" w:rsidRPr="00027A1A" w:rsidRDefault="00027A1A" w:rsidP="00027A1A">
            <w:pPr>
              <w:jc w:val="right"/>
              <w:rPr>
                <w:b/>
                <w:bCs/>
                <w:color w:val="000000"/>
                <w:sz w:val="22"/>
                <w:szCs w:val="22"/>
                <w:lang w:val="es-GT" w:eastAsia="es-GT"/>
              </w:rPr>
            </w:pPr>
            <w:r w:rsidRPr="00027A1A">
              <w:rPr>
                <w:b/>
                <w:bCs/>
                <w:color w:val="000000"/>
                <w:sz w:val="22"/>
                <w:szCs w:val="22"/>
                <w:lang w:val="es-GT" w:eastAsia="es-GT"/>
              </w:rPr>
              <w:t>2,597.6</w:t>
            </w:r>
          </w:p>
        </w:tc>
        <w:tc>
          <w:tcPr>
            <w:tcW w:w="997" w:type="dxa"/>
            <w:tcBorders>
              <w:top w:val="nil"/>
              <w:left w:val="nil"/>
              <w:bottom w:val="single" w:sz="4" w:space="0" w:color="auto"/>
              <w:right w:val="single" w:sz="4" w:space="0" w:color="auto"/>
            </w:tcBorders>
            <w:shd w:val="clear" w:color="auto" w:fill="auto"/>
            <w:noWrap/>
            <w:vAlign w:val="bottom"/>
            <w:hideMark/>
          </w:tcPr>
          <w:p w:rsidR="00027A1A" w:rsidRPr="00027A1A" w:rsidRDefault="00027A1A" w:rsidP="00027A1A">
            <w:pPr>
              <w:jc w:val="right"/>
              <w:rPr>
                <w:b/>
                <w:bCs/>
                <w:color w:val="000000"/>
                <w:sz w:val="22"/>
                <w:szCs w:val="22"/>
                <w:lang w:val="es-GT" w:eastAsia="es-GT"/>
              </w:rPr>
            </w:pPr>
            <w:r w:rsidRPr="00027A1A">
              <w:rPr>
                <w:b/>
                <w:bCs/>
                <w:color w:val="000000"/>
                <w:sz w:val="22"/>
                <w:szCs w:val="22"/>
                <w:lang w:val="es-GT" w:eastAsia="es-GT"/>
              </w:rPr>
              <w:t>100.0%</w:t>
            </w:r>
          </w:p>
        </w:tc>
      </w:tr>
    </w:tbl>
    <w:p w:rsidR="00272741" w:rsidRPr="00EB4304" w:rsidRDefault="00272741" w:rsidP="00272741">
      <w:pPr>
        <w:tabs>
          <w:tab w:val="left" w:pos="426"/>
        </w:tabs>
        <w:rPr>
          <w:sz w:val="18"/>
        </w:rPr>
      </w:pPr>
      <w:r w:rsidRPr="00EB4304">
        <w:rPr>
          <w:sz w:val="18"/>
        </w:rPr>
        <w:t>* Cifras preliminares</w:t>
      </w:r>
    </w:p>
    <w:p w:rsidR="00272741" w:rsidRPr="00EB4304" w:rsidRDefault="008777F9" w:rsidP="00272741">
      <w:pPr>
        <w:rPr>
          <w:sz w:val="18"/>
          <w:lang w:val="es-GT"/>
        </w:rPr>
      </w:pPr>
      <w:r>
        <w:rPr>
          <w:sz w:val="18"/>
        </w:rPr>
        <w:t xml:space="preserve">   </w:t>
      </w:r>
      <w:r w:rsidR="00272741" w:rsidRPr="00EB4304">
        <w:rPr>
          <w:sz w:val="18"/>
        </w:rPr>
        <w:t>Fuente: Ministerio de Finanzas Públicas.</w:t>
      </w:r>
    </w:p>
    <w:p w:rsidR="00272741" w:rsidRDefault="00272741" w:rsidP="00272741">
      <w:pPr>
        <w:jc w:val="both"/>
        <w:rPr>
          <w:rFonts w:eastAsia="Calibri"/>
          <w:lang w:val="es-GT" w:eastAsia="es-GT"/>
        </w:rPr>
      </w:pPr>
    </w:p>
    <w:p w:rsidR="00272741" w:rsidRDefault="00272741" w:rsidP="00272741">
      <w:pPr>
        <w:rPr>
          <w:rFonts w:eastAsia="Calibri"/>
          <w:lang w:val="es-GT" w:eastAsia="es-GT"/>
        </w:rPr>
      </w:pPr>
    </w:p>
    <w:p w:rsidR="00272741" w:rsidRPr="00A0139A" w:rsidRDefault="00272741" w:rsidP="00023E5B">
      <w:pPr>
        <w:jc w:val="both"/>
        <w:rPr>
          <w:lang w:val="es-MX"/>
        </w:rPr>
      </w:pPr>
      <w:r>
        <w:rPr>
          <w:lang w:val="es-MX"/>
        </w:rPr>
        <w:t xml:space="preserve">La recaudación de </w:t>
      </w:r>
      <w:r w:rsidRPr="00A0139A">
        <w:rPr>
          <w:lang w:val="es-MX"/>
        </w:rPr>
        <w:t>ingresos tributarios</w:t>
      </w:r>
      <w:r>
        <w:rPr>
          <w:lang w:val="es-MX"/>
        </w:rPr>
        <w:t xml:space="preserve"> acumulada al 31 de diciembre de 2021, </w:t>
      </w:r>
      <w:r w:rsidRPr="00A0139A">
        <w:rPr>
          <w:lang w:val="es-MX"/>
        </w:rPr>
        <w:t>se ubic</w:t>
      </w:r>
      <w:r>
        <w:rPr>
          <w:lang w:val="es-MX"/>
        </w:rPr>
        <w:t>ó en</w:t>
      </w:r>
      <w:r w:rsidRPr="00A0139A">
        <w:rPr>
          <w:lang w:val="es-MX"/>
        </w:rPr>
        <w:t xml:space="preserve"> Q.</w:t>
      </w:r>
      <w:r>
        <w:rPr>
          <w:lang w:val="es-MX"/>
        </w:rPr>
        <w:t>78,019.1</w:t>
      </w:r>
      <w:r w:rsidRPr="00A0139A">
        <w:rPr>
          <w:lang w:val="es-MX"/>
        </w:rPr>
        <w:t xml:space="preserve"> millones, lo</w:t>
      </w:r>
      <w:r w:rsidR="00D11D3E">
        <w:rPr>
          <w:lang w:val="es-MX"/>
        </w:rPr>
        <w:t>s</w:t>
      </w:r>
      <w:r w:rsidRPr="00A0139A">
        <w:rPr>
          <w:lang w:val="es-MX"/>
        </w:rPr>
        <w:t xml:space="preserve"> que represent</w:t>
      </w:r>
      <w:r>
        <w:rPr>
          <w:lang w:val="es-MX"/>
        </w:rPr>
        <w:t>a</w:t>
      </w:r>
      <w:r w:rsidR="00D11D3E">
        <w:rPr>
          <w:lang w:val="es-MX"/>
        </w:rPr>
        <w:t>n</w:t>
      </w:r>
      <w:r w:rsidRPr="00A0139A">
        <w:rPr>
          <w:lang w:val="es-MX"/>
        </w:rPr>
        <w:t xml:space="preserve"> </w:t>
      </w:r>
      <w:r>
        <w:rPr>
          <w:lang w:val="es-MX"/>
        </w:rPr>
        <w:t>un incremento respecto del Ejercicio Fiscal 2020 de Q.17,739.7 millones</w:t>
      </w:r>
      <w:r w:rsidR="00D11D3E">
        <w:rPr>
          <w:lang w:val="es-MX"/>
        </w:rPr>
        <w:t>,</w:t>
      </w:r>
      <w:r>
        <w:rPr>
          <w:lang w:val="es-MX"/>
        </w:rPr>
        <w:t xml:space="preserve"> equivalentes a</w:t>
      </w:r>
      <w:r w:rsidR="00D11D3E">
        <w:rPr>
          <w:lang w:val="es-MX"/>
        </w:rPr>
        <w:t>l</w:t>
      </w:r>
      <w:r>
        <w:rPr>
          <w:lang w:val="es-MX"/>
        </w:rPr>
        <w:t xml:space="preserve"> 29.4</w:t>
      </w:r>
      <w:r w:rsidRPr="00A0139A">
        <w:rPr>
          <w:lang w:val="es-MX"/>
        </w:rPr>
        <w:t>%</w:t>
      </w:r>
      <w:r>
        <w:rPr>
          <w:lang w:val="es-MX"/>
        </w:rPr>
        <w:t>.</w:t>
      </w:r>
    </w:p>
    <w:p w:rsidR="00272741" w:rsidRDefault="00272741" w:rsidP="00272741">
      <w:pPr>
        <w:jc w:val="center"/>
        <w:rPr>
          <w:b/>
          <w:lang w:val="es-MX"/>
        </w:rPr>
      </w:pPr>
    </w:p>
    <w:p w:rsidR="00054C08" w:rsidRDefault="00054C08" w:rsidP="00272741">
      <w:pPr>
        <w:jc w:val="center"/>
        <w:rPr>
          <w:b/>
          <w:lang w:val="es-MX"/>
        </w:rPr>
      </w:pPr>
    </w:p>
    <w:p w:rsidR="00054C08" w:rsidRDefault="00054C08" w:rsidP="00272741">
      <w:pPr>
        <w:jc w:val="center"/>
        <w:rPr>
          <w:b/>
          <w:lang w:val="es-MX"/>
        </w:rPr>
      </w:pPr>
    </w:p>
    <w:p w:rsidR="00272741" w:rsidRPr="00124AD6" w:rsidRDefault="00272741" w:rsidP="00272741">
      <w:pPr>
        <w:jc w:val="center"/>
        <w:rPr>
          <w:b/>
        </w:rPr>
      </w:pPr>
      <w:r w:rsidRPr="00124AD6">
        <w:rPr>
          <w:b/>
        </w:rPr>
        <w:lastRenderedPageBreak/>
        <w:t xml:space="preserve">Gráfica </w:t>
      </w:r>
      <w:r>
        <w:rPr>
          <w:b/>
        </w:rPr>
        <w:t>9</w:t>
      </w:r>
    </w:p>
    <w:p w:rsidR="00272741" w:rsidRDefault="00272741" w:rsidP="00272741">
      <w:pPr>
        <w:jc w:val="center"/>
        <w:rPr>
          <w:b/>
        </w:rPr>
      </w:pPr>
      <w:r w:rsidRPr="00124AD6">
        <w:rPr>
          <w:b/>
        </w:rPr>
        <w:t>Recaudación Tributaria 20</w:t>
      </w:r>
      <w:r>
        <w:rPr>
          <w:b/>
        </w:rPr>
        <w:t>10</w:t>
      </w:r>
      <w:r w:rsidR="00D11D3E">
        <w:rPr>
          <w:b/>
        </w:rPr>
        <w:t xml:space="preserve"> </w:t>
      </w:r>
      <w:r w:rsidRPr="00124AD6">
        <w:rPr>
          <w:b/>
        </w:rPr>
        <w:t>-</w:t>
      </w:r>
      <w:r w:rsidR="00D11D3E">
        <w:rPr>
          <w:b/>
        </w:rPr>
        <w:t xml:space="preserve"> </w:t>
      </w:r>
      <w:r w:rsidRPr="00124AD6">
        <w:rPr>
          <w:b/>
        </w:rPr>
        <w:t>20</w:t>
      </w:r>
      <w:r>
        <w:rPr>
          <w:b/>
        </w:rPr>
        <w:t>21*</w:t>
      </w:r>
    </w:p>
    <w:p w:rsidR="00272741" w:rsidRPr="00124AD6" w:rsidRDefault="00272741" w:rsidP="00272741">
      <w:pPr>
        <w:jc w:val="center"/>
        <w:rPr>
          <w:b/>
        </w:rPr>
      </w:pPr>
      <w:r>
        <w:rPr>
          <w:b/>
        </w:rPr>
        <w:t>Acumulado al 31 de diciembre de cada año</w:t>
      </w:r>
    </w:p>
    <w:p w:rsidR="00272741" w:rsidRDefault="00272741" w:rsidP="00272741">
      <w:pPr>
        <w:jc w:val="center"/>
        <w:rPr>
          <w:b/>
        </w:rPr>
      </w:pPr>
      <w:r w:rsidRPr="00124AD6">
        <w:rPr>
          <w:b/>
        </w:rPr>
        <w:t>(Cifras en Millones de Quetzales)</w:t>
      </w:r>
    </w:p>
    <w:p w:rsidR="00272741" w:rsidRPr="00124AD6" w:rsidRDefault="00272741" w:rsidP="00272741">
      <w:pPr>
        <w:jc w:val="center"/>
      </w:pPr>
      <w:r>
        <w:rPr>
          <w:noProof/>
        </w:rPr>
        <w:drawing>
          <wp:inline distT="0" distB="0" distL="0" distR="0" wp14:anchorId="792A3AE9" wp14:editId="642302B0">
            <wp:extent cx="5916295" cy="3814549"/>
            <wp:effectExtent l="0" t="0" r="8255" b="0"/>
            <wp:docPr id="58" name="Gráfico 58">
              <a:extLst xmlns:a="http://schemas.openxmlformats.org/drawingml/2006/main">
                <a:ext uri="{FF2B5EF4-FFF2-40B4-BE49-F238E27FC236}">
                  <a16:creationId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72741" w:rsidRPr="008777F9" w:rsidRDefault="007F44ED" w:rsidP="00272741">
      <w:pPr>
        <w:jc w:val="both"/>
        <w:rPr>
          <w:sz w:val="18"/>
        </w:rPr>
      </w:pPr>
      <w:r w:rsidRPr="008777F9">
        <w:rPr>
          <w:sz w:val="18"/>
        </w:rPr>
        <w:t xml:space="preserve">                 </w:t>
      </w:r>
      <w:r w:rsidR="00272741" w:rsidRPr="008777F9">
        <w:rPr>
          <w:sz w:val="18"/>
        </w:rPr>
        <w:t>* Cifras preliminares</w:t>
      </w:r>
    </w:p>
    <w:p w:rsidR="00272741" w:rsidRPr="008777F9" w:rsidRDefault="007F44ED" w:rsidP="00272741">
      <w:pPr>
        <w:jc w:val="both"/>
        <w:rPr>
          <w:sz w:val="18"/>
        </w:rPr>
      </w:pPr>
      <w:r w:rsidRPr="008777F9">
        <w:rPr>
          <w:sz w:val="18"/>
        </w:rPr>
        <w:t xml:space="preserve">                    </w:t>
      </w:r>
      <w:r w:rsidR="00272741" w:rsidRPr="008777F9">
        <w:rPr>
          <w:sz w:val="18"/>
        </w:rPr>
        <w:t>Fuente: Ministerio de Finanzas Públicas.</w:t>
      </w:r>
    </w:p>
    <w:p w:rsidR="00272741" w:rsidRPr="008777F9" w:rsidRDefault="00272741" w:rsidP="00272741">
      <w:pPr>
        <w:autoSpaceDE w:val="0"/>
        <w:autoSpaceDN w:val="0"/>
        <w:adjustRightInd w:val="0"/>
        <w:jc w:val="both"/>
        <w:rPr>
          <w:rFonts w:eastAsia="Calibri"/>
          <w:sz w:val="28"/>
          <w:lang w:val="es-GT" w:eastAsia="es-GT"/>
        </w:rPr>
      </w:pPr>
    </w:p>
    <w:p w:rsidR="00272741" w:rsidRDefault="00272741" w:rsidP="00272741">
      <w:pPr>
        <w:jc w:val="both"/>
        <w:rPr>
          <w:lang w:val="es-MX"/>
        </w:rPr>
      </w:pPr>
      <w:r>
        <w:rPr>
          <w:lang w:val="es-MX"/>
        </w:rPr>
        <w:t>L</w:t>
      </w:r>
      <w:r w:rsidRPr="008D35DC">
        <w:rPr>
          <w:lang w:val="es-MX"/>
        </w:rPr>
        <w:t xml:space="preserve">a recaudación de impuestos internos, </w:t>
      </w:r>
      <w:r>
        <w:rPr>
          <w:lang w:val="es-MX"/>
        </w:rPr>
        <w:t>se ubicó en Q.54,299.4 millones, mostrando un incremento en el orden del</w:t>
      </w:r>
      <w:r w:rsidRPr="008D35DC">
        <w:rPr>
          <w:lang w:val="es-MX"/>
        </w:rPr>
        <w:t xml:space="preserve"> </w:t>
      </w:r>
      <w:r>
        <w:rPr>
          <w:lang w:val="es-MX"/>
        </w:rPr>
        <w:t>24.2</w:t>
      </w:r>
      <w:r w:rsidRPr="008D35DC">
        <w:rPr>
          <w:lang w:val="es-MX"/>
        </w:rPr>
        <w:t>%</w:t>
      </w:r>
      <w:r>
        <w:rPr>
          <w:lang w:val="es-MX"/>
        </w:rPr>
        <w:t xml:space="preserve"> respecto del 2020</w:t>
      </w:r>
      <w:r w:rsidRPr="008D35DC">
        <w:rPr>
          <w:lang w:val="es-MX"/>
        </w:rPr>
        <w:t xml:space="preserve">. </w:t>
      </w:r>
      <w:r>
        <w:rPr>
          <w:lang w:val="es-MX"/>
        </w:rPr>
        <w:t xml:space="preserve">Este resultado es </w:t>
      </w:r>
      <w:r w:rsidRPr="008D35DC">
        <w:rPr>
          <w:lang w:val="es-MX"/>
        </w:rPr>
        <w:t xml:space="preserve">producto </w:t>
      </w:r>
      <w:r>
        <w:rPr>
          <w:lang w:val="es-MX"/>
        </w:rPr>
        <w:t>principalmente d</w:t>
      </w:r>
      <w:r w:rsidRPr="001B3F5B">
        <w:rPr>
          <w:lang w:val="es-MX"/>
        </w:rPr>
        <w:t>el buen desempeño del Impuesto Sobre la Renta</w:t>
      </w:r>
      <w:r>
        <w:rPr>
          <w:lang w:val="es-MX"/>
        </w:rPr>
        <w:t xml:space="preserve"> </w:t>
      </w:r>
      <w:r w:rsidR="00B10696">
        <w:rPr>
          <w:lang w:val="es-MX"/>
        </w:rPr>
        <w:t xml:space="preserve">con </w:t>
      </w:r>
      <w:r>
        <w:rPr>
          <w:lang w:val="es-MX"/>
        </w:rPr>
        <w:t>Q.23,287.8 millones (aumento del 39.0% respecto de 2020); Iva Dom</w:t>
      </w:r>
      <w:r w:rsidR="00B10696">
        <w:rPr>
          <w:lang w:val="es-MX"/>
        </w:rPr>
        <w:t>é</w:t>
      </w:r>
      <w:r>
        <w:rPr>
          <w:lang w:val="es-MX"/>
        </w:rPr>
        <w:t>stico por Q.16,750.9 millones (aumento del 14.2% respecto de 2020); y del Impuesto a la Distribución de Petróleo y Derivados por Q.58</w:t>
      </w:r>
      <w:r w:rsidR="00292F58">
        <w:rPr>
          <w:lang w:val="es-MX"/>
        </w:rPr>
        <w:t>1</w:t>
      </w:r>
      <w:r>
        <w:rPr>
          <w:lang w:val="es-MX"/>
        </w:rPr>
        <w:t>.6</w:t>
      </w:r>
      <w:r w:rsidR="00B10696">
        <w:rPr>
          <w:lang w:val="es-MX"/>
        </w:rPr>
        <w:t xml:space="preserve"> millones</w:t>
      </w:r>
      <w:r>
        <w:rPr>
          <w:lang w:val="es-MX"/>
        </w:rPr>
        <w:t xml:space="preserve"> (aumento del 16.7% respecto de 2020).</w:t>
      </w:r>
    </w:p>
    <w:p w:rsidR="00272741" w:rsidRDefault="00272741" w:rsidP="00272741">
      <w:pPr>
        <w:jc w:val="both"/>
        <w:rPr>
          <w:lang w:val="es-MX"/>
        </w:rPr>
      </w:pPr>
    </w:p>
    <w:p w:rsidR="00272741" w:rsidRPr="00023E5B" w:rsidRDefault="00272741" w:rsidP="00272741">
      <w:pPr>
        <w:jc w:val="both"/>
      </w:pPr>
      <w:r w:rsidRPr="00023E5B">
        <w:rPr>
          <w:lang w:val="es-MX"/>
        </w:rPr>
        <w:t xml:space="preserve">Respecto del comportamiento en la recaudación de los impuestos al comercio exterior, estos se ubican en Q.23,719.7 </w:t>
      </w:r>
      <w:r w:rsidR="00B10696" w:rsidRPr="00023E5B">
        <w:rPr>
          <w:lang w:val="es-MX"/>
        </w:rPr>
        <w:t xml:space="preserve">millones, </w:t>
      </w:r>
      <w:r w:rsidRPr="00023E5B">
        <w:rPr>
          <w:lang w:val="es-MX"/>
        </w:rPr>
        <w:t>mostrando un crecimiento interanual de 4</w:t>
      </w:r>
      <w:r w:rsidR="00B10696" w:rsidRPr="00023E5B">
        <w:rPr>
          <w:lang w:val="es-MX"/>
        </w:rPr>
        <w:t>3</w:t>
      </w:r>
      <w:r w:rsidRPr="00023E5B">
        <w:rPr>
          <w:lang w:val="es-MX"/>
        </w:rPr>
        <w:t xml:space="preserve">.1% lo que se explica por la recuperación del IVA de Importaciones </w:t>
      </w:r>
      <w:r w:rsidR="00B10696" w:rsidRPr="00023E5B">
        <w:rPr>
          <w:lang w:val="es-MX"/>
        </w:rPr>
        <w:t xml:space="preserve">en </w:t>
      </w:r>
      <w:r w:rsidRPr="00023E5B">
        <w:rPr>
          <w:lang w:val="es-MX"/>
        </w:rPr>
        <w:t xml:space="preserve">Q.20,234.3 millones (aumento del 43.6% respecto de 2020) y los Derechos Arancelarios </w:t>
      </w:r>
      <w:r w:rsidR="00B10696" w:rsidRPr="00023E5B">
        <w:rPr>
          <w:lang w:val="es-MX"/>
        </w:rPr>
        <w:t xml:space="preserve">de Importación </w:t>
      </w:r>
      <w:r w:rsidRPr="00023E5B">
        <w:rPr>
          <w:lang w:val="es-MX"/>
        </w:rPr>
        <w:t xml:space="preserve">con una recaudación de Q.3,485.4 </w:t>
      </w:r>
      <w:r w:rsidR="00B10696" w:rsidRPr="00023E5B">
        <w:rPr>
          <w:lang w:val="es-MX"/>
        </w:rPr>
        <w:t xml:space="preserve">millones </w:t>
      </w:r>
      <w:r w:rsidRPr="00023E5B">
        <w:rPr>
          <w:lang w:val="es-MX"/>
        </w:rPr>
        <w:t xml:space="preserve">(aumento del 40.1% respecto de 2020). En ambos casos, de acuerdo con el Banco de Guatemala, la variación positiva es resultado </w:t>
      </w:r>
      <w:r w:rsidRPr="00023E5B">
        <w:t xml:space="preserve">de la aceleración en la demanda </w:t>
      </w:r>
      <w:r w:rsidR="00B10696" w:rsidRPr="00023E5B">
        <w:t>de</w:t>
      </w:r>
      <w:r w:rsidRPr="00023E5B">
        <w:t xml:space="preserve"> bienes importados, resultado de la sólida recuperación de la actividad económica (incrementos observados tanto en el precio medio de importación como en los volúmenes importados)</w:t>
      </w:r>
      <w:r w:rsidR="00B10696" w:rsidRPr="00023E5B">
        <w:t>,</w:t>
      </w:r>
      <w:r w:rsidRPr="00023E5B">
        <w:t xml:space="preserve"> destacando además el incremento en los precios internacionales del petróleo que presionaron al alza</w:t>
      </w:r>
      <w:r w:rsidR="00B10696" w:rsidRPr="00023E5B">
        <w:t>,</w:t>
      </w:r>
      <w:r w:rsidRPr="00023E5B">
        <w:t xml:space="preserve"> el pago de </w:t>
      </w:r>
      <w:r w:rsidR="00B10696" w:rsidRPr="00023E5B">
        <w:t xml:space="preserve">la </w:t>
      </w:r>
      <w:r w:rsidRPr="00023E5B">
        <w:t>factura por combustibles y lubricantes.</w:t>
      </w:r>
    </w:p>
    <w:p w:rsidR="00054C08" w:rsidRDefault="00054C08" w:rsidP="00272741">
      <w:pPr>
        <w:jc w:val="both"/>
        <w:rPr>
          <w:lang w:val="es-MX"/>
        </w:rPr>
      </w:pPr>
    </w:p>
    <w:p w:rsidR="009648DA" w:rsidRDefault="009648DA" w:rsidP="00272741">
      <w:pPr>
        <w:jc w:val="both"/>
        <w:rPr>
          <w:lang w:val="es-MX"/>
        </w:rPr>
      </w:pPr>
    </w:p>
    <w:p w:rsidR="00272741" w:rsidRPr="00124AD6" w:rsidRDefault="00272741" w:rsidP="00272741">
      <w:pPr>
        <w:jc w:val="center"/>
        <w:rPr>
          <w:b/>
        </w:rPr>
      </w:pPr>
      <w:r w:rsidRPr="00124AD6">
        <w:rPr>
          <w:b/>
        </w:rPr>
        <w:t xml:space="preserve">Cuadro </w:t>
      </w:r>
      <w:r>
        <w:rPr>
          <w:b/>
        </w:rPr>
        <w:t>3</w:t>
      </w:r>
    </w:p>
    <w:p w:rsidR="00272741" w:rsidRPr="00124AD6" w:rsidRDefault="00272741" w:rsidP="00272741">
      <w:pPr>
        <w:tabs>
          <w:tab w:val="left" w:pos="426"/>
        </w:tabs>
        <w:jc w:val="center"/>
        <w:rPr>
          <w:b/>
        </w:rPr>
      </w:pPr>
      <w:r w:rsidRPr="00124AD6">
        <w:rPr>
          <w:b/>
        </w:rPr>
        <w:t>Ingresos Tributarios Netos de la Administración Central</w:t>
      </w:r>
    </w:p>
    <w:p w:rsidR="00272741" w:rsidRPr="00124AD6" w:rsidRDefault="00272741" w:rsidP="00272741">
      <w:pPr>
        <w:tabs>
          <w:tab w:val="left" w:pos="426"/>
        </w:tabs>
        <w:jc w:val="center"/>
        <w:rPr>
          <w:b/>
        </w:rPr>
      </w:pPr>
      <w:r w:rsidRPr="00124AD6">
        <w:rPr>
          <w:b/>
        </w:rPr>
        <w:t>Ejercicios Fiscales 20</w:t>
      </w:r>
      <w:r>
        <w:rPr>
          <w:b/>
        </w:rPr>
        <w:t>20</w:t>
      </w:r>
      <w:r w:rsidRPr="00124AD6">
        <w:rPr>
          <w:b/>
        </w:rPr>
        <w:t xml:space="preserve"> </w:t>
      </w:r>
      <w:r w:rsidR="004840B3">
        <w:rPr>
          <w:b/>
        </w:rPr>
        <w:t>-</w:t>
      </w:r>
      <w:r w:rsidRPr="00124AD6">
        <w:rPr>
          <w:b/>
        </w:rPr>
        <w:t xml:space="preserve"> 20</w:t>
      </w:r>
      <w:r>
        <w:rPr>
          <w:b/>
        </w:rPr>
        <w:t>21*</w:t>
      </w:r>
    </w:p>
    <w:p w:rsidR="00272741" w:rsidRDefault="00272741" w:rsidP="00272741">
      <w:pPr>
        <w:tabs>
          <w:tab w:val="left" w:pos="426"/>
        </w:tabs>
        <w:jc w:val="center"/>
        <w:rPr>
          <w:b/>
        </w:rPr>
      </w:pPr>
      <w:r w:rsidRPr="00124AD6">
        <w:rPr>
          <w:b/>
        </w:rPr>
        <w:t>(Millones de Quetzales y Porcentajes)</w:t>
      </w:r>
    </w:p>
    <w:tbl>
      <w:tblPr>
        <w:tblW w:w="9209" w:type="dxa"/>
        <w:tblCellMar>
          <w:left w:w="70" w:type="dxa"/>
          <w:right w:w="70" w:type="dxa"/>
        </w:tblCellMar>
        <w:tblLook w:val="04A0" w:firstRow="1" w:lastRow="0" w:firstColumn="1" w:lastColumn="0" w:noHBand="0" w:noVBand="1"/>
      </w:tblPr>
      <w:tblGrid>
        <w:gridCol w:w="4390"/>
        <w:gridCol w:w="1134"/>
        <w:gridCol w:w="1283"/>
        <w:gridCol w:w="1126"/>
        <w:gridCol w:w="1276"/>
      </w:tblGrid>
      <w:tr w:rsidR="00272741" w:rsidRPr="007C48E3" w:rsidTr="00023E5B">
        <w:trPr>
          <w:trHeight w:val="313"/>
        </w:trPr>
        <w:tc>
          <w:tcPr>
            <w:tcW w:w="4390" w:type="dxa"/>
            <w:vMerge w:val="restart"/>
            <w:tcBorders>
              <w:top w:val="single" w:sz="4" w:space="0" w:color="auto"/>
              <w:left w:val="single" w:sz="4" w:space="0" w:color="auto"/>
              <w:bottom w:val="single" w:sz="8" w:space="0" w:color="000000"/>
              <w:right w:val="single" w:sz="8" w:space="0" w:color="auto"/>
            </w:tcBorders>
            <w:shd w:val="clear" w:color="000000" w:fill="1F497D"/>
            <w:vAlign w:val="center"/>
            <w:hideMark/>
          </w:tcPr>
          <w:p w:rsidR="00272741" w:rsidRPr="007C48E3" w:rsidRDefault="00272741" w:rsidP="00A71451">
            <w:pPr>
              <w:jc w:val="center"/>
              <w:rPr>
                <w:b/>
                <w:bCs/>
                <w:color w:val="FFFFFF"/>
                <w:sz w:val="22"/>
                <w:szCs w:val="22"/>
                <w:lang w:val="es-GT" w:eastAsia="es-GT"/>
              </w:rPr>
            </w:pPr>
            <w:r w:rsidRPr="007C48E3">
              <w:rPr>
                <w:b/>
                <w:bCs/>
                <w:color w:val="FFFFFF"/>
                <w:sz w:val="22"/>
                <w:szCs w:val="22"/>
                <w:lang w:val="es-GT" w:eastAsia="es-GT"/>
              </w:rPr>
              <w:t>Concepto</w:t>
            </w:r>
          </w:p>
        </w:tc>
        <w:tc>
          <w:tcPr>
            <w:tcW w:w="1134" w:type="dxa"/>
            <w:vMerge w:val="restart"/>
            <w:tcBorders>
              <w:top w:val="single" w:sz="4" w:space="0" w:color="auto"/>
              <w:left w:val="single" w:sz="8" w:space="0" w:color="auto"/>
              <w:bottom w:val="single" w:sz="8" w:space="0" w:color="000000"/>
              <w:right w:val="single" w:sz="8" w:space="0" w:color="auto"/>
            </w:tcBorders>
            <w:shd w:val="clear" w:color="000000" w:fill="1F497D"/>
            <w:vAlign w:val="center"/>
            <w:hideMark/>
          </w:tcPr>
          <w:p w:rsidR="00272741" w:rsidRPr="007C48E3" w:rsidRDefault="00272741" w:rsidP="00A71451">
            <w:pPr>
              <w:jc w:val="center"/>
              <w:rPr>
                <w:b/>
                <w:bCs/>
                <w:color w:val="FFFFFF"/>
                <w:sz w:val="22"/>
                <w:szCs w:val="22"/>
                <w:lang w:val="es-GT" w:eastAsia="es-GT"/>
              </w:rPr>
            </w:pPr>
            <w:r w:rsidRPr="007C48E3">
              <w:rPr>
                <w:b/>
                <w:bCs/>
                <w:color w:val="FFFFFF"/>
                <w:sz w:val="22"/>
                <w:szCs w:val="22"/>
                <w:lang w:val="es-GT" w:eastAsia="es-GT"/>
              </w:rPr>
              <w:t>2020</w:t>
            </w:r>
          </w:p>
        </w:tc>
        <w:tc>
          <w:tcPr>
            <w:tcW w:w="1283" w:type="dxa"/>
            <w:vMerge w:val="restart"/>
            <w:tcBorders>
              <w:top w:val="single" w:sz="4" w:space="0" w:color="auto"/>
              <w:left w:val="single" w:sz="8" w:space="0" w:color="auto"/>
              <w:bottom w:val="single" w:sz="8" w:space="0" w:color="000000"/>
              <w:right w:val="single" w:sz="8" w:space="0" w:color="auto"/>
            </w:tcBorders>
            <w:shd w:val="clear" w:color="000000" w:fill="1F497D"/>
            <w:vAlign w:val="center"/>
            <w:hideMark/>
          </w:tcPr>
          <w:p w:rsidR="00272741" w:rsidRPr="007C48E3" w:rsidRDefault="00272741" w:rsidP="00A71451">
            <w:pPr>
              <w:jc w:val="center"/>
              <w:rPr>
                <w:b/>
                <w:bCs/>
                <w:color w:val="FFFFFF"/>
                <w:sz w:val="22"/>
                <w:szCs w:val="22"/>
                <w:lang w:val="es-GT" w:eastAsia="es-GT"/>
              </w:rPr>
            </w:pPr>
            <w:r w:rsidRPr="007C48E3">
              <w:rPr>
                <w:b/>
                <w:bCs/>
                <w:color w:val="FFFFFF"/>
                <w:sz w:val="22"/>
                <w:szCs w:val="22"/>
                <w:lang w:val="es-GT" w:eastAsia="es-GT"/>
              </w:rPr>
              <w:t>2021*</w:t>
            </w:r>
          </w:p>
        </w:tc>
        <w:tc>
          <w:tcPr>
            <w:tcW w:w="2402" w:type="dxa"/>
            <w:gridSpan w:val="2"/>
            <w:tcBorders>
              <w:top w:val="single" w:sz="4" w:space="0" w:color="auto"/>
              <w:left w:val="nil"/>
              <w:bottom w:val="single" w:sz="8" w:space="0" w:color="auto"/>
              <w:right w:val="single" w:sz="4" w:space="0" w:color="auto"/>
            </w:tcBorders>
            <w:shd w:val="clear" w:color="000000" w:fill="1F497D"/>
            <w:hideMark/>
          </w:tcPr>
          <w:p w:rsidR="00272741" w:rsidRPr="007C48E3" w:rsidRDefault="00272741" w:rsidP="00A71451">
            <w:pPr>
              <w:jc w:val="center"/>
              <w:rPr>
                <w:b/>
                <w:bCs/>
                <w:color w:val="FFFFFF"/>
                <w:sz w:val="22"/>
                <w:szCs w:val="22"/>
                <w:lang w:val="es-GT" w:eastAsia="es-GT"/>
              </w:rPr>
            </w:pPr>
            <w:r w:rsidRPr="007C48E3">
              <w:rPr>
                <w:b/>
                <w:bCs/>
                <w:color w:val="FFFFFF"/>
                <w:sz w:val="22"/>
                <w:szCs w:val="22"/>
                <w:lang w:val="es-GT" w:eastAsia="es-GT"/>
              </w:rPr>
              <w:t>Diferencia</w:t>
            </w:r>
          </w:p>
        </w:tc>
      </w:tr>
      <w:tr w:rsidR="00272741" w:rsidRPr="007C48E3" w:rsidTr="00023E5B">
        <w:trPr>
          <w:trHeight w:val="313"/>
        </w:trPr>
        <w:tc>
          <w:tcPr>
            <w:tcW w:w="4390" w:type="dxa"/>
            <w:vMerge/>
            <w:tcBorders>
              <w:top w:val="single" w:sz="8" w:space="0" w:color="auto"/>
              <w:left w:val="single" w:sz="4" w:space="0" w:color="auto"/>
              <w:bottom w:val="single" w:sz="8" w:space="0" w:color="000000"/>
              <w:right w:val="single" w:sz="8" w:space="0" w:color="auto"/>
            </w:tcBorders>
            <w:vAlign w:val="center"/>
            <w:hideMark/>
          </w:tcPr>
          <w:p w:rsidR="00272741" w:rsidRPr="007C48E3" w:rsidRDefault="00272741" w:rsidP="00A71451">
            <w:pPr>
              <w:rPr>
                <w:b/>
                <w:bCs/>
                <w:color w:val="FFFFFF"/>
                <w:sz w:val="22"/>
                <w:szCs w:val="22"/>
                <w:lang w:val="es-GT" w:eastAsia="es-GT"/>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rsidR="00272741" w:rsidRPr="007C48E3" w:rsidRDefault="00272741" w:rsidP="00A71451">
            <w:pPr>
              <w:rPr>
                <w:b/>
                <w:bCs/>
                <w:color w:val="FFFFFF"/>
                <w:sz w:val="22"/>
                <w:szCs w:val="22"/>
                <w:lang w:val="es-GT" w:eastAsia="es-GT"/>
              </w:rPr>
            </w:pPr>
          </w:p>
        </w:tc>
        <w:tc>
          <w:tcPr>
            <w:tcW w:w="1283" w:type="dxa"/>
            <w:vMerge/>
            <w:tcBorders>
              <w:top w:val="single" w:sz="8" w:space="0" w:color="auto"/>
              <w:left w:val="single" w:sz="8" w:space="0" w:color="auto"/>
              <w:bottom w:val="single" w:sz="8" w:space="0" w:color="000000"/>
              <w:right w:val="single" w:sz="8" w:space="0" w:color="auto"/>
            </w:tcBorders>
            <w:vAlign w:val="center"/>
            <w:hideMark/>
          </w:tcPr>
          <w:p w:rsidR="00272741" w:rsidRPr="007C48E3" w:rsidRDefault="00272741" w:rsidP="00A71451">
            <w:pPr>
              <w:rPr>
                <w:b/>
                <w:bCs/>
                <w:color w:val="FFFFFF"/>
                <w:sz w:val="22"/>
                <w:szCs w:val="22"/>
                <w:lang w:val="es-GT" w:eastAsia="es-GT"/>
              </w:rPr>
            </w:pPr>
          </w:p>
        </w:tc>
        <w:tc>
          <w:tcPr>
            <w:tcW w:w="1126" w:type="dxa"/>
            <w:tcBorders>
              <w:top w:val="nil"/>
              <w:left w:val="nil"/>
              <w:bottom w:val="single" w:sz="8" w:space="0" w:color="auto"/>
              <w:right w:val="single" w:sz="8" w:space="0" w:color="auto"/>
            </w:tcBorders>
            <w:shd w:val="clear" w:color="000000" w:fill="1F497D"/>
            <w:vAlign w:val="center"/>
            <w:hideMark/>
          </w:tcPr>
          <w:p w:rsidR="00272741" w:rsidRPr="007C48E3" w:rsidRDefault="00272741" w:rsidP="00A71451">
            <w:pPr>
              <w:jc w:val="center"/>
              <w:rPr>
                <w:b/>
                <w:bCs/>
                <w:color w:val="FFFFFF"/>
                <w:sz w:val="22"/>
                <w:szCs w:val="22"/>
                <w:lang w:val="es-GT" w:eastAsia="es-GT"/>
              </w:rPr>
            </w:pPr>
            <w:r w:rsidRPr="007C48E3">
              <w:rPr>
                <w:b/>
                <w:bCs/>
                <w:color w:val="FFFFFF"/>
                <w:sz w:val="22"/>
                <w:szCs w:val="22"/>
                <w:lang w:val="es-GT" w:eastAsia="es-GT"/>
              </w:rPr>
              <w:t>Absoluta</w:t>
            </w:r>
          </w:p>
        </w:tc>
        <w:tc>
          <w:tcPr>
            <w:tcW w:w="1276" w:type="dxa"/>
            <w:tcBorders>
              <w:top w:val="nil"/>
              <w:left w:val="nil"/>
              <w:bottom w:val="single" w:sz="8" w:space="0" w:color="auto"/>
              <w:right w:val="single" w:sz="4" w:space="0" w:color="auto"/>
            </w:tcBorders>
            <w:shd w:val="clear" w:color="000000" w:fill="1F497D"/>
            <w:vAlign w:val="center"/>
            <w:hideMark/>
          </w:tcPr>
          <w:p w:rsidR="00272741" w:rsidRPr="007C48E3" w:rsidRDefault="00272741" w:rsidP="00A71451">
            <w:pPr>
              <w:jc w:val="center"/>
              <w:rPr>
                <w:b/>
                <w:bCs/>
                <w:color w:val="FFFFFF"/>
                <w:sz w:val="22"/>
                <w:szCs w:val="22"/>
                <w:lang w:val="es-GT" w:eastAsia="es-GT"/>
              </w:rPr>
            </w:pPr>
            <w:r w:rsidRPr="007C48E3">
              <w:rPr>
                <w:b/>
                <w:bCs/>
                <w:color w:val="FFFFFF"/>
                <w:sz w:val="22"/>
                <w:szCs w:val="22"/>
                <w:lang w:val="es-GT" w:eastAsia="es-GT"/>
              </w:rPr>
              <w:t>Relativa</w:t>
            </w:r>
          </w:p>
        </w:tc>
      </w:tr>
      <w:tr w:rsidR="00272741" w:rsidRPr="007C48E3" w:rsidTr="00023E5B">
        <w:trPr>
          <w:trHeight w:val="640"/>
        </w:trPr>
        <w:tc>
          <w:tcPr>
            <w:tcW w:w="4390" w:type="dxa"/>
            <w:tcBorders>
              <w:top w:val="nil"/>
              <w:left w:val="single" w:sz="4" w:space="0" w:color="auto"/>
              <w:bottom w:val="single" w:sz="8" w:space="0" w:color="auto"/>
              <w:right w:val="single" w:sz="8" w:space="0" w:color="auto"/>
            </w:tcBorders>
            <w:shd w:val="clear" w:color="000000" w:fill="1F497D"/>
            <w:vAlign w:val="center"/>
            <w:hideMark/>
          </w:tcPr>
          <w:p w:rsidR="00272741" w:rsidRPr="007C48E3" w:rsidRDefault="00272741" w:rsidP="00A71451">
            <w:pPr>
              <w:ind w:firstLineChars="100" w:firstLine="161"/>
              <w:rPr>
                <w:b/>
                <w:bCs/>
                <w:color w:val="FFFFFF"/>
                <w:sz w:val="22"/>
                <w:szCs w:val="22"/>
                <w:lang w:val="es-GT" w:eastAsia="es-GT"/>
              </w:rPr>
            </w:pPr>
            <w:r w:rsidRPr="007C48E3">
              <w:rPr>
                <w:b/>
                <w:bCs/>
                <w:color w:val="FFFFFF"/>
                <w:sz w:val="16"/>
                <w:szCs w:val="22"/>
                <w:lang w:val="es-GT" w:eastAsia="es-GT"/>
              </w:rPr>
              <w:t>IMPUESTOS ASOCIADOS AL COMERCIO EXTERIOR</w:t>
            </w:r>
          </w:p>
        </w:tc>
        <w:tc>
          <w:tcPr>
            <w:tcW w:w="1134" w:type="dxa"/>
            <w:tcBorders>
              <w:top w:val="nil"/>
              <w:left w:val="nil"/>
              <w:bottom w:val="single" w:sz="8" w:space="0" w:color="auto"/>
              <w:right w:val="single" w:sz="8" w:space="0" w:color="auto"/>
            </w:tcBorders>
            <w:shd w:val="clear" w:color="000000" w:fill="1F497D"/>
            <w:vAlign w:val="center"/>
            <w:hideMark/>
          </w:tcPr>
          <w:p w:rsidR="00272741" w:rsidRPr="007C48E3" w:rsidRDefault="00272741" w:rsidP="00A71451">
            <w:pPr>
              <w:jc w:val="right"/>
              <w:rPr>
                <w:b/>
                <w:bCs/>
                <w:color w:val="FFFFFF"/>
                <w:sz w:val="22"/>
                <w:szCs w:val="22"/>
                <w:lang w:val="es-GT" w:eastAsia="es-GT"/>
              </w:rPr>
            </w:pPr>
            <w:r w:rsidRPr="007C48E3">
              <w:rPr>
                <w:b/>
                <w:bCs/>
                <w:color w:val="FFFFFF"/>
                <w:sz w:val="22"/>
                <w:szCs w:val="22"/>
                <w:lang w:val="es-GT" w:eastAsia="es-GT"/>
              </w:rPr>
              <w:t>16,575.3</w:t>
            </w:r>
          </w:p>
        </w:tc>
        <w:tc>
          <w:tcPr>
            <w:tcW w:w="1283" w:type="dxa"/>
            <w:tcBorders>
              <w:top w:val="nil"/>
              <w:left w:val="nil"/>
              <w:bottom w:val="single" w:sz="8" w:space="0" w:color="auto"/>
              <w:right w:val="single" w:sz="8" w:space="0" w:color="auto"/>
            </w:tcBorders>
            <w:shd w:val="clear" w:color="000000" w:fill="1F497D"/>
            <w:vAlign w:val="center"/>
            <w:hideMark/>
          </w:tcPr>
          <w:p w:rsidR="00272741" w:rsidRPr="007C48E3" w:rsidRDefault="00272741" w:rsidP="00A71451">
            <w:pPr>
              <w:jc w:val="right"/>
              <w:rPr>
                <w:b/>
                <w:bCs/>
                <w:color w:val="FFFFFF"/>
                <w:sz w:val="22"/>
                <w:szCs w:val="22"/>
                <w:lang w:val="es-GT" w:eastAsia="es-GT"/>
              </w:rPr>
            </w:pPr>
            <w:r w:rsidRPr="007C48E3">
              <w:rPr>
                <w:b/>
                <w:bCs/>
                <w:color w:val="FFFFFF"/>
                <w:sz w:val="22"/>
                <w:szCs w:val="22"/>
                <w:lang w:val="es-GT" w:eastAsia="es-GT"/>
              </w:rPr>
              <w:t>23,719.7</w:t>
            </w:r>
          </w:p>
        </w:tc>
        <w:tc>
          <w:tcPr>
            <w:tcW w:w="1126" w:type="dxa"/>
            <w:tcBorders>
              <w:top w:val="nil"/>
              <w:left w:val="nil"/>
              <w:bottom w:val="single" w:sz="8" w:space="0" w:color="auto"/>
              <w:right w:val="single" w:sz="8" w:space="0" w:color="auto"/>
            </w:tcBorders>
            <w:shd w:val="clear" w:color="000000" w:fill="1F497D"/>
            <w:vAlign w:val="center"/>
            <w:hideMark/>
          </w:tcPr>
          <w:p w:rsidR="00272741" w:rsidRPr="007C48E3" w:rsidRDefault="00272741" w:rsidP="00A71451">
            <w:pPr>
              <w:jc w:val="right"/>
              <w:rPr>
                <w:b/>
                <w:bCs/>
                <w:color w:val="FFFFFF"/>
                <w:sz w:val="22"/>
                <w:szCs w:val="22"/>
                <w:lang w:val="es-GT" w:eastAsia="es-GT"/>
              </w:rPr>
            </w:pPr>
            <w:r w:rsidRPr="007C48E3">
              <w:rPr>
                <w:b/>
                <w:bCs/>
                <w:color w:val="FFFFFF"/>
                <w:sz w:val="22"/>
                <w:szCs w:val="22"/>
                <w:lang w:val="es-GT" w:eastAsia="es-GT"/>
              </w:rPr>
              <w:t>7,144.4</w:t>
            </w:r>
          </w:p>
        </w:tc>
        <w:tc>
          <w:tcPr>
            <w:tcW w:w="1276" w:type="dxa"/>
            <w:tcBorders>
              <w:top w:val="nil"/>
              <w:left w:val="nil"/>
              <w:bottom w:val="single" w:sz="8" w:space="0" w:color="auto"/>
              <w:right w:val="single" w:sz="4" w:space="0" w:color="auto"/>
            </w:tcBorders>
            <w:shd w:val="clear" w:color="000000" w:fill="1F497D"/>
            <w:vAlign w:val="center"/>
            <w:hideMark/>
          </w:tcPr>
          <w:p w:rsidR="00272741" w:rsidRPr="007C48E3" w:rsidRDefault="00272741" w:rsidP="00A71451">
            <w:pPr>
              <w:jc w:val="right"/>
              <w:rPr>
                <w:b/>
                <w:bCs/>
                <w:color w:val="FFFFFF"/>
                <w:sz w:val="22"/>
                <w:szCs w:val="22"/>
                <w:lang w:val="es-GT" w:eastAsia="es-GT"/>
              </w:rPr>
            </w:pPr>
            <w:r w:rsidRPr="007C48E3">
              <w:rPr>
                <w:b/>
                <w:bCs/>
                <w:color w:val="FFFFFF"/>
                <w:sz w:val="22"/>
                <w:szCs w:val="22"/>
                <w:lang w:val="es-GT" w:eastAsia="es-GT"/>
              </w:rPr>
              <w:t>43.1%</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Impuesto al Valor Agregado de Importaciones</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14,087.9</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20,234.3</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6,146.4</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43.6%</w:t>
            </w:r>
          </w:p>
        </w:tc>
      </w:tr>
      <w:tr w:rsidR="00272741" w:rsidRPr="007C48E3" w:rsidTr="00023E5B">
        <w:trPr>
          <w:trHeight w:val="313"/>
        </w:trPr>
        <w:tc>
          <w:tcPr>
            <w:tcW w:w="4390" w:type="dxa"/>
            <w:tcBorders>
              <w:top w:val="nil"/>
              <w:left w:val="single" w:sz="4" w:space="0" w:color="auto"/>
              <w:bottom w:val="single" w:sz="8" w:space="0" w:color="auto"/>
              <w:right w:val="nil"/>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Derechos Arancelarios a la Importación</w:t>
            </w:r>
          </w:p>
        </w:tc>
        <w:tc>
          <w:tcPr>
            <w:tcW w:w="1134" w:type="dxa"/>
            <w:tcBorders>
              <w:top w:val="nil"/>
              <w:left w:val="single" w:sz="8" w:space="0" w:color="auto"/>
              <w:bottom w:val="single" w:sz="8" w:space="0" w:color="auto"/>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2,487.4</w:t>
            </w:r>
          </w:p>
        </w:tc>
        <w:tc>
          <w:tcPr>
            <w:tcW w:w="1283" w:type="dxa"/>
            <w:tcBorders>
              <w:top w:val="nil"/>
              <w:left w:val="nil"/>
              <w:bottom w:val="single" w:sz="8" w:space="0" w:color="auto"/>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3,485.4</w:t>
            </w:r>
          </w:p>
        </w:tc>
        <w:tc>
          <w:tcPr>
            <w:tcW w:w="1126" w:type="dxa"/>
            <w:tcBorders>
              <w:top w:val="nil"/>
              <w:left w:val="nil"/>
              <w:bottom w:val="single" w:sz="8" w:space="0" w:color="auto"/>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998.0</w:t>
            </w:r>
          </w:p>
        </w:tc>
        <w:tc>
          <w:tcPr>
            <w:tcW w:w="1276" w:type="dxa"/>
            <w:tcBorders>
              <w:top w:val="nil"/>
              <w:left w:val="nil"/>
              <w:bottom w:val="single" w:sz="8" w:space="0" w:color="auto"/>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40.1%</w:t>
            </w:r>
          </w:p>
        </w:tc>
      </w:tr>
      <w:tr w:rsidR="00272741" w:rsidRPr="007C48E3" w:rsidTr="00023E5B">
        <w:trPr>
          <w:trHeight w:val="313"/>
        </w:trPr>
        <w:tc>
          <w:tcPr>
            <w:tcW w:w="4390" w:type="dxa"/>
            <w:tcBorders>
              <w:top w:val="nil"/>
              <w:left w:val="single" w:sz="4" w:space="0" w:color="auto"/>
              <w:bottom w:val="single" w:sz="8" w:space="0" w:color="auto"/>
              <w:right w:val="single" w:sz="8" w:space="0" w:color="auto"/>
            </w:tcBorders>
            <w:shd w:val="clear" w:color="000000" w:fill="1F497D"/>
            <w:vAlign w:val="center"/>
            <w:hideMark/>
          </w:tcPr>
          <w:p w:rsidR="00272741" w:rsidRPr="007C48E3" w:rsidRDefault="00272741" w:rsidP="00A71451">
            <w:pPr>
              <w:ind w:firstLineChars="100" w:firstLine="161"/>
              <w:rPr>
                <w:b/>
                <w:bCs/>
                <w:color w:val="FFFFFF"/>
                <w:sz w:val="22"/>
                <w:szCs w:val="22"/>
                <w:lang w:val="es-GT" w:eastAsia="es-GT"/>
              </w:rPr>
            </w:pPr>
            <w:r w:rsidRPr="007C48E3">
              <w:rPr>
                <w:b/>
                <w:bCs/>
                <w:color w:val="FFFFFF"/>
                <w:sz w:val="16"/>
                <w:szCs w:val="22"/>
                <w:lang w:val="es-GT" w:eastAsia="es-GT"/>
              </w:rPr>
              <w:t>IMPUESTOS INTERNOS</w:t>
            </w:r>
          </w:p>
        </w:tc>
        <w:tc>
          <w:tcPr>
            <w:tcW w:w="1134" w:type="dxa"/>
            <w:tcBorders>
              <w:top w:val="single" w:sz="8" w:space="0" w:color="auto"/>
              <w:left w:val="nil"/>
              <w:bottom w:val="single" w:sz="8" w:space="0" w:color="auto"/>
              <w:right w:val="single" w:sz="8" w:space="0" w:color="auto"/>
            </w:tcBorders>
            <w:shd w:val="clear" w:color="000000" w:fill="1F497D"/>
            <w:vAlign w:val="center"/>
            <w:hideMark/>
          </w:tcPr>
          <w:p w:rsidR="00272741" w:rsidRPr="007C48E3" w:rsidRDefault="00272741" w:rsidP="00A71451">
            <w:pPr>
              <w:jc w:val="right"/>
              <w:rPr>
                <w:b/>
                <w:bCs/>
                <w:color w:val="FFFFFF"/>
                <w:sz w:val="22"/>
                <w:szCs w:val="22"/>
                <w:lang w:val="es-GT" w:eastAsia="es-GT"/>
              </w:rPr>
            </w:pPr>
            <w:r w:rsidRPr="007C48E3">
              <w:rPr>
                <w:b/>
                <w:bCs/>
                <w:color w:val="FFFFFF"/>
                <w:sz w:val="22"/>
                <w:szCs w:val="22"/>
                <w:lang w:val="es-GT" w:eastAsia="es-GT"/>
              </w:rPr>
              <w:t>43,704.1</w:t>
            </w:r>
          </w:p>
        </w:tc>
        <w:tc>
          <w:tcPr>
            <w:tcW w:w="1283" w:type="dxa"/>
            <w:tcBorders>
              <w:top w:val="single" w:sz="8" w:space="0" w:color="auto"/>
              <w:left w:val="nil"/>
              <w:bottom w:val="single" w:sz="8" w:space="0" w:color="auto"/>
              <w:right w:val="single" w:sz="8" w:space="0" w:color="auto"/>
            </w:tcBorders>
            <w:shd w:val="clear" w:color="000000" w:fill="1F497D"/>
            <w:vAlign w:val="center"/>
            <w:hideMark/>
          </w:tcPr>
          <w:p w:rsidR="00272741" w:rsidRPr="007C48E3" w:rsidRDefault="00272741" w:rsidP="00A71451">
            <w:pPr>
              <w:jc w:val="right"/>
              <w:rPr>
                <w:b/>
                <w:bCs/>
                <w:color w:val="FFFFFF"/>
                <w:sz w:val="22"/>
                <w:szCs w:val="22"/>
                <w:lang w:val="es-GT" w:eastAsia="es-GT"/>
              </w:rPr>
            </w:pPr>
            <w:r w:rsidRPr="007C48E3">
              <w:rPr>
                <w:b/>
                <w:bCs/>
                <w:color w:val="FFFFFF"/>
                <w:sz w:val="22"/>
                <w:szCs w:val="22"/>
                <w:lang w:val="es-GT" w:eastAsia="es-GT"/>
              </w:rPr>
              <w:t>54,299.4</w:t>
            </w:r>
          </w:p>
        </w:tc>
        <w:tc>
          <w:tcPr>
            <w:tcW w:w="1126" w:type="dxa"/>
            <w:tcBorders>
              <w:top w:val="single" w:sz="8" w:space="0" w:color="auto"/>
              <w:left w:val="nil"/>
              <w:bottom w:val="single" w:sz="8" w:space="0" w:color="auto"/>
              <w:right w:val="single" w:sz="8" w:space="0" w:color="auto"/>
            </w:tcBorders>
            <w:shd w:val="clear" w:color="000000" w:fill="1F497D"/>
            <w:vAlign w:val="center"/>
            <w:hideMark/>
          </w:tcPr>
          <w:p w:rsidR="00272741" w:rsidRPr="007C48E3" w:rsidRDefault="00272741" w:rsidP="00A71451">
            <w:pPr>
              <w:jc w:val="right"/>
              <w:rPr>
                <w:b/>
                <w:bCs/>
                <w:color w:val="FFFFFF"/>
                <w:sz w:val="22"/>
                <w:szCs w:val="22"/>
                <w:lang w:val="es-GT" w:eastAsia="es-GT"/>
              </w:rPr>
            </w:pPr>
            <w:r w:rsidRPr="007C48E3">
              <w:rPr>
                <w:b/>
                <w:bCs/>
                <w:color w:val="FFFFFF"/>
                <w:sz w:val="22"/>
                <w:szCs w:val="22"/>
                <w:lang w:val="es-GT" w:eastAsia="es-GT"/>
              </w:rPr>
              <w:t>10,595.3</w:t>
            </w:r>
          </w:p>
        </w:tc>
        <w:tc>
          <w:tcPr>
            <w:tcW w:w="1276" w:type="dxa"/>
            <w:tcBorders>
              <w:top w:val="nil"/>
              <w:left w:val="nil"/>
              <w:bottom w:val="single" w:sz="8" w:space="0" w:color="auto"/>
              <w:right w:val="single" w:sz="4" w:space="0" w:color="auto"/>
            </w:tcBorders>
            <w:shd w:val="clear" w:color="000000" w:fill="1F497D"/>
            <w:vAlign w:val="center"/>
            <w:hideMark/>
          </w:tcPr>
          <w:p w:rsidR="00272741" w:rsidRPr="007C48E3" w:rsidRDefault="00272741" w:rsidP="00A71451">
            <w:pPr>
              <w:jc w:val="right"/>
              <w:rPr>
                <w:b/>
                <w:bCs/>
                <w:color w:val="FFFFFF"/>
                <w:sz w:val="22"/>
                <w:szCs w:val="22"/>
                <w:lang w:val="es-GT" w:eastAsia="es-GT"/>
              </w:rPr>
            </w:pPr>
            <w:r w:rsidRPr="007C48E3">
              <w:rPr>
                <w:b/>
                <w:bCs/>
                <w:color w:val="FFFFFF"/>
                <w:sz w:val="22"/>
                <w:szCs w:val="22"/>
                <w:lang w:val="es-GT" w:eastAsia="es-GT"/>
              </w:rPr>
              <w:t>24.2%</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Sobre la Renta</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16,749.0</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23,287.8</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6,538.9</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39.0%</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Sobre Inmuebles y Otros sobre el Patrimonio</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12.4</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26.3</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13.9</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112.7%</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A las Empresas Mercantiles y Agropecuarias</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1.9</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3.4</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1.4</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72.9%</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Extraordinarios y Temporal de Apoyo a los Acuerdos de Paz</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2.7</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8.9</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6.2</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234.0%</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 xml:space="preserve">Impuesto de Solidaridad </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5,067.4</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5,389.3</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321.8</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6.4%</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Impuesto al Valor Agregado Doméstico</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14,671.8</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16,750.9</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2,079.2</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14.2%</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Distribución de Petróleo y sus Derivados</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3,484.7</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4,066.3</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581.6</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16.7%</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Timbres Fiscales</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391.6</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542.0</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150.4</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38.4%</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Circulación de Vehículos</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903.0</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1,011.1</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108.1</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12.0%</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Impuesto a la Primera Matrícula</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835.8</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1,238.5</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402.7</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48.2%</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 xml:space="preserve">Regalías e Hidrocarburos </w:t>
            </w:r>
            <w:r w:rsidR="008777F9">
              <w:rPr>
                <w:sz w:val="22"/>
                <w:szCs w:val="22"/>
                <w:lang w:val="es-GT" w:eastAsia="es-GT"/>
              </w:rPr>
              <w:t>C</w:t>
            </w:r>
            <w:r w:rsidRPr="007C48E3">
              <w:rPr>
                <w:sz w:val="22"/>
                <w:szCs w:val="22"/>
                <w:lang w:val="es-GT" w:eastAsia="es-GT"/>
              </w:rPr>
              <w:t>ompartibles</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117.8</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178.3</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60.5</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51.4%</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Salidas del País</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117.2</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213.6</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96.4</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82.2%</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Distribución de Bebidas</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895.4</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1,058.7</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163.3</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18.2%</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Tabacos</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298.6</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332.6</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34.0</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11.4%</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Distribución de Cemento</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147.2</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183.2</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36.0</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24.4%</w:t>
            </w:r>
          </w:p>
        </w:tc>
      </w:tr>
      <w:tr w:rsidR="00272741" w:rsidRPr="007C48E3" w:rsidTr="00023E5B">
        <w:trPr>
          <w:trHeight w:val="313"/>
        </w:trPr>
        <w:tc>
          <w:tcPr>
            <w:tcW w:w="4390" w:type="dxa"/>
            <w:tcBorders>
              <w:top w:val="nil"/>
              <w:left w:val="single" w:sz="4" w:space="0" w:color="auto"/>
              <w:bottom w:val="nil"/>
              <w:right w:val="single" w:sz="8" w:space="0" w:color="auto"/>
            </w:tcBorders>
            <w:shd w:val="clear" w:color="000000" w:fill="F2F2F2"/>
            <w:vAlign w:val="center"/>
            <w:hideMark/>
          </w:tcPr>
          <w:p w:rsidR="00272741" w:rsidRPr="007C48E3" w:rsidRDefault="00272741" w:rsidP="00A71451">
            <w:pPr>
              <w:rPr>
                <w:sz w:val="22"/>
                <w:szCs w:val="22"/>
                <w:lang w:val="es-GT" w:eastAsia="es-GT"/>
              </w:rPr>
            </w:pPr>
            <w:r w:rsidRPr="007C48E3">
              <w:rPr>
                <w:sz w:val="22"/>
                <w:szCs w:val="22"/>
                <w:lang w:val="es-GT" w:eastAsia="es-GT"/>
              </w:rPr>
              <w:t>Otros</w:t>
            </w:r>
          </w:p>
        </w:tc>
        <w:tc>
          <w:tcPr>
            <w:tcW w:w="1134"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7.5</w:t>
            </w:r>
          </w:p>
        </w:tc>
        <w:tc>
          <w:tcPr>
            <w:tcW w:w="1283"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8.4</w:t>
            </w:r>
          </w:p>
        </w:tc>
        <w:tc>
          <w:tcPr>
            <w:tcW w:w="1126" w:type="dxa"/>
            <w:tcBorders>
              <w:top w:val="nil"/>
              <w:left w:val="nil"/>
              <w:bottom w:val="nil"/>
              <w:right w:val="single" w:sz="8"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0.8</w:t>
            </w:r>
          </w:p>
        </w:tc>
        <w:tc>
          <w:tcPr>
            <w:tcW w:w="1276" w:type="dxa"/>
            <w:tcBorders>
              <w:top w:val="nil"/>
              <w:left w:val="nil"/>
              <w:bottom w:val="nil"/>
              <w:right w:val="single" w:sz="4" w:space="0" w:color="auto"/>
            </w:tcBorders>
            <w:shd w:val="clear" w:color="000000" w:fill="F2F2F2"/>
            <w:vAlign w:val="center"/>
            <w:hideMark/>
          </w:tcPr>
          <w:p w:rsidR="00272741" w:rsidRPr="007C48E3" w:rsidRDefault="00272741" w:rsidP="00A71451">
            <w:pPr>
              <w:jc w:val="right"/>
              <w:rPr>
                <w:sz w:val="22"/>
                <w:szCs w:val="22"/>
                <w:lang w:val="es-GT" w:eastAsia="es-GT"/>
              </w:rPr>
            </w:pPr>
            <w:r w:rsidRPr="007C48E3">
              <w:rPr>
                <w:sz w:val="22"/>
                <w:szCs w:val="22"/>
                <w:lang w:val="es-GT" w:eastAsia="es-GT"/>
              </w:rPr>
              <w:t>11.1%</w:t>
            </w:r>
          </w:p>
        </w:tc>
      </w:tr>
      <w:tr w:rsidR="00272741" w:rsidRPr="007C48E3" w:rsidTr="00023E5B">
        <w:trPr>
          <w:trHeight w:val="313"/>
        </w:trPr>
        <w:tc>
          <w:tcPr>
            <w:tcW w:w="4390" w:type="dxa"/>
            <w:tcBorders>
              <w:top w:val="single" w:sz="8" w:space="0" w:color="auto"/>
              <w:left w:val="single" w:sz="4" w:space="0" w:color="auto"/>
              <w:bottom w:val="single" w:sz="4" w:space="0" w:color="auto"/>
              <w:right w:val="single" w:sz="8" w:space="0" w:color="auto"/>
            </w:tcBorders>
            <w:shd w:val="clear" w:color="000000" w:fill="1F497D"/>
            <w:vAlign w:val="center"/>
            <w:hideMark/>
          </w:tcPr>
          <w:p w:rsidR="00272741" w:rsidRPr="007C48E3" w:rsidRDefault="00272741" w:rsidP="00A71451">
            <w:pPr>
              <w:ind w:firstLineChars="100" w:firstLine="181"/>
              <w:rPr>
                <w:b/>
                <w:bCs/>
                <w:color w:val="FFFFFF"/>
                <w:sz w:val="18"/>
                <w:szCs w:val="22"/>
                <w:lang w:val="es-GT" w:eastAsia="es-GT"/>
              </w:rPr>
            </w:pPr>
            <w:r w:rsidRPr="007C48E3">
              <w:rPr>
                <w:b/>
                <w:bCs/>
                <w:color w:val="FFFFFF"/>
                <w:sz w:val="18"/>
                <w:szCs w:val="22"/>
                <w:lang w:val="es-GT" w:eastAsia="es-GT"/>
              </w:rPr>
              <w:t>TOTAL DE INGRESOS TRIBUTARIOS</w:t>
            </w:r>
          </w:p>
        </w:tc>
        <w:tc>
          <w:tcPr>
            <w:tcW w:w="1134" w:type="dxa"/>
            <w:tcBorders>
              <w:top w:val="single" w:sz="8" w:space="0" w:color="auto"/>
              <w:left w:val="nil"/>
              <w:bottom w:val="single" w:sz="4" w:space="0" w:color="auto"/>
              <w:right w:val="single" w:sz="8" w:space="0" w:color="auto"/>
            </w:tcBorders>
            <w:shd w:val="clear" w:color="000000" w:fill="1F497D"/>
            <w:vAlign w:val="center"/>
            <w:hideMark/>
          </w:tcPr>
          <w:p w:rsidR="00272741" w:rsidRPr="007C48E3" w:rsidRDefault="00272741" w:rsidP="00A71451">
            <w:pPr>
              <w:jc w:val="right"/>
              <w:rPr>
                <w:b/>
                <w:bCs/>
                <w:color w:val="FFFFFF"/>
                <w:sz w:val="22"/>
                <w:szCs w:val="22"/>
                <w:lang w:val="es-GT" w:eastAsia="es-GT"/>
              </w:rPr>
            </w:pPr>
            <w:r w:rsidRPr="007C48E3">
              <w:rPr>
                <w:b/>
                <w:bCs/>
                <w:color w:val="FFFFFF"/>
                <w:sz w:val="22"/>
                <w:szCs w:val="22"/>
                <w:lang w:val="es-GT" w:eastAsia="es-GT"/>
              </w:rPr>
              <w:t>60,279.4</w:t>
            </w:r>
          </w:p>
        </w:tc>
        <w:tc>
          <w:tcPr>
            <w:tcW w:w="1283" w:type="dxa"/>
            <w:tcBorders>
              <w:top w:val="single" w:sz="8" w:space="0" w:color="auto"/>
              <w:left w:val="nil"/>
              <w:bottom w:val="single" w:sz="4" w:space="0" w:color="auto"/>
              <w:right w:val="single" w:sz="8" w:space="0" w:color="auto"/>
            </w:tcBorders>
            <w:shd w:val="clear" w:color="000000" w:fill="1F497D"/>
            <w:vAlign w:val="center"/>
            <w:hideMark/>
          </w:tcPr>
          <w:p w:rsidR="00272741" w:rsidRPr="007C48E3" w:rsidRDefault="00272741" w:rsidP="00A71451">
            <w:pPr>
              <w:jc w:val="right"/>
              <w:rPr>
                <w:b/>
                <w:bCs/>
                <w:color w:val="FFFFFF"/>
                <w:sz w:val="22"/>
                <w:szCs w:val="22"/>
                <w:lang w:val="es-GT" w:eastAsia="es-GT"/>
              </w:rPr>
            </w:pPr>
            <w:r w:rsidRPr="007C48E3">
              <w:rPr>
                <w:b/>
                <w:bCs/>
                <w:color w:val="FFFFFF"/>
                <w:sz w:val="22"/>
                <w:szCs w:val="22"/>
                <w:lang w:val="es-GT" w:eastAsia="es-GT"/>
              </w:rPr>
              <w:t>78,019.1</w:t>
            </w:r>
          </w:p>
        </w:tc>
        <w:tc>
          <w:tcPr>
            <w:tcW w:w="1126" w:type="dxa"/>
            <w:tcBorders>
              <w:top w:val="single" w:sz="8" w:space="0" w:color="auto"/>
              <w:left w:val="nil"/>
              <w:bottom w:val="single" w:sz="4" w:space="0" w:color="auto"/>
              <w:right w:val="single" w:sz="8" w:space="0" w:color="auto"/>
            </w:tcBorders>
            <w:shd w:val="clear" w:color="000000" w:fill="1F497D"/>
            <w:vAlign w:val="center"/>
            <w:hideMark/>
          </w:tcPr>
          <w:p w:rsidR="00272741" w:rsidRPr="007C48E3" w:rsidRDefault="00272741" w:rsidP="00A71451">
            <w:pPr>
              <w:jc w:val="right"/>
              <w:rPr>
                <w:b/>
                <w:bCs/>
                <w:color w:val="FFFFFF"/>
                <w:sz w:val="22"/>
                <w:szCs w:val="22"/>
                <w:lang w:val="es-GT" w:eastAsia="es-GT"/>
              </w:rPr>
            </w:pPr>
            <w:r w:rsidRPr="007C48E3">
              <w:rPr>
                <w:b/>
                <w:bCs/>
                <w:color w:val="FFFFFF"/>
                <w:sz w:val="22"/>
                <w:szCs w:val="22"/>
                <w:lang w:val="es-GT" w:eastAsia="es-GT"/>
              </w:rPr>
              <w:t>17,739.7</w:t>
            </w:r>
          </w:p>
        </w:tc>
        <w:tc>
          <w:tcPr>
            <w:tcW w:w="1276" w:type="dxa"/>
            <w:tcBorders>
              <w:top w:val="single" w:sz="8" w:space="0" w:color="auto"/>
              <w:left w:val="nil"/>
              <w:bottom w:val="single" w:sz="4" w:space="0" w:color="auto"/>
              <w:right w:val="single" w:sz="4" w:space="0" w:color="auto"/>
            </w:tcBorders>
            <w:shd w:val="clear" w:color="000000" w:fill="1F497D"/>
            <w:vAlign w:val="center"/>
            <w:hideMark/>
          </w:tcPr>
          <w:p w:rsidR="00272741" w:rsidRPr="007C48E3" w:rsidRDefault="00272741" w:rsidP="00A71451">
            <w:pPr>
              <w:jc w:val="right"/>
              <w:rPr>
                <w:b/>
                <w:bCs/>
                <w:color w:val="FFFFFF"/>
                <w:sz w:val="22"/>
                <w:szCs w:val="22"/>
                <w:lang w:val="es-GT" w:eastAsia="es-GT"/>
              </w:rPr>
            </w:pPr>
            <w:r w:rsidRPr="007C48E3">
              <w:rPr>
                <w:b/>
                <w:bCs/>
                <w:color w:val="FFFFFF"/>
                <w:sz w:val="22"/>
                <w:szCs w:val="22"/>
                <w:lang w:val="es-GT" w:eastAsia="es-GT"/>
              </w:rPr>
              <w:t>29.4%</w:t>
            </w:r>
          </w:p>
        </w:tc>
      </w:tr>
    </w:tbl>
    <w:p w:rsidR="00272741" w:rsidRPr="00F377B1" w:rsidRDefault="00272741" w:rsidP="00272741">
      <w:pPr>
        <w:tabs>
          <w:tab w:val="left" w:pos="426"/>
        </w:tabs>
        <w:rPr>
          <w:sz w:val="8"/>
        </w:rPr>
      </w:pPr>
    </w:p>
    <w:p w:rsidR="00272741" w:rsidRPr="008777F9" w:rsidRDefault="00272741" w:rsidP="00272741">
      <w:pPr>
        <w:tabs>
          <w:tab w:val="left" w:pos="426"/>
        </w:tabs>
        <w:rPr>
          <w:sz w:val="18"/>
        </w:rPr>
      </w:pPr>
      <w:r w:rsidRPr="008777F9">
        <w:rPr>
          <w:sz w:val="18"/>
        </w:rPr>
        <w:t>* Cifras preliminares</w:t>
      </w:r>
    </w:p>
    <w:p w:rsidR="00272741" w:rsidRPr="008777F9" w:rsidRDefault="008777F9" w:rsidP="00272741">
      <w:pPr>
        <w:rPr>
          <w:sz w:val="18"/>
          <w:lang w:val="es-GT"/>
        </w:rPr>
      </w:pPr>
      <w:r>
        <w:rPr>
          <w:sz w:val="18"/>
        </w:rPr>
        <w:t xml:space="preserve">   </w:t>
      </w:r>
      <w:r w:rsidR="00272741" w:rsidRPr="008777F9">
        <w:rPr>
          <w:sz w:val="18"/>
        </w:rPr>
        <w:t>Fuente: Ministerio de Finanzas Públicas.</w:t>
      </w:r>
    </w:p>
    <w:p w:rsidR="00272741" w:rsidRDefault="00272741" w:rsidP="00272741">
      <w:pPr>
        <w:autoSpaceDE w:val="0"/>
        <w:autoSpaceDN w:val="0"/>
        <w:adjustRightInd w:val="0"/>
        <w:jc w:val="both"/>
      </w:pPr>
    </w:p>
    <w:p w:rsidR="00272741" w:rsidRPr="00054C08" w:rsidRDefault="00272741" w:rsidP="00272741">
      <w:pPr>
        <w:rPr>
          <w:sz w:val="18"/>
        </w:rPr>
      </w:pPr>
    </w:p>
    <w:p w:rsidR="00272741" w:rsidRDefault="00272741" w:rsidP="00272741">
      <w:pPr>
        <w:jc w:val="both"/>
        <w:rPr>
          <w:lang w:val="es-MX"/>
        </w:rPr>
      </w:pPr>
      <w:r w:rsidRPr="001B3F5B">
        <w:rPr>
          <w:lang w:val="es-MX"/>
        </w:rPr>
        <w:t xml:space="preserve">Como resultado del buen desempeño de la recaudación </w:t>
      </w:r>
      <w:r>
        <w:rPr>
          <w:lang w:val="es-MX"/>
        </w:rPr>
        <w:t xml:space="preserve">de </w:t>
      </w:r>
      <w:r w:rsidR="004840B3">
        <w:rPr>
          <w:lang w:val="es-MX"/>
        </w:rPr>
        <w:t xml:space="preserve">los </w:t>
      </w:r>
      <w:r>
        <w:rPr>
          <w:lang w:val="es-MX"/>
        </w:rPr>
        <w:t>impuestos</w:t>
      </w:r>
      <w:r w:rsidRPr="001B3F5B">
        <w:rPr>
          <w:lang w:val="es-MX"/>
        </w:rPr>
        <w:t xml:space="preserve">, la carga tributaria </w:t>
      </w:r>
      <w:r>
        <w:rPr>
          <w:lang w:val="es-MX"/>
        </w:rPr>
        <w:t xml:space="preserve">se ubicó en 11.7%, lo cual representa </w:t>
      </w:r>
      <w:r w:rsidRPr="001B3F5B">
        <w:rPr>
          <w:lang w:val="es-MX"/>
        </w:rPr>
        <w:t>un incremento de 1.6% respecto de</w:t>
      </w:r>
      <w:r w:rsidR="004840B3">
        <w:rPr>
          <w:lang w:val="es-MX"/>
        </w:rPr>
        <w:t>l desempeño mostrado en</w:t>
      </w:r>
      <w:r w:rsidRPr="001B3F5B">
        <w:rPr>
          <w:lang w:val="es-MX"/>
        </w:rPr>
        <w:t xml:space="preserve"> 2020</w:t>
      </w:r>
      <w:r>
        <w:rPr>
          <w:lang w:val="es-MX"/>
        </w:rPr>
        <w:t xml:space="preserve">. Esta mejora es </w:t>
      </w:r>
      <w:r w:rsidRPr="001B3F5B">
        <w:rPr>
          <w:lang w:val="es-MX"/>
        </w:rPr>
        <w:t xml:space="preserve">producto de una serie de medidas implementadas por la Superintendencia de Administración Tributaria </w:t>
      </w:r>
      <w:r w:rsidR="004840B3">
        <w:rPr>
          <w:lang w:val="es-MX"/>
        </w:rPr>
        <w:t xml:space="preserve">(SAT) </w:t>
      </w:r>
      <w:r w:rsidRPr="001B3F5B">
        <w:rPr>
          <w:lang w:val="es-MX"/>
        </w:rPr>
        <w:t>que afectaron positivamente el nivel de recaudación</w:t>
      </w:r>
      <w:r w:rsidR="004840B3">
        <w:rPr>
          <w:lang w:val="es-MX"/>
        </w:rPr>
        <w:t>;</w:t>
      </w:r>
      <w:r>
        <w:rPr>
          <w:lang w:val="es-MX"/>
        </w:rPr>
        <w:t xml:space="preserve"> entre ellas destacan</w:t>
      </w:r>
      <w:r w:rsidRPr="001B3F5B">
        <w:rPr>
          <w:lang w:val="es-MX"/>
        </w:rPr>
        <w:t xml:space="preserve">: </w:t>
      </w:r>
      <w:r w:rsidR="00A018D9">
        <w:rPr>
          <w:lang w:val="es-MX"/>
        </w:rPr>
        <w:t>a</w:t>
      </w:r>
      <w:r w:rsidRPr="001B3F5B">
        <w:rPr>
          <w:lang w:val="es-MX"/>
        </w:rPr>
        <w:t xml:space="preserve"> través de la Intendencia de Recaudación aumentó el número de contribuyentes inscritos al RTU (afiliaciones al IVA e ISR)</w:t>
      </w:r>
      <w:r>
        <w:rPr>
          <w:lang w:val="es-MX"/>
        </w:rPr>
        <w:t>;</w:t>
      </w:r>
      <w:r w:rsidRPr="001B3F5B">
        <w:rPr>
          <w:lang w:val="es-MX"/>
        </w:rPr>
        <w:t xml:space="preserve"> </w:t>
      </w:r>
      <w:r w:rsidR="004840B3">
        <w:rPr>
          <w:lang w:val="es-MX"/>
        </w:rPr>
        <w:t>a</w:t>
      </w:r>
      <w:r w:rsidRPr="001B3F5B">
        <w:rPr>
          <w:lang w:val="es-MX"/>
        </w:rPr>
        <w:t>ument</w:t>
      </w:r>
      <w:r>
        <w:rPr>
          <w:lang w:val="es-MX"/>
        </w:rPr>
        <w:t>o en el</w:t>
      </w:r>
      <w:r w:rsidRPr="001B3F5B">
        <w:rPr>
          <w:lang w:val="es-MX"/>
        </w:rPr>
        <w:t xml:space="preserve"> n</w:t>
      </w:r>
      <w:r w:rsidR="004840B3">
        <w:rPr>
          <w:lang w:val="es-MX"/>
        </w:rPr>
        <w:t>ú</w:t>
      </w:r>
      <w:r w:rsidRPr="001B3F5B">
        <w:rPr>
          <w:lang w:val="es-MX"/>
        </w:rPr>
        <w:t>mero de emisores de documentos tributarios electrónicos</w:t>
      </w:r>
      <w:r>
        <w:rPr>
          <w:lang w:val="es-MX"/>
        </w:rPr>
        <w:t>;</w:t>
      </w:r>
      <w:r w:rsidRPr="001B3F5B">
        <w:rPr>
          <w:lang w:val="es-MX"/>
        </w:rPr>
        <w:t xml:space="preserve"> </w:t>
      </w:r>
      <w:r w:rsidR="004840B3">
        <w:rPr>
          <w:lang w:val="es-MX"/>
        </w:rPr>
        <w:t>r</w:t>
      </w:r>
      <w:r w:rsidRPr="001B3F5B">
        <w:rPr>
          <w:lang w:val="es-MX"/>
        </w:rPr>
        <w:t>ecuperaciones por cumplimiento de control tributario</w:t>
      </w:r>
      <w:r>
        <w:rPr>
          <w:lang w:val="es-MX"/>
        </w:rPr>
        <w:t xml:space="preserve">; </w:t>
      </w:r>
      <w:r w:rsidR="006060D2">
        <w:rPr>
          <w:lang w:val="es-MX"/>
        </w:rPr>
        <w:t>m</w:t>
      </w:r>
      <w:r w:rsidRPr="001B3F5B">
        <w:rPr>
          <w:lang w:val="es-MX"/>
        </w:rPr>
        <w:t>ejoras al sistema de facilidades de pago</w:t>
      </w:r>
      <w:r w:rsidR="006060D2">
        <w:rPr>
          <w:lang w:val="es-MX"/>
        </w:rPr>
        <w:t>,</w:t>
      </w:r>
      <w:r w:rsidRPr="001B3F5B">
        <w:rPr>
          <w:lang w:val="es-MX"/>
        </w:rPr>
        <w:t xml:space="preserve"> entre otras.</w:t>
      </w:r>
    </w:p>
    <w:p w:rsidR="00362D7A" w:rsidRDefault="00362D7A" w:rsidP="00272741">
      <w:pPr>
        <w:jc w:val="both"/>
        <w:rPr>
          <w:lang w:val="es-MX"/>
        </w:rPr>
      </w:pPr>
    </w:p>
    <w:p w:rsidR="00362D7A" w:rsidRDefault="00362D7A" w:rsidP="00272741">
      <w:pPr>
        <w:jc w:val="both"/>
        <w:rPr>
          <w:lang w:val="es-MX"/>
        </w:rPr>
      </w:pPr>
    </w:p>
    <w:p w:rsidR="00272741" w:rsidRPr="001B3F5B" w:rsidRDefault="00272741" w:rsidP="00272741">
      <w:pPr>
        <w:jc w:val="both"/>
        <w:rPr>
          <w:lang w:val="es-MX"/>
        </w:rPr>
      </w:pPr>
      <w:r w:rsidRPr="001B3F5B">
        <w:rPr>
          <w:lang w:val="es-MX"/>
        </w:rPr>
        <w:t>En el ramo de aduanas</w:t>
      </w:r>
      <w:r w:rsidR="00B12F32">
        <w:rPr>
          <w:lang w:val="es-MX"/>
        </w:rPr>
        <w:t>,</w:t>
      </w:r>
      <w:r w:rsidRPr="001B3F5B">
        <w:rPr>
          <w:lang w:val="es-MX"/>
        </w:rPr>
        <w:t xml:space="preserve"> para combatir la defraudación y contrabando </w:t>
      </w:r>
      <w:r>
        <w:rPr>
          <w:lang w:val="es-MX"/>
        </w:rPr>
        <w:t xml:space="preserve">se realizaron </w:t>
      </w:r>
      <w:r w:rsidRPr="001B3F5B">
        <w:rPr>
          <w:lang w:val="es-MX"/>
        </w:rPr>
        <w:t>ajustes a través de rectificaciones</w:t>
      </w:r>
      <w:r>
        <w:rPr>
          <w:lang w:val="es-MX"/>
        </w:rPr>
        <w:t>;</w:t>
      </w:r>
      <w:r w:rsidRPr="001B3F5B">
        <w:rPr>
          <w:lang w:val="es-MX"/>
        </w:rPr>
        <w:t xml:space="preserve"> </w:t>
      </w:r>
      <w:r w:rsidR="00A018D9">
        <w:rPr>
          <w:lang w:val="es-MX"/>
        </w:rPr>
        <w:t>m</w:t>
      </w:r>
      <w:r w:rsidRPr="001B3F5B">
        <w:rPr>
          <w:lang w:val="es-MX"/>
        </w:rPr>
        <w:t>edidas de control en materia de riesgo</w:t>
      </w:r>
      <w:r>
        <w:rPr>
          <w:lang w:val="es-MX"/>
        </w:rPr>
        <w:t>;</w:t>
      </w:r>
      <w:r w:rsidRPr="001B3F5B">
        <w:rPr>
          <w:lang w:val="es-MX"/>
        </w:rPr>
        <w:t xml:space="preserve"> </w:t>
      </w:r>
      <w:r w:rsidR="00A018D9">
        <w:rPr>
          <w:lang w:val="es-MX"/>
        </w:rPr>
        <w:t>m</w:t>
      </w:r>
      <w:r w:rsidRPr="001B3F5B">
        <w:rPr>
          <w:lang w:val="es-MX"/>
        </w:rPr>
        <w:t>ejoras en tiempos de despacho y gestión</w:t>
      </w:r>
      <w:r>
        <w:rPr>
          <w:lang w:val="es-MX"/>
        </w:rPr>
        <w:t>;</w:t>
      </w:r>
      <w:r w:rsidRPr="001B3F5B">
        <w:rPr>
          <w:lang w:val="es-MX"/>
        </w:rPr>
        <w:t xml:space="preserve"> </w:t>
      </w:r>
      <w:r w:rsidR="00A018D9">
        <w:rPr>
          <w:lang w:val="es-MX"/>
        </w:rPr>
        <w:t>s</w:t>
      </w:r>
      <w:r w:rsidRPr="001B3F5B">
        <w:rPr>
          <w:lang w:val="es-MX"/>
        </w:rPr>
        <w:t>implificación y automatización en la transmisión de declaraciones y controles aduaneros y el establecimiento de puestos de control interinstitucional, entre otras</w:t>
      </w:r>
      <w:r>
        <w:rPr>
          <w:lang w:val="es-MX"/>
        </w:rPr>
        <w:t>.</w:t>
      </w:r>
    </w:p>
    <w:p w:rsidR="00272741" w:rsidRPr="00A93052" w:rsidRDefault="00272741" w:rsidP="00272741">
      <w:pPr>
        <w:jc w:val="both"/>
        <w:rPr>
          <w:sz w:val="10"/>
          <w:lang w:val="es-MX"/>
        </w:rPr>
      </w:pPr>
    </w:p>
    <w:p w:rsidR="00054C08" w:rsidRPr="001B3F5B" w:rsidRDefault="00054C08" w:rsidP="00272741">
      <w:pPr>
        <w:jc w:val="both"/>
        <w:rPr>
          <w:lang w:val="es-MX"/>
        </w:rPr>
      </w:pPr>
    </w:p>
    <w:p w:rsidR="00272741" w:rsidRPr="00124AD6" w:rsidRDefault="00272741" w:rsidP="00272741">
      <w:pPr>
        <w:jc w:val="center"/>
        <w:rPr>
          <w:b/>
          <w:lang w:val="es-GT"/>
        </w:rPr>
      </w:pPr>
      <w:r w:rsidRPr="00124AD6">
        <w:rPr>
          <w:b/>
          <w:lang w:val="es-GT"/>
        </w:rPr>
        <w:t xml:space="preserve">Gráfica </w:t>
      </w:r>
      <w:r>
        <w:rPr>
          <w:b/>
          <w:lang w:val="es-GT"/>
        </w:rPr>
        <w:t>10</w:t>
      </w:r>
    </w:p>
    <w:p w:rsidR="00272741" w:rsidRPr="00124AD6" w:rsidRDefault="00272741" w:rsidP="00272741">
      <w:pPr>
        <w:pStyle w:val="NormalWeb"/>
        <w:spacing w:before="0" w:beforeAutospacing="0" w:after="0" w:afterAutospacing="0"/>
        <w:jc w:val="center"/>
        <w:rPr>
          <w:rFonts w:eastAsia="+mn-ea"/>
          <w:b/>
          <w:bCs/>
          <w:color w:val="000000"/>
          <w:kern w:val="24"/>
        </w:rPr>
      </w:pPr>
      <w:r w:rsidRPr="00124AD6">
        <w:rPr>
          <w:rFonts w:eastAsia="+mn-ea"/>
          <w:b/>
          <w:bCs/>
          <w:color w:val="000000"/>
          <w:kern w:val="24"/>
        </w:rPr>
        <w:t>Carga Tributaria 20</w:t>
      </w:r>
      <w:r>
        <w:rPr>
          <w:rFonts w:eastAsia="+mn-ea"/>
          <w:b/>
          <w:bCs/>
          <w:color w:val="000000"/>
          <w:kern w:val="24"/>
        </w:rPr>
        <w:t xml:space="preserve">14 </w:t>
      </w:r>
      <w:r w:rsidR="00B12F32">
        <w:rPr>
          <w:rFonts w:eastAsia="+mn-ea"/>
          <w:b/>
          <w:bCs/>
          <w:color w:val="000000"/>
          <w:kern w:val="24"/>
        </w:rPr>
        <w:t>-</w:t>
      </w:r>
      <w:r>
        <w:rPr>
          <w:rFonts w:eastAsia="+mn-ea"/>
          <w:b/>
          <w:bCs/>
          <w:color w:val="000000"/>
          <w:kern w:val="24"/>
        </w:rPr>
        <w:t xml:space="preserve"> 2021*</w:t>
      </w:r>
    </w:p>
    <w:p w:rsidR="00272741" w:rsidRPr="00124AD6" w:rsidRDefault="00B12F32" w:rsidP="00272741">
      <w:pPr>
        <w:pStyle w:val="NormalWeb"/>
        <w:spacing w:before="0" w:beforeAutospacing="0" w:after="0" w:afterAutospacing="0"/>
        <w:jc w:val="center"/>
      </w:pPr>
      <w:r>
        <w:rPr>
          <w:rFonts w:eastAsia="+mn-ea"/>
          <w:b/>
          <w:bCs/>
          <w:color w:val="000000"/>
          <w:kern w:val="24"/>
        </w:rPr>
        <w:t>(</w:t>
      </w:r>
      <w:r w:rsidR="00272741">
        <w:rPr>
          <w:rFonts w:eastAsia="+mn-ea"/>
          <w:b/>
          <w:bCs/>
          <w:color w:val="000000"/>
          <w:kern w:val="24"/>
        </w:rPr>
        <w:t>Porcentaje</w:t>
      </w:r>
      <w:r>
        <w:rPr>
          <w:rFonts w:eastAsia="+mn-ea"/>
          <w:b/>
          <w:bCs/>
          <w:color w:val="000000"/>
          <w:kern w:val="24"/>
        </w:rPr>
        <w:t>s</w:t>
      </w:r>
      <w:r w:rsidR="00272741">
        <w:rPr>
          <w:rFonts w:eastAsia="+mn-ea"/>
          <w:b/>
          <w:bCs/>
          <w:color w:val="000000"/>
          <w:kern w:val="24"/>
        </w:rPr>
        <w:t xml:space="preserve"> del PIB</w:t>
      </w:r>
      <w:r>
        <w:rPr>
          <w:rFonts w:eastAsia="+mn-ea"/>
          <w:b/>
          <w:bCs/>
          <w:color w:val="000000"/>
          <w:kern w:val="24"/>
        </w:rPr>
        <w:t>)</w:t>
      </w:r>
    </w:p>
    <w:p w:rsidR="00272741" w:rsidRDefault="00272741" w:rsidP="00A018D9">
      <w:pPr>
        <w:ind w:firstLine="66"/>
        <w:jc w:val="center"/>
      </w:pPr>
      <w:r>
        <w:rPr>
          <w:noProof/>
        </w:rPr>
        <w:drawing>
          <wp:inline distT="0" distB="0" distL="0" distR="0" wp14:anchorId="2E2B187E" wp14:editId="46576B98">
            <wp:extent cx="5404485" cy="3555187"/>
            <wp:effectExtent l="0" t="0" r="5715" b="7620"/>
            <wp:docPr id="59" name="Gráfico 59">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72741" w:rsidRPr="00E25B50" w:rsidRDefault="007F44ED" w:rsidP="00272741">
      <w:pPr>
        <w:ind w:firstLine="66"/>
        <w:rPr>
          <w:sz w:val="18"/>
        </w:rPr>
      </w:pPr>
      <w:r>
        <w:rPr>
          <w:sz w:val="16"/>
        </w:rPr>
        <w:t xml:space="preserve">    </w:t>
      </w:r>
      <w:r w:rsidR="007300B3">
        <w:rPr>
          <w:sz w:val="16"/>
        </w:rPr>
        <w:t xml:space="preserve"> </w:t>
      </w:r>
      <w:r>
        <w:rPr>
          <w:sz w:val="16"/>
        </w:rPr>
        <w:t xml:space="preserve">           </w:t>
      </w:r>
      <w:r w:rsidR="00272741" w:rsidRPr="00E25B50">
        <w:rPr>
          <w:sz w:val="18"/>
        </w:rPr>
        <w:t>*Cifras preliminares</w:t>
      </w:r>
    </w:p>
    <w:p w:rsidR="00272741" w:rsidRPr="00E25B50" w:rsidRDefault="007F44ED" w:rsidP="00272741">
      <w:pPr>
        <w:ind w:firstLine="66"/>
        <w:rPr>
          <w:sz w:val="18"/>
        </w:rPr>
      </w:pPr>
      <w:r w:rsidRPr="00E25B50">
        <w:rPr>
          <w:sz w:val="18"/>
        </w:rPr>
        <w:t xml:space="preserve">       </w:t>
      </w:r>
      <w:r w:rsidR="007300B3" w:rsidRPr="00E25B50">
        <w:rPr>
          <w:sz w:val="18"/>
        </w:rPr>
        <w:t xml:space="preserve"> </w:t>
      </w:r>
      <w:r w:rsidRPr="00E25B50">
        <w:rPr>
          <w:sz w:val="18"/>
        </w:rPr>
        <w:t xml:space="preserve">         </w:t>
      </w:r>
      <w:r w:rsidR="00272741" w:rsidRPr="00E25B50">
        <w:rPr>
          <w:sz w:val="18"/>
        </w:rPr>
        <w:t>Fuente: Ministerio de Finanzas Públicas.</w:t>
      </w:r>
    </w:p>
    <w:p w:rsidR="00272741" w:rsidRPr="00E25B50" w:rsidRDefault="00272741" w:rsidP="00C61CA7">
      <w:pPr>
        <w:rPr>
          <w:sz w:val="28"/>
          <w:lang w:val="es-MX"/>
        </w:rPr>
      </w:pPr>
    </w:p>
    <w:p w:rsidR="006A75DE" w:rsidRPr="00023E5B" w:rsidRDefault="006A75DE" w:rsidP="00C774F3">
      <w:pPr>
        <w:pStyle w:val="Ttulo2"/>
        <w:numPr>
          <w:ilvl w:val="0"/>
          <w:numId w:val="3"/>
        </w:numPr>
        <w:spacing w:line="276" w:lineRule="auto"/>
        <w:ind w:left="567" w:hanging="567"/>
        <w:rPr>
          <w:rFonts w:ascii="Times New Roman" w:hAnsi="Times New Roman"/>
          <w:color w:val="000000" w:themeColor="text1"/>
          <w:sz w:val="24"/>
          <w:szCs w:val="24"/>
        </w:rPr>
      </w:pPr>
      <w:bookmarkStart w:id="16" w:name="_Toc514399371"/>
      <w:bookmarkStart w:id="17" w:name="_Toc441675753"/>
      <w:bookmarkStart w:id="18" w:name="_Toc482339305"/>
      <w:bookmarkStart w:id="19" w:name="_Toc98924132"/>
      <w:bookmarkEnd w:id="1"/>
      <w:bookmarkEnd w:id="4"/>
      <w:r w:rsidRPr="00023E5B">
        <w:rPr>
          <w:rFonts w:ascii="Times New Roman" w:hAnsi="Times New Roman"/>
          <w:color w:val="000000" w:themeColor="text1"/>
          <w:sz w:val="24"/>
          <w:szCs w:val="24"/>
        </w:rPr>
        <w:t>Deuda Pública</w:t>
      </w:r>
      <w:bookmarkEnd w:id="16"/>
      <w:bookmarkEnd w:id="19"/>
    </w:p>
    <w:p w:rsidR="006A75DE" w:rsidRDefault="006A75DE" w:rsidP="006A75DE"/>
    <w:p w:rsidR="004A70CA" w:rsidRDefault="004A70CA" w:rsidP="004A70CA">
      <w:pPr>
        <w:jc w:val="both"/>
      </w:pPr>
      <w:r>
        <w:t xml:space="preserve">Hasta </w:t>
      </w:r>
      <w:r w:rsidR="001362CC">
        <w:t xml:space="preserve">el año </w:t>
      </w:r>
      <w:r>
        <w:t>2019</w:t>
      </w:r>
      <w:r w:rsidR="001362CC">
        <w:t>,</w:t>
      </w:r>
      <w:r>
        <w:t xml:space="preserve"> la variación de la deuda pública mantuvo un comportamiento con pocos cambios, como porcentaje del PIB; para este mismo año la deuda llegó al 26.5%, en tanto que para 2020 alcanzó el 31.6%, mientras que de forma preliminar al 31 de diciembre de 2021</w:t>
      </w:r>
      <w:r w:rsidR="001362CC">
        <w:t>,</w:t>
      </w:r>
      <w:r>
        <w:t xml:space="preserve"> reporta un 30.8%; por lo que el promedio para los últimos 14 años es de 25.5%, con repunte en los últimos dos años, como resultado de la crisis provocada por la pandemia del Covid-19, que ocasionó que a partir de marzo de 2020</w:t>
      </w:r>
      <w:r w:rsidR="001362CC">
        <w:t>,</w:t>
      </w:r>
      <w:r>
        <w:t xml:space="preserve"> los ingresos empezaran a debilitarse, por lo que fue necesario acudir al endeudamiento público bajo el programa</w:t>
      </w:r>
      <w:r w:rsidR="001362CC">
        <w:t xml:space="preserve"> de</w:t>
      </w:r>
      <w:r>
        <w:t xml:space="preserve"> “</w:t>
      </w:r>
      <w:r w:rsidRPr="00557291">
        <w:rPr>
          <w:i/>
        </w:rPr>
        <w:t>Atención por Desastres Naturales y Calamidades Públicas</w:t>
      </w:r>
      <w:r>
        <w:rPr>
          <w:i/>
        </w:rPr>
        <w:t>”</w:t>
      </w:r>
      <w:r>
        <w:t>, sub programa “</w:t>
      </w:r>
      <w:r w:rsidRPr="00557291">
        <w:rPr>
          <w:i/>
        </w:rPr>
        <w:t>Estado de Calamidad Pública por Emergencia C</w:t>
      </w:r>
      <w:r>
        <w:rPr>
          <w:i/>
        </w:rPr>
        <w:t>ovid</w:t>
      </w:r>
      <w:r w:rsidRPr="00557291">
        <w:rPr>
          <w:i/>
        </w:rPr>
        <w:t>-19 (DG 5-2020)</w:t>
      </w:r>
      <w:r>
        <w:rPr>
          <w:i/>
        </w:rPr>
        <w:t>”</w:t>
      </w:r>
      <w:r>
        <w:t xml:space="preserve"> y bajo la actividad específica “</w:t>
      </w:r>
      <w:r w:rsidRPr="00557291">
        <w:rPr>
          <w:i/>
        </w:rPr>
        <w:t xml:space="preserve">Intervenciones </w:t>
      </w:r>
      <w:r>
        <w:rPr>
          <w:i/>
        </w:rPr>
        <w:t>r</w:t>
      </w:r>
      <w:r w:rsidRPr="00557291">
        <w:rPr>
          <w:i/>
        </w:rPr>
        <w:t>ealizadas para la atención de la emergencia C</w:t>
      </w:r>
      <w:r>
        <w:rPr>
          <w:i/>
        </w:rPr>
        <w:t>ovid</w:t>
      </w:r>
      <w:r w:rsidRPr="00557291">
        <w:rPr>
          <w:i/>
        </w:rPr>
        <w:t>-19</w:t>
      </w:r>
      <w:r>
        <w:rPr>
          <w:i/>
        </w:rPr>
        <w:t>”</w:t>
      </w:r>
      <w:r>
        <w:t>, lo cual sigue incidiendo durante 2021</w:t>
      </w:r>
      <w:r>
        <w:rPr>
          <w:i/>
        </w:rPr>
        <w:t>.</w:t>
      </w:r>
    </w:p>
    <w:p w:rsidR="004A70CA" w:rsidRDefault="004A70CA" w:rsidP="004A70CA"/>
    <w:p w:rsidR="009648DA" w:rsidRDefault="009648DA" w:rsidP="004A70CA"/>
    <w:p w:rsidR="004A70CA" w:rsidRPr="00023E5B" w:rsidRDefault="004A70CA" w:rsidP="004A70CA">
      <w:pPr>
        <w:jc w:val="both"/>
      </w:pPr>
    </w:p>
    <w:p w:rsidR="004A70CA" w:rsidRPr="00253E46" w:rsidRDefault="004A70CA" w:rsidP="004A70CA">
      <w:pPr>
        <w:jc w:val="center"/>
        <w:rPr>
          <w:b/>
          <w:lang w:val="es-MX"/>
        </w:rPr>
      </w:pPr>
      <w:r w:rsidRPr="00253E46">
        <w:rPr>
          <w:b/>
          <w:lang w:val="es-MX"/>
        </w:rPr>
        <w:t>Gráfica 11</w:t>
      </w:r>
    </w:p>
    <w:p w:rsidR="004A70CA" w:rsidRDefault="004A70CA" w:rsidP="004A70CA">
      <w:pPr>
        <w:jc w:val="center"/>
        <w:rPr>
          <w:b/>
          <w:lang w:val="es-MX"/>
        </w:rPr>
      </w:pPr>
      <w:r w:rsidRPr="00253E46">
        <w:rPr>
          <w:b/>
          <w:lang w:val="es-MX"/>
        </w:rPr>
        <w:t>Situación de la Deuda Pública</w:t>
      </w:r>
      <w:r w:rsidR="002777E9">
        <w:rPr>
          <w:b/>
          <w:lang w:val="es-MX"/>
        </w:rPr>
        <w:t xml:space="preserve"> en </w:t>
      </w:r>
      <w:r w:rsidRPr="00253E46">
        <w:rPr>
          <w:b/>
          <w:lang w:val="es-MX"/>
        </w:rPr>
        <w:t xml:space="preserve">2008 </w:t>
      </w:r>
      <w:r>
        <w:rPr>
          <w:b/>
          <w:lang w:val="es-MX"/>
        </w:rPr>
        <w:t>-</w:t>
      </w:r>
      <w:r w:rsidRPr="00253E46">
        <w:rPr>
          <w:b/>
          <w:lang w:val="es-MX"/>
        </w:rPr>
        <w:t xml:space="preserve"> 20</w:t>
      </w:r>
      <w:r>
        <w:rPr>
          <w:b/>
          <w:lang w:val="es-MX"/>
        </w:rPr>
        <w:t>21*</w:t>
      </w:r>
    </w:p>
    <w:p w:rsidR="002777E9" w:rsidRDefault="002777E9" w:rsidP="004A70CA">
      <w:pPr>
        <w:jc w:val="center"/>
        <w:rPr>
          <w:b/>
          <w:lang w:val="es-MX"/>
        </w:rPr>
      </w:pPr>
      <w:r>
        <w:rPr>
          <w:b/>
          <w:lang w:val="es-MX"/>
        </w:rPr>
        <w:t>(P</w:t>
      </w:r>
      <w:r w:rsidRPr="00253E46">
        <w:rPr>
          <w:b/>
          <w:lang w:val="es-MX"/>
        </w:rPr>
        <w:t xml:space="preserve">orcentaje respecto </w:t>
      </w:r>
      <w:r>
        <w:rPr>
          <w:b/>
          <w:lang w:val="es-MX"/>
        </w:rPr>
        <w:t>del</w:t>
      </w:r>
      <w:r w:rsidRPr="00253E46">
        <w:rPr>
          <w:b/>
          <w:lang w:val="es-MX"/>
        </w:rPr>
        <w:t xml:space="preserve"> PIB</w:t>
      </w:r>
      <w:r>
        <w:rPr>
          <w:b/>
          <w:lang w:val="es-MX"/>
        </w:rPr>
        <w:t>)</w:t>
      </w:r>
    </w:p>
    <w:p w:rsidR="004A70CA" w:rsidRDefault="004A70CA" w:rsidP="004A70CA">
      <w:pPr>
        <w:jc w:val="center"/>
        <w:rPr>
          <w:b/>
          <w:lang w:val="es-MX"/>
        </w:rPr>
      </w:pPr>
      <w:r>
        <w:rPr>
          <w:noProof/>
        </w:rPr>
        <w:drawing>
          <wp:inline distT="0" distB="0" distL="0" distR="0" wp14:anchorId="343AEB8D" wp14:editId="536B3FB0">
            <wp:extent cx="6152083" cy="4564685"/>
            <wp:effectExtent l="0" t="0" r="1270" b="7620"/>
            <wp:docPr id="23" name="Gráfico 23">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A70CA" w:rsidRPr="00CF14DC" w:rsidRDefault="002777E9" w:rsidP="002777E9">
      <w:pPr>
        <w:rPr>
          <w:sz w:val="18"/>
          <w:lang w:val="es-MX"/>
        </w:rPr>
      </w:pPr>
      <w:r>
        <w:rPr>
          <w:sz w:val="18"/>
          <w:lang w:val="es-MX"/>
        </w:rPr>
        <w:t xml:space="preserve">      </w:t>
      </w:r>
      <w:r w:rsidR="004A70CA" w:rsidRPr="00CF14DC">
        <w:rPr>
          <w:sz w:val="18"/>
          <w:lang w:val="es-MX"/>
        </w:rPr>
        <w:t>* Cifras preliminares</w:t>
      </w:r>
    </w:p>
    <w:p w:rsidR="004A70CA" w:rsidRDefault="002777E9" w:rsidP="002777E9">
      <w:pPr>
        <w:rPr>
          <w:sz w:val="16"/>
          <w:lang w:val="es-MX"/>
        </w:rPr>
      </w:pPr>
      <w:r>
        <w:rPr>
          <w:sz w:val="18"/>
          <w:lang w:val="es-MX"/>
        </w:rPr>
        <w:t xml:space="preserve">         </w:t>
      </w:r>
      <w:r w:rsidR="004A70CA" w:rsidRPr="00CF14DC">
        <w:rPr>
          <w:sz w:val="18"/>
          <w:lang w:val="es-MX"/>
        </w:rPr>
        <w:t>Fuente: Ministerio de Finanzas Públicas</w:t>
      </w:r>
      <w:r w:rsidR="004A70CA">
        <w:rPr>
          <w:sz w:val="16"/>
          <w:lang w:val="es-MX"/>
        </w:rPr>
        <w:t>.</w:t>
      </w:r>
    </w:p>
    <w:p w:rsidR="004A70CA" w:rsidRDefault="004A70CA" w:rsidP="004A70CA">
      <w:pPr>
        <w:ind w:firstLine="567"/>
        <w:rPr>
          <w:lang w:val="es-MX"/>
        </w:rPr>
      </w:pPr>
    </w:p>
    <w:p w:rsidR="004A70CA" w:rsidRDefault="004A70CA" w:rsidP="004A70CA">
      <w:pPr>
        <w:ind w:firstLine="567"/>
        <w:rPr>
          <w:lang w:val="es-MX"/>
        </w:rPr>
      </w:pPr>
    </w:p>
    <w:p w:rsidR="004A70CA" w:rsidRDefault="004A70CA" w:rsidP="002777E9">
      <w:pPr>
        <w:jc w:val="both"/>
      </w:pPr>
      <w:r>
        <w:t>Vale indicar que el saldo de la deuda</w:t>
      </w:r>
      <w:r w:rsidR="002777E9">
        <w:t xml:space="preserve"> pública</w:t>
      </w:r>
      <w:r>
        <w:t xml:space="preserve"> inici</w:t>
      </w:r>
      <w:r w:rsidR="002777E9">
        <w:t>ó</w:t>
      </w:r>
      <w:r>
        <w:t xml:space="preserve"> a acelerarse a partir de 2018 </w:t>
      </w:r>
      <w:r>
        <w:rPr>
          <w:lang w:val="es-MX"/>
        </w:rPr>
        <w:t>con un monto de Q</w:t>
      </w:r>
      <w:r w:rsidR="002777E9">
        <w:rPr>
          <w:lang w:val="es-MX"/>
        </w:rPr>
        <w:t>.</w:t>
      </w:r>
      <w:r>
        <w:rPr>
          <w:lang w:val="es-MX"/>
        </w:rPr>
        <w:t xml:space="preserve">13,571.0 millones </w:t>
      </w:r>
      <w:r w:rsidR="002777E9">
        <w:rPr>
          <w:lang w:val="es-MX"/>
        </w:rPr>
        <w:t xml:space="preserve">adicionales </w:t>
      </w:r>
      <w:r>
        <w:rPr>
          <w:lang w:val="es-MX"/>
        </w:rPr>
        <w:t xml:space="preserve">a lo observado durante 2017, mientras que </w:t>
      </w:r>
      <w:r w:rsidR="002777E9">
        <w:rPr>
          <w:lang w:val="es-MX"/>
        </w:rPr>
        <w:t xml:space="preserve">en </w:t>
      </w:r>
      <w:r>
        <w:rPr>
          <w:lang w:val="es-MX"/>
        </w:rPr>
        <w:t xml:space="preserve">2019 </w:t>
      </w:r>
      <w:r>
        <w:t xml:space="preserve">tuvo un incremento de Q.11,305.3 millones, alcanzando un monto al cierre </w:t>
      </w:r>
      <w:r w:rsidR="002777E9">
        <w:t xml:space="preserve">del año </w:t>
      </w:r>
      <w:r w:rsidR="00A02778">
        <w:t xml:space="preserve">por el monto </w:t>
      </w:r>
      <w:r>
        <w:t xml:space="preserve">de Q.157,325.9 millones; en tanto que, al 31 de diciembre de 2020 se tiene un registro en el saldo de Q.189,189.6 millones, es decir, que el aumento (según el Reporte de Operaciones de Crédito Público) es de Q.31,861.7 millones, mientras que, de forma preliminar, para </w:t>
      </w:r>
      <w:r w:rsidR="002777E9">
        <w:t xml:space="preserve">el </w:t>
      </w:r>
      <w:r>
        <w:t>2021, el saldo es de Q</w:t>
      </w:r>
      <w:r w:rsidR="002777E9">
        <w:t>.</w:t>
      </w:r>
      <w:r>
        <w:t xml:space="preserve">204,666.0 millones, siendo el aumento, respecto </w:t>
      </w:r>
      <w:r w:rsidR="002777E9">
        <w:t>del</w:t>
      </w:r>
      <w:r>
        <w:t xml:space="preserve"> año anterior de Q</w:t>
      </w:r>
      <w:r w:rsidR="002777E9">
        <w:t>.</w:t>
      </w:r>
      <w:r>
        <w:t>15,478.5 millones.</w:t>
      </w:r>
    </w:p>
    <w:p w:rsidR="004A70CA" w:rsidRDefault="004A70CA" w:rsidP="004A70CA">
      <w:pPr>
        <w:rPr>
          <w:lang w:val="es-MX"/>
        </w:rPr>
      </w:pPr>
    </w:p>
    <w:p w:rsidR="004A70CA" w:rsidRDefault="004A70CA" w:rsidP="004A70CA">
      <w:pPr>
        <w:ind w:firstLine="567"/>
        <w:rPr>
          <w:lang w:val="es-MX"/>
        </w:rPr>
      </w:pPr>
    </w:p>
    <w:p w:rsidR="00023E5B" w:rsidRDefault="00023E5B" w:rsidP="004A70CA">
      <w:pPr>
        <w:ind w:firstLine="567"/>
        <w:rPr>
          <w:lang w:val="es-MX"/>
        </w:rPr>
      </w:pPr>
    </w:p>
    <w:p w:rsidR="00023E5B" w:rsidRDefault="00023E5B" w:rsidP="004A70CA">
      <w:pPr>
        <w:ind w:firstLine="567"/>
        <w:rPr>
          <w:lang w:val="es-MX"/>
        </w:rPr>
      </w:pPr>
    </w:p>
    <w:p w:rsidR="00023E5B" w:rsidRDefault="00023E5B" w:rsidP="004A70CA">
      <w:pPr>
        <w:ind w:firstLine="567"/>
        <w:rPr>
          <w:lang w:val="es-MX"/>
        </w:rPr>
      </w:pPr>
    </w:p>
    <w:p w:rsidR="00023E5B" w:rsidRDefault="00023E5B" w:rsidP="004A70CA">
      <w:pPr>
        <w:ind w:firstLine="567"/>
        <w:rPr>
          <w:lang w:val="es-MX"/>
        </w:rPr>
      </w:pPr>
    </w:p>
    <w:p w:rsidR="00E25B50" w:rsidRPr="00253E46" w:rsidRDefault="00E25B50" w:rsidP="00E25B50">
      <w:pPr>
        <w:jc w:val="center"/>
        <w:rPr>
          <w:b/>
          <w:lang w:val="es-MX"/>
        </w:rPr>
      </w:pPr>
      <w:r w:rsidRPr="00253E46">
        <w:rPr>
          <w:b/>
          <w:lang w:val="es-MX"/>
        </w:rPr>
        <w:t>Gráfica 1</w:t>
      </w:r>
      <w:r>
        <w:rPr>
          <w:b/>
          <w:lang w:val="es-MX"/>
        </w:rPr>
        <w:t>2</w:t>
      </w:r>
    </w:p>
    <w:p w:rsidR="00E25B50" w:rsidRDefault="004A70CA" w:rsidP="004A70CA">
      <w:pPr>
        <w:ind w:firstLine="567"/>
        <w:jc w:val="center"/>
        <w:rPr>
          <w:b/>
          <w:lang w:val="es-MX"/>
        </w:rPr>
      </w:pPr>
      <w:r w:rsidRPr="00710C24">
        <w:rPr>
          <w:b/>
          <w:lang w:val="es-MX"/>
        </w:rPr>
        <w:t>Variaciones en el Saldo de la Deuda Pública</w:t>
      </w:r>
    </w:p>
    <w:p w:rsidR="004A70CA" w:rsidRPr="00710C24" w:rsidRDefault="00E25B50" w:rsidP="004A70CA">
      <w:pPr>
        <w:ind w:firstLine="567"/>
        <w:jc w:val="center"/>
        <w:rPr>
          <w:b/>
          <w:lang w:val="es-MX"/>
        </w:rPr>
      </w:pPr>
      <w:r>
        <w:rPr>
          <w:b/>
          <w:lang w:val="es-MX"/>
        </w:rPr>
        <w:t>A</w:t>
      </w:r>
      <w:r w:rsidR="004A70CA" w:rsidRPr="00710C24">
        <w:rPr>
          <w:b/>
          <w:lang w:val="es-MX"/>
        </w:rPr>
        <w:t>l cierre de cada año</w:t>
      </w:r>
      <w:r>
        <w:rPr>
          <w:b/>
          <w:lang w:val="es-MX"/>
        </w:rPr>
        <w:t xml:space="preserve"> </w:t>
      </w:r>
      <w:r w:rsidR="004A70CA" w:rsidRPr="00710C24">
        <w:rPr>
          <w:b/>
          <w:lang w:val="es-MX"/>
        </w:rPr>
        <w:t xml:space="preserve">2013 </w:t>
      </w:r>
      <w:r w:rsidR="00B06E3B">
        <w:rPr>
          <w:b/>
          <w:lang w:val="es-MX"/>
        </w:rPr>
        <w:t>-</w:t>
      </w:r>
      <w:r w:rsidR="004A70CA" w:rsidRPr="00710C24">
        <w:rPr>
          <w:b/>
          <w:lang w:val="es-MX"/>
        </w:rPr>
        <w:t xml:space="preserve"> 2021</w:t>
      </w:r>
      <w:r w:rsidR="004A70CA">
        <w:rPr>
          <w:b/>
          <w:lang w:val="es-MX"/>
        </w:rPr>
        <w:t>*</w:t>
      </w:r>
    </w:p>
    <w:p w:rsidR="004A70CA" w:rsidRDefault="00B06E3B" w:rsidP="004A70CA">
      <w:pPr>
        <w:ind w:firstLine="567"/>
        <w:jc w:val="center"/>
        <w:rPr>
          <w:lang w:val="es-MX"/>
        </w:rPr>
      </w:pPr>
      <w:r>
        <w:rPr>
          <w:b/>
          <w:lang w:val="es-MX"/>
        </w:rPr>
        <w:t xml:space="preserve">(En </w:t>
      </w:r>
      <w:r w:rsidR="004A70CA" w:rsidRPr="00710C24">
        <w:rPr>
          <w:b/>
          <w:lang w:val="es-MX"/>
        </w:rPr>
        <w:t>Millones de Quetzales</w:t>
      </w:r>
      <w:r>
        <w:rPr>
          <w:b/>
          <w:lang w:val="es-MX"/>
        </w:rPr>
        <w:t>)</w:t>
      </w:r>
    </w:p>
    <w:p w:rsidR="004A70CA" w:rsidRDefault="004A70CA" w:rsidP="00B06E3B">
      <w:pPr>
        <w:ind w:firstLine="567"/>
        <w:rPr>
          <w:lang w:val="es-MX"/>
        </w:rPr>
      </w:pPr>
      <w:r>
        <w:rPr>
          <w:noProof/>
        </w:rPr>
        <w:drawing>
          <wp:inline distT="0" distB="0" distL="0" distR="0" wp14:anchorId="54771702" wp14:editId="77BA79EB">
            <wp:extent cx="5716905" cy="4323283"/>
            <wp:effectExtent l="0" t="0" r="0" b="1270"/>
            <wp:docPr id="24" name="Gráfico 24">
              <a:extLst xmlns:a="http://schemas.openxmlformats.org/drawingml/2006/main">
                <a:ext uri="{FF2B5EF4-FFF2-40B4-BE49-F238E27FC236}">
                  <a16:creationId xmlns:a16="http://schemas.microsoft.com/office/drawing/2014/main" id="{41A973AC-3A65-4020-B9E3-4819C40932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A70CA" w:rsidRPr="00CF14DC" w:rsidRDefault="004A70CA" w:rsidP="004A70CA">
      <w:pPr>
        <w:ind w:firstLine="567"/>
        <w:rPr>
          <w:sz w:val="18"/>
          <w:lang w:val="es-MX"/>
        </w:rPr>
      </w:pPr>
      <w:r w:rsidRPr="00CF14DC">
        <w:rPr>
          <w:sz w:val="18"/>
          <w:lang w:val="es-MX"/>
        </w:rPr>
        <w:t>* Cifras preliminares</w:t>
      </w:r>
    </w:p>
    <w:p w:rsidR="004A70CA" w:rsidRDefault="004A70CA" w:rsidP="004A70CA">
      <w:pPr>
        <w:ind w:firstLine="567"/>
        <w:rPr>
          <w:sz w:val="16"/>
          <w:lang w:val="es-MX"/>
        </w:rPr>
      </w:pPr>
      <w:r>
        <w:rPr>
          <w:sz w:val="18"/>
          <w:lang w:val="es-MX"/>
        </w:rPr>
        <w:t xml:space="preserve">   </w:t>
      </w:r>
      <w:r w:rsidRPr="00CF14DC">
        <w:rPr>
          <w:sz w:val="18"/>
          <w:lang w:val="es-MX"/>
        </w:rPr>
        <w:t>Fuente: Ministerio de Finanzas Públicas</w:t>
      </w:r>
      <w:r>
        <w:rPr>
          <w:sz w:val="16"/>
          <w:lang w:val="es-MX"/>
        </w:rPr>
        <w:t>.</w:t>
      </w:r>
    </w:p>
    <w:p w:rsidR="004A70CA" w:rsidRDefault="004A70CA" w:rsidP="004A70CA">
      <w:pPr>
        <w:ind w:firstLine="567"/>
        <w:rPr>
          <w:lang w:val="es-MX"/>
        </w:rPr>
      </w:pPr>
    </w:p>
    <w:p w:rsidR="004A70CA" w:rsidRPr="0003319E" w:rsidRDefault="004A70CA" w:rsidP="004A70CA">
      <w:pPr>
        <w:ind w:firstLine="567"/>
        <w:rPr>
          <w:lang w:val="es-MX"/>
        </w:rPr>
      </w:pPr>
    </w:p>
    <w:p w:rsidR="004A70CA" w:rsidRPr="00E25B50" w:rsidRDefault="00130B50" w:rsidP="00282087">
      <w:pPr>
        <w:pStyle w:val="Ttulo3"/>
        <w:numPr>
          <w:ilvl w:val="0"/>
          <w:numId w:val="0"/>
        </w:numPr>
        <w:ind w:left="720"/>
        <w:rPr>
          <w:rFonts w:ascii="Times New Roman" w:hAnsi="Times New Roman"/>
          <w:color w:val="000000" w:themeColor="text1"/>
        </w:rPr>
      </w:pPr>
      <w:bookmarkStart w:id="20" w:name="_Toc98924133"/>
      <w:r w:rsidRPr="00E25B50">
        <w:rPr>
          <w:rFonts w:ascii="Times New Roman" w:hAnsi="Times New Roman"/>
          <w:color w:val="000000" w:themeColor="text1"/>
        </w:rPr>
        <w:t>1</w:t>
      </w:r>
      <w:r w:rsidR="00282087" w:rsidRPr="00E25B50">
        <w:rPr>
          <w:rFonts w:ascii="Times New Roman" w:hAnsi="Times New Roman"/>
          <w:color w:val="000000" w:themeColor="text1"/>
        </w:rPr>
        <w:tab/>
      </w:r>
      <w:r w:rsidR="004A70CA" w:rsidRPr="00E25B50">
        <w:rPr>
          <w:rFonts w:ascii="Times New Roman" w:hAnsi="Times New Roman"/>
          <w:color w:val="000000" w:themeColor="text1"/>
        </w:rPr>
        <w:t>Indicadores de la Deuda Pública</w:t>
      </w:r>
      <w:bookmarkEnd w:id="20"/>
    </w:p>
    <w:p w:rsidR="004A70CA" w:rsidRDefault="004A70CA" w:rsidP="004A70CA"/>
    <w:p w:rsidR="004A70CA" w:rsidRDefault="004A70CA" w:rsidP="004A70CA">
      <w:pPr>
        <w:pStyle w:val="Sinespaciado"/>
        <w:jc w:val="both"/>
        <w:rPr>
          <w:rFonts w:ascii="Times New Roman" w:hAnsi="Times New Roman" w:cs="Times New Roman"/>
        </w:rPr>
      </w:pPr>
      <w:r>
        <w:rPr>
          <w:rFonts w:ascii="Times New Roman" w:hAnsi="Times New Roman" w:cs="Times New Roman"/>
        </w:rPr>
        <w:t>Actualmente</w:t>
      </w:r>
      <w:r w:rsidR="00B06E3B">
        <w:rPr>
          <w:rFonts w:ascii="Times New Roman" w:hAnsi="Times New Roman" w:cs="Times New Roman"/>
        </w:rPr>
        <w:t>,</w:t>
      </w:r>
      <w:r>
        <w:rPr>
          <w:rFonts w:ascii="Times New Roman" w:hAnsi="Times New Roman" w:cs="Times New Roman"/>
        </w:rPr>
        <w:t xml:space="preserve"> </w:t>
      </w:r>
      <w:r w:rsidRPr="00FA6B0D">
        <w:rPr>
          <w:rFonts w:ascii="Times New Roman" w:hAnsi="Times New Roman" w:cs="Times New Roman"/>
        </w:rPr>
        <w:t xml:space="preserve">Guatemala se </w:t>
      </w:r>
      <w:r>
        <w:rPr>
          <w:rFonts w:ascii="Times New Roman" w:hAnsi="Times New Roman" w:cs="Times New Roman"/>
        </w:rPr>
        <w:t xml:space="preserve">ubica en el límite de los </w:t>
      </w:r>
      <w:r w:rsidRPr="00FA6B0D">
        <w:rPr>
          <w:rFonts w:ascii="Times New Roman" w:hAnsi="Times New Roman" w:cs="Times New Roman"/>
        </w:rPr>
        <w:t>niveles</w:t>
      </w:r>
      <w:r>
        <w:rPr>
          <w:rFonts w:ascii="Times New Roman" w:hAnsi="Times New Roman" w:cs="Times New Roman"/>
        </w:rPr>
        <w:t xml:space="preserve"> máximos </w:t>
      </w:r>
      <w:r w:rsidRPr="00FA6B0D">
        <w:rPr>
          <w:rFonts w:ascii="Times New Roman" w:hAnsi="Times New Roman" w:cs="Times New Roman"/>
        </w:rPr>
        <w:t xml:space="preserve">de endeudamiento, </w:t>
      </w:r>
      <w:r>
        <w:rPr>
          <w:rFonts w:ascii="Times New Roman" w:hAnsi="Times New Roman" w:cs="Times New Roman"/>
        </w:rPr>
        <w:t xml:space="preserve">según lo </w:t>
      </w:r>
      <w:r w:rsidR="00B06E3B">
        <w:rPr>
          <w:rFonts w:ascii="Times New Roman" w:hAnsi="Times New Roman" w:cs="Times New Roman"/>
        </w:rPr>
        <w:t xml:space="preserve">que </w:t>
      </w:r>
      <w:r>
        <w:rPr>
          <w:rFonts w:ascii="Times New Roman" w:hAnsi="Times New Roman" w:cs="Times New Roman"/>
        </w:rPr>
        <w:t xml:space="preserve">establecen </w:t>
      </w:r>
      <w:r w:rsidRPr="00FA6B0D">
        <w:rPr>
          <w:rFonts w:ascii="Times New Roman" w:hAnsi="Times New Roman" w:cs="Times New Roman"/>
        </w:rPr>
        <w:t xml:space="preserve">los estándares internacionalmente aceptados, tanto en la proporción de los ingresos </w:t>
      </w:r>
      <w:r>
        <w:rPr>
          <w:rFonts w:ascii="Times New Roman" w:hAnsi="Times New Roman" w:cs="Times New Roman"/>
        </w:rPr>
        <w:t>tributarios,</w:t>
      </w:r>
      <w:r w:rsidRPr="00FA6B0D">
        <w:rPr>
          <w:rFonts w:ascii="Times New Roman" w:hAnsi="Times New Roman" w:cs="Times New Roman"/>
        </w:rPr>
        <w:t xml:space="preserve"> como en lo que respecta al porcentaje</w:t>
      </w:r>
      <w:r>
        <w:rPr>
          <w:rFonts w:ascii="Times New Roman" w:hAnsi="Times New Roman" w:cs="Times New Roman"/>
        </w:rPr>
        <w:t xml:space="preserve"> de la deuda </w:t>
      </w:r>
      <w:r w:rsidR="00B06E3B">
        <w:rPr>
          <w:rFonts w:ascii="Times New Roman" w:hAnsi="Times New Roman" w:cs="Times New Roman"/>
        </w:rPr>
        <w:t xml:space="preserve">pública </w:t>
      </w:r>
      <w:r>
        <w:rPr>
          <w:rFonts w:ascii="Times New Roman" w:hAnsi="Times New Roman" w:cs="Times New Roman"/>
        </w:rPr>
        <w:t xml:space="preserve">sobre </w:t>
      </w:r>
      <w:r w:rsidRPr="00FA6B0D">
        <w:rPr>
          <w:rFonts w:ascii="Times New Roman" w:hAnsi="Times New Roman" w:cs="Times New Roman"/>
        </w:rPr>
        <w:t>el P</w:t>
      </w:r>
      <w:r>
        <w:rPr>
          <w:rFonts w:ascii="Times New Roman" w:hAnsi="Times New Roman" w:cs="Times New Roman"/>
        </w:rPr>
        <w:t>roducto Interno Bruto (P</w:t>
      </w:r>
      <w:r w:rsidRPr="00FA6B0D">
        <w:rPr>
          <w:rFonts w:ascii="Times New Roman" w:hAnsi="Times New Roman" w:cs="Times New Roman"/>
        </w:rPr>
        <w:t>IB</w:t>
      </w:r>
      <w:r>
        <w:rPr>
          <w:rFonts w:ascii="Times New Roman" w:hAnsi="Times New Roman" w:cs="Times New Roman"/>
        </w:rPr>
        <w:t>)</w:t>
      </w:r>
      <w:r w:rsidRPr="00FA6B0D">
        <w:rPr>
          <w:rFonts w:ascii="Times New Roman" w:hAnsi="Times New Roman" w:cs="Times New Roman"/>
        </w:rPr>
        <w:t>.</w:t>
      </w:r>
    </w:p>
    <w:p w:rsidR="004A70CA" w:rsidRDefault="004A70CA" w:rsidP="004A70CA">
      <w:pPr>
        <w:pStyle w:val="Sinespaciado"/>
        <w:jc w:val="both"/>
        <w:rPr>
          <w:rFonts w:ascii="Times New Roman" w:hAnsi="Times New Roman" w:cs="Times New Roman"/>
        </w:rPr>
      </w:pPr>
    </w:p>
    <w:p w:rsidR="004A70CA" w:rsidRPr="00B06E3B" w:rsidRDefault="00B06E3B" w:rsidP="00B06E3B">
      <w:pPr>
        <w:pStyle w:val="Sinespaciado"/>
        <w:jc w:val="both"/>
        <w:rPr>
          <w:rFonts w:ascii="Times New Roman" w:hAnsi="Times New Roman" w:cs="Times New Roman"/>
          <w:lang w:val="es-MX"/>
        </w:rPr>
      </w:pPr>
      <w:r>
        <w:rPr>
          <w:rFonts w:ascii="Times New Roman" w:hAnsi="Times New Roman" w:cs="Times New Roman"/>
        </w:rPr>
        <w:t>Como d</w:t>
      </w:r>
      <w:r w:rsidR="004A70CA" w:rsidRPr="00B06E3B">
        <w:rPr>
          <w:rFonts w:ascii="Times New Roman" w:hAnsi="Times New Roman" w:cs="Times New Roman"/>
        </w:rPr>
        <w:t>atos preliminares al 31 de diciembre de 2021</w:t>
      </w:r>
      <w:r w:rsidRPr="00B06E3B">
        <w:rPr>
          <w:rFonts w:ascii="Times New Roman" w:hAnsi="Times New Roman" w:cs="Times New Roman"/>
        </w:rPr>
        <w:t xml:space="preserve">, </w:t>
      </w:r>
      <w:r>
        <w:rPr>
          <w:rFonts w:ascii="Times New Roman" w:hAnsi="Times New Roman" w:cs="Times New Roman"/>
        </w:rPr>
        <w:t>l</w:t>
      </w:r>
      <w:r w:rsidR="004A70CA" w:rsidRPr="00B06E3B">
        <w:rPr>
          <w:rFonts w:ascii="Times New Roman" w:hAnsi="Times New Roman" w:cs="Times New Roman"/>
          <w:lang w:val="es-MX"/>
        </w:rPr>
        <w:t>a distribución porcentual de la deuda interna y externa se ubicó en 57.0% y 43.0%, respectivamente, en 2020; en tanto que, preliminarmente, para finales del 2021 fue de 58.1% y 41.9%, evidenciando el impacto de la crisis en la deuda interna, tomando como base la información publicada en el Reporte de Operaciones de Crédito Público (ROCP), al 31 de diciembre de 2021.</w:t>
      </w:r>
    </w:p>
    <w:p w:rsidR="004A70CA" w:rsidRDefault="004A70CA" w:rsidP="004A70CA">
      <w:pPr>
        <w:jc w:val="both"/>
        <w:rPr>
          <w:lang w:val="es-MX"/>
        </w:rPr>
      </w:pPr>
    </w:p>
    <w:p w:rsidR="004A70CA" w:rsidRDefault="004A70CA" w:rsidP="004A70CA">
      <w:pPr>
        <w:jc w:val="both"/>
        <w:rPr>
          <w:lang w:val="es-MX"/>
        </w:rPr>
      </w:pPr>
      <w:r>
        <w:rPr>
          <w:lang w:val="es-MX"/>
        </w:rPr>
        <w:t>La composición de la deuda pública por tasa de interés, preliminarmente es de 84.0% a tasa fija y de 16.0% a tasa variable, según el informe de la Dirección de Crédito Público al cierre preliminar de 202</w:t>
      </w:r>
      <w:r w:rsidR="00AA18FE">
        <w:rPr>
          <w:lang w:val="es-MX"/>
        </w:rPr>
        <w:t>1</w:t>
      </w:r>
      <w:r>
        <w:rPr>
          <w:lang w:val="es-MX"/>
        </w:rPr>
        <w:t>; en tanto que para finales de 202</w:t>
      </w:r>
      <w:r w:rsidR="00AA18FE">
        <w:rPr>
          <w:lang w:val="es-MX"/>
        </w:rPr>
        <w:t>0</w:t>
      </w:r>
      <w:r>
        <w:rPr>
          <w:lang w:val="es-MX"/>
        </w:rPr>
        <w:t xml:space="preserve"> se ubic</w:t>
      </w:r>
      <w:r w:rsidR="00AA18FE">
        <w:rPr>
          <w:lang w:val="es-MX"/>
        </w:rPr>
        <w:t>ó</w:t>
      </w:r>
      <w:r>
        <w:rPr>
          <w:lang w:val="es-MX"/>
        </w:rPr>
        <w:t xml:space="preserve"> así:</w:t>
      </w:r>
      <w:r w:rsidRPr="00124AD6">
        <w:rPr>
          <w:lang w:val="es-MX"/>
        </w:rPr>
        <w:t xml:space="preserve"> </w:t>
      </w:r>
      <w:r>
        <w:rPr>
          <w:lang w:val="es-MX"/>
        </w:rPr>
        <w:t>81.3</w:t>
      </w:r>
      <w:r w:rsidRPr="00124AD6">
        <w:rPr>
          <w:lang w:val="es-MX"/>
        </w:rPr>
        <w:t xml:space="preserve">% con tasa de interés fija </w:t>
      </w:r>
      <w:r>
        <w:rPr>
          <w:lang w:val="es-MX"/>
        </w:rPr>
        <w:t>y de 18.7</w:t>
      </w:r>
      <w:r w:rsidRPr="00124AD6">
        <w:rPr>
          <w:lang w:val="es-MX"/>
        </w:rPr>
        <w:t xml:space="preserve">% </w:t>
      </w:r>
      <w:r>
        <w:rPr>
          <w:lang w:val="es-MX"/>
        </w:rPr>
        <w:t>con tasa de interés variable</w:t>
      </w:r>
      <w:r w:rsidRPr="00124AD6">
        <w:rPr>
          <w:lang w:val="es-MX"/>
        </w:rPr>
        <w:t>.</w:t>
      </w:r>
    </w:p>
    <w:p w:rsidR="004A70CA" w:rsidRDefault="004A70CA" w:rsidP="004A70CA">
      <w:pPr>
        <w:jc w:val="both"/>
        <w:rPr>
          <w:lang w:val="es-MX"/>
        </w:rPr>
      </w:pPr>
    </w:p>
    <w:p w:rsidR="004A70CA" w:rsidRDefault="004A70CA" w:rsidP="004A70CA">
      <w:pPr>
        <w:jc w:val="both"/>
        <w:rPr>
          <w:lang w:val="es-MX"/>
        </w:rPr>
      </w:pPr>
      <w:r>
        <w:rPr>
          <w:lang w:val="es-MX"/>
        </w:rPr>
        <w:t>Asimismo, por tipo de moneda, el registro preliminar indica que la composición en moneda nacional para 2021 es de 55.4% y en moneda extranjera es de 44.6%</w:t>
      </w:r>
      <w:r w:rsidR="00AA18FE">
        <w:rPr>
          <w:lang w:val="es-MX"/>
        </w:rPr>
        <w:t>;</w:t>
      </w:r>
      <w:r>
        <w:rPr>
          <w:lang w:val="es-MX"/>
        </w:rPr>
        <w:t xml:space="preserve"> mientras que, según el Reporte de Operaciones de Crédito Público (ROCP), para 2020 fue así: en moneda nacional 53.4% y 46.6% en moneda extranjera.</w:t>
      </w:r>
    </w:p>
    <w:p w:rsidR="004A70CA" w:rsidRPr="0096573F" w:rsidRDefault="004A70CA" w:rsidP="004A70CA">
      <w:pPr>
        <w:jc w:val="both"/>
        <w:rPr>
          <w:sz w:val="32"/>
          <w:lang w:val="es-MX"/>
        </w:rPr>
      </w:pPr>
    </w:p>
    <w:p w:rsidR="004A70CA" w:rsidRDefault="004A70CA" w:rsidP="004A70CA">
      <w:pPr>
        <w:jc w:val="both"/>
        <w:rPr>
          <w:lang w:val="es-MX"/>
        </w:rPr>
      </w:pPr>
      <w:r>
        <w:rPr>
          <w:lang w:val="es-MX"/>
        </w:rPr>
        <w:t xml:space="preserve">En lo referente a la fuente de donde provienen los recursos, sea de Colocación de Bonos del Tesoro o de </w:t>
      </w:r>
      <w:r w:rsidR="00AA18FE">
        <w:rPr>
          <w:lang w:val="es-MX"/>
        </w:rPr>
        <w:t xml:space="preserve">suscripción de </w:t>
      </w:r>
      <w:r>
        <w:rPr>
          <w:lang w:val="es-MX"/>
        </w:rPr>
        <w:t>préstamos externos, preliminarmente</w:t>
      </w:r>
      <w:r w:rsidR="00AA18FE">
        <w:rPr>
          <w:lang w:val="es-MX"/>
        </w:rPr>
        <w:t xml:space="preserve"> al 31 de diciembre de 2021</w:t>
      </w:r>
      <w:r>
        <w:rPr>
          <w:lang w:val="es-MX"/>
        </w:rPr>
        <w:t xml:space="preserve"> se ubica en 82.0% y en 18.0%, respectivamente</w:t>
      </w:r>
      <w:r w:rsidR="00AA18FE">
        <w:rPr>
          <w:lang w:val="es-MX"/>
        </w:rPr>
        <w:t>;</w:t>
      </w:r>
      <w:r>
        <w:rPr>
          <w:lang w:val="es-MX"/>
        </w:rPr>
        <w:t xml:space="preserve"> mientras que</w:t>
      </w:r>
      <w:r w:rsidR="003F415E">
        <w:rPr>
          <w:lang w:val="es-MX"/>
        </w:rPr>
        <w:t>,</w:t>
      </w:r>
      <w:r>
        <w:rPr>
          <w:lang w:val="es-MX"/>
        </w:rPr>
        <w:t xml:space="preserve"> a finales de 20</w:t>
      </w:r>
      <w:r w:rsidR="00AA18FE">
        <w:rPr>
          <w:lang w:val="es-MX"/>
        </w:rPr>
        <w:t>20</w:t>
      </w:r>
      <w:r>
        <w:rPr>
          <w:lang w:val="es-MX"/>
        </w:rPr>
        <w:t>, la composición fue de 78.9% y 21.1%, en el mismo orden.</w:t>
      </w:r>
    </w:p>
    <w:p w:rsidR="004A70CA" w:rsidRPr="005E7C13" w:rsidRDefault="004A70CA" w:rsidP="004A70CA">
      <w:pPr>
        <w:rPr>
          <w:lang w:val="es-MX"/>
        </w:rPr>
      </w:pPr>
    </w:p>
    <w:p w:rsidR="004A70CA" w:rsidRPr="00253E46" w:rsidRDefault="004A70CA" w:rsidP="004A70CA">
      <w:pPr>
        <w:jc w:val="center"/>
        <w:rPr>
          <w:b/>
          <w:lang w:val="es-MX"/>
        </w:rPr>
      </w:pPr>
      <w:r w:rsidRPr="00253E46">
        <w:rPr>
          <w:b/>
          <w:lang w:val="es-MX"/>
        </w:rPr>
        <w:t>Gráfica 1</w:t>
      </w:r>
      <w:r w:rsidR="00E25B50">
        <w:rPr>
          <w:b/>
          <w:lang w:val="es-MX"/>
        </w:rPr>
        <w:t>3</w:t>
      </w:r>
    </w:p>
    <w:p w:rsidR="004A70CA" w:rsidRDefault="004A70CA" w:rsidP="004A70CA">
      <w:pPr>
        <w:jc w:val="center"/>
        <w:rPr>
          <w:b/>
          <w:lang w:val="es-MX"/>
        </w:rPr>
      </w:pPr>
      <w:r w:rsidRPr="00253E46">
        <w:rPr>
          <w:b/>
          <w:lang w:val="es-MX"/>
        </w:rPr>
        <w:t>Composición de la Deuda Pública en Interna y Externa</w:t>
      </w:r>
      <w:r w:rsidR="00E25B50">
        <w:rPr>
          <w:b/>
          <w:lang w:val="es-MX"/>
        </w:rPr>
        <w:t xml:space="preserve"> 2021</w:t>
      </w:r>
    </w:p>
    <w:p w:rsidR="004A70CA" w:rsidRPr="00253E46" w:rsidRDefault="004A70CA" w:rsidP="004A70CA">
      <w:pPr>
        <w:jc w:val="center"/>
        <w:rPr>
          <w:b/>
          <w:lang w:val="es-MX"/>
        </w:rPr>
      </w:pPr>
      <w:r>
        <w:rPr>
          <w:noProof/>
        </w:rPr>
        <w:drawing>
          <wp:inline distT="0" distB="0" distL="0" distR="0" wp14:anchorId="47E4368A" wp14:editId="190D23E0">
            <wp:extent cx="2808515" cy="1715984"/>
            <wp:effectExtent l="0" t="0" r="0" b="0"/>
            <wp:docPr id="26" name="Gráfico 26">
              <a:extLst xmlns:a="http://schemas.openxmlformats.org/drawingml/2006/main">
                <a:ext uri="{FF2B5EF4-FFF2-40B4-BE49-F238E27FC236}">
                  <a16:creationId xmlns:a16="http://schemas.microsoft.com/office/drawing/2014/main" id="{5C8DDF43-647E-4D4A-BBE6-DA91961D11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A70CA" w:rsidRPr="00DF1F42" w:rsidRDefault="004A70CA" w:rsidP="004A70CA">
      <w:pPr>
        <w:ind w:firstLine="567"/>
        <w:rPr>
          <w:sz w:val="18"/>
          <w:lang w:val="es-MX"/>
        </w:rPr>
      </w:pPr>
      <w:r w:rsidRPr="00DF1F42">
        <w:rPr>
          <w:sz w:val="18"/>
          <w:lang w:val="es-MX"/>
        </w:rPr>
        <w:t xml:space="preserve">                            </w:t>
      </w:r>
      <w:r>
        <w:rPr>
          <w:sz w:val="18"/>
          <w:lang w:val="es-MX"/>
        </w:rPr>
        <w:t xml:space="preserve">        </w:t>
      </w:r>
      <w:r w:rsidRPr="00DF1F42">
        <w:rPr>
          <w:sz w:val="18"/>
          <w:lang w:val="es-MX"/>
        </w:rPr>
        <w:t xml:space="preserve">                    Fuente: Ministerio de Finanzas Públicas.</w:t>
      </w:r>
    </w:p>
    <w:p w:rsidR="004A70CA" w:rsidRDefault="004A70CA" w:rsidP="004A70CA">
      <w:pPr>
        <w:jc w:val="both"/>
        <w:rPr>
          <w:lang w:val="es-MX"/>
        </w:rPr>
      </w:pPr>
    </w:p>
    <w:p w:rsidR="004A70CA" w:rsidRDefault="004A70CA" w:rsidP="004A70CA">
      <w:pPr>
        <w:jc w:val="both"/>
        <w:rPr>
          <w:lang w:val="es-MX"/>
        </w:rPr>
      </w:pPr>
    </w:p>
    <w:p w:rsidR="00023E5B" w:rsidRDefault="00023E5B" w:rsidP="004A70CA">
      <w:pPr>
        <w:jc w:val="both"/>
        <w:rPr>
          <w:lang w:val="es-MX"/>
        </w:rPr>
      </w:pPr>
    </w:p>
    <w:p w:rsidR="004A70CA" w:rsidRDefault="004A70CA" w:rsidP="004A70CA">
      <w:pPr>
        <w:jc w:val="both"/>
        <w:rPr>
          <w:lang w:val="es-MX"/>
        </w:rPr>
      </w:pPr>
    </w:p>
    <w:p w:rsidR="004A70CA" w:rsidRPr="00E25B50" w:rsidRDefault="004A70CA" w:rsidP="004A70CA">
      <w:pPr>
        <w:jc w:val="center"/>
        <w:rPr>
          <w:b/>
          <w:lang w:val="es-MX"/>
        </w:rPr>
      </w:pPr>
      <w:r w:rsidRPr="00E25B50">
        <w:rPr>
          <w:b/>
          <w:lang w:val="es-MX"/>
        </w:rPr>
        <w:t>Gráfica 1</w:t>
      </w:r>
      <w:r w:rsidR="00E25B50" w:rsidRPr="00E25B50">
        <w:rPr>
          <w:b/>
          <w:lang w:val="es-MX"/>
        </w:rPr>
        <w:t>4</w:t>
      </w:r>
    </w:p>
    <w:p w:rsidR="004A70CA" w:rsidRPr="00E25B50" w:rsidRDefault="004A70CA" w:rsidP="004A70CA">
      <w:pPr>
        <w:jc w:val="center"/>
        <w:rPr>
          <w:b/>
          <w:lang w:val="es-MX"/>
        </w:rPr>
      </w:pPr>
      <w:r w:rsidRPr="00E25B50">
        <w:rPr>
          <w:b/>
          <w:lang w:val="es-MX"/>
        </w:rPr>
        <w:t>Composición de la Deuda Pública por Tasa de Interés</w:t>
      </w:r>
      <w:r w:rsidR="00E25B50">
        <w:rPr>
          <w:b/>
          <w:lang w:val="es-MX"/>
        </w:rPr>
        <w:t xml:space="preserve"> 2021</w:t>
      </w:r>
    </w:p>
    <w:p w:rsidR="004A70CA" w:rsidRPr="0046725D" w:rsidRDefault="004A70CA" w:rsidP="004A70CA">
      <w:pPr>
        <w:jc w:val="center"/>
        <w:rPr>
          <w:b/>
          <w:sz w:val="22"/>
          <w:lang w:val="es-MX"/>
        </w:rPr>
      </w:pPr>
      <w:r>
        <w:rPr>
          <w:noProof/>
        </w:rPr>
        <w:drawing>
          <wp:inline distT="0" distB="0" distL="0" distR="0" wp14:anchorId="282616C0" wp14:editId="58439D70">
            <wp:extent cx="3153295" cy="1840230"/>
            <wp:effectExtent l="0" t="0" r="0" b="7620"/>
            <wp:docPr id="33" name="Gráfico 33">
              <a:extLst xmlns:a="http://schemas.openxmlformats.org/drawingml/2006/main">
                <a:ext uri="{FF2B5EF4-FFF2-40B4-BE49-F238E27FC236}">
                  <a16:creationId xmlns:a16="http://schemas.microsoft.com/office/drawing/2014/main" id="{65CAE272-BAAA-46FD-ABAB-335C22BA98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A70CA" w:rsidRPr="00DF1F42" w:rsidRDefault="004A70CA" w:rsidP="004A70CA">
      <w:pPr>
        <w:ind w:firstLine="567"/>
        <w:rPr>
          <w:sz w:val="18"/>
          <w:lang w:val="es-MX"/>
        </w:rPr>
      </w:pPr>
      <w:r w:rsidRPr="00DF1F42">
        <w:rPr>
          <w:sz w:val="18"/>
          <w:lang w:val="es-MX"/>
        </w:rPr>
        <w:t xml:space="preserve">                          </w:t>
      </w:r>
      <w:r>
        <w:rPr>
          <w:sz w:val="18"/>
          <w:lang w:val="es-MX"/>
        </w:rPr>
        <w:t xml:space="preserve">             </w:t>
      </w:r>
      <w:r w:rsidRPr="00DF1F42">
        <w:rPr>
          <w:sz w:val="18"/>
          <w:lang w:val="es-MX"/>
        </w:rPr>
        <w:t xml:space="preserve">                 Fuente: Ministerio de Finanzas Públicas.</w:t>
      </w:r>
    </w:p>
    <w:p w:rsidR="004A70CA" w:rsidRPr="00253E46" w:rsidRDefault="004A70CA" w:rsidP="004A70CA">
      <w:pPr>
        <w:jc w:val="center"/>
        <w:rPr>
          <w:b/>
          <w:lang w:val="es-MX"/>
        </w:rPr>
      </w:pPr>
      <w:r w:rsidRPr="00253E46">
        <w:rPr>
          <w:b/>
          <w:lang w:val="es-MX"/>
        </w:rPr>
        <w:lastRenderedPageBreak/>
        <w:t>Gráfica 1</w:t>
      </w:r>
      <w:r w:rsidR="00E25B50">
        <w:rPr>
          <w:b/>
          <w:lang w:val="es-MX"/>
        </w:rPr>
        <w:t>5</w:t>
      </w:r>
    </w:p>
    <w:p w:rsidR="004A70CA" w:rsidRDefault="004A70CA" w:rsidP="004A70CA">
      <w:pPr>
        <w:jc w:val="center"/>
        <w:rPr>
          <w:b/>
          <w:lang w:val="es-MX"/>
        </w:rPr>
      </w:pPr>
      <w:r w:rsidRPr="00253E46">
        <w:rPr>
          <w:b/>
          <w:lang w:val="es-MX"/>
        </w:rPr>
        <w:t>Composición de la Deuda Pública en Quetzales y Moneda Extranjera</w:t>
      </w:r>
      <w:r w:rsidR="00E25B50">
        <w:rPr>
          <w:b/>
          <w:lang w:val="es-MX"/>
        </w:rPr>
        <w:t xml:space="preserve"> 2021</w:t>
      </w:r>
    </w:p>
    <w:p w:rsidR="004A70CA" w:rsidRPr="00253E46" w:rsidRDefault="004A70CA" w:rsidP="004A70CA">
      <w:pPr>
        <w:jc w:val="center"/>
        <w:rPr>
          <w:b/>
          <w:lang w:val="es-MX"/>
        </w:rPr>
      </w:pPr>
      <w:r>
        <w:rPr>
          <w:noProof/>
        </w:rPr>
        <w:drawing>
          <wp:inline distT="0" distB="0" distL="0" distR="0" wp14:anchorId="34FBBBC9" wp14:editId="385FEFA7">
            <wp:extent cx="3140025" cy="1704109"/>
            <wp:effectExtent l="0" t="0" r="3810" b="0"/>
            <wp:docPr id="35" name="Gráfico 35">
              <a:extLst xmlns:a="http://schemas.openxmlformats.org/drawingml/2006/main">
                <a:ext uri="{FF2B5EF4-FFF2-40B4-BE49-F238E27FC236}">
                  <a16:creationId xmlns:a16="http://schemas.microsoft.com/office/drawing/2014/main" id="{62542D2E-1156-4255-BB53-06D0FD0AF3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A70CA" w:rsidRPr="00DF1F42" w:rsidRDefault="004A70CA" w:rsidP="004A70CA">
      <w:pPr>
        <w:ind w:firstLine="567"/>
        <w:rPr>
          <w:sz w:val="18"/>
          <w:lang w:val="es-MX"/>
        </w:rPr>
      </w:pPr>
      <w:r w:rsidRPr="00DF1F42">
        <w:rPr>
          <w:sz w:val="18"/>
          <w:lang w:val="es-MX"/>
        </w:rPr>
        <w:t xml:space="preserve">                       </w:t>
      </w:r>
      <w:r>
        <w:rPr>
          <w:sz w:val="18"/>
          <w:lang w:val="es-MX"/>
        </w:rPr>
        <w:t xml:space="preserve">    </w:t>
      </w:r>
      <w:r w:rsidRPr="00DF1F42">
        <w:rPr>
          <w:sz w:val="18"/>
          <w:lang w:val="es-MX"/>
        </w:rPr>
        <w:t xml:space="preserve">                               Fuente: Ministerio de Finanzas Públicas.</w:t>
      </w:r>
    </w:p>
    <w:p w:rsidR="004A70CA" w:rsidRDefault="004A70CA" w:rsidP="004A70CA">
      <w:pPr>
        <w:jc w:val="center"/>
        <w:rPr>
          <w:b/>
          <w:lang w:val="es-MX"/>
        </w:rPr>
      </w:pPr>
    </w:p>
    <w:p w:rsidR="00023E5B" w:rsidRPr="00023E5B" w:rsidRDefault="00023E5B" w:rsidP="004A70CA">
      <w:pPr>
        <w:jc w:val="center"/>
        <w:rPr>
          <w:b/>
          <w:sz w:val="22"/>
          <w:lang w:val="es-MX"/>
        </w:rPr>
      </w:pPr>
    </w:p>
    <w:p w:rsidR="00023E5B" w:rsidRDefault="00023E5B" w:rsidP="004A70CA">
      <w:pPr>
        <w:jc w:val="center"/>
        <w:rPr>
          <w:b/>
          <w:lang w:val="es-MX"/>
        </w:rPr>
      </w:pPr>
    </w:p>
    <w:p w:rsidR="004A70CA" w:rsidRPr="002C4C3E" w:rsidRDefault="004A70CA" w:rsidP="004A70CA">
      <w:pPr>
        <w:jc w:val="center"/>
        <w:rPr>
          <w:b/>
          <w:lang w:val="es-MX"/>
        </w:rPr>
      </w:pPr>
      <w:r>
        <w:rPr>
          <w:b/>
          <w:lang w:val="es-MX"/>
        </w:rPr>
        <w:t>Gráfica 1</w:t>
      </w:r>
      <w:r w:rsidR="00E25B50">
        <w:rPr>
          <w:b/>
          <w:lang w:val="es-MX"/>
        </w:rPr>
        <w:t>6</w:t>
      </w:r>
    </w:p>
    <w:p w:rsidR="004A70CA" w:rsidRDefault="004A70CA" w:rsidP="004A70CA">
      <w:pPr>
        <w:jc w:val="center"/>
        <w:rPr>
          <w:b/>
          <w:lang w:val="es-MX"/>
        </w:rPr>
      </w:pPr>
      <w:r w:rsidRPr="00BD6097">
        <w:rPr>
          <w:b/>
          <w:lang w:val="es-MX"/>
        </w:rPr>
        <w:t xml:space="preserve">Composición de la Deuda Pública en Bonos </w:t>
      </w:r>
      <w:r>
        <w:rPr>
          <w:b/>
          <w:lang w:val="es-MX"/>
        </w:rPr>
        <w:t xml:space="preserve">del Tesoro </w:t>
      </w:r>
      <w:r w:rsidRPr="00BD6097">
        <w:rPr>
          <w:b/>
          <w:lang w:val="es-MX"/>
        </w:rPr>
        <w:t>y Préstamos</w:t>
      </w:r>
      <w:r>
        <w:rPr>
          <w:b/>
          <w:lang w:val="es-MX"/>
        </w:rPr>
        <w:t xml:space="preserve"> Externos</w:t>
      </w:r>
      <w:r w:rsidR="00E25B50">
        <w:rPr>
          <w:b/>
          <w:lang w:val="es-MX"/>
        </w:rPr>
        <w:t xml:space="preserve"> 2021</w:t>
      </w:r>
    </w:p>
    <w:p w:rsidR="004A70CA" w:rsidRPr="00DF1F42" w:rsidRDefault="004A70CA" w:rsidP="004A70CA">
      <w:pPr>
        <w:jc w:val="center"/>
        <w:rPr>
          <w:b/>
          <w:sz w:val="28"/>
          <w:lang w:val="es-MX"/>
        </w:rPr>
      </w:pPr>
      <w:r>
        <w:rPr>
          <w:noProof/>
        </w:rPr>
        <w:drawing>
          <wp:inline distT="0" distB="0" distL="0" distR="0" wp14:anchorId="5379A725" wp14:editId="7D0E093C">
            <wp:extent cx="2709314" cy="1680359"/>
            <wp:effectExtent l="0" t="0" r="0" b="0"/>
            <wp:docPr id="60" name="Gráfico 60">
              <a:extLst xmlns:a="http://schemas.openxmlformats.org/drawingml/2006/main">
                <a:ext uri="{FF2B5EF4-FFF2-40B4-BE49-F238E27FC236}">
                  <a16:creationId xmlns:a16="http://schemas.microsoft.com/office/drawing/2014/main" id="{2CBBC02E-768B-42D0-BB5B-E92966FA61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A70CA" w:rsidRPr="00DF1F42" w:rsidRDefault="004A70CA" w:rsidP="004A70CA">
      <w:pPr>
        <w:ind w:firstLine="567"/>
        <w:rPr>
          <w:sz w:val="18"/>
          <w:lang w:val="es-MX"/>
        </w:rPr>
      </w:pPr>
      <w:r>
        <w:rPr>
          <w:sz w:val="18"/>
          <w:lang w:val="es-MX"/>
        </w:rPr>
        <w:t xml:space="preserve">                    </w:t>
      </w:r>
      <w:r w:rsidRPr="00DF1F42">
        <w:rPr>
          <w:sz w:val="18"/>
          <w:lang w:val="es-MX"/>
        </w:rPr>
        <w:t xml:space="preserve">   </w:t>
      </w:r>
      <w:r>
        <w:rPr>
          <w:sz w:val="18"/>
          <w:lang w:val="es-MX"/>
        </w:rPr>
        <w:t xml:space="preserve"> </w:t>
      </w:r>
      <w:r w:rsidRPr="00DF1F42">
        <w:rPr>
          <w:sz w:val="18"/>
          <w:lang w:val="es-MX"/>
        </w:rPr>
        <w:t xml:space="preserve">                                Fuente: Ministerio de Finanzas Públicas.</w:t>
      </w:r>
    </w:p>
    <w:p w:rsidR="004A70CA" w:rsidRDefault="004A70CA" w:rsidP="004A70CA">
      <w:pPr>
        <w:jc w:val="both"/>
        <w:rPr>
          <w:bCs/>
        </w:rPr>
      </w:pPr>
    </w:p>
    <w:p w:rsidR="004A70CA" w:rsidRPr="00A9147F" w:rsidRDefault="004A70CA" w:rsidP="004A70CA">
      <w:pPr>
        <w:jc w:val="both"/>
        <w:rPr>
          <w:bCs/>
          <w:sz w:val="32"/>
        </w:rPr>
      </w:pPr>
    </w:p>
    <w:p w:rsidR="004A70CA" w:rsidRDefault="004A70CA" w:rsidP="004A70CA">
      <w:pPr>
        <w:jc w:val="both"/>
        <w:rPr>
          <w:bCs/>
        </w:rPr>
      </w:pPr>
      <w:r>
        <w:rPr>
          <w:bCs/>
        </w:rPr>
        <w:t xml:space="preserve">El resultado presupuestario del Ejercicio Fiscal 2021 fue financiado con recursos provenientes de fuentes externas (préstamos) y fuentes internas (colocación de bonos del tesoro), cuyo monto aprobado conforme </w:t>
      </w:r>
      <w:r w:rsidR="00A8631A">
        <w:rPr>
          <w:bCs/>
        </w:rPr>
        <w:t xml:space="preserve">el </w:t>
      </w:r>
      <w:r>
        <w:rPr>
          <w:bCs/>
        </w:rPr>
        <w:t>Decreto N</w:t>
      </w:r>
      <w:r w:rsidR="00A8631A">
        <w:rPr>
          <w:bCs/>
        </w:rPr>
        <w:t>o.</w:t>
      </w:r>
      <w:r>
        <w:rPr>
          <w:bCs/>
        </w:rPr>
        <w:t xml:space="preserve"> 25-2018 del Congreso de la República de Guatemala, Ley de Presupuesto General de Ingresos y Egresos del Estado para el Ejercicio Fiscal 2019 con vigencia para el </w:t>
      </w:r>
      <w:r w:rsidR="00A9491F">
        <w:rPr>
          <w:bCs/>
        </w:rPr>
        <w:t>E</w:t>
      </w:r>
      <w:r>
        <w:rPr>
          <w:bCs/>
        </w:rPr>
        <w:t xml:space="preserve">jercicio </w:t>
      </w:r>
      <w:r w:rsidR="00A9491F">
        <w:rPr>
          <w:bCs/>
        </w:rPr>
        <w:t>F</w:t>
      </w:r>
      <w:r>
        <w:rPr>
          <w:bCs/>
        </w:rPr>
        <w:t xml:space="preserve">iscal </w:t>
      </w:r>
      <w:r w:rsidR="00A8631A">
        <w:rPr>
          <w:bCs/>
        </w:rPr>
        <w:t xml:space="preserve">2020 y </w:t>
      </w:r>
      <w:r>
        <w:rPr>
          <w:bCs/>
        </w:rPr>
        <w:t>2021, y sus ampliaciones aprobadas</w:t>
      </w:r>
      <w:r w:rsidR="00A8631A">
        <w:rPr>
          <w:bCs/>
        </w:rPr>
        <w:t xml:space="preserve"> en 2020</w:t>
      </w:r>
      <w:r>
        <w:rPr>
          <w:bCs/>
        </w:rPr>
        <w:t xml:space="preserve"> mediante los Decretos </w:t>
      </w:r>
      <w:r w:rsidR="00A8631A">
        <w:rPr>
          <w:bCs/>
        </w:rPr>
        <w:t xml:space="preserve">Nos. </w:t>
      </w:r>
      <w:r>
        <w:rPr>
          <w:bCs/>
        </w:rPr>
        <w:t>12-2020, 13-2020</w:t>
      </w:r>
      <w:r w:rsidR="00A9491F">
        <w:rPr>
          <w:bCs/>
        </w:rPr>
        <w:t>,</w:t>
      </w:r>
      <w:r>
        <w:rPr>
          <w:bCs/>
        </w:rPr>
        <w:t xml:space="preserve"> y 20-2020, se aprueba la distribución analítica del Presupuesto General de Ingresos y Egresos del Estado para el </w:t>
      </w:r>
      <w:r w:rsidR="00A8631A">
        <w:rPr>
          <w:bCs/>
        </w:rPr>
        <w:t>E</w:t>
      </w:r>
      <w:r>
        <w:rPr>
          <w:bCs/>
        </w:rPr>
        <w:t xml:space="preserve">jercicio </w:t>
      </w:r>
      <w:r w:rsidR="00A8631A">
        <w:rPr>
          <w:bCs/>
        </w:rPr>
        <w:t>F</w:t>
      </w:r>
      <w:r>
        <w:rPr>
          <w:bCs/>
        </w:rPr>
        <w:t>iscal 2021, con un presupuesto de deuda aprobado de Q.35,606.6 millones, integrados de la siguiente manera: a) recursos de préstamos</w:t>
      </w:r>
      <w:r w:rsidR="00A8631A">
        <w:rPr>
          <w:bCs/>
        </w:rPr>
        <w:t xml:space="preserve"> externos</w:t>
      </w:r>
      <w:r>
        <w:rPr>
          <w:bCs/>
        </w:rPr>
        <w:t xml:space="preserve"> Q.5,558.7 millones</w:t>
      </w:r>
      <w:r w:rsidR="00A8631A">
        <w:rPr>
          <w:bCs/>
        </w:rPr>
        <w:t>;</w:t>
      </w:r>
      <w:r>
        <w:rPr>
          <w:bCs/>
        </w:rPr>
        <w:t xml:space="preserve"> y</w:t>
      </w:r>
      <w:r w:rsidR="00A8631A">
        <w:rPr>
          <w:bCs/>
        </w:rPr>
        <w:t>,</w:t>
      </w:r>
      <w:r>
        <w:rPr>
          <w:bCs/>
        </w:rPr>
        <w:t xml:space="preserve"> b) recursos provenientes de la colocación de bonos del tesoro Q.30,047.9 millones. Estos montos se vieron transformados como resultado de las </w:t>
      </w:r>
      <w:r w:rsidR="00A8631A">
        <w:rPr>
          <w:bCs/>
        </w:rPr>
        <w:t>readecuaciones</w:t>
      </w:r>
      <w:r>
        <w:rPr>
          <w:bCs/>
        </w:rPr>
        <w:t xml:space="preserve"> presupuestarias en 2021 para atender los diferentes compromisos sociales, por lo que la ejecución de estos recursos al cierre preliminar de 2021 quedó así: Q.8,175.8 millones de deuda externa, monto que incluye la colocación de Eurobonos, los cuales no estaban contemplados al inicio del período y por Q.14,453.</w:t>
      </w:r>
      <w:r w:rsidR="00A9491F">
        <w:rPr>
          <w:bCs/>
        </w:rPr>
        <w:t>1</w:t>
      </w:r>
      <w:r>
        <w:rPr>
          <w:bCs/>
        </w:rPr>
        <w:t xml:space="preserve"> millones de colocación de bonos del tesoro en el mercado doméstico</w:t>
      </w:r>
      <w:r w:rsidR="00A8631A">
        <w:rPr>
          <w:bCs/>
        </w:rPr>
        <w:t>;</w:t>
      </w:r>
      <w:r>
        <w:rPr>
          <w:bCs/>
        </w:rPr>
        <w:t xml:space="preserve"> este monto incluye la colocación de primas, alcanzando un monto total de financiamiento por un valor total de Q</w:t>
      </w:r>
      <w:r w:rsidR="00A8631A">
        <w:rPr>
          <w:bCs/>
        </w:rPr>
        <w:t>.</w:t>
      </w:r>
      <w:r>
        <w:rPr>
          <w:bCs/>
        </w:rPr>
        <w:t>22,628.9 millones.</w:t>
      </w:r>
    </w:p>
    <w:p w:rsidR="00A9147F" w:rsidRDefault="00A9147F" w:rsidP="004A70CA">
      <w:pPr>
        <w:jc w:val="both"/>
        <w:rPr>
          <w:bCs/>
        </w:rPr>
      </w:pPr>
    </w:p>
    <w:p w:rsidR="004A70CA" w:rsidRPr="00C10496" w:rsidRDefault="004A70CA" w:rsidP="004A70CA">
      <w:pPr>
        <w:jc w:val="center"/>
        <w:rPr>
          <w:b/>
        </w:rPr>
      </w:pPr>
      <w:r w:rsidRPr="00C10496">
        <w:rPr>
          <w:b/>
        </w:rPr>
        <w:t>Cuadro 4</w:t>
      </w:r>
    </w:p>
    <w:p w:rsidR="004A70CA" w:rsidRPr="00C10496" w:rsidRDefault="004A70CA" w:rsidP="004A70CA">
      <w:pPr>
        <w:jc w:val="center"/>
        <w:rPr>
          <w:b/>
        </w:rPr>
      </w:pPr>
      <w:r w:rsidRPr="00C10496">
        <w:rPr>
          <w:b/>
        </w:rPr>
        <w:t xml:space="preserve">Financiamiento del </w:t>
      </w:r>
      <w:r>
        <w:rPr>
          <w:b/>
        </w:rPr>
        <w:t xml:space="preserve">Resultado </w:t>
      </w:r>
      <w:r w:rsidRPr="00C10496">
        <w:rPr>
          <w:b/>
        </w:rPr>
        <w:t>Presupuest</w:t>
      </w:r>
      <w:r>
        <w:rPr>
          <w:b/>
        </w:rPr>
        <w:t>ario</w:t>
      </w:r>
      <w:r w:rsidRPr="00C10496">
        <w:rPr>
          <w:b/>
        </w:rPr>
        <w:t xml:space="preserve"> 20</w:t>
      </w:r>
      <w:r>
        <w:rPr>
          <w:b/>
        </w:rPr>
        <w:t>2</w:t>
      </w:r>
      <w:r w:rsidR="00A8631A">
        <w:rPr>
          <w:b/>
        </w:rPr>
        <w:t>1</w:t>
      </w:r>
      <w:r>
        <w:rPr>
          <w:b/>
        </w:rPr>
        <w:t>*</w:t>
      </w:r>
    </w:p>
    <w:p w:rsidR="004A70CA" w:rsidRDefault="004A70CA" w:rsidP="004A70CA">
      <w:pPr>
        <w:jc w:val="center"/>
        <w:rPr>
          <w:b/>
        </w:rPr>
      </w:pPr>
      <w:r w:rsidRPr="00C10496">
        <w:rPr>
          <w:b/>
        </w:rPr>
        <w:t>(</w:t>
      </w:r>
      <w:r w:rsidR="00023E5B">
        <w:rPr>
          <w:b/>
        </w:rPr>
        <w:t xml:space="preserve">En </w:t>
      </w:r>
      <w:r w:rsidRPr="00C10496">
        <w:rPr>
          <w:b/>
        </w:rPr>
        <w:t>Millones de Quetzales)</w:t>
      </w:r>
    </w:p>
    <w:tbl>
      <w:tblPr>
        <w:tblW w:w="8710" w:type="dxa"/>
        <w:jc w:val="center"/>
        <w:tblCellMar>
          <w:left w:w="70" w:type="dxa"/>
          <w:right w:w="70" w:type="dxa"/>
        </w:tblCellMar>
        <w:tblLook w:val="04A0" w:firstRow="1" w:lastRow="0" w:firstColumn="1" w:lastColumn="0" w:noHBand="0" w:noVBand="1"/>
      </w:tblPr>
      <w:tblGrid>
        <w:gridCol w:w="2684"/>
        <w:gridCol w:w="1559"/>
        <w:gridCol w:w="1417"/>
        <w:gridCol w:w="1545"/>
        <w:gridCol w:w="1505"/>
      </w:tblGrid>
      <w:tr w:rsidR="004A70CA" w:rsidRPr="00A04225" w:rsidTr="00720F07">
        <w:trPr>
          <w:trHeight w:val="391"/>
          <w:jc w:val="center"/>
        </w:trPr>
        <w:tc>
          <w:tcPr>
            <w:tcW w:w="2684" w:type="dxa"/>
            <w:vMerge w:val="restart"/>
            <w:tcBorders>
              <w:top w:val="single" w:sz="8" w:space="0" w:color="auto"/>
              <w:left w:val="single" w:sz="8" w:space="0" w:color="auto"/>
              <w:bottom w:val="single" w:sz="8" w:space="0" w:color="000000"/>
              <w:right w:val="single" w:sz="4" w:space="0" w:color="auto"/>
            </w:tcBorders>
            <w:shd w:val="clear" w:color="auto" w:fill="8DB4E2"/>
            <w:vAlign w:val="center"/>
            <w:hideMark/>
          </w:tcPr>
          <w:p w:rsidR="004A70CA" w:rsidRPr="00A04225" w:rsidRDefault="004A70CA" w:rsidP="00BA0B4B">
            <w:pPr>
              <w:jc w:val="center"/>
              <w:rPr>
                <w:b/>
                <w:bCs/>
                <w:color w:val="000000"/>
                <w:sz w:val="22"/>
                <w:szCs w:val="32"/>
                <w:lang w:val="es-GT" w:eastAsia="es-GT"/>
              </w:rPr>
            </w:pPr>
            <w:r w:rsidRPr="00A04225">
              <w:rPr>
                <w:b/>
                <w:bCs/>
                <w:color w:val="000000"/>
                <w:sz w:val="22"/>
                <w:szCs w:val="32"/>
                <w:lang w:val="es-GT" w:eastAsia="es-GT"/>
              </w:rPr>
              <w:t>Concepto</w:t>
            </w:r>
          </w:p>
        </w:tc>
        <w:tc>
          <w:tcPr>
            <w:tcW w:w="2976" w:type="dxa"/>
            <w:gridSpan w:val="2"/>
            <w:tcBorders>
              <w:top w:val="single" w:sz="8" w:space="0" w:color="auto"/>
              <w:left w:val="single" w:sz="4" w:space="0" w:color="auto"/>
              <w:bottom w:val="single" w:sz="4" w:space="0" w:color="auto"/>
              <w:right w:val="single" w:sz="4" w:space="0" w:color="000000"/>
            </w:tcBorders>
            <w:shd w:val="clear" w:color="auto" w:fill="8DB4E2"/>
            <w:noWrap/>
            <w:vAlign w:val="center"/>
            <w:hideMark/>
          </w:tcPr>
          <w:p w:rsidR="004A70CA" w:rsidRPr="00A04225" w:rsidRDefault="004A70CA" w:rsidP="00BA0B4B">
            <w:pPr>
              <w:jc w:val="center"/>
              <w:rPr>
                <w:b/>
                <w:bCs/>
                <w:color w:val="000000"/>
                <w:sz w:val="22"/>
                <w:szCs w:val="32"/>
                <w:lang w:val="es-GT" w:eastAsia="es-GT"/>
              </w:rPr>
            </w:pPr>
            <w:r w:rsidRPr="00A04225">
              <w:rPr>
                <w:b/>
                <w:bCs/>
                <w:color w:val="000000"/>
                <w:sz w:val="22"/>
                <w:szCs w:val="32"/>
                <w:lang w:val="es-GT" w:eastAsia="es-GT"/>
              </w:rPr>
              <w:t>Presupuesto</w:t>
            </w:r>
          </w:p>
        </w:tc>
        <w:tc>
          <w:tcPr>
            <w:tcW w:w="1545" w:type="dxa"/>
            <w:vMerge w:val="restart"/>
            <w:tcBorders>
              <w:top w:val="single" w:sz="8" w:space="0" w:color="auto"/>
              <w:left w:val="single" w:sz="4" w:space="0" w:color="auto"/>
              <w:bottom w:val="single" w:sz="8" w:space="0" w:color="000000"/>
              <w:right w:val="single" w:sz="4" w:space="0" w:color="auto"/>
            </w:tcBorders>
            <w:shd w:val="clear" w:color="auto" w:fill="8DB4E2"/>
            <w:vAlign w:val="center"/>
            <w:hideMark/>
          </w:tcPr>
          <w:p w:rsidR="004A70CA" w:rsidRPr="00A04225" w:rsidRDefault="004A70CA" w:rsidP="00BA0B4B">
            <w:pPr>
              <w:jc w:val="center"/>
              <w:rPr>
                <w:b/>
                <w:bCs/>
                <w:color w:val="000000"/>
                <w:sz w:val="22"/>
                <w:szCs w:val="32"/>
                <w:lang w:val="es-GT" w:eastAsia="es-GT"/>
              </w:rPr>
            </w:pPr>
            <w:r w:rsidRPr="00A04225">
              <w:rPr>
                <w:b/>
                <w:bCs/>
                <w:color w:val="000000"/>
                <w:sz w:val="22"/>
                <w:szCs w:val="32"/>
                <w:lang w:val="es-GT" w:eastAsia="es-GT"/>
              </w:rPr>
              <w:t>Variación Absoluta</w:t>
            </w:r>
          </w:p>
        </w:tc>
        <w:tc>
          <w:tcPr>
            <w:tcW w:w="1505" w:type="dxa"/>
            <w:vMerge w:val="restart"/>
            <w:tcBorders>
              <w:top w:val="single" w:sz="8" w:space="0" w:color="auto"/>
              <w:left w:val="nil"/>
              <w:bottom w:val="single" w:sz="8" w:space="0" w:color="000000"/>
              <w:right w:val="single" w:sz="8" w:space="0" w:color="auto"/>
            </w:tcBorders>
            <w:shd w:val="clear" w:color="auto" w:fill="8DB4E2"/>
            <w:vAlign w:val="center"/>
            <w:hideMark/>
          </w:tcPr>
          <w:p w:rsidR="004A70CA" w:rsidRPr="00A04225" w:rsidRDefault="004A70CA" w:rsidP="00BA0B4B">
            <w:pPr>
              <w:jc w:val="center"/>
              <w:rPr>
                <w:b/>
                <w:bCs/>
                <w:color w:val="000000"/>
                <w:sz w:val="22"/>
                <w:szCs w:val="32"/>
                <w:lang w:val="es-GT" w:eastAsia="es-GT"/>
              </w:rPr>
            </w:pPr>
            <w:r w:rsidRPr="00A04225">
              <w:rPr>
                <w:b/>
                <w:bCs/>
                <w:color w:val="000000"/>
                <w:sz w:val="22"/>
                <w:szCs w:val="32"/>
                <w:lang w:val="es-GT" w:eastAsia="es-GT"/>
              </w:rPr>
              <w:t>Porcentaje de Ejecución</w:t>
            </w:r>
          </w:p>
        </w:tc>
      </w:tr>
      <w:tr w:rsidR="004A70CA" w:rsidRPr="00A04225" w:rsidTr="00023E5B">
        <w:trPr>
          <w:trHeight w:val="396"/>
          <w:jc w:val="center"/>
        </w:trPr>
        <w:tc>
          <w:tcPr>
            <w:tcW w:w="2684" w:type="dxa"/>
            <w:vMerge/>
            <w:tcBorders>
              <w:top w:val="single" w:sz="8" w:space="0" w:color="auto"/>
              <w:left w:val="single" w:sz="8" w:space="0" w:color="auto"/>
              <w:bottom w:val="single" w:sz="8" w:space="0" w:color="000000"/>
              <w:right w:val="single" w:sz="4" w:space="0" w:color="auto"/>
            </w:tcBorders>
            <w:vAlign w:val="center"/>
            <w:hideMark/>
          </w:tcPr>
          <w:p w:rsidR="004A70CA" w:rsidRPr="00A04225" w:rsidRDefault="004A70CA" w:rsidP="00BA0B4B">
            <w:pPr>
              <w:rPr>
                <w:b/>
                <w:bCs/>
                <w:color w:val="000000"/>
                <w:sz w:val="22"/>
                <w:szCs w:val="32"/>
                <w:lang w:val="es-GT" w:eastAsia="es-GT"/>
              </w:rPr>
            </w:pPr>
          </w:p>
        </w:tc>
        <w:tc>
          <w:tcPr>
            <w:tcW w:w="1559" w:type="dxa"/>
            <w:tcBorders>
              <w:top w:val="single" w:sz="4" w:space="0" w:color="auto"/>
              <w:left w:val="nil"/>
              <w:bottom w:val="single" w:sz="8" w:space="0" w:color="auto"/>
              <w:right w:val="nil"/>
            </w:tcBorders>
            <w:shd w:val="clear" w:color="000000" w:fill="8DB4E2"/>
            <w:noWrap/>
            <w:vAlign w:val="center"/>
            <w:hideMark/>
          </w:tcPr>
          <w:p w:rsidR="004A70CA" w:rsidRPr="00A04225" w:rsidRDefault="004A70CA" w:rsidP="00BA0B4B">
            <w:pPr>
              <w:jc w:val="center"/>
              <w:rPr>
                <w:b/>
                <w:bCs/>
                <w:color w:val="000000"/>
                <w:sz w:val="22"/>
                <w:szCs w:val="32"/>
                <w:lang w:val="es-GT" w:eastAsia="es-GT"/>
              </w:rPr>
            </w:pPr>
            <w:r w:rsidRPr="00A04225">
              <w:rPr>
                <w:b/>
                <w:bCs/>
                <w:color w:val="000000"/>
                <w:sz w:val="22"/>
                <w:szCs w:val="32"/>
                <w:lang w:val="es-GT" w:eastAsia="es-GT"/>
              </w:rPr>
              <w:t>Aprobado</w:t>
            </w:r>
          </w:p>
        </w:tc>
        <w:tc>
          <w:tcPr>
            <w:tcW w:w="1417" w:type="dxa"/>
            <w:tcBorders>
              <w:top w:val="single" w:sz="4" w:space="0" w:color="auto"/>
              <w:left w:val="nil"/>
              <w:bottom w:val="single" w:sz="8" w:space="0" w:color="auto"/>
              <w:right w:val="single" w:sz="4" w:space="0" w:color="auto"/>
            </w:tcBorders>
            <w:shd w:val="clear" w:color="000000" w:fill="8DB4E2"/>
            <w:noWrap/>
            <w:vAlign w:val="center"/>
            <w:hideMark/>
          </w:tcPr>
          <w:p w:rsidR="004A70CA" w:rsidRPr="00A04225" w:rsidRDefault="004A70CA" w:rsidP="00BA0B4B">
            <w:pPr>
              <w:jc w:val="center"/>
              <w:rPr>
                <w:b/>
                <w:bCs/>
                <w:color w:val="000000"/>
                <w:sz w:val="22"/>
                <w:szCs w:val="32"/>
                <w:lang w:val="es-GT" w:eastAsia="es-GT"/>
              </w:rPr>
            </w:pPr>
            <w:r w:rsidRPr="00A04225">
              <w:rPr>
                <w:b/>
                <w:bCs/>
                <w:color w:val="000000"/>
                <w:sz w:val="22"/>
                <w:szCs w:val="32"/>
                <w:lang w:val="es-GT" w:eastAsia="es-GT"/>
              </w:rPr>
              <w:t>Ejecutado</w:t>
            </w:r>
          </w:p>
        </w:tc>
        <w:tc>
          <w:tcPr>
            <w:tcW w:w="1545" w:type="dxa"/>
            <w:vMerge/>
            <w:tcBorders>
              <w:top w:val="single" w:sz="8" w:space="0" w:color="auto"/>
              <w:left w:val="single" w:sz="4" w:space="0" w:color="auto"/>
              <w:bottom w:val="single" w:sz="8" w:space="0" w:color="000000"/>
              <w:right w:val="single" w:sz="4" w:space="0" w:color="auto"/>
            </w:tcBorders>
            <w:vAlign w:val="center"/>
            <w:hideMark/>
          </w:tcPr>
          <w:p w:rsidR="004A70CA" w:rsidRPr="00A04225" w:rsidRDefault="004A70CA" w:rsidP="00BA0B4B">
            <w:pPr>
              <w:rPr>
                <w:b/>
                <w:bCs/>
                <w:color w:val="000000"/>
                <w:sz w:val="22"/>
                <w:szCs w:val="32"/>
                <w:lang w:val="es-GT" w:eastAsia="es-GT"/>
              </w:rPr>
            </w:pPr>
          </w:p>
        </w:tc>
        <w:tc>
          <w:tcPr>
            <w:tcW w:w="1505" w:type="dxa"/>
            <w:vMerge/>
            <w:tcBorders>
              <w:top w:val="single" w:sz="8" w:space="0" w:color="auto"/>
              <w:left w:val="nil"/>
              <w:bottom w:val="single" w:sz="8" w:space="0" w:color="000000"/>
              <w:right w:val="single" w:sz="8" w:space="0" w:color="auto"/>
            </w:tcBorders>
            <w:vAlign w:val="center"/>
            <w:hideMark/>
          </w:tcPr>
          <w:p w:rsidR="004A70CA" w:rsidRPr="00A04225" w:rsidRDefault="004A70CA" w:rsidP="00BA0B4B">
            <w:pPr>
              <w:rPr>
                <w:b/>
                <w:bCs/>
                <w:color w:val="000000"/>
                <w:sz w:val="22"/>
                <w:szCs w:val="32"/>
                <w:lang w:val="es-GT" w:eastAsia="es-GT"/>
              </w:rPr>
            </w:pPr>
          </w:p>
        </w:tc>
      </w:tr>
      <w:tr w:rsidR="004A70CA" w:rsidRPr="00A04225" w:rsidTr="00A8631A">
        <w:trPr>
          <w:trHeight w:val="450"/>
          <w:jc w:val="center"/>
        </w:trPr>
        <w:tc>
          <w:tcPr>
            <w:tcW w:w="2684" w:type="dxa"/>
            <w:tcBorders>
              <w:top w:val="nil"/>
              <w:left w:val="single" w:sz="8" w:space="0" w:color="auto"/>
              <w:bottom w:val="nil"/>
              <w:right w:val="single" w:sz="4" w:space="0" w:color="auto"/>
            </w:tcBorders>
            <w:shd w:val="clear" w:color="000000" w:fill="FFFFFF"/>
            <w:noWrap/>
            <w:vAlign w:val="center"/>
            <w:hideMark/>
          </w:tcPr>
          <w:p w:rsidR="004A70CA" w:rsidRPr="00A04225" w:rsidRDefault="004A70CA" w:rsidP="00BA0B4B">
            <w:pPr>
              <w:jc w:val="center"/>
              <w:rPr>
                <w:b/>
                <w:bCs/>
                <w:color w:val="000000"/>
                <w:sz w:val="22"/>
                <w:szCs w:val="32"/>
                <w:lang w:val="es-GT" w:eastAsia="es-GT"/>
              </w:rPr>
            </w:pPr>
            <w:r w:rsidRPr="00A04225">
              <w:rPr>
                <w:b/>
                <w:bCs/>
                <w:color w:val="000000"/>
                <w:sz w:val="22"/>
                <w:szCs w:val="32"/>
                <w:lang w:val="es-GT" w:eastAsia="es-GT"/>
              </w:rPr>
              <w:t>Total</w:t>
            </w:r>
          </w:p>
        </w:tc>
        <w:tc>
          <w:tcPr>
            <w:tcW w:w="1559" w:type="dxa"/>
            <w:tcBorders>
              <w:top w:val="nil"/>
              <w:left w:val="single" w:sz="4" w:space="0" w:color="auto"/>
              <w:bottom w:val="nil"/>
              <w:right w:val="nil"/>
            </w:tcBorders>
            <w:shd w:val="clear" w:color="000000" w:fill="FFFFFF"/>
            <w:noWrap/>
            <w:vAlign w:val="center"/>
            <w:hideMark/>
          </w:tcPr>
          <w:p w:rsidR="004A70CA" w:rsidRPr="00A04225" w:rsidRDefault="004A70CA" w:rsidP="00BA0B4B">
            <w:pPr>
              <w:jc w:val="center"/>
              <w:rPr>
                <w:b/>
                <w:bCs/>
                <w:color w:val="000000"/>
                <w:sz w:val="22"/>
                <w:szCs w:val="32"/>
                <w:lang w:val="es-GT" w:eastAsia="es-GT"/>
              </w:rPr>
            </w:pPr>
            <w:r w:rsidRPr="00A04225">
              <w:rPr>
                <w:b/>
                <w:bCs/>
                <w:color w:val="000000"/>
                <w:sz w:val="22"/>
                <w:szCs w:val="32"/>
                <w:lang w:val="es-GT" w:eastAsia="es-GT"/>
              </w:rPr>
              <w:t>35,606.6</w:t>
            </w:r>
          </w:p>
        </w:tc>
        <w:tc>
          <w:tcPr>
            <w:tcW w:w="1417" w:type="dxa"/>
            <w:tcBorders>
              <w:top w:val="nil"/>
              <w:left w:val="nil"/>
              <w:bottom w:val="nil"/>
              <w:right w:val="single" w:sz="4" w:space="0" w:color="auto"/>
            </w:tcBorders>
            <w:shd w:val="clear" w:color="000000" w:fill="FFFFFF"/>
            <w:noWrap/>
            <w:vAlign w:val="center"/>
            <w:hideMark/>
          </w:tcPr>
          <w:p w:rsidR="004A70CA" w:rsidRPr="00A04225" w:rsidRDefault="004A70CA" w:rsidP="00BA0B4B">
            <w:pPr>
              <w:jc w:val="center"/>
              <w:rPr>
                <w:b/>
                <w:bCs/>
                <w:color w:val="000000"/>
                <w:sz w:val="22"/>
                <w:szCs w:val="32"/>
                <w:lang w:val="es-GT" w:eastAsia="es-GT"/>
              </w:rPr>
            </w:pPr>
            <w:r>
              <w:rPr>
                <w:b/>
                <w:bCs/>
                <w:color w:val="000000"/>
                <w:sz w:val="22"/>
                <w:szCs w:val="32"/>
                <w:lang w:val="es-GT" w:eastAsia="es-GT"/>
              </w:rPr>
              <w:t>22</w:t>
            </w:r>
            <w:r w:rsidRPr="00A04225">
              <w:rPr>
                <w:b/>
                <w:bCs/>
                <w:color w:val="000000"/>
                <w:sz w:val="22"/>
                <w:szCs w:val="32"/>
                <w:lang w:val="es-GT" w:eastAsia="es-GT"/>
              </w:rPr>
              <w:t>,</w:t>
            </w:r>
            <w:r>
              <w:rPr>
                <w:b/>
                <w:bCs/>
                <w:color w:val="000000"/>
                <w:sz w:val="22"/>
                <w:szCs w:val="32"/>
                <w:lang w:val="es-GT" w:eastAsia="es-GT"/>
              </w:rPr>
              <w:t>62</w:t>
            </w:r>
            <w:r w:rsidRPr="00A04225">
              <w:rPr>
                <w:b/>
                <w:bCs/>
                <w:color w:val="000000"/>
                <w:sz w:val="22"/>
                <w:szCs w:val="32"/>
                <w:lang w:val="es-GT" w:eastAsia="es-GT"/>
              </w:rPr>
              <w:t>8.</w:t>
            </w:r>
            <w:r>
              <w:rPr>
                <w:b/>
                <w:bCs/>
                <w:color w:val="000000"/>
                <w:sz w:val="22"/>
                <w:szCs w:val="32"/>
                <w:lang w:val="es-GT" w:eastAsia="es-GT"/>
              </w:rPr>
              <w:t>9</w:t>
            </w:r>
          </w:p>
        </w:tc>
        <w:tc>
          <w:tcPr>
            <w:tcW w:w="1545" w:type="dxa"/>
            <w:tcBorders>
              <w:top w:val="nil"/>
              <w:left w:val="single" w:sz="4" w:space="0" w:color="auto"/>
              <w:bottom w:val="nil"/>
              <w:right w:val="single" w:sz="4" w:space="0" w:color="auto"/>
            </w:tcBorders>
            <w:shd w:val="clear" w:color="000000" w:fill="FFFFFF"/>
            <w:noWrap/>
            <w:vAlign w:val="center"/>
            <w:hideMark/>
          </w:tcPr>
          <w:p w:rsidR="004A70CA" w:rsidRPr="00A04225" w:rsidRDefault="00E40832" w:rsidP="00BA0B4B">
            <w:pPr>
              <w:jc w:val="center"/>
              <w:rPr>
                <w:b/>
                <w:bCs/>
                <w:color w:val="000000"/>
                <w:sz w:val="22"/>
                <w:szCs w:val="32"/>
                <w:lang w:val="es-GT" w:eastAsia="es-GT"/>
              </w:rPr>
            </w:pPr>
            <w:r>
              <w:rPr>
                <w:b/>
                <w:bCs/>
                <w:color w:val="000000"/>
                <w:sz w:val="22"/>
                <w:szCs w:val="32"/>
                <w:lang w:val="es-GT" w:eastAsia="es-GT"/>
              </w:rPr>
              <w:t>12,977.8</w:t>
            </w:r>
          </w:p>
        </w:tc>
        <w:tc>
          <w:tcPr>
            <w:tcW w:w="1505" w:type="dxa"/>
            <w:tcBorders>
              <w:top w:val="nil"/>
              <w:left w:val="nil"/>
              <w:bottom w:val="nil"/>
              <w:right w:val="single" w:sz="8" w:space="0" w:color="auto"/>
            </w:tcBorders>
            <w:shd w:val="clear" w:color="000000" w:fill="FFFFFF"/>
            <w:noWrap/>
            <w:vAlign w:val="center"/>
            <w:hideMark/>
          </w:tcPr>
          <w:p w:rsidR="004A70CA" w:rsidRPr="00A04225" w:rsidRDefault="00E40832" w:rsidP="00BA0B4B">
            <w:pPr>
              <w:jc w:val="center"/>
              <w:rPr>
                <w:b/>
                <w:bCs/>
                <w:color w:val="000000"/>
                <w:sz w:val="22"/>
                <w:szCs w:val="32"/>
                <w:lang w:val="es-GT" w:eastAsia="es-GT"/>
              </w:rPr>
            </w:pPr>
            <w:r>
              <w:rPr>
                <w:b/>
                <w:bCs/>
                <w:color w:val="000000"/>
                <w:sz w:val="22"/>
                <w:szCs w:val="32"/>
                <w:lang w:val="es-GT" w:eastAsia="es-GT"/>
              </w:rPr>
              <w:t>63.6</w:t>
            </w:r>
            <w:r w:rsidR="004A70CA" w:rsidRPr="00A04225">
              <w:rPr>
                <w:b/>
                <w:bCs/>
                <w:color w:val="000000"/>
                <w:sz w:val="22"/>
                <w:szCs w:val="32"/>
                <w:lang w:val="es-GT" w:eastAsia="es-GT"/>
              </w:rPr>
              <w:t>%</w:t>
            </w:r>
          </w:p>
        </w:tc>
      </w:tr>
      <w:tr w:rsidR="004A70CA" w:rsidRPr="00A04225" w:rsidTr="00A8631A">
        <w:trPr>
          <w:trHeight w:val="450"/>
          <w:jc w:val="center"/>
        </w:trPr>
        <w:tc>
          <w:tcPr>
            <w:tcW w:w="2684" w:type="dxa"/>
            <w:tcBorders>
              <w:top w:val="nil"/>
              <w:left w:val="single" w:sz="8" w:space="0" w:color="auto"/>
              <w:bottom w:val="nil"/>
              <w:right w:val="single" w:sz="4" w:space="0" w:color="auto"/>
            </w:tcBorders>
            <w:shd w:val="clear" w:color="000000" w:fill="FFFFFF"/>
            <w:noWrap/>
            <w:vAlign w:val="center"/>
            <w:hideMark/>
          </w:tcPr>
          <w:p w:rsidR="004A70CA" w:rsidRPr="00A04225" w:rsidRDefault="004A70CA" w:rsidP="00BA0B4B">
            <w:pPr>
              <w:rPr>
                <w:color w:val="000000"/>
                <w:sz w:val="22"/>
                <w:szCs w:val="32"/>
                <w:lang w:val="es-GT" w:eastAsia="es-GT"/>
              </w:rPr>
            </w:pPr>
            <w:r w:rsidRPr="00A04225">
              <w:rPr>
                <w:color w:val="000000"/>
                <w:sz w:val="22"/>
                <w:szCs w:val="32"/>
                <w:lang w:val="es-GT" w:eastAsia="es-GT"/>
              </w:rPr>
              <w:t>Préstamos Externos</w:t>
            </w:r>
          </w:p>
        </w:tc>
        <w:tc>
          <w:tcPr>
            <w:tcW w:w="1559" w:type="dxa"/>
            <w:tcBorders>
              <w:top w:val="nil"/>
              <w:left w:val="single" w:sz="4" w:space="0" w:color="auto"/>
              <w:bottom w:val="nil"/>
              <w:right w:val="nil"/>
            </w:tcBorders>
            <w:shd w:val="clear" w:color="000000" w:fill="FFFFFF"/>
            <w:noWrap/>
            <w:vAlign w:val="center"/>
            <w:hideMark/>
          </w:tcPr>
          <w:p w:rsidR="004A70CA" w:rsidRPr="00A04225" w:rsidRDefault="004A70CA" w:rsidP="00BA0B4B">
            <w:pPr>
              <w:jc w:val="center"/>
              <w:rPr>
                <w:color w:val="000000"/>
                <w:sz w:val="22"/>
                <w:szCs w:val="32"/>
                <w:lang w:val="es-GT" w:eastAsia="es-GT"/>
              </w:rPr>
            </w:pPr>
            <w:r w:rsidRPr="00A04225">
              <w:rPr>
                <w:color w:val="000000"/>
                <w:sz w:val="22"/>
                <w:szCs w:val="32"/>
                <w:lang w:val="es-GT" w:eastAsia="es-GT"/>
              </w:rPr>
              <w:t>5,558.7</w:t>
            </w:r>
          </w:p>
        </w:tc>
        <w:tc>
          <w:tcPr>
            <w:tcW w:w="1417" w:type="dxa"/>
            <w:tcBorders>
              <w:top w:val="nil"/>
              <w:left w:val="nil"/>
              <w:bottom w:val="nil"/>
              <w:right w:val="single" w:sz="4" w:space="0" w:color="auto"/>
            </w:tcBorders>
            <w:shd w:val="clear" w:color="000000" w:fill="FFFFFF"/>
            <w:noWrap/>
            <w:vAlign w:val="center"/>
            <w:hideMark/>
          </w:tcPr>
          <w:p w:rsidR="004A70CA" w:rsidRPr="00A04225" w:rsidRDefault="004A70CA" w:rsidP="00BA0B4B">
            <w:pPr>
              <w:jc w:val="center"/>
              <w:rPr>
                <w:color w:val="000000"/>
                <w:sz w:val="22"/>
                <w:szCs w:val="32"/>
                <w:lang w:val="es-GT" w:eastAsia="es-GT"/>
              </w:rPr>
            </w:pPr>
            <w:r>
              <w:rPr>
                <w:color w:val="000000"/>
                <w:sz w:val="22"/>
                <w:szCs w:val="32"/>
                <w:lang w:val="es-GT" w:eastAsia="es-GT"/>
              </w:rPr>
              <w:t>8,175.8</w:t>
            </w:r>
          </w:p>
        </w:tc>
        <w:tc>
          <w:tcPr>
            <w:tcW w:w="1545" w:type="dxa"/>
            <w:tcBorders>
              <w:top w:val="nil"/>
              <w:left w:val="single" w:sz="4" w:space="0" w:color="auto"/>
              <w:bottom w:val="nil"/>
              <w:right w:val="single" w:sz="4" w:space="0" w:color="auto"/>
            </w:tcBorders>
            <w:shd w:val="clear" w:color="000000" w:fill="FFFFFF"/>
            <w:noWrap/>
            <w:vAlign w:val="center"/>
            <w:hideMark/>
          </w:tcPr>
          <w:p w:rsidR="004A70CA" w:rsidRPr="00A04225" w:rsidRDefault="004A70CA" w:rsidP="00BA0B4B">
            <w:pPr>
              <w:jc w:val="center"/>
              <w:rPr>
                <w:color w:val="000000"/>
                <w:sz w:val="22"/>
                <w:szCs w:val="32"/>
                <w:lang w:val="es-GT" w:eastAsia="es-GT"/>
              </w:rPr>
            </w:pPr>
            <w:r w:rsidRPr="00A04225">
              <w:rPr>
                <w:color w:val="000000"/>
                <w:sz w:val="22"/>
                <w:szCs w:val="32"/>
                <w:lang w:val="es-GT" w:eastAsia="es-GT"/>
              </w:rPr>
              <w:t>-</w:t>
            </w:r>
            <w:r w:rsidR="00E40832">
              <w:rPr>
                <w:color w:val="000000"/>
                <w:sz w:val="22"/>
                <w:szCs w:val="32"/>
                <w:lang w:val="es-GT" w:eastAsia="es-GT"/>
              </w:rPr>
              <w:t>2,617.1</w:t>
            </w:r>
          </w:p>
        </w:tc>
        <w:tc>
          <w:tcPr>
            <w:tcW w:w="1505" w:type="dxa"/>
            <w:tcBorders>
              <w:top w:val="nil"/>
              <w:left w:val="nil"/>
              <w:bottom w:val="nil"/>
              <w:right w:val="single" w:sz="8" w:space="0" w:color="auto"/>
            </w:tcBorders>
            <w:shd w:val="clear" w:color="000000" w:fill="FFFFFF"/>
            <w:noWrap/>
            <w:vAlign w:val="center"/>
            <w:hideMark/>
          </w:tcPr>
          <w:p w:rsidR="004A70CA" w:rsidRPr="00A04225" w:rsidRDefault="00E40832" w:rsidP="00BA0B4B">
            <w:pPr>
              <w:jc w:val="center"/>
              <w:rPr>
                <w:color w:val="000000"/>
                <w:sz w:val="22"/>
                <w:szCs w:val="32"/>
                <w:lang w:val="es-GT" w:eastAsia="es-GT"/>
              </w:rPr>
            </w:pPr>
            <w:r>
              <w:rPr>
                <w:color w:val="000000"/>
                <w:sz w:val="22"/>
                <w:szCs w:val="32"/>
                <w:lang w:val="es-GT" w:eastAsia="es-GT"/>
              </w:rPr>
              <w:t>147.1</w:t>
            </w:r>
            <w:r w:rsidR="004A70CA" w:rsidRPr="00A04225">
              <w:rPr>
                <w:color w:val="000000"/>
                <w:sz w:val="22"/>
                <w:szCs w:val="32"/>
                <w:lang w:val="es-GT" w:eastAsia="es-GT"/>
              </w:rPr>
              <w:t>%</w:t>
            </w:r>
          </w:p>
        </w:tc>
      </w:tr>
      <w:tr w:rsidR="004A70CA" w:rsidRPr="00A04225" w:rsidTr="00A8631A">
        <w:trPr>
          <w:trHeight w:val="450"/>
          <w:jc w:val="center"/>
        </w:trPr>
        <w:tc>
          <w:tcPr>
            <w:tcW w:w="2684" w:type="dxa"/>
            <w:tcBorders>
              <w:top w:val="nil"/>
              <w:left w:val="single" w:sz="8" w:space="0" w:color="auto"/>
              <w:bottom w:val="single" w:sz="8" w:space="0" w:color="auto"/>
              <w:right w:val="single" w:sz="4" w:space="0" w:color="auto"/>
            </w:tcBorders>
            <w:shd w:val="clear" w:color="000000" w:fill="FFFFFF"/>
            <w:noWrap/>
            <w:vAlign w:val="center"/>
            <w:hideMark/>
          </w:tcPr>
          <w:p w:rsidR="004A70CA" w:rsidRPr="00A04225" w:rsidRDefault="004A70CA" w:rsidP="00BA0B4B">
            <w:pPr>
              <w:rPr>
                <w:color w:val="000000"/>
                <w:sz w:val="22"/>
                <w:szCs w:val="32"/>
                <w:lang w:val="es-GT" w:eastAsia="es-GT"/>
              </w:rPr>
            </w:pPr>
            <w:r w:rsidRPr="00A04225">
              <w:rPr>
                <w:color w:val="000000"/>
                <w:sz w:val="22"/>
                <w:szCs w:val="32"/>
                <w:lang w:val="es-GT" w:eastAsia="es-GT"/>
              </w:rPr>
              <w:t>Bonos del Tesoro</w:t>
            </w:r>
          </w:p>
        </w:tc>
        <w:tc>
          <w:tcPr>
            <w:tcW w:w="1559" w:type="dxa"/>
            <w:tcBorders>
              <w:top w:val="nil"/>
              <w:left w:val="single" w:sz="4" w:space="0" w:color="auto"/>
              <w:bottom w:val="single" w:sz="8" w:space="0" w:color="auto"/>
              <w:right w:val="nil"/>
            </w:tcBorders>
            <w:shd w:val="clear" w:color="000000" w:fill="FFFFFF"/>
            <w:noWrap/>
            <w:vAlign w:val="center"/>
            <w:hideMark/>
          </w:tcPr>
          <w:p w:rsidR="004A70CA" w:rsidRPr="00A04225" w:rsidRDefault="004A70CA" w:rsidP="00BA0B4B">
            <w:pPr>
              <w:jc w:val="center"/>
              <w:rPr>
                <w:color w:val="000000"/>
                <w:sz w:val="22"/>
                <w:szCs w:val="32"/>
                <w:lang w:val="es-GT" w:eastAsia="es-GT"/>
              </w:rPr>
            </w:pPr>
            <w:r w:rsidRPr="00A04225">
              <w:rPr>
                <w:color w:val="000000"/>
                <w:sz w:val="22"/>
                <w:szCs w:val="32"/>
                <w:lang w:val="es-GT" w:eastAsia="es-GT"/>
              </w:rPr>
              <w:t>30,047.9</w:t>
            </w:r>
          </w:p>
        </w:tc>
        <w:tc>
          <w:tcPr>
            <w:tcW w:w="1417" w:type="dxa"/>
            <w:tcBorders>
              <w:top w:val="nil"/>
              <w:left w:val="nil"/>
              <w:bottom w:val="single" w:sz="8" w:space="0" w:color="auto"/>
              <w:right w:val="single" w:sz="4" w:space="0" w:color="auto"/>
            </w:tcBorders>
            <w:shd w:val="clear" w:color="000000" w:fill="FFFFFF"/>
            <w:noWrap/>
            <w:vAlign w:val="center"/>
            <w:hideMark/>
          </w:tcPr>
          <w:p w:rsidR="004A70CA" w:rsidRPr="00A04225" w:rsidRDefault="004A70CA" w:rsidP="00BA0B4B">
            <w:pPr>
              <w:jc w:val="center"/>
              <w:rPr>
                <w:color w:val="000000"/>
                <w:sz w:val="22"/>
                <w:szCs w:val="32"/>
                <w:lang w:val="es-GT" w:eastAsia="es-GT"/>
              </w:rPr>
            </w:pPr>
            <w:r w:rsidRPr="00A04225">
              <w:rPr>
                <w:color w:val="000000"/>
                <w:sz w:val="22"/>
                <w:szCs w:val="32"/>
                <w:lang w:val="es-GT" w:eastAsia="es-GT"/>
              </w:rPr>
              <w:t>14,453.1</w:t>
            </w:r>
          </w:p>
        </w:tc>
        <w:tc>
          <w:tcPr>
            <w:tcW w:w="1545" w:type="dxa"/>
            <w:tcBorders>
              <w:top w:val="nil"/>
              <w:left w:val="nil"/>
              <w:bottom w:val="single" w:sz="8" w:space="0" w:color="auto"/>
              <w:right w:val="single" w:sz="4" w:space="0" w:color="auto"/>
            </w:tcBorders>
            <w:shd w:val="clear" w:color="000000" w:fill="FFFFFF"/>
            <w:noWrap/>
            <w:vAlign w:val="center"/>
            <w:hideMark/>
          </w:tcPr>
          <w:p w:rsidR="004A70CA" w:rsidRPr="00A04225" w:rsidRDefault="004A70CA" w:rsidP="00BA0B4B">
            <w:pPr>
              <w:jc w:val="center"/>
              <w:rPr>
                <w:color w:val="000000"/>
                <w:sz w:val="22"/>
                <w:szCs w:val="32"/>
                <w:lang w:val="es-GT" w:eastAsia="es-GT"/>
              </w:rPr>
            </w:pPr>
            <w:r w:rsidRPr="00A04225">
              <w:rPr>
                <w:color w:val="000000"/>
                <w:sz w:val="22"/>
                <w:szCs w:val="32"/>
                <w:lang w:val="es-GT" w:eastAsia="es-GT"/>
              </w:rPr>
              <w:t>15,594.8</w:t>
            </w:r>
          </w:p>
        </w:tc>
        <w:tc>
          <w:tcPr>
            <w:tcW w:w="1505" w:type="dxa"/>
            <w:tcBorders>
              <w:top w:val="nil"/>
              <w:left w:val="nil"/>
              <w:bottom w:val="single" w:sz="8" w:space="0" w:color="auto"/>
              <w:right w:val="single" w:sz="8" w:space="0" w:color="auto"/>
            </w:tcBorders>
            <w:shd w:val="clear" w:color="000000" w:fill="FFFFFF"/>
            <w:noWrap/>
            <w:vAlign w:val="center"/>
            <w:hideMark/>
          </w:tcPr>
          <w:p w:rsidR="004A70CA" w:rsidRPr="00A04225" w:rsidRDefault="004A70CA" w:rsidP="00BA0B4B">
            <w:pPr>
              <w:jc w:val="center"/>
              <w:rPr>
                <w:color w:val="000000"/>
                <w:sz w:val="22"/>
                <w:szCs w:val="32"/>
                <w:lang w:val="es-GT" w:eastAsia="es-GT"/>
              </w:rPr>
            </w:pPr>
            <w:r w:rsidRPr="00A04225">
              <w:rPr>
                <w:color w:val="000000"/>
                <w:sz w:val="22"/>
                <w:szCs w:val="32"/>
                <w:lang w:val="es-GT" w:eastAsia="es-GT"/>
              </w:rPr>
              <w:t>48.1%</w:t>
            </w:r>
          </w:p>
        </w:tc>
      </w:tr>
    </w:tbl>
    <w:p w:rsidR="004A70CA" w:rsidRPr="0011363F" w:rsidRDefault="00A8631A" w:rsidP="00A8631A">
      <w:pPr>
        <w:rPr>
          <w:sz w:val="18"/>
        </w:rPr>
      </w:pPr>
      <w:r>
        <w:rPr>
          <w:sz w:val="18"/>
        </w:rPr>
        <w:t xml:space="preserve">      </w:t>
      </w:r>
      <w:r w:rsidR="004A70CA" w:rsidRPr="0011363F">
        <w:rPr>
          <w:sz w:val="18"/>
        </w:rPr>
        <w:t>*Cifras preliminares</w:t>
      </w:r>
    </w:p>
    <w:p w:rsidR="004A70CA" w:rsidRPr="0011363F" w:rsidRDefault="004A70CA" w:rsidP="004A70CA">
      <w:pPr>
        <w:rPr>
          <w:sz w:val="18"/>
          <w:lang w:val="es-MX"/>
        </w:rPr>
      </w:pPr>
      <w:r>
        <w:rPr>
          <w:sz w:val="18"/>
          <w:lang w:val="es-MX"/>
        </w:rPr>
        <w:t xml:space="preserve">  </w:t>
      </w:r>
      <w:r w:rsidR="00A8631A">
        <w:rPr>
          <w:sz w:val="18"/>
          <w:lang w:val="es-MX"/>
        </w:rPr>
        <w:t xml:space="preserve">       </w:t>
      </w:r>
      <w:r w:rsidRPr="0011363F">
        <w:rPr>
          <w:sz w:val="18"/>
          <w:lang w:val="es-MX"/>
        </w:rPr>
        <w:t>Fuente: Ministerio de Finanzas Públicas.</w:t>
      </w:r>
    </w:p>
    <w:p w:rsidR="004A70CA" w:rsidRPr="009A6DD6" w:rsidRDefault="004A70CA" w:rsidP="004A70CA">
      <w:pPr>
        <w:jc w:val="both"/>
        <w:rPr>
          <w:bCs/>
          <w:sz w:val="28"/>
          <w:lang w:val="es-MX"/>
        </w:rPr>
      </w:pPr>
    </w:p>
    <w:p w:rsidR="004A70CA" w:rsidRPr="00DD5A28" w:rsidRDefault="004A70CA" w:rsidP="004A70CA">
      <w:pPr>
        <w:pStyle w:val="Ttulo2"/>
        <w:numPr>
          <w:ilvl w:val="0"/>
          <w:numId w:val="3"/>
        </w:numPr>
        <w:spacing w:line="276" w:lineRule="auto"/>
        <w:ind w:left="567" w:hanging="567"/>
        <w:rPr>
          <w:rFonts w:ascii="Times New Roman" w:hAnsi="Times New Roman"/>
          <w:color w:val="auto"/>
          <w:sz w:val="24"/>
          <w:szCs w:val="24"/>
        </w:rPr>
      </w:pPr>
      <w:bookmarkStart w:id="21" w:name="_Toc98924134"/>
      <w:r w:rsidRPr="00DD5A28">
        <w:rPr>
          <w:rFonts w:ascii="Times New Roman" w:hAnsi="Times New Roman"/>
          <w:color w:val="auto"/>
          <w:sz w:val="24"/>
          <w:szCs w:val="24"/>
        </w:rPr>
        <w:t xml:space="preserve">Ejecución del </w:t>
      </w:r>
      <w:r>
        <w:rPr>
          <w:rFonts w:ascii="Times New Roman" w:hAnsi="Times New Roman"/>
          <w:color w:val="auto"/>
          <w:sz w:val="24"/>
          <w:szCs w:val="24"/>
        </w:rPr>
        <w:t>G</w:t>
      </w:r>
      <w:r w:rsidRPr="00DD5A28">
        <w:rPr>
          <w:rFonts w:ascii="Times New Roman" w:hAnsi="Times New Roman"/>
          <w:color w:val="auto"/>
          <w:sz w:val="24"/>
          <w:szCs w:val="24"/>
        </w:rPr>
        <w:t xml:space="preserve">asto </w:t>
      </w:r>
      <w:r>
        <w:rPr>
          <w:rFonts w:ascii="Times New Roman" w:hAnsi="Times New Roman"/>
          <w:color w:val="auto"/>
          <w:sz w:val="24"/>
          <w:szCs w:val="24"/>
        </w:rPr>
        <w:t>P</w:t>
      </w:r>
      <w:r w:rsidRPr="00DD5A28">
        <w:rPr>
          <w:rFonts w:ascii="Times New Roman" w:hAnsi="Times New Roman"/>
          <w:color w:val="auto"/>
          <w:sz w:val="24"/>
          <w:szCs w:val="24"/>
        </w:rPr>
        <w:t>úblico</w:t>
      </w:r>
      <w:bookmarkEnd w:id="21"/>
    </w:p>
    <w:p w:rsidR="004A70CA" w:rsidRDefault="004A70CA" w:rsidP="004A70CA">
      <w:pPr>
        <w:rPr>
          <w:sz w:val="28"/>
        </w:rPr>
      </w:pPr>
    </w:p>
    <w:p w:rsidR="004A70CA" w:rsidRDefault="004A70CA" w:rsidP="004A70CA">
      <w:pPr>
        <w:jc w:val="both"/>
      </w:pPr>
      <w:r>
        <w:t>El presupuesto aprobado de 2021 contemplaba un gasto total, sin incluir amortizaciones, de Q.103,427.1 millones y según las cifras observadas en la ejecución presupuestaria preliminar, fue de Q.90,065.8 millones, es decir, que la ejecución preliminar estuvo por debajo de lo presupuestado en un 12.9%, equivalente a Q</w:t>
      </w:r>
      <w:r w:rsidR="00DD5360">
        <w:t>.</w:t>
      </w:r>
      <w:r>
        <w:t xml:space="preserve">13,361.3 millones. La incidencia en la disminución se dio principalmente en los Gastos Corrientes respecto </w:t>
      </w:r>
      <w:r w:rsidR="00597970">
        <w:t>de</w:t>
      </w:r>
      <w:r>
        <w:t>l presupuesto asignado, por valor de Q.8,213.4 millones equivalentes al 10.0% por debajo. Los Gastos de Capital también estuvieron por debajo en Q.5,147.9 millones, que tenía</w:t>
      </w:r>
      <w:r w:rsidR="00F31F7A">
        <w:t>n</w:t>
      </w:r>
      <w:r>
        <w:t xml:space="preserve"> un presupuesto inicial de Q.20,955.3 millones, en tanto que la ejecución al cierre preliminar fue de Q.15,807.4 millones.</w:t>
      </w:r>
    </w:p>
    <w:p w:rsidR="004A70CA" w:rsidRPr="00D01337" w:rsidRDefault="004A70CA" w:rsidP="004A70CA">
      <w:pPr>
        <w:jc w:val="both"/>
        <w:rPr>
          <w:sz w:val="28"/>
        </w:rPr>
      </w:pPr>
    </w:p>
    <w:p w:rsidR="004A70CA" w:rsidRPr="00003FDA" w:rsidRDefault="004A70CA" w:rsidP="004A70CA">
      <w:pPr>
        <w:jc w:val="both"/>
        <w:rPr>
          <w:bCs/>
        </w:rPr>
      </w:pPr>
      <w:r>
        <w:t xml:space="preserve">El presupuesto para 2021 no fue aprobado por el Congreso de la República, por lo que entró a regir el presupuesto en vigencia de </w:t>
      </w:r>
      <w:r w:rsidR="00F31F7A">
        <w:t xml:space="preserve">2019 y </w:t>
      </w:r>
      <w:r>
        <w:t xml:space="preserve">2020. De </w:t>
      </w:r>
      <w:r w:rsidR="00F31F7A">
        <w:t>esa</w:t>
      </w:r>
      <w:r>
        <w:t xml:space="preserve"> cuenta, </w:t>
      </w:r>
      <w:r w:rsidR="00F31F7A">
        <w:t>el</w:t>
      </w:r>
      <w:r>
        <w:rPr>
          <w:bCs/>
        </w:rPr>
        <w:t xml:space="preserve"> Decreto N</w:t>
      </w:r>
      <w:r w:rsidR="00F31F7A">
        <w:rPr>
          <w:bCs/>
        </w:rPr>
        <w:t>o.</w:t>
      </w:r>
      <w:r>
        <w:rPr>
          <w:bCs/>
        </w:rPr>
        <w:t xml:space="preserve"> 25-2018 del Congreso de la República de Guatemala</w:t>
      </w:r>
      <w:r w:rsidR="00F31F7A">
        <w:rPr>
          <w:bCs/>
        </w:rPr>
        <w:t xml:space="preserve"> aprobó la</w:t>
      </w:r>
      <w:r>
        <w:rPr>
          <w:bCs/>
        </w:rPr>
        <w:t xml:space="preserve"> Ley de Presupuesto General de Ingresos y Egresos del Estado para el Ejercicio Fiscal 2019 con vigencia para el </w:t>
      </w:r>
      <w:r w:rsidR="002E13D1">
        <w:rPr>
          <w:bCs/>
        </w:rPr>
        <w:t>E</w:t>
      </w:r>
      <w:r>
        <w:rPr>
          <w:bCs/>
        </w:rPr>
        <w:t xml:space="preserve">jercicio </w:t>
      </w:r>
      <w:r w:rsidR="002E13D1">
        <w:rPr>
          <w:bCs/>
        </w:rPr>
        <w:t>F</w:t>
      </w:r>
      <w:r>
        <w:rPr>
          <w:bCs/>
        </w:rPr>
        <w:t>iscal 202</w:t>
      </w:r>
      <w:r w:rsidR="00F31F7A">
        <w:rPr>
          <w:bCs/>
        </w:rPr>
        <w:t>0 y 2021</w:t>
      </w:r>
      <w:r>
        <w:rPr>
          <w:bCs/>
        </w:rPr>
        <w:t>, y sus ampliaciones aprobadas</w:t>
      </w:r>
      <w:r w:rsidR="00F31F7A">
        <w:rPr>
          <w:bCs/>
        </w:rPr>
        <w:t xml:space="preserve"> en 2020</w:t>
      </w:r>
      <w:r>
        <w:rPr>
          <w:bCs/>
        </w:rPr>
        <w:t xml:space="preserve"> mediante los Decretos</w:t>
      </w:r>
      <w:r w:rsidR="00F31F7A">
        <w:rPr>
          <w:bCs/>
        </w:rPr>
        <w:t xml:space="preserve"> Nos.</w:t>
      </w:r>
      <w:r>
        <w:rPr>
          <w:bCs/>
        </w:rPr>
        <w:t xml:space="preserve"> 12-2020, 13-2020 y 20-2020</w:t>
      </w:r>
      <w:r w:rsidR="00F31F7A">
        <w:rPr>
          <w:bCs/>
        </w:rPr>
        <w:t>;</w:t>
      </w:r>
      <w:r>
        <w:rPr>
          <w:bCs/>
        </w:rPr>
        <w:t xml:space="preserve"> </w:t>
      </w:r>
      <w:r w:rsidR="00F31F7A">
        <w:rPr>
          <w:bCs/>
        </w:rPr>
        <w:t>por lo que para el 2021 se tuvo un presupuesto inicial de Q.107,521.4 millones</w:t>
      </w:r>
      <w:r w:rsidR="003E2295">
        <w:rPr>
          <w:bCs/>
        </w:rPr>
        <w:t xml:space="preserve"> cuya distribución analítica fue aprobada mediante el Acuerdo Gubernativo No. 253-2020.</w:t>
      </w:r>
    </w:p>
    <w:p w:rsidR="004A70CA" w:rsidRPr="00D01337" w:rsidRDefault="004A70CA" w:rsidP="004A70CA">
      <w:pPr>
        <w:jc w:val="both"/>
        <w:rPr>
          <w:sz w:val="28"/>
        </w:rPr>
      </w:pPr>
    </w:p>
    <w:p w:rsidR="004A70CA" w:rsidRDefault="004A70CA" w:rsidP="004A70CA">
      <w:pPr>
        <w:jc w:val="both"/>
      </w:pPr>
      <w:r>
        <w:t>El presupuesto contemplaba ingresos totales por un monto de Q.68,547.4 millones y al cierre preliminar se reporta un monto de Q.82,185.9 millones, por encima del presupuesto inicial en Q</w:t>
      </w:r>
      <w:r w:rsidR="000057F8">
        <w:t>.</w:t>
      </w:r>
      <w:r>
        <w:t xml:space="preserve">13,638.5 millones, teniendo impacto en los </w:t>
      </w:r>
      <w:r w:rsidR="000057F8">
        <w:t>I</w:t>
      </w:r>
      <w:r>
        <w:t xml:space="preserve">ngresos </w:t>
      </w:r>
      <w:r w:rsidR="000057F8">
        <w:t>T</w:t>
      </w:r>
      <w:r>
        <w:t>ributarios directos e indirectos</w:t>
      </w:r>
      <w:r w:rsidR="000057F8">
        <w:t>;</w:t>
      </w:r>
      <w:r>
        <w:t xml:space="preserve"> en tanto que los Ingresos No Tributarios se ubicaron por debajo de lo asignado al inicio del año, por valor de Q</w:t>
      </w:r>
      <w:r w:rsidR="000057F8">
        <w:t>.</w:t>
      </w:r>
      <w:r>
        <w:t xml:space="preserve">428.0 millones, mientras que los </w:t>
      </w:r>
      <w:r w:rsidR="000057F8">
        <w:t>I</w:t>
      </w:r>
      <w:r>
        <w:t xml:space="preserve">ngresos de </w:t>
      </w:r>
      <w:r w:rsidR="000057F8">
        <w:t>C</w:t>
      </w:r>
      <w:r>
        <w:t>apital s</w:t>
      </w:r>
      <w:r w:rsidR="000057F8">
        <w:t>í</w:t>
      </w:r>
      <w:r>
        <w:t xml:space="preserve"> fueron mayores en Q</w:t>
      </w:r>
      <w:r w:rsidR="000057F8">
        <w:t>.</w:t>
      </w:r>
      <w:r>
        <w:t xml:space="preserve">75.1 millones </w:t>
      </w:r>
      <w:r w:rsidR="000057F8">
        <w:t>con relación al</w:t>
      </w:r>
      <w:r>
        <w:t xml:space="preserve"> presupuesto asignado, que fue de Q</w:t>
      </w:r>
      <w:r w:rsidR="000057F8">
        <w:t>.</w:t>
      </w:r>
      <w:r>
        <w:t>3.4 millones.</w:t>
      </w:r>
    </w:p>
    <w:p w:rsidR="004A70CA" w:rsidRDefault="004A70CA" w:rsidP="004A70CA">
      <w:pPr>
        <w:jc w:val="both"/>
      </w:pPr>
    </w:p>
    <w:p w:rsidR="004A70CA" w:rsidRDefault="004A70CA" w:rsidP="004A70CA">
      <w:pPr>
        <w:jc w:val="both"/>
        <w:rPr>
          <w:sz w:val="23"/>
          <w:szCs w:val="23"/>
        </w:rPr>
      </w:pPr>
      <w:r>
        <w:t>En los últimos 14 años, el ejercicio fiscal 2020 superó la ejecución presupuestaria como porcentaje del PIB al ubicarse en 15.6%, siendo el promedio de 13.7%, mientras que para el ejercicio fiscal 2021, la ejecución presupuestaria fue del 13.5%, quedando por debajo del promedio en 0.2 puntos porcentuales del PIB.</w:t>
      </w:r>
    </w:p>
    <w:p w:rsidR="004A70CA" w:rsidRPr="00124AD6" w:rsidRDefault="004A70CA" w:rsidP="004A70CA">
      <w:pPr>
        <w:pStyle w:val="NormalWeb"/>
        <w:spacing w:before="0" w:beforeAutospacing="0" w:after="0" w:afterAutospacing="0"/>
        <w:jc w:val="center"/>
        <w:rPr>
          <w:rFonts w:eastAsia="+mn-ea"/>
          <w:b/>
          <w:bCs/>
          <w:color w:val="000000"/>
          <w:kern w:val="24"/>
        </w:rPr>
      </w:pPr>
      <w:r w:rsidRPr="00124AD6">
        <w:rPr>
          <w:rFonts w:eastAsia="+mn-ea"/>
          <w:b/>
          <w:bCs/>
          <w:color w:val="000000"/>
          <w:kern w:val="24"/>
        </w:rPr>
        <w:lastRenderedPageBreak/>
        <w:t>Gráfica 1</w:t>
      </w:r>
      <w:r w:rsidR="00046731">
        <w:rPr>
          <w:rFonts w:eastAsia="+mn-ea"/>
          <w:b/>
          <w:bCs/>
          <w:color w:val="000000"/>
          <w:kern w:val="24"/>
        </w:rPr>
        <w:t>7</w:t>
      </w:r>
    </w:p>
    <w:p w:rsidR="004A70CA" w:rsidRPr="00124AD6" w:rsidRDefault="004A70CA" w:rsidP="004A70CA">
      <w:pPr>
        <w:pStyle w:val="NormalWeb"/>
        <w:spacing w:before="0" w:beforeAutospacing="0" w:after="0" w:afterAutospacing="0"/>
        <w:jc w:val="center"/>
      </w:pPr>
      <w:r w:rsidRPr="00124AD6">
        <w:rPr>
          <w:rFonts w:eastAsia="+mn-ea"/>
          <w:b/>
          <w:bCs/>
          <w:color w:val="000000"/>
          <w:kern w:val="24"/>
        </w:rPr>
        <w:t>Comportamiento del Gasto Público* 2008</w:t>
      </w:r>
      <w:r>
        <w:rPr>
          <w:rFonts w:eastAsia="+mn-ea"/>
          <w:b/>
          <w:bCs/>
          <w:color w:val="000000"/>
          <w:kern w:val="24"/>
        </w:rPr>
        <w:t xml:space="preserve"> - </w:t>
      </w:r>
      <w:r w:rsidRPr="00124AD6">
        <w:rPr>
          <w:rFonts w:eastAsia="+mn-ea"/>
          <w:b/>
          <w:bCs/>
          <w:color w:val="000000"/>
          <w:kern w:val="24"/>
        </w:rPr>
        <w:t>20</w:t>
      </w:r>
      <w:r>
        <w:rPr>
          <w:rFonts w:eastAsia="+mn-ea"/>
          <w:b/>
          <w:bCs/>
          <w:color w:val="000000"/>
          <w:kern w:val="24"/>
        </w:rPr>
        <w:t>21**</w:t>
      </w:r>
    </w:p>
    <w:p w:rsidR="004A70CA" w:rsidRDefault="004A70CA" w:rsidP="004A70CA">
      <w:pPr>
        <w:contextualSpacing/>
        <w:jc w:val="center"/>
        <w:rPr>
          <w:rFonts w:eastAsia="+mn-ea"/>
          <w:b/>
          <w:bCs/>
          <w:color w:val="000000"/>
          <w:kern w:val="24"/>
          <w:lang w:val="es-GT" w:eastAsia="es-GT"/>
        </w:rPr>
      </w:pPr>
      <w:r>
        <w:rPr>
          <w:rFonts w:eastAsia="+mn-ea"/>
          <w:b/>
          <w:bCs/>
          <w:color w:val="000000"/>
          <w:kern w:val="24"/>
          <w:lang w:val="es-GT" w:eastAsia="es-GT"/>
        </w:rPr>
        <w:t>(En Porcentajes del PIB)</w:t>
      </w:r>
    </w:p>
    <w:p w:rsidR="004A70CA" w:rsidRDefault="004A70CA" w:rsidP="004A70CA">
      <w:pPr>
        <w:contextualSpacing/>
        <w:jc w:val="center"/>
        <w:rPr>
          <w:rFonts w:eastAsia="+mn-ea"/>
          <w:b/>
          <w:bCs/>
          <w:color w:val="000000"/>
          <w:kern w:val="24"/>
          <w:lang w:val="es-GT" w:eastAsia="es-GT"/>
        </w:rPr>
      </w:pPr>
      <w:r>
        <w:rPr>
          <w:noProof/>
        </w:rPr>
        <w:drawing>
          <wp:inline distT="0" distB="0" distL="0" distR="0" wp14:anchorId="1E8537FD" wp14:editId="77C19BAE">
            <wp:extent cx="5971429" cy="3180521"/>
            <wp:effectExtent l="0" t="0" r="0" b="1270"/>
            <wp:docPr id="61" name="Gráfico 61">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A70CA" w:rsidRDefault="004A70CA" w:rsidP="004A70CA">
      <w:pPr>
        <w:jc w:val="both"/>
        <w:rPr>
          <w:sz w:val="18"/>
        </w:rPr>
      </w:pPr>
      <w:r>
        <w:rPr>
          <w:sz w:val="18"/>
        </w:rPr>
        <w:t xml:space="preserve">    </w:t>
      </w:r>
      <w:r w:rsidRPr="007774ED">
        <w:rPr>
          <w:sz w:val="18"/>
        </w:rPr>
        <w:t xml:space="preserve">* No incluye amortizaciones de </w:t>
      </w:r>
      <w:r>
        <w:rPr>
          <w:sz w:val="18"/>
        </w:rPr>
        <w:t>D</w:t>
      </w:r>
      <w:r w:rsidRPr="007774ED">
        <w:rPr>
          <w:sz w:val="18"/>
        </w:rPr>
        <w:t xml:space="preserve">euda </w:t>
      </w:r>
      <w:r>
        <w:rPr>
          <w:sz w:val="18"/>
        </w:rPr>
        <w:t>P</w:t>
      </w:r>
      <w:r w:rsidRPr="007774ED">
        <w:rPr>
          <w:sz w:val="18"/>
        </w:rPr>
        <w:t>ública</w:t>
      </w:r>
    </w:p>
    <w:p w:rsidR="004A70CA" w:rsidRPr="000B60D0" w:rsidRDefault="004A70CA" w:rsidP="004A70CA">
      <w:pPr>
        <w:jc w:val="both"/>
        <w:rPr>
          <w:sz w:val="23"/>
          <w:szCs w:val="23"/>
        </w:rPr>
      </w:pPr>
      <w:r>
        <w:rPr>
          <w:sz w:val="18"/>
        </w:rPr>
        <w:t xml:space="preserve">  ** Cifras preliminares</w:t>
      </w:r>
    </w:p>
    <w:p w:rsidR="004A70CA" w:rsidRPr="007774ED" w:rsidRDefault="00046731" w:rsidP="004A70CA">
      <w:pPr>
        <w:ind w:left="142"/>
        <w:contextualSpacing/>
        <w:jc w:val="both"/>
        <w:rPr>
          <w:sz w:val="18"/>
        </w:rPr>
      </w:pPr>
      <w:r>
        <w:rPr>
          <w:sz w:val="18"/>
        </w:rPr>
        <w:t xml:space="preserve"> </w:t>
      </w:r>
      <w:r w:rsidR="004A70CA">
        <w:rPr>
          <w:sz w:val="18"/>
        </w:rPr>
        <w:t xml:space="preserve">    </w:t>
      </w:r>
      <w:r w:rsidR="004A70CA" w:rsidRPr="007774ED">
        <w:rPr>
          <w:sz w:val="18"/>
        </w:rPr>
        <w:t>Fuente: Ministerio de Finanzas Públicas</w:t>
      </w:r>
      <w:r w:rsidR="004A70CA">
        <w:rPr>
          <w:sz w:val="18"/>
        </w:rPr>
        <w:t>.</w:t>
      </w:r>
    </w:p>
    <w:p w:rsidR="004A70CA" w:rsidRPr="00A9147F" w:rsidRDefault="004A70CA" w:rsidP="004A70CA">
      <w:pPr>
        <w:jc w:val="both"/>
        <w:rPr>
          <w:sz w:val="28"/>
        </w:rPr>
      </w:pPr>
    </w:p>
    <w:p w:rsidR="00863268" w:rsidRPr="00F804CF" w:rsidRDefault="00863268" w:rsidP="004A70CA">
      <w:pPr>
        <w:jc w:val="both"/>
        <w:rPr>
          <w:sz w:val="44"/>
        </w:rPr>
      </w:pPr>
    </w:p>
    <w:p w:rsidR="004A70CA" w:rsidRPr="00124AD6" w:rsidRDefault="004A70CA" w:rsidP="004A70CA">
      <w:pPr>
        <w:pStyle w:val="NormalWeb"/>
        <w:spacing w:before="0" w:beforeAutospacing="0" w:after="0" w:afterAutospacing="0"/>
        <w:jc w:val="center"/>
        <w:rPr>
          <w:rFonts w:eastAsia="+mn-ea"/>
          <w:b/>
          <w:bCs/>
          <w:color w:val="000000"/>
          <w:kern w:val="24"/>
        </w:rPr>
      </w:pPr>
      <w:r w:rsidRPr="00124AD6">
        <w:rPr>
          <w:rFonts w:eastAsia="+mn-ea"/>
          <w:b/>
          <w:bCs/>
          <w:color w:val="000000"/>
          <w:kern w:val="24"/>
        </w:rPr>
        <w:t>Gráfica 1</w:t>
      </w:r>
      <w:r w:rsidR="00046731">
        <w:rPr>
          <w:rFonts w:eastAsia="+mn-ea"/>
          <w:b/>
          <w:bCs/>
          <w:color w:val="000000"/>
          <w:kern w:val="24"/>
        </w:rPr>
        <w:t>8</w:t>
      </w:r>
      <w:r w:rsidRPr="00124AD6">
        <w:rPr>
          <w:rFonts w:eastAsia="+mn-ea"/>
          <w:b/>
          <w:bCs/>
          <w:color w:val="000000"/>
          <w:kern w:val="24"/>
        </w:rPr>
        <w:t xml:space="preserve"> </w:t>
      </w:r>
    </w:p>
    <w:p w:rsidR="004A70CA" w:rsidRDefault="004A70CA" w:rsidP="004A70CA">
      <w:pPr>
        <w:pStyle w:val="NormalWeb"/>
        <w:spacing w:before="0" w:beforeAutospacing="0" w:after="0" w:afterAutospacing="0"/>
        <w:jc w:val="center"/>
        <w:rPr>
          <w:rFonts w:eastAsia="+mn-ea"/>
          <w:b/>
          <w:bCs/>
          <w:color w:val="000000"/>
          <w:kern w:val="24"/>
        </w:rPr>
      </w:pPr>
      <w:r w:rsidRPr="00124AD6">
        <w:rPr>
          <w:rFonts w:eastAsia="+mn-ea"/>
          <w:b/>
          <w:bCs/>
          <w:color w:val="000000"/>
          <w:kern w:val="24"/>
        </w:rPr>
        <w:t xml:space="preserve">Ejecución </w:t>
      </w:r>
      <w:r>
        <w:rPr>
          <w:rFonts w:eastAsia="+mn-ea"/>
          <w:b/>
          <w:bCs/>
          <w:color w:val="000000"/>
          <w:kern w:val="24"/>
        </w:rPr>
        <w:t xml:space="preserve">Presupuestaria </w:t>
      </w:r>
      <w:r w:rsidRPr="00124AD6">
        <w:rPr>
          <w:rFonts w:eastAsia="+mn-ea"/>
          <w:b/>
          <w:bCs/>
          <w:color w:val="000000"/>
          <w:kern w:val="24"/>
        </w:rPr>
        <w:t>del Gasto Público 2008</w:t>
      </w:r>
      <w:r>
        <w:rPr>
          <w:rFonts w:eastAsia="+mn-ea"/>
          <w:b/>
          <w:bCs/>
          <w:color w:val="000000"/>
          <w:kern w:val="24"/>
        </w:rPr>
        <w:t xml:space="preserve"> - </w:t>
      </w:r>
      <w:r w:rsidRPr="00124AD6">
        <w:rPr>
          <w:rFonts w:eastAsia="+mn-ea"/>
          <w:b/>
          <w:bCs/>
          <w:color w:val="000000"/>
          <w:kern w:val="24"/>
        </w:rPr>
        <w:t>20</w:t>
      </w:r>
      <w:r>
        <w:rPr>
          <w:rFonts w:eastAsia="+mn-ea"/>
          <w:b/>
          <w:bCs/>
          <w:color w:val="000000"/>
          <w:kern w:val="24"/>
        </w:rPr>
        <w:t>21*</w:t>
      </w:r>
    </w:p>
    <w:p w:rsidR="004A70CA" w:rsidRDefault="004A70CA" w:rsidP="004A70CA">
      <w:pPr>
        <w:pStyle w:val="NormalWeb"/>
        <w:spacing w:before="0" w:beforeAutospacing="0" w:after="0" w:afterAutospacing="0"/>
        <w:jc w:val="center"/>
        <w:rPr>
          <w:rFonts w:eastAsia="+mn-ea"/>
          <w:b/>
          <w:bCs/>
          <w:color w:val="000000"/>
          <w:kern w:val="24"/>
        </w:rPr>
      </w:pPr>
      <w:r>
        <w:rPr>
          <w:rFonts w:eastAsia="+mn-ea"/>
          <w:b/>
          <w:bCs/>
          <w:color w:val="000000"/>
          <w:kern w:val="24"/>
        </w:rPr>
        <w:t>(Cifras en Porcentajes)</w:t>
      </w:r>
    </w:p>
    <w:p w:rsidR="004A70CA" w:rsidRDefault="004A70CA" w:rsidP="004A70CA">
      <w:pPr>
        <w:pStyle w:val="NormalWeb"/>
        <w:spacing w:before="0" w:beforeAutospacing="0" w:after="0" w:afterAutospacing="0"/>
        <w:jc w:val="center"/>
        <w:rPr>
          <w:rFonts w:eastAsia="+mn-ea"/>
          <w:b/>
          <w:bCs/>
          <w:color w:val="000000"/>
          <w:kern w:val="24"/>
        </w:rPr>
      </w:pPr>
      <w:r>
        <w:rPr>
          <w:noProof/>
        </w:rPr>
        <w:drawing>
          <wp:inline distT="0" distB="0" distL="0" distR="0" wp14:anchorId="597E59F2" wp14:editId="5F4D7CF1">
            <wp:extent cx="5941060" cy="2775005"/>
            <wp:effectExtent l="0" t="0" r="2540" b="6350"/>
            <wp:docPr id="62" name="Gráfico 62">
              <a:extLst xmlns:a="http://schemas.openxmlformats.org/drawingml/2006/main">
                <a:ext uri="{FF2B5EF4-FFF2-40B4-BE49-F238E27FC236}">
                  <a16:creationId xmlns:a16="http://schemas.microsoft.com/office/drawing/2014/main" id="{00000000-0008-0000-1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A70CA" w:rsidRPr="00863268" w:rsidRDefault="00863268" w:rsidP="00863268">
      <w:pPr>
        <w:contextualSpacing/>
        <w:jc w:val="both"/>
        <w:rPr>
          <w:sz w:val="18"/>
        </w:rPr>
      </w:pPr>
      <w:r>
        <w:rPr>
          <w:sz w:val="18"/>
        </w:rPr>
        <w:t xml:space="preserve"> </w:t>
      </w:r>
      <w:r w:rsidR="004A70CA" w:rsidRPr="00863268">
        <w:rPr>
          <w:sz w:val="18"/>
        </w:rPr>
        <w:t>* Cifras preliminares, incluyendo las amortizaciones de Deuda Pública</w:t>
      </w:r>
    </w:p>
    <w:p w:rsidR="004A70CA" w:rsidRPr="007774ED" w:rsidRDefault="004A70CA" w:rsidP="004A70CA">
      <w:pPr>
        <w:ind w:left="142"/>
        <w:contextualSpacing/>
        <w:jc w:val="both"/>
        <w:rPr>
          <w:sz w:val="18"/>
        </w:rPr>
      </w:pPr>
      <w:r>
        <w:rPr>
          <w:sz w:val="18"/>
        </w:rPr>
        <w:t xml:space="preserve"> </w:t>
      </w:r>
      <w:r w:rsidRPr="007774ED">
        <w:rPr>
          <w:sz w:val="18"/>
        </w:rPr>
        <w:t>Fuente: Ministerio de Finanzas Públicas</w:t>
      </w:r>
      <w:r>
        <w:rPr>
          <w:sz w:val="18"/>
        </w:rPr>
        <w:t>.</w:t>
      </w:r>
    </w:p>
    <w:p w:rsidR="004A70CA" w:rsidRDefault="004A70CA" w:rsidP="004A70CA">
      <w:pPr>
        <w:jc w:val="both"/>
      </w:pPr>
      <w:r>
        <w:lastRenderedPageBreak/>
        <w:t>La ejecución presupuestaria total del gasto</w:t>
      </w:r>
      <w:r w:rsidR="001B2191">
        <w:t>,</w:t>
      </w:r>
      <w:r>
        <w:t xml:space="preserve"> incluyendo las amortizaciones de la deuda pública</w:t>
      </w:r>
      <w:r w:rsidR="001B2191">
        <w:t>,</w:t>
      </w:r>
      <w:r>
        <w:t xml:space="preserve"> fue </w:t>
      </w:r>
    </w:p>
    <w:p w:rsidR="004A70CA" w:rsidRDefault="004A70CA" w:rsidP="004A70CA">
      <w:pPr>
        <w:jc w:val="both"/>
      </w:pPr>
      <w:r>
        <w:t>de 96.0% en 2018, en tanto que la del 2019 fue de 93.8% y para 2020 alcanzó el 89.7%</w:t>
      </w:r>
      <w:r w:rsidR="001B2191">
        <w:t>. F</w:t>
      </w:r>
      <w:r>
        <w:t>inalmente</w:t>
      </w:r>
      <w:r w:rsidR="005D7E17">
        <w:t>,</w:t>
      </w:r>
      <w:r>
        <w:t xml:space="preserve"> y en virtud que el presupuesto de 2021 no fue aprobado, fue el de 2020 la base y ya que este incluyó todo el tema de la pandemia </w:t>
      </w:r>
      <w:r w:rsidR="001B2191">
        <w:t xml:space="preserve">del Covid-19 </w:t>
      </w:r>
      <w:r>
        <w:t>y los desastres naturales, fue más elevado, razón que provocó que el porcentaje de ejecución para 2021 fuera bajo, al ubicarse en 86.5%, quedando muy por debajo del promedio de los últimos 14 años, que fue de 92.3%</w:t>
      </w:r>
      <w:r w:rsidRPr="00124AD6">
        <w:t>.</w:t>
      </w:r>
    </w:p>
    <w:p w:rsidR="004A70CA" w:rsidRDefault="004A70CA" w:rsidP="004A70CA">
      <w:pPr>
        <w:jc w:val="both"/>
        <w:rPr>
          <w:sz w:val="20"/>
          <w:lang w:val="es-MX"/>
        </w:rPr>
      </w:pPr>
    </w:p>
    <w:p w:rsidR="001B2191" w:rsidRDefault="001B2191" w:rsidP="004A70CA">
      <w:pPr>
        <w:jc w:val="both"/>
        <w:rPr>
          <w:sz w:val="20"/>
          <w:lang w:val="es-MX"/>
        </w:rPr>
      </w:pPr>
    </w:p>
    <w:p w:rsidR="00260BA4" w:rsidRPr="008A7C41" w:rsidRDefault="00260BA4" w:rsidP="00260BA4">
      <w:pPr>
        <w:pStyle w:val="Ttulo3"/>
        <w:numPr>
          <w:ilvl w:val="0"/>
          <w:numId w:val="0"/>
        </w:numPr>
        <w:ind w:left="851" w:hanging="437"/>
        <w:rPr>
          <w:rFonts w:ascii="Times New Roman" w:hAnsi="Times New Roman"/>
          <w:color w:val="auto"/>
        </w:rPr>
      </w:pPr>
      <w:bookmarkStart w:id="22" w:name="_Toc98924135"/>
      <w:r w:rsidRPr="008A7C41">
        <w:rPr>
          <w:rFonts w:ascii="Times New Roman" w:hAnsi="Times New Roman"/>
          <w:color w:val="auto"/>
        </w:rPr>
        <w:t>1</w:t>
      </w:r>
      <w:r w:rsidRPr="008A7C41">
        <w:rPr>
          <w:rFonts w:ascii="Times New Roman" w:hAnsi="Times New Roman"/>
          <w:color w:val="auto"/>
        </w:rPr>
        <w:tab/>
        <w:t>Gasto Social y Acuerdos de Paz</w:t>
      </w:r>
      <w:bookmarkEnd w:id="22"/>
    </w:p>
    <w:p w:rsidR="00260BA4" w:rsidRDefault="00260BA4" w:rsidP="00260BA4">
      <w:pPr>
        <w:rPr>
          <w:lang w:val="es-GT"/>
        </w:rPr>
      </w:pPr>
    </w:p>
    <w:p w:rsidR="00260BA4" w:rsidRPr="00124AD6" w:rsidRDefault="00260BA4" w:rsidP="00260BA4">
      <w:pPr>
        <w:jc w:val="both"/>
      </w:pPr>
      <w:r w:rsidRPr="00124AD6">
        <w:t>Dentro de la priorización del gasto público es importante señalar que el gasto orientado a los sectores sociales</w:t>
      </w:r>
      <w:r>
        <w:t>,</w:t>
      </w:r>
      <w:r w:rsidRPr="00124AD6">
        <w:t xml:space="preserve"> </w:t>
      </w:r>
      <w:r>
        <w:t>establecidos en</w:t>
      </w:r>
      <w:r w:rsidRPr="00124AD6">
        <w:t xml:space="preserve"> los Acuerdos de Paz</w:t>
      </w:r>
      <w:r>
        <w:t>, tales</w:t>
      </w:r>
      <w:r w:rsidRPr="00124AD6">
        <w:t xml:space="preserve"> como salud, educación, seguridad ciudadana y los aportes al Ministerio Público y </w:t>
      </w:r>
      <w:r>
        <w:t>a</w:t>
      </w:r>
      <w:r w:rsidRPr="00124AD6">
        <w:t>l Organismo Judicial</w:t>
      </w:r>
      <w:r>
        <w:t>, incluyendo a la Corte de Constitucionalidad</w:t>
      </w:r>
      <w:r w:rsidRPr="00124AD6">
        <w:t xml:space="preserve">, mostraron </w:t>
      </w:r>
      <w:r>
        <w:t>un comportamiento dinámico, así:</w:t>
      </w:r>
    </w:p>
    <w:p w:rsidR="00260BA4" w:rsidRPr="006A7754" w:rsidRDefault="00260BA4" w:rsidP="00260BA4">
      <w:pPr>
        <w:jc w:val="both"/>
        <w:rPr>
          <w:sz w:val="32"/>
          <w:lang w:val="es-GT"/>
        </w:rPr>
      </w:pPr>
    </w:p>
    <w:p w:rsidR="00260BA4" w:rsidRDefault="00260BA4" w:rsidP="00260BA4">
      <w:pPr>
        <w:jc w:val="both"/>
      </w:pPr>
      <w:r>
        <w:t xml:space="preserve">La ejecución de los Acuerdos de Paz en 2021 fue de Q.52,375.4 millones, representa el 92.9% de ejecución </w:t>
      </w:r>
      <w:r w:rsidR="00600360">
        <w:t xml:space="preserve">con </w:t>
      </w:r>
      <w:r>
        <w:t>respecto al presupuesto vigente. Del monto ejecutado un total de Q.42,327.6 millones corresponde</w:t>
      </w:r>
      <w:r w:rsidR="00600360">
        <w:t>n</w:t>
      </w:r>
      <w:r>
        <w:t xml:space="preserve"> a gasto social que representa el 92.8% del presupuesto vigente.</w:t>
      </w:r>
    </w:p>
    <w:p w:rsidR="00260BA4" w:rsidRDefault="00260BA4" w:rsidP="00260BA4">
      <w:pPr>
        <w:jc w:val="both"/>
      </w:pPr>
    </w:p>
    <w:p w:rsidR="00260BA4" w:rsidRPr="00DD5DD7" w:rsidRDefault="00260BA4" w:rsidP="00260BA4">
      <w:pPr>
        <w:jc w:val="both"/>
        <w:rPr>
          <w:lang w:val="es-GT"/>
        </w:rPr>
      </w:pPr>
      <w:r>
        <w:t xml:space="preserve">La ejecución por sector fue la siguiente: Salud y Asistencia Social fue de Q.20,155.7 millones; Educación, Ciencia y Cultura ejecutó Q.21,794.3 millones; Vivienda ejecutó Q.377.6 millones; Seguridad Interna ejecutó Q.5,946.7 millones; </w:t>
      </w:r>
      <w:r w:rsidRPr="00DD5DD7">
        <w:t>Organismo Judicial y Corte de Constitucionalidad ejecut</w:t>
      </w:r>
      <w:r>
        <w:t>aron</w:t>
      </w:r>
      <w:r w:rsidRPr="00DD5DD7">
        <w:t xml:space="preserve"> </w:t>
      </w:r>
      <w:r>
        <w:t xml:space="preserve">Q.2,451.8 millones </w:t>
      </w:r>
      <w:r w:rsidRPr="00DD5DD7">
        <w:t xml:space="preserve">y Ministerio Público ejecutó </w:t>
      </w:r>
      <w:r>
        <w:t>Q.1,649.3 millones.</w:t>
      </w:r>
    </w:p>
    <w:p w:rsidR="00260BA4" w:rsidRDefault="00260BA4" w:rsidP="00260BA4">
      <w:pPr>
        <w:jc w:val="both"/>
        <w:rPr>
          <w:lang w:val="es-GT"/>
        </w:rPr>
      </w:pPr>
    </w:p>
    <w:p w:rsidR="00260BA4" w:rsidRPr="00124AD6" w:rsidRDefault="00260BA4" w:rsidP="00260BA4">
      <w:pPr>
        <w:jc w:val="center"/>
        <w:rPr>
          <w:b/>
        </w:rPr>
      </w:pPr>
      <w:r w:rsidRPr="00124AD6">
        <w:rPr>
          <w:b/>
        </w:rPr>
        <w:t xml:space="preserve">Cuadro </w:t>
      </w:r>
      <w:r>
        <w:rPr>
          <w:b/>
        </w:rPr>
        <w:t>5</w:t>
      </w:r>
    </w:p>
    <w:p w:rsidR="00260BA4" w:rsidRPr="00124AD6" w:rsidRDefault="00260BA4" w:rsidP="00260BA4">
      <w:pPr>
        <w:jc w:val="center"/>
        <w:rPr>
          <w:b/>
        </w:rPr>
      </w:pPr>
      <w:r w:rsidRPr="00124AD6">
        <w:rPr>
          <w:b/>
        </w:rPr>
        <w:t>Ejecución del Gasto Social</w:t>
      </w:r>
    </w:p>
    <w:p w:rsidR="00260BA4" w:rsidRPr="00124AD6" w:rsidRDefault="00260BA4" w:rsidP="00260BA4">
      <w:pPr>
        <w:jc w:val="center"/>
        <w:rPr>
          <w:b/>
        </w:rPr>
      </w:pPr>
      <w:r w:rsidRPr="00124AD6">
        <w:rPr>
          <w:b/>
        </w:rPr>
        <w:t xml:space="preserve">Al 31 de diciembre </w:t>
      </w:r>
      <w:r>
        <w:rPr>
          <w:b/>
        </w:rPr>
        <w:t xml:space="preserve">de </w:t>
      </w:r>
      <w:r w:rsidRPr="00124AD6">
        <w:rPr>
          <w:b/>
        </w:rPr>
        <w:t>20</w:t>
      </w:r>
      <w:r>
        <w:rPr>
          <w:b/>
        </w:rPr>
        <w:t>21*</w:t>
      </w:r>
    </w:p>
    <w:p w:rsidR="00260BA4" w:rsidRDefault="00260BA4" w:rsidP="00260BA4">
      <w:pPr>
        <w:jc w:val="center"/>
        <w:rPr>
          <w:b/>
        </w:rPr>
      </w:pPr>
      <w:r>
        <w:rPr>
          <w:b/>
        </w:rPr>
        <w:t>(</w:t>
      </w:r>
      <w:r w:rsidRPr="00124AD6">
        <w:rPr>
          <w:b/>
        </w:rPr>
        <w:t>Mill</w:t>
      </w:r>
      <w:r>
        <w:rPr>
          <w:b/>
        </w:rPr>
        <w:t>ones de Quetzales y Porcentajes)</w:t>
      </w:r>
    </w:p>
    <w:tbl>
      <w:tblPr>
        <w:tblW w:w="9242" w:type="dxa"/>
        <w:tblCellMar>
          <w:left w:w="70" w:type="dxa"/>
          <w:right w:w="70" w:type="dxa"/>
        </w:tblCellMar>
        <w:tblLook w:val="04A0" w:firstRow="1" w:lastRow="0" w:firstColumn="1" w:lastColumn="0" w:noHBand="0" w:noVBand="1"/>
      </w:tblPr>
      <w:tblGrid>
        <w:gridCol w:w="3258"/>
        <w:gridCol w:w="1410"/>
        <w:gridCol w:w="1559"/>
        <w:gridCol w:w="1520"/>
        <w:gridCol w:w="1495"/>
      </w:tblGrid>
      <w:tr w:rsidR="00260BA4" w:rsidRPr="005667C1" w:rsidTr="00720F07">
        <w:trPr>
          <w:trHeight w:val="280"/>
        </w:trPr>
        <w:tc>
          <w:tcPr>
            <w:tcW w:w="3258" w:type="dxa"/>
            <w:vMerge w:val="restart"/>
            <w:tcBorders>
              <w:top w:val="single" w:sz="8" w:space="0" w:color="auto"/>
              <w:left w:val="single" w:sz="8" w:space="0" w:color="auto"/>
              <w:bottom w:val="single" w:sz="8" w:space="0" w:color="000000"/>
              <w:right w:val="nil"/>
            </w:tcBorders>
            <w:shd w:val="clear" w:color="auto" w:fill="8DB4E2"/>
            <w:vAlign w:val="center"/>
            <w:hideMark/>
          </w:tcPr>
          <w:p w:rsidR="00260BA4" w:rsidRPr="00720F07" w:rsidRDefault="00260BA4" w:rsidP="00D7100C">
            <w:pPr>
              <w:jc w:val="center"/>
              <w:rPr>
                <w:b/>
                <w:bCs/>
                <w:color w:val="000000"/>
                <w:sz w:val="22"/>
                <w:szCs w:val="32"/>
                <w:lang w:val="es-GT" w:eastAsia="es-GT"/>
              </w:rPr>
            </w:pPr>
            <w:r w:rsidRPr="00720F07">
              <w:rPr>
                <w:b/>
                <w:bCs/>
                <w:color w:val="000000"/>
                <w:sz w:val="22"/>
                <w:szCs w:val="32"/>
                <w:lang w:val="es-GT" w:eastAsia="es-GT"/>
              </w:rPr>
              <w:t>Sector</w:t>
            </w:r>
          </w:p>
        </w:tc>
        <w:tc>
          <w:tcPr>
            <w:tcW w:w="4489" w:type="dxa"/>
            <w:gridSpan w:val="3"/>
            <w:tcBorders>
              <w:top w:val="single" w:sz="8" w:space="0" w:color="auto"/>
              <w:left w:val="single" w:sz="4" w:space="0" w:color="auto"/>
              <w:bottom w:val="single" w:sz="4" w:space="0" w:color="auto"/>
              <w:right w:val="single" w:sz="4" w:space="0" w:color="000000"/>
            </w:tcBorders>
            <w:shd w:val="clear" w:color="auto" w:fill="8DB4E2"/>
            <w:noWrap/>
            <w:vAlign w:val="center"/>
            <w:hideMark/>
          </w:tcPr>
          <w:p w:rsidR="00260BA4" w:rsidRPr="00720F07" w:rsidRDefault="00260BA4" w:rsidP="00D7100C">
            <w:pPr>
              <w:jc w:val="center"/>
              <w:rPr>
                <w:b/>
                <w:bCs/>
                <w:color w:val="000000"/>
                <w:sz w:val="22"/>
                <w:szCs w:val="32"/>
                <w:lang w:val="es-GT" w:eastAsia="es-GT"/>
              </w:rPr>
            </w:pPr>
            <w:r w:rsidRPr="00720F07">
              <w:rPr>
                <w:b/>
                <w:bCs/>
                <w:color w:val="000000"/>
                <w:sz w:val="22"/>
                <w:szCs w:val="32"/>
                <w:lang w:val="es-GT" w:eastAsia="es-GT"/>
              </w:rPr>
              <w:t>Presupuesto</w:t>
            </w:r>
          </w:p>
        </w:tc>
        <w:tc>
          <w:tcPr>
            <w:tcW w:w="1495" w:type="dxa"/>
            <w:tcBorders>
              <w:top w:val="single" w:sz="8" w:space="0" w:color="auto"/>
              <w:left w:val="single" w:sz="4" w:space="0" w:color="auto"/>
              <w:bottom w:val="nil"/>
              <w:right w:val="single" w:sz="8" w:space="0" w:color="auto"/>
            </w:tcBorders>
            <w:shd w:val="clear" w:color="auto" w:fill="8DB4E2"/>
            <w:noWrap/>
            <w:vAlign w:val="center"/>
            <w:hideMark/>
          </w:tcPr>
          <w:p w:rsidR="00260BA4" w:rsidRPr="00720F07" w:rsidRDefault="00260BA4" w:rsidP="00D7100C">
            <w:pPr>
              <w:jc w:val="center"/>
              <w:rPr>
                <w:b/>
                <w:bCs/>
                <w:color w:val="000000"/>
                <w:sz w:val="22"/>
                <w:szCs w:val="32"/>
                <w:lang w:val="es-GT" w:eastAsia="es-GT"/>
              </w:rPr>
            </w:pPr>
            <w:r w:rsidRPr="00720F07">
              <w:rPr>
                <w:b/>
                <w:bCs/>
                <w:color w:val="000000"/>
                <w:sz w:val="22"/>
                <w:szCs w:val="32"/>
                <w:lang w:val="es-GT" w:eastAsia="es-GT"/>
              </w:rPr>
              <w:t>Porcentaje de</w:t>
            </w:r>
          </w:p>
        </w:tc>
      </w:tr>
      <w:tr w:rsidR="00260BA4" w:rsidRPr="005667C1" w:rsidTr="007601BF">
        <w:trPr>
          <w:trHeight w:val="308"/>
        </w:trPr>
        <w:tc>
          <w:tcPr>
            <w:tcW w:w="3258" w:type="dxa"/>
            <w:vMerge/>
            <w:tcBorders>
              <w:top w:val="single" w:sz="8" w:space="0" w:color="auto"/>
              <w:left w:val="single" w:sz="8" w:space="0" w:color="auto"/>
              <w:bottom w:val="single" w:sz="8" w:space="0" w:color="000000"/>
              <w:right w:val="nil"/>
            </w:tcBorders>
            <w:shd w:val="clear" w:color="auto" w:fill="8DB4E2"/>
            <w:vAlign w:val="center"/>
            <w:hideMark/>
          </w:tcPr>
          <w:p w:rsidR="00260BA4" w:rsidRPr="00720F07" w:rsidRDefault="00260BA4" w:rsidP="00720F07">
            <w:pPr>
              <w:jc w:val="center"/>
              <w:rPr>
                <w:b/>
                <w:bCs/>
                <w:color w:val="000000"/>
                <w:sz w:val="22"/>
                <w:szCs w:val="32"/>
                <w:lang w:val="es-GT" w:eastAsia="es-GT"/>
              </w:rPr>
            </w:pPr>
          </w:p>
        </w:tc>
        <w:tc>
          <w:tcPr>
            <w:tcW w:w="1410" w:type="dxa"/>
            <w:tcBorders>
              <w:top w:val="single" w:sz="4" w:space="0" w:color="auto"/>
              <w:left w:val="single" w:sz="4" w:space="0" w:color="auto"/>
              <w:bottom w:val="single" w:sz="4" w:space="0" w:color="auto"/>
              <w:right w:val="single" w:sz="4" w:space="0" w:color="auto"/>
            </w:tcBorders>
            <w:shd w:val="clear" w:color="auto" w:fill="8DB4E2"/>
            <w:noWrap/>
            <w:vAlign w:val="center"/>
            <w:hideMark/>
          </w:tcPr>
          <w:p w:rsidR="00260BA4" w:rsidRPr="00720F07" w:rsidRDefault="00260BA4" w:rsidP="00720F07">
            <w:pPr>
              <w:jc w:val="center"/>
              <w:rPr>
                <w:b/>
                <w:bCs/>
                <w:color w:val="000000"/>
                <w:sz w:val="22"/>
                <w:szCs w:val="32"/>
                <w:lang w:val="es-GT" w:eastAsia="es-GT"/>
              </w:rPr>
            </w:pPr>
            <w:r w:rsidRPr="00720F07">
              <w:rPr>
                <w:b/>
                <w:bCs/>
                <w:color w:val="000000"/>
                <w:sz w:val="22"/>
                <w:szCs w:val="32"/>
                <w:lang w:val="es-GT" w:eastAsia="es-GT"/>
              </w:rPr>
              <w:t>Vigente</w:t>
            </w:r>
          </w:p>
        </w:tc>
        <w:tc>
          <w:tcPr>
            <w:tcW w:w="1559" w:type="dxa"/>
            <w:tcBorders>
              <w:top w:val="single" w:sz="4" w:space="0" w:color="auto"/>
              <w:left w:val="nil"/>
              <w:bottom w:val="single" w:sz="4" w:space="0" w:color="auto"/>
              <w:right w:val="single" w:sz="4" w:space="0" w:color="auto"/>
            </w:tcBorders>
            <w:shd w:val="clear" w:color="auto" w:fill="8DB4E2"/>
            <w:noWrap/>
            <w:vAlign w:val="center"/>
            <w:hideMark/>
          </w:tcPr>
          <w:p w:rsidR="00260BA4" w:rsidRPr="00720F07" w:rsidRDefault="00260BA4" w:rsidP="00720F07">
            <w:pPr>
              <w:jc w:val="center"/>
              <w:rPr>
                <w:b/>
                <w:bCs/>
                <w:color w:val="000000"/>
                <w:sz w:val="22"/>
                <w:szCs w:val="32"/>
                <w:lang w:val="es-GT" w:eastAsia="es-GT"/>
              </w:rPr>
            </w:pPr>
            <w:r w:rsidRPr="00720F07">
              <w:rPr>
                <w:b/>
                <w:bCs/>
                <w:color w:val="000000"/>
                <w:sz w:val="22"/>
                <w:szCs w:val="32"/>
                <w:lang w:val="es-GT" w:eastAsia="es-GT"/>
              </w:rPr>
              <w:t>Ejecutado</w:t>
            </w:r>
          </w:p>
        </w:tc>
        <w:tc>
          <w:tcPr>
            <w:tcW w:w="1520" w:type="dxa"/>
            <w:tcBorders>
              <w:top w:val="single" w:sz="4" w:space="0" w:color="auto"/>
              <w:left w:val="nil"/>
              <w:bottom w:val="single" w:sz="4" w:space="0" w:color="auto"/>
              <w:right w:val="single" w:sz="4" w:space="0" w:color="auto"/>
            </w:tcBorders>
            <w:shd w:val="clear" w:color="auto" w:fill="8DB4E2"/>
            <w:vAlign w:val="center"/>
            <w:hideMark/>
          </w:tcPr>
          <w:p w:rsidR="00260BA4" w:rsidRPr="00720F07" w:rsidRDefault="00260BA4" w:rsidP="00720F07">
            <w:pPr>
              <w:jc w:val="center"/>
              <w:rPr>
                <w:b/>
                <w:bCs/>
                <w:color w:val="000000"/>
                <w:sz w:val="22"/>
                <w:szCs w:val="32"/>
                <w:lang w:val="es-GT" w:eastAsia="es-GT"/>
              </w:rPr>
            </w:pPr>
            <w:r w:rsidRPr="00720F07">
              <w:rPr>
                <w:b/>
                <w:bCs/>
                <w:color w:val="000000"/>
                <w:sz w:val="22"/>
                <w:szCs w:val="32"/>
                <w:lang w:val="es-GT" w:eastAsia="es-GT"/>
              </w:rPr>
              <w:t>Por Ejecutar</w:t>
            </w:r>
          </w:p>
        </w:tc>
        <w:tc>
          <w:tcPr>
            <w:tcW w:w="1495" w:type="dxa"/>
            <w:tcBorders>
              <w:top w:val="nil"/>
              <w:left w:val="nil"/>
              <w:bottom w:val="single" w:sz="4" w:space="0" w:color="auto"/>
              <w:right w:val="single" w:sz="8" w:space="0" w:color="auto"/>
            </w:tcBorders>
            <w:shd w:val="clear" w:color="auto" w:fill="8DB4E2"/>
            <w:vAlign w:val="center"/>
            <w:hideMark/>
          </w:tcPr>
          <w:p w:rsidR="00260BA4" w:rsidRPr="00720F07" w:rsidRDefault="00260BA4" w:rsidP="00720F07">
            <w:pPr>
              <w:jc w:val="center"/>
              <w:rPr>
                <w:b/>
                <w:bCs/>
                <w:color w:val="000000"/>
                <w:sz w:val="22"/>
                <w:szCs w:val="32"/>
                <w:lang w:val="es-GT" w:eastAsia="es-GT"/>
              </w:rPr>
            </w:pPr>
            <w:r w:rsidRPr="00720F07">
              <w:rPr>
                <w:b/>
                <w:bCs/>
                <w:color w:val="000000"/>
                <w:sz w:val="22"/>
                <w:szCs w:val="32"/>
                <w:lang w:val="es-GT" w:eastAsia="es-GT"/>
              </w:rPr>
              <w:t>Ejecución</w:t>
            </w:r>
          </w:p>
        </w:tc>
      </w:tr>
      <w:tr w:rsidR="00260BA4" w:rsidRPr="005667C1" w:rsidTr="007601BF">
        <w:trPr>
          <w:trHeight w:val="336"/>
        </w:trPr>
        <w:tc>
          <w:tcPr>
            <w:tcW w:w="3258" w:type="dxa"/>
            <w:tcBorders>
              <w:top w:val="nil"/>
              <w:left w:val="single" w:sz="8" w:space="0" w:color="auto"/>
              <w:bottom w:val="nil"/>
              <w:right w:val="nil"/>
            </w:tcBorders>
            <w:shd w:val="clear" w:color="auto" w:fill="auto"/>
            <w:noWrap/>
            <w:vAlign w:val="bottom"/>
            <w:hideMark/>
          </w:tcPr>
          <w:p w:rsidR="00260BA4" w:rsidRPr="005667C1" w:rsidRDefault="00260BA4" w:rsidP="00D7100C">
            <w:pPr>
              <w:rPr>
                <w:sz w:val="22"/>
                <w:szCs w:val="22"/>
                <w:lang w:val="es-GT" w:eastAsia="es-GT"/>
              </w:rPr>
            </w:pPr>
            <w:r w:rsidRPr="005667C1">
              <w:rPr>
                <w:sz w:val="22"/>
                <w:szCs w:val="22"/>
                <w:lang w:val="es-GT" w:eastAsia="es-GT"/>
              </w:rPr>
              <w:t>Salud y Asistencia Social 1/</w:t>
            </w:r>
          </w:p>
        </w:tc>
        <w:tc>
          <w:tcPr>
            <w:tcW w:w="1410" w:type="dxa"/>
            <w:tcBorders>
              <w:top w:val="nil"/>
              <w:left w:val="single" w:sz="4" w:space="0" w:color="auto"/>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22,265.3</w:t>
            </w:r>
          </w:p>
        </w:tc>
        <w:tc>
          <w:tcPr>
            <w:tcW w:w="1559"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20,155.7</w:t>
            </w:r>
          </w:p>
        </w:tc>
        <w:tc>
          <w:tcPr>
            <w:tcW w:w="1520"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2,109.6</w:t>
            </w:r>
          </w:p>
        </w:tc>
        <w:tc>
          <w:tcPr>
            <w:tcW w:w="1495" w:type="dxa"/>
            <w:tcBorders>
              <w:top w:val="nil"/>
              <w:left w:val="nil"/>
              <w:bottom w:val="nil"/>
              <w:right w:val="single" w:sz="8"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90.5%</w:t>
            </w:r>
          </w:p>
        </w:tc>
      </w:tr>
      <w:tr w:rsidR="00260BA4" w:rsidRPr="005667C1" w:rsidTr="007601BF">
        <w:trPr>
          <w:trHeight w:val="336"/>
        </w:trPr>
        <w:tc>
          <w:tcPr>
            <w:tcW w:w="3258" w:type="dxa"/>
            <w:tcBorders>
              <w:top w:val="nil"/>
              <w:left w:val="single" w:sz="8" w:space="0" w:color="auto"/>
              <w:bottom w:val="nil"/>
              <w:right w:val="nil"/>
            </w:tcBorders>
            <w:shd w:val="clear" w:color="auto" w:fill="auto"/>
            <w:noWrap/>
            <w:vAlign w:val="bottom"/>
            <w:hideMark/>
          </w:tcPr>
          <w:p w:rsidR="00260BA4" w:rsidRPr="005667C1" w:rsidRDefault="00260BA4" w:rsidP="00D7100C">
            <w:pPr>
              <w:rPr>
                <w:sz w:val="22"/>
                <w:szCs w:val="22"/>
                <w:lang w:val="es-GT" w:eastAsia="es-GT"/>
              </w:rPr>
            </w:pPr>
            <w:r w:rsidRPr="005667C1">
              <w:rPr>
                <w:sz w:val="22"/>
                <w:szCs w:val="22"/>
                <w:lang w:val="es-GT" w:eastAsia="es-GT"/>
              </w:rPr>
              <w:t>Educación, Ciencia y Cultura</w:t>
            </w:r>
          </w:p>
        </w:tc>
        <w:tc>
          <w:tcPr>
            <w:tcW w:w="1410" w:type="dxa"/>
            <w:tcBorders>
              <w:top w:val="nil"/>
              <w:left w:val="single" w:sz="4" w:space="0" w:color="auto"/>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22,858.1</w:t>
            </w:r>
          </w:p>
        </w:tc>
        <w:tc>
          <w:tcPr>
            <w:tcW w:w="1559"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21,794.3</w:t>
            </w:r>
          </w:p>
        </w:tc>
        <w:tc>
          <w:tcPr>
            <w:tcW w:w="1520"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1,063.8</w:t>
            </w:r>
          </w:p>
        </w:tc>
        <w:tc>
          <w:tcPr>
            <w:tcW w:w="1495" w:type="dxa"/>
            <w:tcBorders>
              <w:top w:val="nil"/>
              <w:left w:val="nil"/>
              <w:bottom w:val="nil"/>
              <w:right w:val="single" w:sz="8"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95.3%</w:t>
            </w:r>
          </w:p>
        </w:tc>
      </w:tr>
      <w:tr w:rsidR="00260BA4" w:rsidRPr="005667C1" w:rsidTr="007601BF">
        <w:trPr>
          <w:trHeight w:val="336"/>
        </w:trPr>
        <w:tc>
          <w:tcPr>
            <w:tcW w:w="3258" w:type="dxa"/>
            <w:tcBorders>
              <w:top w:val="nil"/>
              <w:left w:val="single" w:sz="8" w:space="0" w:color="auto"/>
              <w:bottom w:val="nil"/>
              <w:right w:val="nil"/>
            </w:tcBorders>
            <w:shd w:val="clear" w:color="auto" w:fill="auto"/>
            <w:noWrap/>
            <w:vAlign w:val="bottom"/>
            <w:hideMark/>
          </w:tcPr>
          <w:p w:rsidR="00260BA4" w:rsidRPr="005667C1" w:rsidRDefault="00260BA4" w:rsidP="00D7100C">
            <w:pPr>
              <w:rPr>
                <w:sz w:val="22"/>
                <w:szCs w:val="22"/>
                <w:lang w:val="es-GT" w:eastAsia="es-GT"/>
              </w:rPr>
            </w:pPr>
            <w:r w:rsidRPr="005667C1">
              <w:rPr>
                <w:sz w:val="22"/>
                <w:szCs w:val="22"/>
                <w:lang w:val="es-GT" w:eastAsia="es-GT"/>
              </w:rPr>
              <w:t>Vivienda</w:t>
            </w:r>
          </w:p>
        </w:tc>
        <w:tc>
          <w:tcPr>
            <w:tcW w:w="1410" w:type="dxa"/>
            <w:tcBorders>
              <w:top w:val="nil"/>
              <w:left w:val="single" w:sz="4" w:space="0" w:color="auto"/>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466.0</w:t>
            </w:r>
          </w:p>
        </w:tc>
        <w:tc>
          <w:tcPr>
            <w:tcW w:w="1559"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377.6</w:t>
            </w:r>
          </w:p>
        </w:tc>
        <w:tc>
          <w:tcPr>
            <w:tcW w:w="1520"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88.4</w:t>
            </w:r>
          </w:p>
        </w:tc>
        <w:tc>
          <w:tcPr>
            <w:tcW w:w="1495" w:type="dxa"/>
            <w:tcBorders>
              <w:top w:val="nil"/>
              <w:left w:val="nil"/>
              <w:bottom w:val="nil"/>
              <w:right w:val="single" w:sz="8"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81.0%</w:t>
            </w:r>
          </w:p>
        </w:tc>
      </w:tr>
      <w:tr w:rsidR="00260BA4" w:rsidRPr="005667C1" w:rsidTr="007601BF">
        <w:trPr>
          <w:trHeight w:val="336"/>
        </w:trPr>
        <w:tc>
          <w:tcPr>
            <w:tcW w:w="3258" w:type="dxa"/>
            <w:tcBorders>
              <w:top w:val="nil"/>
              <w:left w:val="single" w:sz="8" w:space="0" w:color="auto"/>
              <w:bottom w:val="nil"/>
              <w:right w:val="nil"/>
            </w:tcBorders>
            <w:shd w:val="clear" w:color="auto" w:fill="auto"/>
            <w:noWrap/>
            <w:vAlign w:val="bottom"/>
            <w:hideMark/>
          </w:tcPr>
          <w:p w:rsidR="00260BA4" w:rsidRPr="005667C1" w:rsidRDefault="00260BA4" w:rsidP="00D7100C">
            <w:pPr>
              <w:jc w:val="center"/>
              <w:rPr>
                <w:b/>
                <w:bCs/>
                <w:sz w:val="22"/>
                <w:szCs w:val="22"/>
                <w:lang w:val="es-GT" w:eastAsia="es-GT"/>
              </w:rPr>
            </w:pPr>
            <w:r w:rsidRPr="005667C1">
              <w:rPr>
                <w:b/>
                <w:bCs/>
                <w:sz w:val="22"/>
                <w:szCs w:val="22"/>
                <w:lang w:val="es-GT" w:eastAsia="es-GT"/>
              </w:rPr>
              <w:t>Sub Total</w:t>
            </w:r>
          </w:p>
        </w:tc>
        <w:tc>
          <w:tcPr>
            <w:tcW w:w="1410" w:type="dxa"/>
            <w:tcBorders>
              <w:top w:val="nil"/>
              <w:left w:val="single" w:sz="4" w:space="0" w:color="auto"/>
              <w:bottom w:val="nil"/>
              <w:right w:val="single" w:sz="4" w:space="0" w:color="auto"/>
            </w:tcBorders>
            <w:shd w:val="clear" w:color="auto" w:fill="auto"/>
            <w:noWrap/>
            <w:vAlign w:val="bottom"/>
            <w:hideMark/>
          </w:tcPr>
          <w:p w:rsidR="00260BA4" w:rsidRPr="005667C1" w:rsidRDefault="00260BA4" w:rsidP="00D7100C">
            <w:pPr>
              <w:jc w:val="center"/>
              <w:rPr>
                <w:b/>
                <w:bCs/>
                <w:sz w:val="22"/>
                <w:szCs w:val="22"/>
                <w:lang w:val="es-GT" w:eastAsia="es-GT"/>
              </w:rPr>
            </w:pPr>
            <w:r w:rsidRPr="005667C1">
              <w:rPr>
                <w:b/>
                <w:bCs/>
                <w:sz w:val="22"/>
                <w:szCs w:val="22"/>
                <w:lang w:val="es-GT" w:eastAsia="es-GT"/>
              </w:rPr>
              <w:t>45,589.4</w:t>
            </w:r>
          </w:p>
        </w:tc>
        <w:tc>
          <w:tcPr>
            <w:tcW w:w="1559"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b/>
                <w:bCs/>
                <w:sz w:val="22"/>
                <w:szCs w:val="22"/>
                <w:lang w:val="es-GT" w:eastAsia="es-GT"/>
              </w:rPr>
            </w:pPr>
            <w:r w:rsidRPr="005667C1">
              <w:rPr>
                <w:b/>
                <w:bCs/>
                <w:sz w:val="22"/>
                <w:szCs w:val="22"/>
                <w:lang w:val="es-GT" w:eastAsia="es-GT"/>
              </w:rPr>
              <w:t>42,327.6</w:t>
            </w:r>
          </w:p>
        </w:tc>
        <w:tc>
          <w:tcPr>
            <w:tcW w:w="1520"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b/>
                <w:bCs/>
                <w:sz w:val="22"/>
                <w:szCs w:val="22"/>
                <w:lang w:val="es-GT" w:eastAsia="es-GT"/>
              </w:rPr>
            </w:pPr>
            <w:r w:rsidRPr="005667C1">
              <w:rPr>
                <w:b/>
                <w:bCs/>
                <w:sz w:val="22"/>
                <w:szCs w:val="22"/>
                <w:lang w:val="es-GT" w:eastAsia="es-GT"/>
              </w:rPr>
              <w:t>3,261.8</w:t>
            </w:r>
          </w:p>
        </w:tc>
        <w:tc>
          <w:tcPr>
            <w:tcW w:w="1495" w:type="dxa"/>
            <w:tcBorders>
              <w:top w:val="nil"/>
              <w:left w:val="nil"/>
              <w:bottom w:val="nil"/>
              <w:right w:val="single" w:sz="8" w:space="0" w:color="auto"/>
            </w:tcBorders>
            <w:shd w:val="clear" w:color="auto" w:fill="auto"/>
            <w:noWrap/>
            <w:vAlign w:val="bottom"/>
            <w:hideMark/>
          </w:tcPr>
          <w:p w:rsidR="00260BA4" w:rsidRPr="005667C1" w:rsidRDefault="00260BA4" w:rsidP="00D7100C">
            <w:pPr>
              <w:jc w:val="center"/>
              <w:rPr>
                <w:b/>
                <w:bCs/>
                <w:sz w:val="22"/>
                <w:szCs w:val="22"/>
                <w:lang w:val="es-GT" w:eastAsia="es-GT"/>
              </w:rPr>
            </w:pPr>
            <w:r w:rsidRPr="005667C1">
              <w:rPr>
                <w:b/>
                <w:bCs/>
                <w:sz w:val="22"/>
                <w:szCs w:val="22"/>
                <w:lang w:val="es-GT" w:eastAsia="es-GT"/>
              </w:rPr>
              <w:t>92.8%</w:t>
            </w:r>
          </w:p>
        </w:tc>
      </w:tr>
      <w:tr w:rsidR="00260BA4" w:rsidRPr="005667C1" w:rsidTr="007601BF">
        <w:trPr>
          <w:trHeight w:val="336"/>
        </w:trPr>
        <w:tc>
          <w:tcPr>
            <w:tcW w:w="3258" w:type="dxa"/>
            <w:tcBorders>
              <w:top w:val="nil"/>
              <w:left w:val="single" w:sz="8" w:space="0" w:color="auto"/>
              <w:bottom w:val="nil"/>
              <w:right w:val="nil"/>
            </w:tcBorders>
            <w:shd w:val="clear" w:color="auto" w:fill="auto"/>
            <w:noWrap/>
            <w:vAlign w:val="bottom"/>
            <w:hideMark/>
          </w:tcPr>
          <w:p w:rsidR="00260BA4" w:rsidRPr="005667C1" w:rsidRDefault="00260BA4" w:rsidP="00D7100C">
            <w:pPr>
              <w:rPr>
                <w:sz w:val="22"/>
                <w:szCs w:val="22"/>
                <w:lang w:val="es-GT" w:eastAsia="es-GT"/>
              </w:rPr>
            </w:pPr>
            <w:r w:rsidRPr="005667C1">
              <w:rPr>
                <w:sz w:val="22"/>
                <w:szCs w:val="22"/>
                <w:lang w:val="es-GT" w:eastAsia="es-GT"/>
              </w:rPr>
              <w:t>Seguridad Interna</w:t>
            </w:r>
          </w:p>
        </w:tc>
        <w:tc>
          <w:tcPr>
            <w:tcW w:w="1410" w:type="dxa"/>
            <w:tcBorders>
              <w:top w:val="nil"/>
              <w:left w:val="single" w:sz="4" w:space="0" w:color="auto"/>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6,523.6</w:t>
            </w:r>
          </w:p>
        </w:tc>
        <w:tc>
          <w:tcPr>
            <w:tcW w:w="1559"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5,946.7</w:t>
            </w:r>
          </w:p>
        </w:tc>
        <w:tc>
          <w:tcPr>
            <w:tcW w:w="1520"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576.9</w:t>
            </w:r>
          </w:p>
        </w:tc>
        <w:tc>
          <w:tcPr>
            <w:tcW w:w="1495" w:type="dxa"/>
            <w:tcBorders>
              <w:top w:val="nil"/>
              <w:left w:val="nil"/>
              <w:bottom w:val="nil"/>
              <w:right w:val="single" w:sz="8"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91.2%</w:t>
            </w:r>
          </w:p>
        </w:tc>
      </w:tr>
      <w:tr w:rsidR="00260BA4" w:rsidRPr="005667C1" w:rsidTr="007601BF">
        <w:trPr>
          <w:trHeight w:val="336"/>
        </w:trPr>
        <w:tc>
          <w:tcPr>
            <w:tcW w:w="3258" w:type="dxa"/>
            <w:tcBorders>
              <w:top w:val="nil"/>
              <w:left w:val="single" w:sz="8" w:space="0" w:color="auto"/>
              <w:bottom w:val="nil"/>
              <w:right w:val="nil"/>
            </w:tcBorders>
            <w:shd w:val="clear" w:color="auto" w:fill="auto"/>
            <w:noWrap/>
            <w:vAlign w:val="bottom"/>
            <w:hideMark/>
          </w:tcPr>
          <w:p w:rsidR="00260BA4" w:rsidRPr="005667C1" w:rsidRDefault="00260BA4" w:rsidP="00D7100C">
            <w:pPr>
              <w:rPr>
                <w:sz w:val="22"/>
                <w:szCs w:val="22"/>
                <w:lang w:val="es-GT" w:eastAsia="es-GT"/>
              </w:rPr>
            </w:pPr>
            <w:r w:rsidRPr="005667C1">
              <w:rPr>
                <w:sz w:val="22"/>
                <w:szCs w:val="22"/>
                <w:lang w:val="es-GT" w:eastAsia="es-GT"/>
              </w:rPr>
              <w:t>Organismo Judicial y C.C</w:t>
            </w:r>
          </w:p>
        </w:tc>
        <w:tc>
          <w:tcPr>
            <w:tcW w:w="1410" w:type="dxa"/>
            <w:tcBorders>
              <w:top w:val="nil"/>
              <w:left w:val="single" w:sz="4" w:space="0" w:color="auto"/>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2,503.1</w:t>
            </w:r>
          </w:p>
        </w:tc>
        <w:tc>
          <w:tcPr>
            <w:tcW w:w="1559"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2,451.8</w:t>
            </w:r>
          </w:p>
        </w:tc>
        <w:tc>
          <w:tcPr>
            <w:tcW w:w="1520"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51.3</w:t>
            </w:r>
          </w:p>
        </w:tc>
        <w:tc>
          <w:tcPr>
            <w:tcW w:w="1495" w:type="dxa"/>
            <w:tcBorders>
              <w:top w:val="nil"/>
              <w:left w:val="nil"/>
              <w:bottom w:val="nil"/>
              <w:right w:val="single" w:sz="8"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97.9%</w:t>
            </w:r>
          </w:p>
        </w:tc>
      </w:tr>
      <w:tr w:rsidR="00260BA4" w:rsidRPr="005667C1" w:rsidTr="007601BF">
        <w:trPr>
          <w:trHeight w:val="336"/>
        </w:trPr>
        <w:tc>
          <w:tcPr>
            <w:tcW w:w="3258" w:type="dxa"/>
            <w:tcBorders>
              <w:top w:val="nil"/>
              <w:left w:val="single" w:sz="8" w:space="0" w:color="auto"/>
              <w:bottom w:val="nil"/>
              <w:right w:val="nil"/>
            </w:tcBorders>
            <w:shd w:val="clear" w:color="auto" w:fill="auto"/>
            <w:noWrap/>
            <w:vAlign w:val="bottom"/>
            <w:hideMark/>
          </w:tcPr>
          <w:p w:rsidR="00260BA4" w:rsidRPr="005667C1" w:rsidRDefault="00260BA4" w:rsidP="00D7100C">
            <w:pPr>
              <w:rPr>
                <w:sz w:val="22"/>
                <w:szCs w:val="22"/>
                <w:lang w:val="es-GT" w:eastAsia="es-GT"/>
              </w:rPr>
            </w:pPr>
            <w:r w:rsidRPr="005667C1">
              <w:rPr>
                <w:sz w:val="22"/>
                <w:szCs w:val="22"/>
                <w:lang w:val="es-GT" w:eastAsia="es-GT"/>
              </w:rPr>
              <w:t>Ministerio Público</w:t>
            </w:r>
          </w:p>
        </w:tc>
        <w:tc>
          <w:tcPr>
            <w:tcW w:w="1410" w:type="dxa"/>
            <w:tcBorders>
              <w:top w:val="nil"/>
              <w:left w:val="single" w:sz="4" w:space="0" w:color="auto"/>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1,749.3</w:t>
            </w:r>
          </w:p>
        </w:tc>
        <w:tc>
          <w:tcPr>
            <w:tcW w:w="1559"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1,649.3</w:t>
            </w:r>
          </w:p>
        </w:tc>
        <w:tc>
          <w:tcPr>
            <w:tcW w:w="1520" w:type="dxa"/>
            <w:tcBorders>
              <w:top w:val="nil"/>
              <w:left w:val="nil"/>
              <w:bottom w:val="nil"/>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100.0</w:t>
            </w:r>
          </w:p>
        </w:tc>
        <w:tc>
          <w:tcPr>
            <w:tcW w:w="1495" w:type="dxa"/>
            <w:tcBorders>
              <w:top w:val="nil"/>
              <w:left w:val="nil"/>
              <w:bottom w:val="nil"/>
              <w:right w:val="single" w:sz="8"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94.3%</w:t>
            </w:r>
          </w:p>
        </w:tc>
      </w:tr>
      <w:tr w:rsidR="00260BA4" w:rsidRPr="005667C1" w:rsidTr="007601BF">
        <w:trPr>
          <w:trHeight w:val="336"/>
        </w:trPr>
        <w:tc>
          <w:tcPr>
            <w:tcW w:w="3258" w:type="dxa"/>
            <w:tcBorders>
              <w:top w:val="nil"/>
              <w:left w:val="single" w:sz="8" w:space="0" w:color="auto"/>
              <w:bottom w:val="single" w:sz="8" w:space="0" w:color="auto"/>
              <w:right w:val="nil"/>
            </w:tcBorders>
            <w:shd w:val="clear" w:color="auto" w:fill="auto"/>
            <w:noWrap/>
            <w:vAlign w:val="bottom"/>
            <w:hideMark/>
          </w:tcPr>
          <w:p w:rsidR="00260BA4" w:rsidRPr="005667C1" w:rsidRDefault="00260BA4" w:rsidP="00D7100C">
            <w:pPr>
              <w:jc w:val="center"/>
              <w:rPr>
                <w:b/>
                <w:bCs/>
                <w:sz w:val="22"/>
                <w:szCs w:val="22"/>
                <w:lang w:val="es-GT" w:eastAsia="es-GT"/>
              </w:rPr>
            </w:pPr>
            <w:r w:rsidRPr="005667C1">
              <w:rPr>
                <w:b/>
                <w:bCs/>
                <w:sz w:val="22"/>
                <w:szCs w:val="22"/>
                <w:lang w:val="es-GT" w:eastAsia="es-GT"/>
              </w:rPr>
              <w:t>Total</w:t>
            </w:r>
          </w:p>
        </w:tc>
        <w:tc>
          <w:tcPr>
            <w:tcW w:w="1410" w:type="dxa"/>
            <w:tcBorders>
              <w:top w:val="nil"/>
              <w:left w:val="single" w:sz="4" w:space="0" w:color="auto"/>
              <w:bottom w:val="single" w:sz="8" w:space="0" w:color="auto"/>
              <w:right w:val="single" w:sz="4" w:space="0" w:color="auto"/>
            </w:tcBorders>
            <w:shd w:val="clear" w:color="auto" w:fill="auto"/>
            <w:noWrap/>
            <w:vAlign w:val="bottom"/>
            <w:hideMark/>
          </w:tcPr>
          <w:p w:rsidR="00260BA4" w:rsidRPr="005667C1" w:rsidRDefault="00260BA4" w:rsidP="00D7100C">
            <w:pPr>
              <w:jc w:val="center"/>
              <w:rPr>
                <w:b/>
                <w:bCs/>
                <w:sz w:val="22"/>
                <w:szCs w:val="22"/>
                <w:lang w:val="es-GT" w:eastAsia="es-GT"/>
              </w:rPr>
            </w:pPr>
            <w:r w:rsidRPr="005667C1">
              <w:rPr>
                <w:b/>
                <w:bCs/>
                <w:sz w:val="22"/>
                <w:szCs w:val="22"/>
                <w:lang w:val="es-GT" w:eastAsia="es-GT"/>
              </w:rPr>
              <w:t>56,365.5</w:t>
            </w:r>
          </w:p>
        </w:tc>
        <w:tc>
          <w:tcPr>
            <w:tcW w:w="1559" w:type="dxa"/>
            <w:tcBorders>
              <w:top w:val="nil"/>
              <w:left w:val="nil"/>
              <w:bottom w:val="single" w:sz="8" w:space="0" w:color="auto"/>
              <w:right w:val="single" w:sz="4" w:space="0" w:color="auto"/>
            </w:tcBorders>
            <w:shd w:val="clear" w:color="auto" w:fill="auto"/>
            <w:noWrap/>
            <w:vAlign w:val="bottom"/>
            <w:hideMark/>
          </w:tcPr>
          <w:p w:rsidR="00260BA4" w:rsidRPr="005667C1" w:rsidRDefault="00260BA4" w:rsidP="00D7100C">
            <w:pPr>
              <w:jc w:val="center"/>
              <w:rPr>
                <w:b/>
                <w:bCs/>
                <w:sz w:val="22"/>
                <w:szCs w:val="22"/>
                <w:lang w:val="es-GT" w:eastAsia="es-GT"/>
              </w:rPr>
            </w:pPr>
            <w:r w:rsidRPr="005667C1">
              <w:rPr>
                <w:b/>
                <w:bCs/>
                <w:sz w:val="22"/>
                <w:szCs w:val="22"/>
                <w:lang w:val="es-GT" w:eastAsia="es-GT"/>
              </w:rPr>
              <w:t>52,375.4</w:t>
            </w:r>
          </w:p>
        </w:tc>
        <w:tc>
          <w:tcPr>
            <w:tcW w:w="1520" w:type="dxa"/>
            <w:tcBorders>
              <w:top w:val="nil"/>
              <w:left w:val="nil"/>
              <w:bottom w:val="single" w:sz="8" w:space="0" w:color="auto"/>
              <w:right w:val="single" w:sz="4" w:space="0" w:color="auto"/>
            </w:tcBorders>
            <w:shd w:val="clear" w:color="auto" w:fill="auto"/>
            <w:noWrap/>
            <w:vAlign w:val="bottom"/>
            <w:hideMark/>
          </w:tcPr>
          <w:p w:rsidR="00260BA4" w:rsidRPr="005667C1" w:rsidRDefault="00260BA4" w:rsidP="00D7100C">
            <w:pPr>
              <w:jc w:val="center"/>
              <w:rPr>
                <w:b/>
                <w:bCs/>
                <w:sz w:val="22"/>
                <w:szCs w:val="22"/>
                <w:lang w:val="es-GT" w:eastAsia="es-GT"/>
              </w:rPr>
            </w:pPr>
            <w:r w:rsidRPr="005667C1">
              <w:rPr>
                <w:b/>
                <w:bCs/>
                <w:sz w:val="22"/>
                <w:szCs w:val="22"/>
                <w:lang w:val="es-GT" w:eastAsia="es-GT"/>
              </w:rPr>
              <w:t>3,990.1</w:t>
            </w:r>
          </w:p>
        </w:tc>
        <w:tc>
          <w:tcPr>
            <w:tcW w:w="1495" w:type="dxa"/>
            <w:tcBorders>
              <w:top w:val="nil"/>
              <w:left w:val="nil"/>
              <w:bottom w:val="single" w:sz="8" w:space="0" w:color="auto"/>
              <w:right w:val="single" w:sz="8" w:space="0" w:color="auto"/>
            </w:tcBorders>
            <w:shd w:val="clear" w:color="auto" w:fill="auto"/>
            <w:noWrap/>
            <w:vAlign w:val="bottom"/>
            <w:hideMark/>
          </w:tcPr>
          <w:p w:rsidR="00260BA4" w:rsidRPr="005667C1" w:rsidRDefault="00260BA4" w:rsidP="00D7100C">
            <w:pPr>
              <w:jc w:val="center"/>
              <w:rPr>
                <w:b/>
                <w:bCs/>
                <w:sz w:val="22"/>
                <w:szCs w:val="22"/>
                <w:lang w:val="es-GT" w:eastAsia="es-GT"/>
              </w:rPr>
            </w:pPr>
            <w:r w:rsidRPr="005667C1">
              <w:rPr>
                <w:b/>
                <w:bCs/>
                <w:sz w:val="22"/>
                <w:szCs w:val="22"/>
                <w:lang w:val="es-GT" w:eastAsia="es-GT"/>
              </w:rPr>
              <w:t>92.9%</w:t>
            </w:r>
          </w:p>
        </w:tc>
      </w:tr>
      <w:tr w:rsidR="00260BA4" w:rsidRPr="005667C1" w:rsidTr="007601BF">
        <w:trPr>
          <w:trHeight w:val="336"/>
        </w:trPr>
        <w:tc>
          <w:tcPr>
            <w:tcW w:w="3258" w:type="dxa"/>
            <w:tcBorders>
              <w:top w:val="single" w:sz="8" w:space="0" w:color="auto"/>
              <w:left w:val="single" w:sz="8" w:space="0" w:color="auto"/>
              <w:bottom w:val="single" w:sz="8" w:space="0" w:color="auto"/>
              <w:right w:val="nil"/>
            </w:tcBorders>
            <w:shd w:val="clear" w:color="auto" w:fill="auto"/>
            <w:noWrap/>
            <w:vAlign w:val="bottom"/>
            <w:hideMark/>
          </w:tcPr>
          <w:p w:rsidR="00260BA4" w:rsidRPr="005667C1" w:rsidRDefault="00260BA4" w:rsidP="00D7100C">
            <w:pPr>
              <w:rPr>
                <w:sz w:val="22"/>
                <w:szCs w:val="22"/>
                <w:lang w:val="es-GT" w:eastAsia="es-GT"/>
              </w:rPr>
            </w:pPr>
            <w:r w:rsidRPr="005667C1">
              <w:rPr>
                <w:sz w:val="22"/>
                <w:szCs w:val="22"/>
                <w:lang w:val="es-GT" w:eastAsia="es-GT"/>
              </w:rPr>
              <w:t>Ejército de Guatemala</w:t>
            </w:r>
          </w:p>
        </w:tc>
        <w:tc>
          <w:tcPr>
            <w:tcW w:w="141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2,634.3</w:t>
            </w:r>
          </w:p>
        </w:tc>
        <w:tc>
          <w:tcPr>
            <w:tcW w:w="1559" w:type="dxa"/>
            <w:tcBorders>
              <w:top w:val="single" w:sz="8" w:space="0" w:color="auto"/>
              <w:left w:val="nil"/>
              <w:bottom w:val="single" w:sz="8" w:space="0" w:color="auto"/>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2,612.8</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21.5</w:t>
            </w:r>
          </w:p>
        </w:tc>
        <w:tc>
          <w:tcPr>
            <w:tcW w:w="1495" w:type="dxa"/>
            <w:tcBorders>
              <w:top w:val="nil"/>
              <w:left w:val="nil"/>
              <w:bottom w:val="single" w:sz="8" w:space="0" w:color="auto"/>
              <w:right w:val="single" w:sz="8" w:space="0" w:color="auto"/>
            </w:tcBorders>
            <w:shd w:val="clear" w:color="auto" w:fill="auto"/>
            <w:noWrap/>
            <w:vAlign w:val="bottom"/>
            <w:hideMark/>
          </w:tcPr>
          <w:p w:rsidR="00260BA4" w:rsidRPr="005667C1" w:rsidRDefault="00260BA4" w:rsidP="00D7100C">
            <w:pPr>
              <w:jc w:val="center"/>
              <w:rPr>
                <w:sz w:val="22"/>
                <w:szCs w:val="22"/>
                <w:lang w:val="es-GT" w:eastAsia="es-GT"/>
              </w:rPr>
            </w:pPr>
            <w:r w:rsidRPr="005667C1">
              <w:rPr>
                <w:sz w:val="22"/>
                <w:szCs w:val="22"/>
                <w:lang w:val="es-GT" w:eastAsia="es-GT"/>
              </w:rPr>
              <w:t>99.2%</w:t>
            </w:r>
          </w:p>
        </w:tc>
      </w:tr>
    </w:tbl>
    <w:p w:rsidR="00260BA4" w:rsidRDefault="00260BA4" w:rsidP="00260BA4">
      <w:pPr>
        <w:jc w:val="both"/>
        <w:rPr>
          <w:sz w:val="18"/>
        </w:rPr>
      </w:pPr>
      <w:r>
        <w:rPr>
          <w:sz w:val="18"/>
        </w:rPr>
        <w:t>* Cifras preliminares</w:t>
      </w:r>
    </w:p>
    <w:p w:rsidR="00260BA4" w:rsidRDefault="00260BA4" w:rsidP="00260BA4">
      <w:pPr>
        <w:jc w:val="both"/>
        <w:rPr>
          <w:sz w:val="18"/>
        </w:rPr>
      </w:pPr>
      <w:r>
        <w:rPr>
          <w:sz w:val="18"/>
        </w:rPr>
        <w:t>1/ Incluye Edad Avanzada</w:t>
      </w:r>
    </w:p>
    <w:p w:rsidR="00260BA4" w:rsidRPr="00245DF7" w:rsidRDefault="00260BA4" w:rsidP="00260BA4">
      <w:pPr>
        <w:jc w:val="both"/>
        <w:rPr>
          <w:sz w:val="18"/>
        </w:rPr>
      </w:pPr>
      <w:r>
        <w:rPr>
          <w:sz w:val="18"/>
        </w:rPr>
        <w:t xml:space="preserve">   </w:t>
      </w:r>
      <w:r w:rsidRPr="00245DF7">
        <w:rPr>
          <w:sz w:val="18"/>
        </w:rPr>
        <w:t>Fuente: Ministerio de Finanzas Públicas</w:t>
      </w:r>
      <w:r>
        <w:rPr>
          <w:sz w:val="18"/>
        </w:rPr>
        <w:t>.</w:t>
      </w:r>
    </w:p>
    <w:p w:rsidR="00260BA4" w:rsidRDefault="00260BA4" w:rsidP="00260BA4">
      <w:pPr>
        <w:jc w:val="both"/>
      </w:pPr>
    </w:p>
    <w:p w:rsidR="00260BA4" w:rsidRPr="008A7C41" w:rsidRDefault="00260BA4" w:rsidP="00260BA4">
      <w:pPr>
        <w:pStyle w:val="Ttulo3"/>
        <w:numPr>
          <w:ilvl w:val="0"/>
          <w:numId w:val="0"/>
        </w:numPr>
        <w:ind w:left="851" w:hanging="437"/>
        <w:rPr>
          <w:rFonts w:ascii="Times New Roman" w:hAnsi="Times New Roman"/>
          <w:color w:val="auto"/>
        </w:rPr>
      </w:pPr>
      <w:bookmarkStart w:id="23" w:name="_Toc98924136"/>
      <w:r w:rsidRPr="008A7C41">
        <w:rPr>
          <w:rFonts w:ascii="Times New Roman" w:hAnsi="Times New Roman"/>
          <w:color w:val="auto"/>
        </w:rPr>
        <w:lastRenderedPageBreak/>
        <w:t>2</w:t>
      </w:r>
      <w:r w:rsidRPr="008A7C41">
        <w:rPr>
          <w:rFonts w:ascii="Times New Roman" w:hAnsi="Times New Roman"/>
          <w:color w:val="auto"/>
        </w:rPr>
        <w:tab/>
        <w:t>Ejecución de los Fideicomisos para Programas de Protección Social</w:t>
      </w:r>
      <w:bookmarkEnd w:id="23"/>
    </w:p>
    <w:p w:rsidR="00260BA4" w:rsidRDefault="00260BA4" w:rsidP="00260BA4">
      <w:pPr>
        <w:jc w:val="both"/>
      </w:pPr>
    </w:p>
    <w:p w:rsidR="00260BA4" w:rsidRDefault="00260BA4" w:rsidP="00260BA4">
      <w:pPr>
        <w:jc w:val="both"/>
      </w:pPr>
      <w:r w:rsidRPr="009B6C10">
        <w:t>La ejecución a través de los fideicomisos al 31 de diciembre de 202</w:t>
      </w:r>
      <w:r>
        <w:t>1</w:t>
      </w:r>
      <w:r w:rsidRPr="009B6C10">
        <w:t xml:space="preserve"> fue de Q.7</w:t>
      </w:r>
      <w:r>
        <w:t>43.0</w:t>
      </w:r>
      <w:r w:rsidRPr="009B6C10">
        <w:t xml:space="preserve"> millones, que representan el </w:t>
      </w:r>
      <w:r>
        <w:t>89.8</w:t>
      </w:r>
      <w:r w:rsidRPr="009B6C10">
        <w:t xml:space="preserve">% de ejecución respecto del presupuesto vigente. La ejecución fue como sigue: el Fondo de Inversión para la Vivienda con una ejecución </w:t>
      </w:r>
      <w:r>
        <w:t>de Q.350.8 millones</w:t>
      </w:r>
      <w:r w:rsidRPr="009B6C10">
        <w:t>;</w:t>
      </w:r>
      <w:r>
        <w:t xml:space="preserve"> </w:t>
      </w:r>
      <w:r w:rsidRPr="009B6C10">
        <w:t xml:space="preserve">el Fondo de Protección Social ejecutó </w:t>
      </w:r>
      <w:r>
        <w:t>Q.328.8 millones</w:t>
      </w:r>
      <w:r w:rsidRPr="009B6C10">
        <w:t xml:space="preserve">; el Fondo Nacional para la Reactivación y Modernización de la Actividad Agropecuaria ejecutó </w:t>
      </w:r>
      <w:r>
        <w:t>Q.42.0 millones</w:t>
      </w:r>
      <w:r w:rsidRPr="009B6C10">
        <w:t xml:space="preserve">; el Fondo de </w:t>
      </w:r>
      <w:r>
        <w:t xml:space="preserve">Apoyo para el Sector Cafetalero ejecutó Q.10.0 millones; el </w:t>
      </w:r>
      <w:r w:rsidR="007C2CAF">
        <w:t xml:space="preserve">Fondo de </w:t>
      </w:r>
      <w:r w:rsidRPr="009B6C10">
        <w:t xml:space="preserve">Desarrollo Indígena Guatemalteco ejecutó </w:t>
      </w:r>
      <w:r>
        <w:t xml:space="preserve">Q.3.8 millones; el Fondo para Becas y Crédito Educativo ejecutó </w:t>
      </w:r>
      <w:r w:rsidR="007C2CAF">
        <w:t>Q.</w:t>
      </w:r>
      <w:r>
        <w:t>2.4 millones; el Fondo Nacional para la Conservación de la Naturaleza ejecutó Q.2.0 millones; el Fondo de Desarrollo Científico y Tecnológico ejecutó Q.1.6 millones y el Fondo Vial ejecutó Q.1.5 millones.</w:t>
      </w:r>
    </w:p>
    <w:p w:rsidR="00260BA4" w:rsidRDefault="00260BA4" w:rsidP="00260BA4">
      <w:pPr>
        <w:jc w:val="center"/>
        <w:rPr>
          <w:b/>
        </w:rPr>
      </w:pPr>
    </w:p>
    <w:p w:rsidR="00260BA4" w:rsidRPr="00124AD6" w:rsidRDefault="00260BA4" w:rsidP="00260BA4">
      <w:pPr>
        <w:jc w:val="center"/>
        <w:rPr>
          <w:b/>
        </w:rPr>
      </w:pPr>
      <w:r w:rsidRPr="00124AD6">
        <w:rPr>
          <w:b/>
        </w:rPr>
        <w:t xml:space="preserve">Cuadro </w:t>
      </w:r>
      <w:r>
        <w:rPr>
          <w:b/>
        </w:rPr>
        <w:t>6</w:t>
      </w:r>
    </w:p>
    <w:p w:rsidR="00260BA4" w:rsidRPr="00124AD6" w:rsidRDefault="00260BA4" w:rsidP="00260BA4">
      <w:pPr>
        <w:jc w:val="center"/>
        <w:rPr>
          <w:b/>
        </w:rPr>
      </w:pPr>
      <w:r w:rsidRPr="00124AD6">
        <w:rPr>
          <w:b/>
        </w:rPr>
        <w:t xml:space="preserve">Ejecución a través de Fideicomisos al 31 de diciembre </w:t>
      </w:r>
      <w:r>
        <w:rPr>
          <w:b/>
        </w:rPr>
        <w:t>de 202</w:t>
      </w:r>
      <w:r w:rsidR="008F6D58">
        <w:rPr>
          <w:b/>
        </w:rPr>
        <w:t>1</w:t>
      </w:r>
      <w:r>
        <w:rPr>
          <w:b/>
        </w:rPr>
        <w:t>*</w:t>
      </w:r>
    </w:p>
    <w:p w:rsidR="00260BA4" w:rsidRDefault="00260BA4" w:rsidP="00260BA4">
      <w:pPr>
        <w:jc w:val="center"/>
        <w:rPr>
          <w:b/>
          <w:bCs/>
          <w:lang w:val="es-GT" w:eastAsia="es-GT"/>
        </w:rPr>
      </w:pPr>
      <w:r w:rsidRPr="00124AD6">
        <w:rPr>
          <w:b/>
          <w:bCs/>
          <w:lang w:val="es-GT" w:eastAsia="es-GT"/>
        </w:rPr>
        <w:t>(Millones de Quetzales y Porcentajes)</w:t>
      </w:r>
    </w:p>
    <w:tbl>
      <w:tblPr>
        <w:tblpPr w:leftFromText="141" w:rightFromText="141" w:vertAnchor="text" w:horzAnchor="margin" w:tblpXSpec="center" w:tblpY="86"/>
        <w:tblW w:w="9795" w:type="dxa"/>
        <w:tblCellMar>
          <w:left w:w="70" w:type="dxa"/>
          <w:right w:w="70" w:type="dxa"/>
        </w:tblCellMar>
        <w:tblLook w:val="04A0" w:firstRow="1" w:lastRow="0" w:firstColumn="1" w:lastColumn="0" w:noHBand="0" w:noVBand="1"/>
      </w:tblPr>
      <w:tblGrid>
        <w:gridCol w:w="5228"/>
        <w:gridCol w:w="1117"/>
        <w:gridCol w:w="1159"/>
        <w:gridCol w:w="1103"/>
        <w:gridCol w:w="1188"/>
      </w:tblGrid>
      <w:tr w:rsidR="00260BA4" w:rsidRPr="00141927" w:rsidTr="00720F07">
        <w:trPr>
          <w:trHeight w:val="292"/>
        </w:trPr>
        <w:tc>
          <w:tcPr>
            <w:tcW w:w="5228" w:type="dxa"/>
            <w:vMerge w:val="restart"/>
            <w:tcBorders>
              <w:top w:val="single" w:sz="8" w:space="0" w:color="auto"/>
              <w:left w:val="single" w:sz="8" w:space="0" w:color="auto"/>
              <w:bottom w:val="nil"/>
              <w:right w:val="nil"/>
            </w:tcBorders>
            <w:shd w:val="clear" w:color="auto" w:fill="8DB4E2"/>
            <w:vAlign w:val="center"/>
            <w:hideMark/>
          </w:tcPr>
          <w:p w:rsidR="00260BA4" w:rsidRPr="00141927" w:rsidRDefault="00260BA4" w:rsidP="00D7100C">
            <w:pPr>
              <w:jc w:val="center"/>
              <w:rPr>
                <w:b/>
                <w:bCs/>
                <w:sz w:val="22"/>
                <w:szCs w:val="22"/>
                <w:lang w:val="es-GT" w:eastAsia="es-GT"/>
              </w:rPr>
            </w:pPr>
            <w:r w:rsidRPr="00141927">
              <w:rPr>
                <w:b/>
                <w:bCs/>
                <w:sz w:val="22"/>
                <w:szCs w:val="22"/>
                <w:lang w:val="es-GT" w:eastAsia="es-GT"/>
              </w:rPr>
              <w:t>Descripción</w:t>
            </w:r>
          </w:p>
        </w:tc>
        <w:tc>
          <w:tcPr>
            <w:tcW w:w="1117" w:type="dxa"/>
            <w:vMerge w:val="restart"/>
            <w:tcBorders>
              <w:top w:val="single" w:sz="8" w:space="0" w:color="auto"/>
              <w:left w:val="single" w:sz="4" w:space="0" w:color="auto"/>
              <w:bottom w:val="nil"/>
              <w:right w:val="nil"/>
            </w:tcBorders>
            <w:shd w:val="clear" w:color="auto" w:fill="8DB4E2"/>
            <w:vAlign w:val="center"/>
            <w:hideMark/>
          </w:tcPr>
          <w:p w:rsidR="00260BA4" w:rsidRPr="00141927" w:rsidRDefault="00260BA4" w:rsidP="00D7100C">
            <w:pPr>
              <w:jc w:val="center"/>
              <w:rPr>
                <w:b/>
                <w:bCs/>
                <w:sz w:val="22"/>
                <w:szCs w:val="22"/>
                <w:lang w:val="es-GT" w:eastAsia="es-GT"/>
              </w:rPr>
            </w:pPr>
            <w:r w:rsidRPr="00141927">
              <w:rPr>
                <w:b/>
                <w:bCs/>
                <w:sz w:val="22"/>
                <w:szCs w:val="22"/>
                <w:lang w:val="es-GT" w:eastAsia="es-GT"/>
              </w:rPr>
              <w:t>Vigente</w:t>
            </w:r>
          </w:p>
        </w:tc>
        <w:tc>
          <w:tcPr>
            <w:tcW w:w="1159" w:type="dxa"/>
            <w:vMerge w:val="restart"/>
            <w:tcBorders>
              <w:top w:val="single" w:sz="8" w:space="0" w:color="auto"/>
              <w:left w:val="single" w:sz="4" w:space="0" w:color="auto"/>
              <w:bottom w:val="nil"/>
              <w:right w:val="single" w:sz="4" w:space="0" w:color="auto"/>
            </w:tcBorders>
            <w:shd w:val="clear" w:color="auto" w:fill="8DB4E2"/>
            <w:vAlign w:val="center"/>
            <w:hideMark/>
          </w:tcPr>
          <w:p w:rsidR="00260BA4" w:rsidRPr="00141927" w:rsidRDefault="00260BA4" w:rsidP="00D7100C">
            <w:pPr>
              <w:jc w:val="center"/>
              <w:rPr>
                <w:b/>
                <w:bCs/>
                <w:sz w:val="22"/>
                <w:szCs w:val="22"/>
                <w:lang w:val="es-GT" w:eastAsia="es-GT"/>
              </w:rPr>
            </w:pPr>
            <w:r w:rsidRPr="00141927">
              <w:rPr>
                <w:b/>
                <w:bCs/>
                <w:sz w:val="22"/>
                <w:szCs w:val="22"/>
                <w:lang w:val="es-GT" w:eastAsia="es-GT"/>
              </w:rPr>
              <w:t>Ejecu</w:t>
            </w:r>
            <w:r w:rsidR="002034A9">
              <w:rPr>
                <w:b/>
                <w:bCs/>
                <w:sz w:val="22"/>
                <w:szCs w:val="22"/>
                <w:lang w:val="es-GT" w:eastAsia="es-GT"/>
              </w:rPr>
              <w:t>tado</w:t>
            </w:r>
          </w:p>
        </w:tc>
        <w:tc>
          <w:tcPr>
            <w:tcW w:w="1103" w:type="dxa"/>
            <w:vMerge w:val="restart"/>
            <w:tcBorders>
              <w:top w:val="single" w:sz="8" w:space="0" w:color="auto"/>
              <w:left w:val="nil"/>
              <w:bottom w:val="nil"/>
              <w:right w:val="single" w:sz="4" w:space="0" w:color="auto"/>
            </w:tcBorders>
            <w:shd w:val="clear" w:color="auto" w:fill="8DB4E2"/>
            <w:vAlign w:val="center"/>
            <w:hideMark/>
          </w:tcPr>
          <w:p w:rsidR="00260BA4" w:rsidRPr="00141927" w:rsidRDefault="00260BA4" w:rsidP="00D7100C">
            <w:pPr>
              <w:jc w:val="center"/>
              <w:rPr>
                <w:b/>
                <w:bCs/>
                <w:sz w:val="22"/>
                <w:szCs w:val="22"/>
                <w:lang w:val="es-GT" w:eastAsia="es-GT"/>
              </w:rPr>
            </w:pPr>
            <w:r w:rsidRPr="00141927">
              <w:rPr>
                <w:b/>
                <w:bCs/>
                <w:sz w:val="22"/>
                <w:szCs w:val="22"/>
                <w:lang w:val="es-GT" w:eastAsia="es-GT"/>
              </w:rPr>
              <w:t>Por Ejecutar</w:t>
            </w:r>
          </w:p>
        </w:tc>
        <w:tc>
          <w:tcPr>
            <w:tcW w:w="1188" w:type="dxa"/>
            <w:vMerge w:val="restart"/>
            <w:tcBorders>
              <w:top w:val="single" w:sz="8" w:space="0" w:color="auto"/>
              <w:left w:val="nil"/>
              <w:bottom w:val="nil"/>
              <w:right w:val="single" w:sz="8" w:space="0" w:color="auto"/>
            </w:tcBorders>
            <w:shd w:val="clear" w:color="auto" w:fill="8DB4E2"/>
            <w:vAlign w:val="center"/>
            <w:hideMark/>
          </w:tcPr>
          <w:p w:rsidR="00260BA4" w:rsidRPr="00141927" w:rsidRDefault="00260BA4" w:rsidP="00D7100C">
            <w:pPr>
              <w:jc w:val="center"/>
              <w:rPr>
                <w:b/>
                <w:bCs/>
                <w:sz w:val="22"/>
                <w:szCs w:val="22"/>
                <w:lang w:val="es-GT" w:eastAsia="es-GT"/>
              </w:rPr>
            </w:pPr>
            <w:r w:rsidRPr="00141927">
              <w:rPr>
                <w:b/>
                <w:bCs/>
                <w:sz w:val="22"/>
                <w:szCs w:val="22"/>
                <w:lang w:val="es-GT" w:eastAsia="es-GT"/>
              </w:rPr>
              <w:t>% Ejecución</w:t>
            </w:r>
          </w:p>
        </w:tc>
      </w:tr>
      <w:tr w:rsidR="00260BA4" w:rsidRPr="00141927" w:rsidTr="00720F07">
        <w:trPr>
          <w:trHeight w:val="292"/>
        </w:trPr>
        <w:tc>
          <w:tcPr>
            <w:tcW w:w="5228" w:type="dxa"/>
            <w:vMerge/>
            <w:tcBorders>
              <w:top w:val="single" w:sz="8" w:space="0" w:color="auto"/>
              <w:left w:val="single" w:sz="8" w:space="0" w:color="auto"/>
              <w:bottom w:val="nil"/>
              <w:right w:val="nil"/>
            </w:tcBorders>
            <w:shd w:val="clear" w:color="auto" w:fill="8DB4E2"/>
            <w:vAlign w:val="center"/>
            <w:hideMark/>
          </w:tcPr>
          <w:p w:rsidR="00260BA4" w:rsidRPr="00141927" w:rsidRDefault="00260BA4" w:rsidP="00D7100C">
            <w:pPr>
              <w:rPr>
                <w:b/>
                <w:bCs/>
                <w:sz w:val="22"/>
                <w:szCs w:val="22"/>
                <w:lang w:val="es-GT" w:eastAsia="es-GT"/>
              </w:rPr>
            </w:pPr>
          </w:p>
        </w:tc>
        <w:tc>
          <w:tcPr>
            <w:tcW w:w="1117" w:type="dxa"/>
            <w:vMerge/>
            <w:tcBorders>
              <w:top w:val="single" w:sz="8" w:space="0" w:color="auto"/>
              <w:left w:val="single" w:sz="4" w:space="0" w:color="auto"/>
              <w:bottom w:val="nil"/>
              <w:right w:val="nil"/>
            </w:tcBorders>
            <w:shd w:val="clear" w:color="auto" w:fill="8DB4E2"/>
            <w:vAlign w:val="center"/>
            <w:hideMark/>
          </w:tcPr>
          <w:p w:rsidR="00260BA4" w:rsidRPr="00141927" w:rsidRDefault="00260BA4" w:rsidP="00D7100C">
            <w:pPr>
              <w:rPr>
                <w:b/>
                <w:bCs/>
                <w:sz w:val="22"/>
                <w:szCs w:val="22"/>
                <w:lang w:val="es-GT" w:eastAsia="es-GT"/>
              </w:rPr>
            </w:pPr>
          </w:p>
        </w:tc>
        <w:tc>
          <w:tcPr>
            <w:tcW w:w="1159" w:type="dxa"/>
            <w:vMerge/>
            <w:tcBorders>
              <w:top w:val="single" w:sz="8" w:space="0" w:color="auto"/>
              <w:left w:val="single" w:sz="4" w:space="0" w:color="auto"/>
              <w:bottom w:val="nil"/>
              <w:right w:val="single" w:sz="4" w:space="0" w:color="auto"/>
            </w:tcBorders>
            <w:shd w:val="clear" w:color="auto" w:fill="8DB4E2"/>
            <w:vAlign w:val="center"/>
            <w:hideMark/>
          </w:tcPr>
          <w:p w:rsidR="00260BA4" w:rsidRPr="00141927" w:rsidRDefault="00260BA4" w:rsidP="00D7100C">
            <w:pPr>
              <w:rPr>
                <w:b/>
                <w:bCs/>
                <w:sz w:val="22"/>
                <w:szCs w:val="22"/>
                <w:lang w:val="es-GT" w:eastAsia="es-GT"/>
              </w:rPr>
            </w:pPr>
          </w:p>
        </w:tc>
        <w:tc>
          <w:tcPr>
            <w:tcW w:w="1103" w:type="dxa"/>
            <w:vMerge/>
            <w:tcBorders>
              <w:top w:val="single" w:sz="8" w:space="0" w:color="auto"/>
              <w:left w:val="nil"/>
              <w:bottom w:val="nil"/>
              <w:right w:val="single" w:sz="4" w:space="0" w:color="auto"/>
            </w:tcBorders>
            <w:shd w:val="clear" w:color="auto" w:fill="8DB4E2"/>
            <w:vAlign w:val="center"/>
            <w:hideMark/>
          </w:tcPr>
          <w:p w:rsidR="00260BA4" w:rsidRPr="00141927" w:rsidRDefault="00260BA4" w:rsidP="00D7100C">
            <w:pPr>
              <w:rPr>
                <w:b/>
                <w:bCs/>
                <w:sz w:val="22"/>
                <w:szCs w:val="22"/>
                <w:lang w:val="es-GT" w:eastAsia="es-GT"/>
              </w:rPr>
            </w:pPr>
          </w:p>
        </w:tc>
        <w:tc>
          <w:tcPr>
            <w:tcW w:w="1188" w:type="dxa"/>
            <w:vMerge/>
            <w:tcBorders>
              <w:top w:val="single" w:sz="8" w:space="0" w:color="auto"/>
              <w:left w:val="nil"/>
              <w:bottom w:val="nil"/>
              <w:right w:val="single" w:sz="8" w:space="0" w:color="auto"/>
            </w:tcBorders>
            <w:shd w:val="clear" w:color="auto" w:fill="8DB4E2"/>
            <w:vAlign w:val="center"/>
            <w:hideMark/>
          </w:tcPr>
          <w:p w:rsidR="00260BA4" w:rsidRPr="00141927" w:rsidRDefault="00260BA4" w:rsidP="00D7100C">
            <w:pPr>
              <w:rPr>
                <w:b/>
                <w:bCs/>
                <w:sz w:val="22"/>
                <w:szCs w:val="22"/>
                <w:lang w:val="es-GT" w:eastAsia="es-GT"/>
              </w:rPr>
            </w:pPr>
          </w:p>
        </w:tc>
      </w:tr>
      <w:tr w:rsidR="00260BA4" w:rsidRPr="00141927" w:rsidTr="00D7100C">
        <w:trPr>
          <w:trHeight w:val="279"/>
        </w:trPr>
        <w:tc>
          <w:tcPr>
            <w:tcW w:w="5228" w:type="dxa"/>
            <w:tcBorders>
              <w:top w:val="single" w:sz="8" w:space="0" w:color="auto"/>
              <w:left w:val="single" w:sz="8" w:space="0" w:color="auto"/>
              <w:bottom w:val="nil"/>
              <w:right w:val="nil"/>
            </w:tcBorders>
            <w:shd w:val="clear" w:color="000000" w:fill="auto"/>
            <w:vAlign w:val="bottom"/>
            <w:hideMark/>
          </w:tcPr>
          <w:p w:rsidR="00260BA4" w:rsidRPr="00141927" w:rsidRDefault="00260BA4" w:rsidP="00D7100C">
            <w:pPr>
              <w:jc w:val="center"/>
              <w:rPr>
                <w:b/>
                <w:bCs/>
                <w:sz w:val="22"/>
                <w:szCs w:val="22"/>
                <w:lang w:val="es-GT" w:eastAsia="es-GT"/>
              </w:rPr>
            </w:pPr>
            <w:r w:rsidRPr="00141927">
              <w:rPr>
                <w:b/>
                <w:bCs/>
                <w:sz w:val="22"/>
                <w:szCs w:val="22"/>
                <w:lang w:val="es-GT" w:eastAsia="es-GT"/>
              </w:rPr>
              <w:t>Total</w:t>
            </w:r>
          </w:p>
        </w:tc>
        <w:tc>
          <w:tcPr>
            <w:tcW w:w="1117" w:type="dxa"/>
            <w:tcBorders>
              <w:top w:val="single" w:sz="8" w:space="0" w:color="auto"/>
              <w:left w:val="single" w:sz="4" w:space="0" w:color="auto"/>
              <w:bottom w:val="nil"/>
              <w:right w:val="single" w:sz="4" w:space="0" w:color="auto"/>
            </w:tcBorders>
            <w:shd w:val="clear" w:color="000000" w:fill="auto"/>
            <w:vAlign w:val="center"/>
            <w:hideMark/>
          </w:tcPr>
          <w:p w:rsidR="00260BA4" w:rsidRPr="00141927" w:rsidRDefault="00260BA4" w:rsidP="00D7100C">
            <w:pPr>
              <w:jc w:val="right"/>
              <w:rPr>
                <w:b/>
                <w:bCs/>
                <w:sz w:val="22"/>
                <w:szCs w:val="22"/>
                <w:lang w:val="es-GT" w:eastAsia="es-GT"/>
              </w:rPr>
            </w:pPr>
            <w:r w:rsidRPr="00141927">
              <w:rPr>
                <w:b/>
                <w:bCs/>
                <w:sz w:val="22"/>
                <w:szCs w:val="22"/>
                <w:lang w:val="es-GT" w:eastAsia="es-GT"/>
              </w:rPr>
              <w:t>826.9</w:t>
            </w:r>
          </w:p>
        </w:tc>
        <w:tc>
          <w:tcPr>
            <w:tcW w:w="1159" w:type="dxa"/>
            <w:tcBorders>
              <w:top w:val="single" w:sz="8" w:space="0" w:color="auto"/>
              <w:left w:val="nil"/>
              <w:bottom w:val="nil"/>
              <w:right w:val="single" w:sz="4" w:space="0" w:color="auto"/>
            </w:tcBorders>
            <w:shd w:val="clear" w:color="000000" w:fill="auto"/>
            <w:vAlign w:val="center"/>
            <w:hideMark/>
          </w:tcPr>
          <w:p w:rsidR="00260BA4" w:rsidRPr="00141927" w:rsidRDefault="00260BA4" w:rsidP="00D7100C">
            <w:pPr>
              <w:jc w:val="right"/>
              <w:rPr>
                <w:b/>
                <w:bCs/>
                <w:sz w:val="22"/>
                <w:szCs w:val="22"/>
                <w:lang w:val="es-GT" w:eastAsia="es-GT"/>
              </w:rPr>
            </w:pPr>
            <w:r w:rsidRPr="00141927">
              <w:rPr>
                <w:b/>
                <w:bCs/>
                <w:sz w:val="22"/>
                <w:szCs w:val="22"/>
                <w:lang w:val="es-GT" w:eastAsia="es-GT"/>
              </w:rPr>
              <w:t>743.0</w:t>
            </w:r>
          </w:p>
        </w:tc>
        <w:tc>
          <w:tcPr>
            <w:tcW w:w="1103" w:type="dxa"/>
            <w:tcBorders>
              <w:top w:val="single" w:sz="8" w:space="0" w:color="auto"/>
              <w:left w:val="nil"/>
              <w:bottom w:val="nil"/>
              <w:right w:val="single" w:sz="4" w:space="0" w:color="auto"/>
            </w:tcBorders>
            <w:shd w:val="clear" w:color="auto" w:fill="auto"/>
            <w:noWrap/>
            <w:vAlign w:val="center"/>
            <w:hideMark/>
          </w:tcPr>
          <w:p w:rsidR="00260BA4" w:rsidRPr="00141927" w:rsidRDefault="00260BA4" w:rsidP="00D7100C">
            <w:pPr>
              <w:jc w:val="right"/>
              <w:rPr>
                <w:b/>
                <w:bCs/>
                <w:color w:val="000000"/>
                <w:sz w:val="22"/>
                <w:szCs w:val="22"/>
                <w:lang w:val="es-GT" w:eastAsia="es-GT"/>
              </w:rPr>
            </w:pPr>
            <w:r w:rsidRPr="00141927">
              <w:rPr>
                <w:b/>
                <w:bCs/>
                <w:color w:val="000000"/>
                <w:sz w:val="22"/>
                <w:szCs w:val="22"/>
                <w:lang w:val="es-GT" w:eastAsia="es-GT"/>
              </w:rPr>
              <w:t>84.0</w:t>
            </w:r>
          </w:p>
        </w:tc>
        <w:tc>
          <w:tcPr>
            <w:tcW w:w="1188" w:type="dxa"/>
            <w:tcBorders>
              <w:top w:val="single" w:sz="8" w:space="0" w:color="auto"/>
              <w:left w:val="nil"/>
              <w:bottom w:val="nil"/>
              <w:right w:val="single" w:sz="8" w:space="0" w:color="auto"/>
            </w:tcBorders>
            <w:shd w:val="clear" w:color="auto" w:fill="auto"/>
            <w:noWrap/>
            <w:vAlign w:val="center"/>
            <w:hideMark/>
          </w:tcPr>
          <w:p w:rsidR="00260BA4" w:rsidRPr="00141927" w:rsidRDefault="00260BA4" w:rsidP="00D7100C">
            <w:pPr>
              <w:jc w:val="right"/>
              <w:rPr>
                <w:b/>
                <w:bCs/>
                <w:color w:val="000000"/>
                <w:sz w:val="22"/>
                <w:szCs w:val="22"/>
                <w:lang w:val="es-GT" w:eastAsia="es-GT"/>
              </w:rPr>
            </w:pPr>
            <w:r w:rsidRPr="00141927">
              <w:rPr>
                <w:b/>
                <w:bCs/>
                <w:color w:val="000000"/>
                <w:sz w:val="22"/>
                <w:szCs w:val="22"/>
                <w:lang w:val="es-GT" w:eastAsia="es-GT"/>
              </w:rPr>
              <w:t>89.8%</w:t>
            </w:r>
          </w:p>
        </w:tc>
      </w:tr>
      <w:tr w:rsidR="00260BA4" w:rsidRPr="00141927" w:rsidTr="00D7100C">
        <w:trPr>
          <w:trHeight w:val="279"/>
        </w:trPr>
        <w:tc>
          <w:tcPr>
            <w:tcW w:w="5228" w:type="dxa"/>
            <w:tcBorders>
              <w:top w:val="nil"/>
              <w:left w:val="single" w:sz="8" w:space="0" w:color="auto"/>
              <w:bottom w:val="nil"/>
              <w:right w:val="nil"/>
            </w:tcBorders>
            <w:shd w:val="clear" w:color="000000" w:fill="auto"/>
            <w:hideMark/>
          </w:tcPr>
          <w:p w:rsidR="00260BA4" w:rsidRPr="00141927" w:rsidRDefault="00260BA4" w:rsidP="00D7100C">
            <w:pPr>
              <w:rPr>
                <w:sz w:val="22"/>
                <w:szCs w:val="22"/>
                <w:lang w:val="es-GT" w:eastAsia="es-GT"/>
              </w:rPr>
            </w:pPr>
            <w:r w:rsidRPr="00141927">
              <w:rPr>
                <w:sz w:val="22"/>
                <w:szCs w:val="22"/>
                <w:lang w:val="es-GT" w:eastAsia="es-GT"/>
              </w:rPr>
              <w:t>Fondo Nacional para la Conservación de la Naturaleza</w:t>
            </w:r>
          </w:p>
        </w:tc>
        <w:tc>
          <w:tcPr>
            <w:tcW w:w="1117" w:type="dxa"/>
            <w:tcBorders>
              <w:top w:val="nil"/>
              <w:left w:val="single" w:sz="4" w:space="0" w:color="auto"/>
              <w:bottom w:val="nil"/>
              <w:right w:val="single" w:sz="4" w:space="0" w:color="auto"/>
            </w:tcBorders>
            <w:shd w:val="clear" w:color="000000" w:fill="auto"/>
            <w:vAlign w:val="center"/>
            <w:hideMark/>
          </w:tcPr>
          <w:p w:rsidR="00260BA4" w:rsidRPr="00141927" w:rsidRDefault="00260BA4" w:rsidP="00D7100C">
            <w:pPr>
              <w:jc w:val="right"/>
              <w:rPr>
                <w:sz w:val="22"/>
                <w:szCs w:val="22"/>
                <w:lang w:val="es-GT" w:eastAsia="es-GT"/>
              </w:rPr>
            </w:pPr>
            <w:r w:rsidRPr="00141927">
              <w:rPr>
                <w:sz w:val="22"/>
                <w:szCs w:val="22"/>
                <w:lang w:val="es-GT" w:eastAsia="es-GT"/>
              </w:rPr>
              <w:t>2.2</w:t>
            </w:r>
          </w:p>
        </w:tc>
        <w:tc>
          <w:tcPr>
            <w:tcW w:w="1159" w:type="dxa"/>
            <w:tcBorders>
              <w:top w:val="nil"/>
              <w:left w:val="nil"/>
              <w:bottom w:val="nil"/>
              <w:right w:val="single" w:sz="4" w:space="0" w:color="auto"/>
            </w:tcBorders>
            <w:shd w:val="clear" w:color="000000" w:fill="auto"/>
            <w:vAlign w:val="center"/>
            <w:hideMark/>
          </w:tcPr>
          <w:p w:rsidR="00260BA4" w:rsidRPr="00141927" w:rsidRDefault="00260BA4" w:rsidP="00D7100C">
            <w:pPr>
              <w:jc w:val="right"/>
              <w:rPr>
                <w:sz w:val="22"/>
                <w:szCs w:val="22"/>
                <w:lang w:val="es-GT" w:eastAsia="es-GT"/>
              </w:rPr>
            </w:pPr>
            <w:r w:rsidRPr="00141927">
              <w:rPr>
                <w:sz w:val="22"/>
                <w:szCs w:val="22"/>
                <w:lang w:val="es-GT" w:eastAsia="es-GT"/>
              </w:rPr>
              <w:t>2.0</w:t>
            </w:r>
          </w:p>
        </w:tc>
        <w:tc>
          <w:tcPr>
            <w:tcW w:w="1103" w:type="dxa"/>
            <w:tcBorders>
              <w:top w:val="nil"/>
              <w:left w:val="nil"/>
              <w:bottom w:val="nil"/>
              <w:right w:val="single" w:sz="4"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0.2</w:t>
            </w:r>
          </w:p>
        </w:tc>
        <w:tc>
          <w:tcPr>
            <w:tcW w:w="1188" w:type="dxa"/>
            <w:tcBorders>
              <w:top w:val="nil"/>
              <w:left w:val="nil"/>
              <w:bottom w:val="nil"/>
              <w:right w:val="single" w:sz="8"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90.7%</w:t>
            </w:r>
          </w:p>
        </w:tc>
      </w:tr>
      <w:tr w:rsidR="00260BA4" w:rsidRPr="00141927" w:rsidTr="008F6D58">
        <w:trPr>
          <w:trHeight w:val="217"/>
        </w:trPr>
        <w:tc>
          <w:tcPr>
            <w:tcW w:w="5228" w:type="dxa"/>
            <w:tcBorders>
              <w:top w:val="nil"/>
              <w:left w:val="single" w:sz="8" w:space="0" w:color="auto"/>
              <w:bottom w:val="nil"/>
              <w:right w:val="nil"/>
            </w:tcBorders>
            <w:shd w:val="clear" w:color="000000" w:fill="auto"/>
            <w:hideMark/>
          </w:tcPr>
          <w:p w:rsidR="00260BA4" w:rsidRPr="00141927" w:rsidRDefault="00260BA4" w:rsidP="00D7100C">
            <w:pPr>
              <w:rPr>
                <w:sz w:val="22"/>
                <w:szCs w:val="22"/>
                <w:lang w:val="es-GT" w:eastAsia="es-GT"/>
              </w:rPr>
            </w:pPr>
            <w:r w:rsidRPr="00141927">
              <w:rPr>
                <w:sz w:val="22"/>
                <w:szCs w:val="22"/>
                <w:lang w:val="es-GT" w:eastAsia="es-GT"/>
              </w:rPr>
              <w:t>Fondo Vial</w:t>
            </w:r>
          </w:p>
        </w:tc>
        <w:tc>
          <w:tcPr>
            <w:tcW w:w="1117" w:type="dxa"/>
            <w:tcBorders>
              <w:top w:val="nil"/>
              <w:left w:val="single" w:sz="4" w:space="0" w:color="auto"/>
              <w:bottom w:val="nil"/>
              <w:right w:val="single" w:sz="4" w:space="0" w:color="auto"/>
            </w:tcBorders>
            <w:shd w:val="clear" w:color="000000" w:fill="auto"/>
            <w:vAlign w:val="center"/>
            <w:hideMark/>
          </w:tcPr>
          <w:p w:rsidR="00260BA4" w:rsidRPr="00141927" w:rsidRDefault="00260BA4" w:rsidP="00D7100C">
            <w:pPr>
              <w:jc w:val="right"/>
              <w:rPr>
                <w:sz w:val="22"/>
                <w:szCs w:val="22"/>
                <w:lang w:val="es-GT" w:eastAsia="es-GT"/>
              </w:rPr>
            </w:pPr>
            <w:r w:rsidRPr="00141927">
              <w:rPr>
                <w:sz w:val="22"/>
                <w:szCs w:val="22"/>
                <w:lang w:val="es-GT" w:eastAsia="es-GT"/>
              </w:rPr>
              <w:t>1.5</w:t>
            </w:r>
          </w:p>
        </w:tc>
        <w:tc>
          <w:tcPr>
            <w:tcW w:w="1159" w:type="dxa"/>
            <w:tcBorders>
              <w:top w:val="nil"/>
              <w:left w:val="nil"/>
              <w:bottom w:val="nil"/>
              <w:right w:val="single" w:sz="4" w:space="0" w:color="auto"/>
            </w:tcBorders>
            <w:shd w:val="clear" w:color="000000" w:fill="auto"/>
            <w:vAlign w:val="center"/>
            <w:hideMark/>
          </w:tcPr>
          <w:p w:rsidR="00260BA4" w:rsidRPr="00141927" w:rsidRDefault="00260BA4" w:rsidP="00D7100C">
            <w:pPr>
              <w:jc w:val="right"/>
              <w:rPr>
                <w:sz w:val="22"/>
                <w:szCs w:val="22"/>
                <w:lang w:val="es-GT" w:eastAsia="es-GT"/>
              </w:rPr>
            </w:pPr>
            <w:r w:rsidRPr="00141927">
              <w:rPr>
                <w:sz w:val="22"/>
                <w:szCs w:val="22"/>
                <w:lang w:val="es-GT" w:eastAsia="es-GT"/>
              </w:rPr>
              <w:t>1.5</w:t>
            </w:r>
          </w:p>
        </w:tc>
        <w:tc>
          <w:tcPr>
            <w:tcW w:w="1103" w:type="dxa"/>
            <w:tcBorders>
              <w:top w:val="nil"/>
              <w:left w:val="nil"/>
              <w:bottom w:val="nil"/>
              <w:right w:val="single" w:sz="4"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0.0</w:t>
            </w:r>
          </w:p>
        </w:tc>
        <w:tc>
          <w:tcPr>
            <w:tcW w:w="1188" w:type="dxa"/>
            <w:tcBorders>
              <w:top w:val="nil"/>
              <w:left w:val="nil"/>
              <w:bottom w:val="nil"/>
              <w:right w:val="single" w:sz="8"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100.0%</w:t>
            </w:r>
          </w:p>
        </w:tc>
      </w:tr>
      <w:tr w:rsidR="00260BA4" w:rsidRPr="00141927" w:rsidTr="00D7100C">
        <w:trPr>
          <w:trHeight w:val="559"/>
        </w:trPr>
        <w:tc>
          <w:tcPr>
            <w:tcW w:w="5228" w:type="dxa"/>
            <w:tcBorders>
              <w:top w:val="nil"/>
              <w:left w:val="single" w:sz="8" w:space="0" w:color="auto"/>
              <w:bottom w:val="nil"/>
              <w:right w:val="nil"/>
            </w:tcBorders>
            <w:shd w:val="clear" w:color="000000" w:fill="auto"/>
            <w:hideMark/>
          </w:tcPr>
          <w:p w:rsidR="00260BA4" w:rsidRPr="00141927" w:rsidRDefault="00260BA4" w:rsidP="00D7100C">
            <w:pPr>
              <w:rPr>
                <w:sz w:val="22"/>
                <w:szCs w:val="22"/>
                <w:lang w:val="es-GT" w:eastAsia="es-GT"/>
              </w:rPr>
            </w:pPr>
            <w:r w:rsidRPr="00141927">
              <w:rPr>
                <w:sz w:val="22"/>
                <w:szCs w:val="22"/>
                <w:lang w:val="es-GT" w:eastAsia="es-GT"/>
              </w:rPr>
              <w:t>Fondo Nacional para la Reactivación y Modernización de la Actividad Agropecuaria</w:t>
            </w:r>
          </w:p>
        </w:tc>
        <w:tc>
          <w:tcPr>
            <w:tcW w:w="1117" w:type="dxa"/>
            <w:tcBorders>
              <w:top w:val="nil"/>
              <w:left w:val="single" w:sz="4" w:space="0" w:color="auto"/>
              <w:bottom w:val="nil"/>
              <w:right w:val="single" w:sz="4" w:space="0" w:color="auto"/>
            </w:tcBorders>
            <w:shd w:val="clear" w:color="000000" w:fill="auto"/>
            <w:vAlign w:val="center"/>
            <w:hideMark/>
          </w:tcPr>
          <w:p w:rsidR="00260BA4" w:rsidRPr="00141927" w:rsidRDefault="00260BA4" w:rsidP="00D7100C">
            <w:pPr>
              <w:jc w:val="right"/>
              <w:rPr>
                <w:sz w:val="22"/>
                <w:szCs w:val="22"/>
                <w:lang w:val="es-GT" w:eastAsia="es-GT"/>
              </w:rPr>
            </w:pPr>
            <w:r w:rsidRPr="00141927">
              <w:rPr>
                <w:sz w:val="22"/>
                <w:szCs w:val="22"/>
                <w:lang w:val="es-GT" w:eastAsia="es-GT"/>
              </w:rPr>
              <w:t>44.8</w:t>
            </w:r>
          </w:p>
        </w:tc>
        <w:tc>
          <w:tcPr>
            <w:tcW w:w="1159"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42.0</w:t>
            </w:r>
          </w:p>
        </w:tc>
        <w:tc>
          <w:tcPr>
            <w:tcW w:w="1103" w:type="dxa"/>
            <w:tcBorders>
              <w:top w:val="nil"/>
              <w:left w:val="nil"/>
              <w:bottom w:val="nil"/>
              <w:right w:val="single" w:sz="4"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2.7</w:t>
            </w:r>
          </w:p>
        </w:tc>
        <w:tc>
          <w:tcPr>
            <w:tcW w:w="1188" w:type="dxa"/>
            <w:tcBorders>
              <w:top w:val="nil"/>
              <w:left w:val="nil"/>
              <w:bottom w:val="nil"/>
              <w:right w:val="single" w:sz="8"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93.9%</w:t>
            </w:r>
          </w:p>
        </w:tc>
      </w:tr>
      <w:tr w:rsidR="00260BA4" w:rsidRPr="00141927" w:rsidTr="00D7100C">
        <w:trPr>
          <w:trHeight w:val="279"/>
        </w:trPr>
        <w:tc>
          <w:tcPr>
            <w:tcW w:w="5228" w:type="dxa"/>
            <w:tcBorders>
              <w:top w:val="nil"/>
              <w:left w:val="single" w:sz="8" w:space="0" w:color="auto"/>
              <w:bottom w:val="nil"/>
              <w:right w:val="nil"/>
            </w:tcBorders>
            <w:shd w:val="clear" w:color="000000" w:fill="auto"/>
            <w:hideMark/>
          </w:tcPr>
          <w:p w:rsidR="00260BA4" w:rsidRPr="00141927" w:rsidRDefault="00260BA4" w:rsidP="00D7100C">
            <w:pPr>
              <w:rPr>
                <w:sz w:val="22"/>
                <w:szCs w:val="22"/>
                <w:lang w:val="es-GT" w:eastAsia="es-GT"/>
              </w:rPr>
            </w:pPr>
            <w:r w:rsidRPr="00141927">
              <w:rPr>
                <w:sz w:val="22"/>
                <w:szCs w:val="22"/>
                <w:lang w:val="es-GT" w:eastAsia="es-GT"/>
              </w:rPr>
              <w:t>Apoyo Financiero para los Productores del Sector Cafetalero</w:t>
            </w:r>
          </w:p>
        </w:tc>
        <w:tc>
          <w:tcPr>
            <w:tcW w:w="1117" w:type="dxa"/>
            <w:tcBorders>
              <w:top w:val="nil"/>
              <w:left w:val="single" w:sz="4" w:space="0" w:color="auto"/>
              <w:bottom w:val="nil"/>
              <w:right w:val="single" w:sz="4" w:space="0" w:color="auto"/>
            </w:tcBorders>
            <w:shd w:val="clear" w:color="000000" w:fill="auto"/>
            <w:vAlign w:val="center"/>
            <w:hideMark/>
          </w:tcPr>
          <w:p w:rsidR="00260BA4" w:rsidRPr="00141927" w:rsidRDefault="00260BA4" w:rsidP="00D7100C">
            <w:pPr>
              <w:jc w:val="right"/>
              <w:rPr>
                <w:sz w:val="22"/>
                <w:szCs w:val="22"/>
                <w:lang w:val="es-GT" w:eastAsia="es-GT"/>
              </w:rPr>
            </w:pPr>
            <w:r w:rsidRPr="00141927">
              <w:rPr>
                <w:sz w:val="22"/>
                <w:szCs w:val="22"/>
                <w:lang w:val="es-GT" w:eastAsia="es-GT"/>
              </w:rPr>
              <w:t>10.1</w:t>
            </w:r>
          </w:p>
        </w:tc>
        <w:tc>
          <w:tcPr>
            <w:tcW w:w="1159"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10.0</w:t>
            </w:r>
          </w:p>
        </w:tc>
        <w:tc>
          <w:tcPr>
            <w:tcW w:w="1103" w:type="dxa"/>
            <w:tcBorders>
              <w:top w:val="nil"/>
              <w:left w:val="nil"/>
              <w:bottom w:val="nil"/>
              <w:right w:val="single" w:sz="4"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0.1</w:t>
            </w:r>
          </w:p>
        </w:tc>
        <w:tc>
          <w:tcPr>
            <w:tcW w:w="1188" w:type="dxa"/>
            <w:tcBorders>
              <w:top w:val="nil"/>
              <w:left w:val="nil"/>
              <w:bottom w:val="nil"/>
              <w:right w:val="single" w:sz="8"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99.0%</w:t>
            </w:r>
          </w:p>
        </w:tc>
      </w:tr>
      <w:tr w:rsidR="00260BA4" w:rsidRPr="00141927" w:rsidTr="00D7100C">
        <w:trPr>
          <w:trHeight w:val="279"/>
        </w:trPr>
        <w:tc>
          <w:tcPr>
            <w:tcW w:w="5228" w:type="dxa"/>
            <w:tcBorders>
              <w:top w:val="nil"/>
              <w:left w:val="single" w:sz="8" w:space="0" w:color="auto"/>
              <w:bottom w:val="nil"/>
              <w:right w:val="nil"/>
            </w:tcBorders>
            <w:shd w:val="clear" w:color="000000" w:fill="auto"/>
            <w:hideMark/>
          </w:tcPr>
          <w:p w:rsidR="00260BA4" w:rsidRPr="00141927" w:rsidRDefault="00260BA4" w:rsidP="00D7100C">
            <w:pPr>
              <w:rPr>
                <w:sz w:val="22"/>
                <w:szCs w:val="22"/>
                <w:lang w:val="es-GT" w:eastAsia="es-GT"/>
              </w:rPr>
            </w:pPr>
            <w:r w:rsidRPr="00141927">
              <w:rPr>
                <w:sz w:val="22"/>
                <w:szCs w:val="22"/>
                <w:lang w:val="es-GT" w:eastAsia="es-GT"/>
              </w:rPr>
              <w:t>Becas y Crédito Educativo</w:t>
            </w:r>
          </w:p>
        </w:tc>
        <w:tc>
          <w:tcPr>
            <w:tcW w:w="1117" w:type="dxa"/>
            <w:tcBorders>
              <w:top w:val="nil"/>
              <w:left w:val="single" w:sz="4" w:space="0" w:color="auto"/>
              <w:bottom w:val="nil"/>
              <w:right w:val="single" w:sz="4" w:space="0" w:color="auto"/>
            </w:tcBorders>
            <w:shd w:val="clear" w:color="000000" w:fill="auto"/>
            <w:vAlign w:val="center"/>
            <w:hideMark/>
          </w:tcPr>
          <w:p w:rsidR="00260BA4" w:rsidRPr="00141927" w:rsidRDefault="00260BA4" w:rsidP="00D7100C">
            <w:pPr>
              <w:jc w:val="right"/>
              <w:rPr>
                <w:sz w:val="22"/>
                <w:szCs w:val="22"/>
                <w:lang w:val="es-GT" w:eastAsia="es-GT"/>
              </w:rPr>
            </w:pPr>
            <w:r w:rsidRPr="00141927">
              <w:rPr>
                <w:sz w:val="22"/>
                <w:szCs w:val="22"/>
                <w:lang w:val="es-GT" w:eastAsia="es-GT"/>
              </w:rPr>
              <w:t>2.4</w:t>
            </w:r>
          </w:p>
        </w:tc>
        <w:tc>
          <w:tcPr>
            <w:tcW w:w="1159"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2.4</w:t>
            </w:r>
          </w:p>
        </w:tc>
        <w:tc>
          <w:tcPr>
            <w:tcW w:w="1103" w:type="dxa"/>
            <w:tcBorders>
              <w:top w:val="nil"/>
              <w:left w:val="nil"/>
              <w:bottom w:val="nil"/>
              <w:right w:val="single" w:sz="4"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0.0</w:t>
            </w:r>
          </w:p>
        </w:tc>
        <w:tc>
          <w:tcPr>
            <w:tcW w:w="1188" w:type="dxa"/>
            <w:tcBorders>
              <w:top w:val="nil"/>
              <w:left w:val="nil"/>
              <w:bottom w:val="nil"/>
              <w:right w:val="single" w:sz="8"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100.2%</w:t>
            </w:r>
          </w:p>
        </w:tc>
      </w:tr>
      <w:tr w:rsidR="00260BA4" w:rsidRPr="00141927" w:rsidTr="00D7100C">
        <w:trPr>
          <w:trHeight w:val="279"/>
        </w:trPr>
        <w:tc>
          <w:tcPr>
            <w:tcW w:w="5228" w:type="dxa"/>
            <w:tcBorders>
              <w:top w:val="nil"/>
              <w:left w:val="single" w:sz="8" w:space="0" w:color="auto"/>
              <w:bottom w:val="nil"/>
              <w:right w:val="nil"/>
            </w:tcBorders>
            <w:shd w:val="clear" w:color="000000" w:fill="auto"/>
            <w:vAlign w:val="bottom"/>
            <w:hideMark/>
          </w:tcPr>
          <w:p w:rsidR="00260BA4" w:rsidRPr="00141927" w:rsidRDefault="00260BA4" w:rsidP="00D7100C">
            <w:pPr>
              <w:rPr>
                <w:sz w:val="22"/>
                <w:szCs w:val="22"/>
                <w:lang w:val="es-GT" w:eastAsia="es-GT"/>
              </w:rPr>
            </w:pPr>
            <w:r w:rsidRPr="00141927">
              <w:rPr>
                <w:sz w:val="22"/>
                <w:szCs w:val="22"/>
                <w:lang w:val="es-GT" w:eastAsia="es-GT"/>
              </w:rPr>
              <w:t>Fondo de Protección Social</w:t>
            </w:r>
          </w:p>
        </w:tc>
        <w:tc>
          <w:tcPr>
            <w:tcW w:w="1117" w:type="dxa"/>
            <w:tcBorders>
              <w:top w:val="nil"/>
              <w:left w:val="single" w:sz="4" w:space="0" w:color="auto"/>
              <w:bottom w:val="nil"/>
              <w:right w:val="single" w:sz="4" w:space="0" w:color="auto"/>
            </w:tcBorders>
            <w:shd w:val="clear" w:color="000000" w:fill="auto"/>
            <w:vAlign w:val="center"/>
            <w:hideMark/>
          </w:tcPr>
          <w:p w:rsidR="00260BA4" w:rsidRPr="00141927" w:rsidRDefault="00260BA4" w:rsidP="00D7100C">
            <w:pPr>
              <w:jc w:val="right"/>
              <w:rPr>
                <w:sz w:val="22"/>
                <w:szCs w:val="22"/>
                <w:lang w:val="es-GT" w:eastAsia="es-GT"/>
              </w:rPr>
            </w:pPr>
            <w:r w:rsidRPr="00141927">
              <w:rPr>
                <w:sz w:val="22"/>
                <w:szCs w:val="22"/>
                <w:lang w:val="es-GT" w:eastAsia="es-GT"/>
              </w:rPr>
              <w:t>328.9</w:t>
            </w:r>
          </w:p>
        </w:tc>
        <w:tc>
          <w:tcPr>
            <w:tcW w:w="1159"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328.8</w:t>
            </w:r>
          </w:p>
        </w:tc>
        <w:tc>
          <w:tcPr>
            <w:tcW w:w="1103" w:type="dxa"/>
            <w:tcBorders>
              <w:top w:val="nil"/>
              <w:left w:val="nil"/>
              <w:bottom w:val="nil"/>
              <w:right w:val="single" w:sz="4"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0.1</w:t>
            </w:r>
          </w:p>
        </w:tc>
        <w:tc>
          <w:tcPr>
            <w:tcW w:w="1188" w:type="dxa"/>
            <w:tcBorders>
              <w:top w:val="nil"/>
              <w:left w:val="nil"/>
              <w:bottom w:val="nil"/>
              <w:right w:val="single" w:sz="8"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100.0%</w:t>
            </w:r>
          </w:p>
        </w:tc>
      </w:tr>
      <w:tr w:rsidR="00260BA4" w:rsidRPr="00141927" w:rsidTr="00D7100C">
        <w:trPr>
          <w:trHeight w:val="279"/>
        </w:trPr>
        <w:tc>
          <w:tcPr>
            <w:tcW w:w="5228" w:type="dxa"/>
            <w:tcBorders>
              <w:top w:val="nil"/>
              <w:left w:val="single" w:sz="8" w:space="0" w:color="auto"/>
              <w:bottom w:val="nil"/>
              <w:right w:val="nil"/>
            </w:tcBorders>
            <w:shd w:val="clear" w:color="000000" w:fill="auto"/>
            <w:vAlign w:val="bottom"/>
            <w:hideMark/>
          </w:tcPr>
          <w:p w:rsidR="00260BA4" w:rsidRPr="00141927" w:rsidRDefault="00260BA4" w:rsidP="00D7100C">
            <w:pPr>
              <w:rPr>
                <w:sz w:val="22"/>
                <w:szCs w:val="22"/>
                <w:lang w:val="es-GT" w:eastAsia="es-GT"/>
              </w:rPr>
            </w:pPr>
            <w:r w:rsidRPr="00141927">
              <w:rPr>
                <w:sz w:val="22"/>
                <w:szCs w:val="22"/>
                <w:lang w:val="es-GT" w:eastAsia="es-GT"/>
              </w:rPr>
              <w:t>Inversión para la Vivienda</w:t>
            </w:r>
          </w:p>
        </w:tc>
        <w:tc>
          <w:tcPr>
            <w:tcW w:w="1117" w:type="dxa"/>
            <w:tcBorders>
              <w:top w:val="nil"/>
              <w:left w:val="single" w:sz="4" w:space="0" w:color="auto"/>
              <w:bottom w:val="nil"/>
              <w:right w:val="single" w:sz="4" w:space="0" w:color="auto"/>
            </w:tcBorders>
            <w:shd w:val="clear" w:color="000000" w:fill="auto"/>
            <w:vAlign w:val="center"/>
            <w:hideMark/>
          </w:tcPr>
          <w:p w:rsidR="00260BA4" w:rsidRPr="00141927" w:rsidRDefault="00260BA4" w:rsidP="00D7100C">
            <w:pPr>
              <w:jc w:val="right"/>
              <w:rPr>
                <w:sz w:val="22"/>
                <w:szCs w:val="22"/>
                <w:lang w:val="es-GT" w:eastAsia="es-GT"/>
              </w:rPr>
            </w:pPr>
            <w:r w:rsidRPr="00141927">
              <w:rPr>
                <w:sz w:val="22"/>
                <w:szCs w:val="22"/>
                <w:lang w:val="es-GT" w:eastAsia="es-GT"/>
              </w:rPr>
              <w:t>413.4</w:t>
            </w:r>
          </w:p>
        </w:tc>
        <w:tc>
          <w:tcPr>
            <w:tcW w:w="1159"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350.8</w:t>
            </w:r>
          </w:p>
        </w:tc>
        <w:tc>
          <w:tcPr>
            <w:tcW w:w="1103" w:type="dxa"/>
            <w:tcBorders>
              <w:top w:val="nil"/>
              <w:left w:val="nil"/>
              <w:bottom w:val="nil"/>
              <w:right w:val="single" w:sz="4"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62.6</w:t>
            </w:r>
          </w:p>
        </w:tc>
        <w:tc>
          <w:tcPr>
            <w:tcW w:w="1188" w:type="dxa"/>
            <w:tcBorders>
              <w:top w:val="nil"/>
              <w:left w:val="nil"/>
              <w:bottom w:val="nil"/>
              <w:right w:val="single" w:sz="8"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84.9%</w:t>
            </w:r>
          </w:p>
        </w:tc>
      </w:tr>
      <w:tr w:rsidR="00260BA4" w:rsidRPr="00141927" w:rsidTr="00D7100C">
        <w:trPr>
          <w:trHeight w:val="279"/>
        </w:trPr>
        <w:tc>
          <w:tcPr>
            <w:tcW w:w="5228" w:type="dxa"/>
            <w:tcBorders>
              <w:top w:val="nil"/>
              <w:left w:val="single" w:sz="8" w:space="0" w:color="auto"/>
              <w:bottom w:val="nil"/>
              <w:right w:val="nil"/>
            </w:tcBorders>
            <w:shd w:val="clear" w:color="000000" w:fill="auto"/>
            <w:vAlign w:val="bottom"/>
            <w:hideMark/>
          </w:tcPr>
          <w:p w:rsidR="00260BA4" w:rsidRPr="00141927" w:rsidRDefault="002034A9" w:rsidP="00D7100C">
            <w:pPr>
              <w:rPr>
                <w:sz w:val="22"/>
                <w:szCs w:val="22"/>
                <w:lang w:val="es-GT" w:eastAsia="es-GT"/>
              </w:rPr>
            </w:pPr>
            <w:r>
              <w:rPr>
                <w:sz w:val="22"/>
                <w:szCs w:val="22"/>
                <w:lang w:val="es-GT" w:eastAsia="es-GT"/>
              </w:rPr>
              <w:t xml:space="preserve">Fondo de </w:t>
            </w:r>
            <w:r w:rsidR="00260BA4" w:rsidRPr="00141927">
              <w:rPr>
                <w:sz w:val="22"/>
                <w:szCs w:val="22"/>
                <w:lang w:val="es-GT" w:eastAsia="es-GT"/>
              </w:rPr>
              <w:t>Desarrollo Científico y Tecnológico</w:t>
            </w:r>
          </w:p>
        </w:tc>
        <w:tc>
          <w:tcPr>
            <w:tcW w:w="1117" w:type="dxa"/>
            <w:tcBorders>
              <w:top w:val="nil"/>
              <w:left w:val="single" w:sz="4" w:space="0" w:color="auto"/>
              <w:bottom w:val="nil"/>
              <w:right w:val="single" w:sz="4" w:space="0" w:color="auto"/>
            </w:tcBorders>
            <w:shd w:val="clear" w:color="000000" w:fill="auto"/>
            <w:vAlign w:val="center"/>
            <w:hideMark/>
          </w:tcPr>
          <w:p w:rsidR="00260BA4" w:rsidRPr="00141927" w:rsidRDefault="00260BA4" w:rsidP="00D7100C">
            <w:pPr>
              <w:jc w:val="right"/>
              <w:rPr>
                <w:sz w:val="22"/>
                <w:szCs w:val="22"/>
                <w:lang w:val="es-GT" w:eastAsia="es-GT"/>
              </w:rPr>
            </w:pPr>
            <w:r w:rsidRPr="00141927">
              <w:rPr>
                <w:sz w:val="22"/>
                <w:szCs w:val="22"/>
                <w:lang w:val="es-GT" w:eastAsia="es-GT"/>
              </w:rPr>
              <w:t>11.2</w:t>
            </w:r>
          </w:p>
        </w:tc>
        <w:tc>
          <w:tcPr>
            <w:tcW w:w="1159"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1.6</w:t>
            </w:r>
          </w:p>
        </w:tc>
        <w:tc>
          <w:tcPr>
            <w:tcW w:w="1103" w:type="dxa"/>
            <w:tcBorders>
              <w:top w:val="nil"/>
              <w:left w:val="nil"/>
              <w:bottom w:val="nil"/>
              <w:right w:val="single" w:sz="4"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9.6</w:t>
            </w:r>
          </w:p>
        </w:tc>
        <w:tc>
          <w:tcPr>
            <w:tcW w:w="1188" w:type="dxa"/>
            <w:tcBorders>
              <w:top w:val="nil"/>
              <w:left w:val="nil"/>
              <w:bottom w:val="nil"/>
              <w:right w:val="single" w:sz="8"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14.3%</w:t>
            </w:r>
          </w:p>
        </w:tc>
      </w:tr>
      <w:tr w:rsidR="00260BA4" w:rsidRPr="00141927" w:rsidTr="00D7100C">
        <w:trPr>
          <w:trHeight w:val="292"/>
        </w:trPr>
        <w:tc>
          <w:tcPr>
            <w:tcW w:w="5228" w:type="dxa"/>
            <w:tcBorders>
              <w:top w:val="nil"/>
              <w:left w:val="single" w:sz="8" w:space="0" w:color="auto"/>
              <w:bottom w:val="single" w:sz="8" w:space="0" w:color="auto"/>
              <w:right w:val="nil"/>
            </w:tcBorders>
            <w:shd w:val="clear" w:color="000000" w:fill="auto"/>
            <w:vAlign w:val="bottom"/>
            <w:hideMark/>
          </w:tcPr>
          <w:p w:rsidR="00260BA4" w:rsidRPr="00141927" w:rsidRDefault="00260BA4" w:rsidP="00D7100C">
            <w:pPr>
              <w:rPr>
                <w:sz w:val="22"/>
                <w:szCs w:val="22"/>
                <w:lang w:val="es-GT" w:eastAsia="es-GT"/>
              </w:rPr>
            </w:pPr>
            <w:r w:rsidRPr="00141927">
              <w:rPr>
                <w:sz w:val="22"/>
                <w:szCs w:val="22"/>
                <w:lang w:val="es-GT" w:eastAsia="es-GT"/>
              </w:rPr>
              <w:t>Fondo de Desarrollo Indígena Guatemalteco</w:t>
            </w:r>
          </w:p>
        </w:tc>
        <w:tc>
          <w:tcPr>
            <w:tcW w:w="1117" w:type="dxa"/>
            <w:tcBorders>
              <w:top w:val="nil"/>
              <w:left w:val="single" w:sz="4" w:space="0" w:color="auto"/>
              <w:bottom w:val="single" w:sz="8" w:space="0" w:color="auto"/>
              <w:right w:val="single" w:sz="4" w:space="0" w:color="auto"/>
            </w:tcBorders>
            <w:shd w:val="clear" w:color="000000" w:fill="auto"/>
            <w:vAlign w:val="center"/>
            <w:hideMark/>
          </w:tcPr>
          <w:p w:rsidR="00260BA4" w:rsidRPr="00141927" w:rsidRDefault="00260BA4" w:rsidP="00D7100C">
            <w:pPr>
              <w:jc w:val="right"/>
              <w:rPr>
                <w:sz w:val="22"/>
                <w:szCs w:val="22"/>
                <w:lang w:val="es-GT" w:eastAsia="es-GT"/>
              </w:rPr>
            </w:pPr>
            <w:r w:rsidRPr="00141927">
              <w:rPr>
                <w:sz w:val="22"/>
                <w:szCs w:val="22"/>
                <w:lang w:val="es-GT" w:eastAsia="es-GT"/>
              </w:rPr>
              <w:t>12.4</w:t>
            </w:r>
          </w:p>
        </w:tc>
        <w:tc>
          <w:tcPr>
            <w:tcW w:w="1159" w:type="dxa"/>
            <w:tcBorders>
              <w:top w:val="nil"/>
              <w:left w:val="nil"/>
              <w:bottom w:val="single" w:sz="8" w:space="0" w:color="auto"/>
              <w:right w:val="single" w:sz="4" w:space="0" w:color="auto"/>
            </w:tcBorders>
            <w:shd w:val="clear" w:color="000000"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3.8</w:t>
            </w:r>
          </w:p>
        </w:tc>
        <w:tc>
          <w:tcPr>
            <w:tcW w:w="1103" w:type="dxa"/>
            <w:tcBorders>
              <w:top w:val="nil"/>
              <w:left w:val="nil"/>
              <w:bottom w:val="single" w:sz="8" w:space="0" w:color="auto"/>
              <w:right w:val="single" w:sz="4"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8.6</w:t>
            </w:r>
          </w:p>
        </w:tc>
        <w:tc>
          <w:tcPr>
            <w:tcW w:w="1188" w:type="dxa"/>
            <w:tcBorders>
              <w:top w:val="nil"/>
              <w:left w:val="nil"/>
              <w:bottom w:val="single" w:sz="8" w:space="0" w:color="auto"/>
              <w:right w:val="single" w:sz="8" w:space="0" w:color="auto"/>
            </w:tcBorders>
            <w:shd w:val="clear" w:color="auto" w:fill="auto"/>
            <w:noWrap/>
            <w:vAlign w:val="center"/>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30.5%</w:t>
            </w:r>
          </w:p>
        </w:tc>
      </w:tr>
    </w:tbl>
    <w:p w:rsidR="00260BA4" w:rsidRDefault="00260BA4" w:rsidP="00260BA4">
      <w:pPr>
        <w:rPr>
          <w:sz w:val="18"/>
        </w:rPr>
      </w:pPr>
      <w:r>
        <w:rPr>
          <w:sz w:val="18"/>
        </w:rPr>
        <w:t>* Cifras preliminares</w:t>
      </w:r>
    </w:p>
    <w:p w:rsidR="00260BA4" w:rsidRPr="00CE76C6" w:rsidRDefault="00260BA4" w:rsidP="00260BA4">
      <w:pPr>
        <w:rPr>
          <w:sz w:val="18"/>
        </w:rPr>
      </w:pPr>
      <w:r>
        <w:rPr>
          <w:sz w:val="18"/>
        </w:rPr>
        <w:t xml:space="preserve">   </w:t>
      </w:r>
      <w:r w:rsidRPr="00CE76C6">
        <w:rPr>
          <w:sz w:val="18"/>
        </w:rPr>
        <w:t>Fuente: Ministerio de Finanzas Públicas</w:t>
      </w:r>
      <w:r>
        <w:rPr>
          <w:sz w:val="18"/>
        </w:rPr>
        <w:t>.</w:t>
      </w:r>
    </w:p>
    <w:p w:rsidR="00260BA4" w:rsidRPr="002034A9" w:rsidRDefault="00260BA4" w:rsidP="00260BA4">
      <w:pPr>
        <w:rPr>
          <w:sz w:val="36"/>
        </w:rPr>
      </w:pPr>
    </w:p>
    <w:p w:rsidR="00260BA4" w:rsidRPr="008A7C41" w:rsidRDefault="00260BA4" w:rsidP="00260BA4">
      <w:pPr>
        <w:pStyle w:val="Ttulo3"/>
        <w:numPr>
          <w:ilvl w:val="0"/>
          <w:numId w:val="0"/>
        </w:numPr>
        <w:ind w:left="851" w:hanging="437"/>
        <w:rPr>
          <w:rFonts w:ascii="Times New Roman" w:hAnsi="Times New Roman"/>
          <w:color w:val="auto"/>
        </w:rPr>
      </w:pPr>
      <w:bookmarkStart w:id="24" w:name="_Toc98924137"/>
      <w:r w:rsidRPr="008A7C41">
        <w:rPr>
          <w:rFonts w:ascii="Times New Roman" w:hAnsi="Times New Roman"/>
          <w:color w:val="auto"/>
        </w:rPr>
        <w:t>3</w:t>
      </w:r>
      <w:r w:rsidRPr="008A7C41">
        <w:rPr>
          <w:rFonts w:ascii="Times New Roman" w:hAnsi="Times New Roman"/>
          <w:color w:val="auto"/>
        </w:rPr>
        <w:tab/>
        <w:t>Gasto Público Ejecutado a través de ONG</w:t>
      </w:r>
      <w:bookmarkEnd w:id="24"/>
    </w:p>
    <w:p w:rsidR="00260BA4" w:rsidRPr="002034A9" w:rsidRDefault="00260BA4" w:rsidP="00260BA4">
      <w:pPr>
        <w:rPr>
          <w:lang w:val="es-MX" w:eastAsia="x-none"/>
        </w:rPr>
      </w:pPr>
    </w:p>
    <w:p w:rsidR="00260BA4" w:rsidRDefault="00260BA4" w:rsidP="00260BA4">
      <w:pPr>
        <w:jc w:val="both"/>
      </w:pPr>
      <w:r>
        <w:t xml:space="preserve">Al 31 de diciembre de 2021 la ejecución a través de </w:t>
      </w:r>
      <w:r w:rsidRPr="00DD5DD7">
        <w:t xml:space="preserve">Organizaciones </w:t>
      </w:r>
      <w:r>
        <w:t>N</w:t>
      </w:r>
      <w:r w:rsidRPr="00DD5DD7">
        <w:t xml:space="preserve">o Gubernamentales </w:t>
      </w:r>
      <w:r>
        <w:t>fue de</w:t>
      </w:r>
      <w:r w:rsidRPr="00DD5DD7">
        <w:t xml:space="preserve"> Q.</w:t>
      </w:r>
      <w:r>
        <w:t>925.4</w:t>
      </w:r>
      <w:r w:rsidRPr="00DD5DD7">
        <w:t xml:space="preserve"> millones, que representa el 9</w:t>
      </w:r>
      <w:r>
        <w:t>8</w:t>
      </w:r>
      <w:r w:rsidRPr="00DD5DD7">
        <w:t xml:space="preserve">.2% del presupuesto vigente. </w:t>
      </w:r>
      <w:r>
        <w:t>Por entidad la ejecución fue la siguiente:</w:t>
      </w:r>
      <w:r w:rsidRPr="00DD5DD7">
        <w:t xml:space="preserve"> el Ministerio de Salud Pública y Asistencia Social </w:t>
      </w:r>
      <w:r>
        <w:t>ejecutó</w:t>
      </w:r>
      <w:r w:rsidRPr="00DD5DD7">
        <w:t xml:space="preserve"> Q.547.</w:t>
      </w:r>
      <w:r>
        <w:t>4</w:t>
      </w:r>
      <w:r w:rsidRPr="00DD5DD7">
        <w:t xml:space="preserve"> millones, equivalentes al 5</w:t>
      </w:r>
      <w:r>
        <w:t>9.2</w:t>
      </w:r>
      <w:r w:rsidRPr="00DD5DD7">
        <w:t>% del monto total ejecutado; el Ministerio de Educación con un monto de Q.</w:t>
      </w:r>
      <w:r>
        <w:t>143.7</w:t>
      </w:r>
      <w:r w:rsidRPr="00DD5DD7">
        <w:t xml:space="preserve"> millones, equivalentes al 1</w:t>
      </w:r>
      <w:r>
        <w:t>5.5</w:t>
      </w:r>
      <w:r w:rsidRPr="00DD5DD7">
        <w:t>% del total; a través de las Obligaciones del Estado a Cargo del Tesoro se ejecutaron Q.</w:t>
      </w:r>
      <w:r>
        <w:t>161.7</w:t>
      </w:r>
      <w:r w:rsidRPr="00DD5DD7">
        <w:t xml:space="preserve"> millones que equivalen al </w:t>
      </w:r>
      <w:r>
        <w:t>17.5</w:t>
      </w:r>
      <w:r w:rsidRPr="00DD5DD7">
        <w:t>% del total; el Ministerio de Agricultura, Ganadería y Alimentación ejecutó Q.</w:t>
      </w:r>
      <w:r>
        <w:t>28.</w:t>
      </w:r>
      <w:r w:rsidR="00DD2048">
        <w:t>4</w:t>
      </w:r>
      <w:r w:rsidRPr="00DD5DD7">
        <w:t xml:space="preserve"> millones que representan el </w:t>
      </w:r>
      <w:r>
        <w:t>3.1</w:t>
      </w:r>
      <w:r w:rsidRPr="00DD5DD7">
        <w:t>% del total ejecutado;</w:t>
      </w:r>
      <w:r>
        <w:t xml:space="preserve"> el Ministerio de Desarrollo Social ejecutó Q.28</w:t>
      </w:r>
      <w:r w:rsidR="00087505">
        <w:t>.0</w:t>
      </w:r>
      <w:r>
        <w:t xml:space="preserve"> millones, que representa el 3.0% del total y </w:t>
      </w:r>
      <w:r w:rsidRPr="00DD5DD7">
        <w:t>el resto de instituciones ejecutaron en conjunto Q.1</w:t>
      </w:r>
      <w:r>
        <w:t>6.2</w:t>
      </w:r>
      <w:r w:rsidRPr="00DD5DD7">
        <w:t xml:space="preserve"> millones que equivalen al 1.</w:t>
      </w:r>
      <w:r>
        <w:t>7</w:t>
      </w:r>
      <w:r w:rsidRPr="00DD5DD7">
        <w:t>% del total ejecutado</w:t>
      </w:r>
      <w:r>
        <w:t>.</w:t>
      </w:r>
    </w:p>
    <w:p w:rsidR="00DD01C8" w:rsidRDefault="00DD01C8" w:rsidP="00260BA4">
      <w:pPr>
        <w:jc w:val="both"/>
        <w:rPr>
          <w:lang w:val="es-MX" w:eastAsia="x-none"/>
        </w:rPr>
      </w:pPr>
    </w:p>
    <w:p w:rsidR="00A9147F" w:rsidRDefault="00A9147F" w:rsidP="00260BA4">
      <w:pPr>
        <w:jc w:val="both"/>
        <w:rPr>
          <w:lang w:val="es-MX" w:eastAsia="x-none"/>
        </w:rPr>
      </w:pPr>
    </w:p>
    <w:p w:rsidR="00DD01C8" w:rsidRDefault="00DD01C8" w:rsidP="00260BA4">
      <w:pPr>
        <w:jc w:val="both"/>
        <w:rPr>
          <w:lang w:val="es-MX" w:eastAsia="x-none"/>
        </w:rPr>
      </w:pPr>
    </w:p>
    <w:p w:rsidR="00260BA4" w:rsidRPr="00124AD6" w:rsidRDefault="00260BA4" w:rsidP="00260BA4">
      <w:pPr>
        <w:jc w:val="center"/>
        <w:rPr>
          <w:b/>
        </w:rPr>
      </w:pPr>
      <w:r w:rsidRPr="00124AD6">
        <w:rPr>
          <w:b/>
        </w:rPr>
        <w:t xml:space="preserve">Cuadro </w:t>
      </w:r>
      <w:r>
        <w:rPr>
          <w:b/>
        </w:rPr>
        <w:t>7</w:t>
      </w:r>
    </w:p>
    <w:p w:rsidR="00260BA4" w:rsidRPr="00124AD6" w:rsidRDefault="00260BA4" w:rsidP="00260BA4">
      <w:pPr>
        <w:jc w:val="center"/>
        <w:rPr>
          <w:b/>
        </w:rPr>
      </w:pPr>
      <w:r w:rsidRPr="00124AD6">
        <w:rPr>
          <w:b/>
        </w:rPr>
        <w:t>Gasto Público Ejecutado a través de Aportes y Convenios</w:t>
      </w:r>
      <w:r>
        <w:rPr>
          <w:b/>
        </w:rPr>
        <w:t xml:space="preserve"> con ONG</w:t>
      </w:r>
    </w:p>
    <w:p w:rsidR="00260BA4" w:rsidRPr="00124AD6" w:rsidRDefault="00260BA4" w:rsidP="00260BA4">
      <w:pPr>
        <w:jc w:val="center"/>
        <w:rPr>
          <w:b/>
        </w:rPr>
      </w:pPr>
      <w:r w:rsidRPr="00124AD6">
        <w:rPr>
          <w:b/>
        </w:rPr>
        <w:t>Al 31 de diciembre de 20</w:t>
      </w:r>
      <w:r>
        <w:rPr>
          <w:b/>
        </w:rPr>
        <w:t>21</w:t>
      </w:r>
      <w:r w:rsidRPr="00124AD6">
        <w:rPr>
          <w:b/>
        </w:rPr>
        <w:t>*</w:t>
      </w:r>
    </w:p>
    <w:p w:rsidR="00260BA4" w:rsidRDefault="00260BA4" w:rsidP="00260BA4">
      <w:pPr>
        <w:jc w:val="center"/>
        <w:rPr>
          <w:b/>
          <w:bCs/>
          <w:lang w:val="es-GT" w:eastAsia="es-GT"/>
        </w:rPr>
      </w:pPr>
      <w:r>
        <w:rPr>
          <w:b/>
          <w:bCs/>
          <w:lang w:val="es-GT" w:eastAsia="es-GT"/>
        </w:rPr>
        <w:t xml:space="preserve"> (Millones de Quetzales y Porcentajes)</w:t>
      </w:r>
    </w:p>
    <w:tbl>
      <w:tblPr>
        <w:tblW w:w="9629" w:type="dxa"/>
        <w:tblCellMar>
          <w:left w:w="70" w:type="dxa"/>
          <w:right w:w="70" w:type="dxa"/>
        </w:tblCellMar>
        <w:tblLook w:val="04A0" w:firstRow="1" w:lastRow="0" w:firstColumn="1" w:lastColumn="0" w:noHBand="0" w:noVBand="1"/>
      </w:tblPr>
      <w:tblGrid>
        <w:gridCol w:w="4385"/>
        <w:gridCol w:w="1355"/>
        <w:gridCol w:w="1338"/>
        <w:gridCol w:w="1240"/>
        <w:gridCol w:w="1311"/>
      </w:tblGrid>
      <w:tr w:rsidR="00260BA4" w:rsidRPr="00141927" w:rsidTr="006E0F32">
        <w:trPr>
          <w:trHeight w:val="305"/>
        </w:trPr>
        <w:tc>
          <w:tcPr>
            <w:tcW w:w="4385" w:type="dxa"/>
            <w:vMerge w:val="restart"/>
            <w:tcBorders>
              <w:top w:val="single" w:sz="8" w:space="0" w:color="auto"/>
              <w:left w:val="single" w:sz="8" w:space="0" w:color="auto"/>
              <w:bottom w:val="single" w:sz="8" w:space="0" w:color="000000"/>
              <w:right w:val="nil"/>
            </w:tcBorders>
            <w:shd w:val="clear" w:color="auto" w:fill="8DB4E2"/>
            <w:vAlign w:val="center"/>
            <w:hideMark/>
          </w:tcPr>
          <w:p w:rsidR="00260BA4" w:rsidRPr="00141927" w:rsidRDefault="00260BA4" w:rsidP="00D7100C">
            <w:pPr>
              <w:jc w:val="center"/>
              <w:rPr>
                <w:b/>
                <w:bCs/>
                <w:sz w:val="22"/>
                <w:szCs w:val="22"/>
                <w:lang w:val="es-GT" w:eastAsia="es-GT"/>
              </w:rPr>
            </w:pPr>
            <w:bookmarkStart w:id="25" w:name="RANGE!B13:E25"/>
            <w:r w:rsidRPr="00141927">
              <w:rPr>
                <w:b/>
                <w:bCs/>
                <w:sz w:val="22"/>
                <w:szCs w:val="22"/>
                <w:lang w:val="es-GT" w:eastAsia="es-GT"/>
              </w:rPr>
              <w:t>Entidad</w:t>
            </w:r>
            <w:bookmarkEnd w:id="25"/>
          </w:p>
        </w:tc>
        <w:tc>
          <w:tcPr>
            <w:tcW w:w="1355" w:type="dxa"/>
            <w:vMerge w:val="restart"/>
            <w:tcBorders>
              <w:top w:val="single" w:sz="8" w:space="0" w:color="auto"/>
              <w:left w:val="single" w:sz="4" w:space="0" w:color="auto"/>
              <w:bottom w:val="single" w:sz="8" w:space="0" w:color="000000"/>
              <w:right w:val="single" w:sz="4" w:space="0" w:color="auto"/>
            </w:tcBorders>
            <w:shd w:val="clear" w:color="auto" w:fill="8DB4E2"/>
            <w:vAlign w:val="center"/>
            <w:hideMark/>
          </w:tcPr>
          <w:p w:rsidR="00260BA4" w:rsidRPr="00141927" w:rsidRDefault="00260BA4" w:rsidP="00D7100C">
            <w:pPr>
              <w:jc w:val="center"/>
              <w:rPr>
                <w:b/>
                <w:bCs/>
                <w:sz w:val="22"/>
                <w:szCs w:val="22"/>
                <w:lang w:val="es-GT" w:eastAsia="es-GT"/>
              </w:rPr>
            </w:pPr>
            <w:r w:rsidRPr="00141927">
              <w:rPr>
                <w:b/>
                <w:bCs/>
                <w:sz w:val="22"/>
                <w:szCs w:val="22"/>
                <w:lang w:val="es-GT" w:eastAsia="es-GT"/>
              </w:rPr>
              <w:t>Vigente</w:t>
            </w:r>
          </w:p>
        </w:tc>
        <w:tc>
          <w:tcPr>
            <w:tcW w:w="1338" w:type="dxa"/>
            <w:vMerge w:val="restart"/>
            <w:tcBorders>
              <w:top w:val="single" w:sz="8" w:space="0" w:color="auto"/>
              <w:left w:val="single" w:sz="4" w:space="0" w:color="auto"/>
              <w:bottom w:val="single" w:sz="8" w:space="0" w:color="000000"/>
              <w:right w:val="single" w:sz="4" w:space="0" w:color="auto"/>
            </w:tcBorders>
            <w:shd w:val="clear" w:color="auto" w:fill="8DB4E2"/>
            <w:vAlign w:val="center"/>
            <w:hideMark/>
          </w:tcPr>
          <w:p w:rsidR="00260BA4" w:rsidRPr="00141927" w:rsidRDefault="00260BA4" w:rsidP="00D7100C">
            <w:pPr>
              <w:jc w:val="center"/>
              <w:rPr>
                <w:b/>
                <w:bCs/>
                <w:sz w:val="22"/>
                <w:szCs w:val="22"/>
                <w:lang w:val="es-GT" w:eastAsia="es-GT"/>
              </w:rPr>
            </w:pPr>
            <w:r w:rsidRPr="00141927">
              <w:rPr>
                <w:b/>
                <w:bCs/>
                <w:sz w:val="22"/>
                <w:szCs w:val="22"/>
                <w:lang w:val="es-GT" w:eastAsia="es-GT"/>
              </w:rPr>
              <w:t>Ejecu</w:t>
            </w:r>
            <w:r w:rsidR="006E0F32">
              <w:rPr>
                <w:b/>
                <w:bCs/>
                <w:sz w:val="22"/>
                <w:szCs w:val="22"/>
                <w:lang w:val="es-GT" w:eastAsia="es-GT"/>
              </w:rPr>
              <w:t>tado</w:t>
            </w:r>
          </w:p>
        </w:tc>
        <w:tc>
          <w:tcPr>
            <w:tcW w:w="1240" w:type="dxa"/>
            <w:vMerge w:val="restart"/>
            <w:tcBorders>
              <w:top w:val="single" w:sz="8" w:space="0" w:color="auto"/>
              <w:left w:val="single" w:sz="4" w:space="0" w:color="auto"/>
              <w:bottom w:val="single" w:sz="8" w:space="0" w:color="000000"/>
              <w:right w:val="single" w:sz="4" w:space="0" w:color="auto"/>
            </w:tcBorders>
            <w:shd w:val="clear" w:color="auto" w:fill="8DB4E2"/>
            <w:vAlign w:val="center"/>
            <w:hideMark/>
          </w:tcPr>
          <w:p w:rsidR="00260BA4" w:rsidRPr="00141927" w:rsidRDefault="00260BA4" w:rsidP="00D7100C">
            <w:pPr>
              <w:jc w:val="center"/>
              <w:rPr>
                <w:b/>
                <w:bCs/>
                <w:sz w:val="22"/>
                <w:szCs w:val="22"/>
                <w:lang w:val="es-GT" w:eastAsia="es-GT"/>
              </w:rPr>
            </w:pPr>
            <w:r w:rsidRPr="00141927">
              <w:rPr>
                <w:b/>
                <w:bCs/>
                <w:sz w:val="22"/>
                <w:szCs w:val="22"/>
                <w:lang w:val="es-GT" w:eastAsia="es-GT"/>
              </w:rPr>
              <w:t>Por Ejecutar</w:t>
            </w:r>
          </w:p>
        </w:tc>
        <w:tc>
          <w:tcPr>
            <w:tcW w:w="1311" w:type="dxa"/>
            <w:vMerge w:val="restart"/>
            <w:tcBorders>
              <w:top w:val="single" w:sz="8" w:space="0" w:color="auto"/>
              <w:left w:val="nil"/>
              <w:bottom w:val="single" w:sz="8" w:space="0" w:color="000000"/>
              <w:right w:val="single" w:sz="8" w:space="0" w:color="auto"/>
            </w:tcBorders>
            <w:shd w:val="clear" w:color="auto" w:fill="8DB4E2"/>
            <w:vAlign w:val="center"/>
            <w:hideMark/>
          </w:tcPr>
          <w:p w:rsidR="00260BA4" w:rsidRPr="00141927" w:rsidRDefault="00260BA4" w:rsidP="00D7100C">
            <w:pPr>
              <w:jc w:val="center"/>
              <w:rPr>
                <w:b/>
                <w:bCs/>
                <w:sz w:val="22"/>
                <w:szCs w:val="22"/>
                <w:lang w:val="es-GT" w:eastAsia="es-GT"/>
              </w:rPr>
            </w:pPr>
            <w:r w:rsidRPr="00141927">
              <w:rPr>
                <w:b/>
                <w:bCs/>
                <w:sz w:val="22"/>
                <w:szCs w:val="22"/>
                <w:lang w:val="es-GT" w:eastAsia="es-GT"/>
              </w:rPr>
              <w:t xml:space="preserve">% </w:t>
            </w:r>
            <w:r w:rsidR="006E0F32">
              <w:rPr>
                <w:b/>
                <w:bCs/>
                <w:sz w:val="22"/>
                <w:szCs w:val="22"/>
                <w:lang w:val="es-GT" w:eastAsia="es-GT"/>
              </w:rPr>
              <w:t xml:space="preserve">de </w:t>
            </w:r>
            <w:r w:rsidRPr="00141927">
              <w:rPr>
                <w:b/>
                <w:bCs/>
                <w:sz w:val="22"/>
                <w:szCs w:val="22"/>
                <w:lang w:val="es-GT" w:eastAsia="es-GT"/>
              </w:rPr>
              <w:t>Ejecución</w:t>
            </w:r>
          </w:p>
        </w:tc>
      </w:tr>
      <w:tr w:rsidR="00260BA4" w:rsidRPr="00141927" w:rsidTr="005361F1">
        <w:trPr>
          <w:trHeight w:val="628"/>
        </w:trPr>
        <w:tc>
          <w:tcPr>
            <w:tcW w:w="4385" w:type="dxa"/>
            <w:vMerge/>
            <w:tcBorders>
              <w:top w:val="single" w:sz="8" w:space="0" w:color="auto"/>
              <w:left w:val="single" w:sz="8" w:space="0" w:color="auto"/>
              <w:bottom w:val="single" w:sz="8" w:space="0" w:color="000000"/>
              <w:right w:val="nil"/>
            </w:tcBorders>
            <w:shd w:val="clear" w:color="auto" w:fill="8DB4E2"/>
            <w:vAlign w:val="center"/>
            <w:hideMark/>
          </w:tcPr>
          <w:p w:rsidR="00260BA4" w:rsidRPr="00141927" w:rsidRDefault="00260BA4" w:rsidP="00D7100C">
            <w:pPr>
              <w:rPr>
                <w:b/>
                <w:bCs/>
                <w:sz w:val="22"/>
                <w:szCs w:val="22"/>
                <w:lang w:val="es-GT" w:eastAsia="es-GT"/>
              </w:rPr>
            </w:pPr>
          </w:p>
        </w:tc>
        <w:tc>
          <w:tcPr>
            <w:tcW w:w="1355" w:type="dxa"/>
            <w:vMerge/>
            <w:tcBorders>
              <w:top w:val="single" w:sz="8" w:space="0" w:color="auto"/>
              <w:left w:val="single" w:sz="4" w:space="0" w:color="auto"/>
              <w:bottom w:val="single" w:sz="8" w:space="0" w:color="000000"/>
              <w:right w:val="single" w:sz="4" w:space="0" w:color="auto"/>
            </w:tcBorders>
            <w:shd w:val="clear" w:color="auto" w:fill="8DB4E2"/>
            <w:vAlign w:val="center"/>
            <w:hideMark/>
          </w:tcPr>
          <w:p w:rsidR="00260BA4" w:rsidRPr="00141927" w:rsidRDefault="00260BA4" w:rsidP="00D7100C">
            <w:pPr>
              <w:rPr>
                <w:b/>
                <w:bCs/>
                <w:sz w:val="22"/>
                <w:szCs w:val="22"/>
                <w:lang w:val="es-GT" w:eastAsia="es-GT"/>
              </w:rPr>
            </w:pPr>
          </w:p>
        </w:tc>
        <w:tc>
          <w:tcPr>
            <w:tcW w:w="1338" w:type="dxa"/>
            <w:vMerge/>
            <w:tcBorders>
              <w:top w:val="single" w:sz="8" w:space="0" w:color="auto"/>
              <w:left w:val="single" w:sz="4" w:space="0" w:color="auto"/>
              <w:bottom w:val="single" w:sz="8" w:space="0" w:color="000000"/>
              <w:right w:val="single" w:sz="4" w:space="0" w:color="auto"/>
            </w:tcBorders>
            <w:shd w:val="clear" w:color="auto" w:fill="8DB4E2"/>
            <w:vAlign w:val="center"/>
            <w:hideMark/>
          </w:tcPr>
          <w:p w:rsidR="00260BA4" w:rsidRPr="00141927" w:rsidRDefault="00260BA4" w:rsidP="00D7100C">
            <w:pPr>
              <w:rPr>
                <w:b/>
                <w:bCs/>
                <w:sz w:val="22"/>
                <w:szCs w:val="22"/>
                <w:lang w:val="es-GT" w:eastAsia="es-GT"/>
              </w:rPr>
            </w:pPr>
          </w:p>
        </w:tc>
        <w:tc>
          <w:tcPr>
            <w:tcW w:w="1240" w:type="dxa"/>
            <w:vMerge/>
            <w:tcBorders>
              <w:top w:val="single" w:sz="8" w:space="0" w:color="auto"/>
              <w:left w:val="single" w:sz="4" w:space="0" w:color="auto"/>
              <w:bottom w:val="single" w:sz="8" w:space="0" w:color="000000"/>
              <w:right w:val="single" w:sz="4" w:space="0" w:color="auto"/>
            </w:tcBorders>
            <w:shd w:val="clear" w:color="auto" w:fill="8DB4E2"/>
            <w:vAlign w:val="center"/>
            <w:hideMark/>
          </w:tcPr>
          <w:p w:rsidR="00260BA4" w:rsidRPr="00141927" w:rsidRDefault="00260BA4" w:rsidP="00D7100C">
            <w:pPr>
              <w:rPr>
                <w:b/>
                <w:bCs/>
                <w:sz w:val="22"/>
                <w:szCs w:val="22"/>
                <w:lang w:val="es-GT" w:eastAsia="es-GT"/>
              </w:rPr>
            </w:pPr>
          </w:p>
        </w:tc>
        <w:tc>
          <w:tcPr>
            <w:tcW w:w="1311" w:type="dxa"/>
            <w:vMerge/>
            <w:tcBorders>
              <w:top w:val="single" w:sz="8" w:space="0" w:color="auto"/>
              <w:left w:val="nil"/>
              <w:bottom w:val="single" w:sz="8" w:space="0" w:color="000000"/>
              <w:right w:val="single" w:sz="8" w:space="0" w:color="auto"/>
            </w:tcBorders>
            <w:shd w:val="clear" w:color="auto" w:fill="8DB4E2"/>
            <w:vAlign w:val="center"/>
            <w:hideMark/>
          </w:tcPr>
          <w:p w:rsidR="00260BA4" w:rsidRPr="00141927" w:rsidRDefault="00260BA4" w:rsidP="00D7100C">
            <w:pPr>
              <w:rPr>
                <w:b/>
                <w:bCs/>
                <w:sz w:val="22"/>
                <w:szCs w:val="22"/>
                <w:lang w:val="es-GT" w:eastAsia="es-GT"/>
              </w:rPr>
            </w:pPr>
          </w:p>
        </w:tc>
      </w:tr>
      <w:tr w:rsidR="00260BA4" w:rsidRPr="00141927" w:rsidTr="006E0F32">
        <w:trPr>
          <w:trHeight w:val="305"/>
        </w:trPr>
        <w:tc>
          <w:tcPr>
            <w:tcW w:w="4385" w:type="dxa"/>
            <w:tcBorders>
              <w:top w:val="nil"/>
              <w:left w:val="single" w:sz="8" w:space="0" w:color="auto"/>
              <w:bottom w:val="nil"/>
              <w:right w:val="nil"/>
            </w:tcBorders>
            <w:shd w:val="clear" w:color="auto" w:fill="auto"/>
            <w:vAlign w:val="bottom"/>
            <w:hideMark/>
          </w:tcPr>
          <w:p w:rsidR="00260BA4" w:rsidRPr="00141927" w:rsidRDefault="00260BA4" w:rsidP="00D7100C">
            <w:pPr>
              <w:jc w:val="center"/>
              <w:rPr>
                <w:b/>
                <w:bCs/>
                <w:sz w:val="22"/>
                <w:szCs w:val="22"/>
                <w:lang w:val="es-GT" w:eastAsia="es-GT"/>
              </w:rPr>
            </w:pPr>
            <w:r w:rsidRPr="00141927">
              <w:rPr>
                <w:b/>
                <w:bCs/>
                <w:sz w:val="22"/>
                <w:szCs w:val="22"/>
                <w:lang w:val="es-GT" w:eastAsia="es-GT"/>
              </w:rPr>
              <w:t>Total</w:t>
            </w:r>
          </w:p>
        </w:tc>
        <w:tc>
          <w:tcPr>
            <w:tcW w:w="1355" w:type="dxa"/>
            <w:tcBorders>
              <w:top w:val="nil"/>
              <w:left w:val="single" w:sz="4" w:space="0" w:color="auto"/>
              <w:bottom w:val="nil"/>
              <w:right w:val="single" w:sz="4" w:space="0" w:color="auto"/>
            </w:tcBorders>
            <w:shd w:val="clear" w:color="auto" w:fill="auto"/>
            <w:vAlign w:val="center"/>
            <w:hideMark/>
          </w:tcPr>
          <w:p w:rsidR="00260BA4" w:rsidRPr="00141927" w:rsidRDefault="00260BA4" w:rsidP="00D7100C">
            <w:pPr>
              <w:jc w:val="center"/>
              <w:rPr>
                <w:b/>
                <w:bCs/>
                <w:sz w:val="22"/>
                <w:szCs w:val="22"/>
                <w:lang w:val="es-GT" w:eastAsia="es-GT"/>
              </w:rPr>
            </w:pPr>
            <w:r w:rsidRPr="00141927">
              <w:rPr>
                <w:b/>
                <w:bCs/>
                <w:sz w:val="22"/>
                <w:szCs w:val="22"/>
                <w:lang w:val="es-GT" w:eastAsia="es-GT"/>
              </w:rPr>
              <w:t>942.0</w:t>
            </w:r>
          </w:p>
        </w:tc>
        <w:tc>
          <w:tcPr>
            <w:tcW w:w="1338" w:type="dxa"/>
            <w:tcBorders>
              <w:top w:val="nil"/>
              <w:left w:val="nil"/>
              <w:bottom w:val="nil"/>
              <w:right w:val="single" w:sz="4" w:space="0" w:color="auto"/>
            </w:tcBorders>
            <w:shd w:val="clear" w:color="auto" w:fill="auto"/>
            <w:vAlign w:val="center"/>
            <w:hideMark/>
          </w:tcPr>
          <w:p w:rsidR="00260BA4" w:rsidRPr="00141927" w:rsidRDefault="00260BA4" w:rsidP="00D7100C">
            <w:pPr>
              <w:jc w:val="center"/>
              <w:rPr>
                <w:b/>
                <w:bCs/>
                <w:sz w:val="22"/>
                <w:szCs w:val="22"/>
                <w:lang w:val="es-GT" w:eastAsia="es-GT"/>
              </w:rPr>
            </w:pPr>
            <w:r w:rsidRPr="00141927">
              <w:rPr>
                <w:b/>
                <w:bCs/>
                <w:sz w:val="22"/>
                <w:szCs w:val="22"/>
                <w:lang w:val="es-GT" w:eastAsia="es-GT"/>
              </w:rPr>
              <w:t>925.4</w:t>
            </w:r>
          </w:p>
        </w:tc>
        <w:tc>
          <w:tcPr>
            <w:tcW w:w="1240" w:type="dxa"/>
            <w:tcBorders>
              <w:top w:val="nil"/>
              <w:left w:val="nil"/>
              <w:bottom w:val="nil"/>
              <w:right w:val="single" w:sz="4" w:space="0" w:color="auto"/>
            </w:tcBorders>
            <w:shd w:val="clear" w:color="auto" w:fill="auto"/>
            <w:vAlign w:val="center"/>
            <w:hideMark/>
          </w:tcPr>
          <w:p w:rsidR="00260BA4" w:rsidRPr="00141927" w:rsidRDefault="00260BA4" w:rsidP="00D7100C">
            <w:pPr>
              <w:jc w:val="center"/>
              <w:rPr>
                <w:b/>
                <w:bCs/>
                <w:sz w:val="22"/>
                <w:szCs w:val="22"/>
                <w:lang w:val="es-GT" w:eastAsia="es-GT"/>
              </w:rPr>
            </w:pPr>
            <w:r w:rsidRPr="00141927">
              <w:rPr>
                <w:b/>
                <w:bCs/>
                <w:sz w:val="22"/>
                <w:szCs w:val="22"/>
                <w:lang w:val="es-GT" w:eastAsia="es-GT"/>
              </w:rPr>
              <w:t>16.6</w:t>
            </w:r>
          </w:p>
        </w:tc>
        <w:tc>
          <w:tcPr>
            <w:tcW w:w="1311" w:type="dxa"/>
            <w:tcBorders>
              <w:top w:val="nil"/>
              <w:left w:val="nil"/>
              <w:bottom w:val="nil"/>
              <w:right w:val="single" w:sz="8" w:space="0" w:color="auto"/>
            </w:tcBorders>
            <w:shd w:val="clear" w:color="auto" w:fill="auto"/>
            <w:noWrap/>
            <w:vAlign w:val="center"/>
            <w:hideMark/>
          </w:tcPr>
          <w:p w:rsidR="00260BA4" w:rsidRPr="00141927" w:rsidRDefault="00260BA4" w:rsidP="00D7100C">
            <w:pPr>
              <w:jc w:val="center"/>
              <w:rPr>
                <w:b/>
                <w:bCs/>
                <w:sz w:val="22"/>
                <w:szCs w:val="22"/>
                <w:lang w:val="es-GT" w:eastAsia="es-GT"/>
              </w:rPr>
            </w:pPr>
            <w:r w:rsidRPr="00141927">
              <w:rPr>
                <w:b/>
                <w:bCs/>
                <w:sz w:val="22"/>
                <w:szCs w:val="22"/>
                <w:lang w:val="es-GT" w:eastAsia="es-GT"/>
              </w:rPr>
              <w:t>98.2%</w:t>
            </w:r>
          </w:p>
        </w:tc>
      </w:tr>
      <w:tr w:rsidR="00260BA4" w:rsidRPr="00141927" w:rsidTr="006E0F32">
        <w:trPr>
          <w:trHeight w:val="305"/>
        </w:trPr>
        <w:tc>
          <w:tcPr>
            <w:tcW w:w="4385" w:type="dxa"/>
            <w:tcBorders>
              <w:top w:val="nil"/>
              <w:left w:val="single" w:sz="8" w:space="0" w:color="auto"/>
              <w:bottom w:val="nil"/>
              <w:right w:val="nil"/>
            </w:tcBorders>
            <w:shd w:val="clear" w:color="000000" w:fill="auto"/>
            <w:noWrap/>
            <w:vAlign w:val="bottom"/>
            <w:hideMark/>
          </w:tcPr>
          <w:p w:rsidR="00260BA4" w:rsidRPr="00141927" w:rsidRDefault="00260BA4" w:rsidP="00D7100C">
            <w:pPr>
              <w:rPr>
                <w:color w:val="000000"/>
                <w:sz w:val="22"/>
                <w:szCs w:val="22"/>
                <w:lang w:val="es-GT" w:eastAsia="es-GT"/>
              </w:rPr>
            </w:pPr>
            <w:r w:rsidRPr="00141927">
              <w:rPr>
                <w:color w:val="000000"/>
                <w:sz w:val="22"/>
                <w:szCs w:val="22"/>
                <w:lang w:val="es-GT" w:eastAsia="es-GT"/>
              </w:rPr>
              <w:t>Ministerio de Gobernación</w:t>
            </w:r>
          </w:p>
        </w:tc>
        <w:tc>
          <w:tcPr>
            <w:tcW w:w="1355" w:type="dxa"/>
            <w:tcBorders>
              <w:top w:val="nil"/>
              <w:left w:val="single" w:sz="4" w:space="0" w:color="auto"/>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9.5</w:t>
            </w:r>
          </w:p>
        </w:tc>
        <w:tc>
          <w:tcPr>
            <w:tcW w:w="1338"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9.5</w:t>
            </w:r>
          </w:p>
        </w:tc>
        <w:tc>
          <w:tcPr>
            <w:tcW w:w="1240"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0.0</w:t>
            </w:r>
          </w:p>
        </w:tc>
        <w:tc>
          <w:tcPr>
            <w:tcW w:w="1311"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100.0%</w:t>
            </w:r>
          </w:p>
        </w:tc>
      </w:tr>
      <w:tr w:rsidR="00260BA4" w:rsidRPr="00141927" w:rsidTr="006E0F32">
        <w:trPr>
          <w:trHeight w:val="305"/>
        </w:trPr>
        <w:tc>
          <w:tcPr>
            <w:tcW w:w="4385" w:type="dxa"/>
            <w:tcBorders>
              <w:top w:val="nil"/>
              <w:left w:val="single" w:sz="8" w:space="0" w:color="auto"/>
              <w:bottom w:val="nil"/>
              <w:right w:val="nil"/>
            </w:tcBorders>
            <w:shd w:val="clear" w:color="000000" w:fill="auto"/>
            <w:noWrap/>
            <w:vAlign w:val="bottom"/>
            <w:hideMark/>
          </w:tcPr>
          <w:p w:rsidR="00260BA4" w:rsidRPr="00141927" w:rsidRDefault="00260BA4" w:rsidP="00D7100C">
            <w:pPr>
              <w:rPr>
                <w:color w:val="000000"/>
                <w:sz w:val="22"/>
                <w:szCs w:val="22"/>
                <w:lang w:val="es-GT" w:eastAsia="es-GT"/>
              </w:rPr>
            </w:pPr>
            <w:r w:rsidRPr="00141927">
              <w:rPr>
                <w:color w:val="000000"/>
                <w:sz w:val="22"/>
                <w:szCs w:val="22"/>
                <w:lang w:val="es-GT" w:eastAsia="es-GT"/>
              </w:rPr>
              <w:t>Ministerio de Finanzas Públicas</w:t>
            </w:r>
          </w:p>
        </w:tc>
        <w:tc>
          <w:tcPr>
            <w:tcW w:w="1355" w:type="dxa"/>
            <w:tcBorders>
              <w:top w:val="nil"/>
              <w:left w:val="single" w:sz="4" w:space="0" w:color="auto"/>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0.0</w:t>
            </w:r>
          </w:p>
        </w:tc>
        <w:tc>
          <w:tcPr>
            <w:tcW w:w="1338"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0.0</w:t>
            </w:r>
          </w:p>
        </w:tc>
        <w:tc>
          <w:tcPr>
            <w:tcW w:w="1240"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0.0</w:t>
            </w:r>
          </w:p>
        </w:tc>
        <w:tc>
          <w:tcPr>
            <w:tcW w:w="1311"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100.0%</w:t>
            </w:r>
          </w:p>
        </w:tc>
      </w:tr>
      <w:tr w:rsidR="00260BA4" w:rsidRPr="00141927" w:rsidTr="006E0F32">
        <w:trPr>
          <w:trHeight w:val="305"/>
        </w:trPr>
        <w:tc>
          <w:tcPr>
            <w:tcW w:w="4385" w:type="dxa"/>
            <w:tcBorders>
              <w:top w:val="nil"/>
              <w:left w:val="single" w:sz="8" w:space="0" w:color="auto"/>
              <w:bottom w:val="nil"/>
              <w:right w:val="nil"/>
            </w:tcBorders>
            <w:shd w:val="clear" w:color="000000" w:fill="auto"/>
            <w:noWrap/>
            <w:vAlign w:val="bottom"/>
            <w:hideMark/>
          </w:tcPr>
          <w:p w:rsidR="00260BA4" w:rsidRPr="00141927" w:rsidRDefault="00260BA4" w:rsidP="00D7100C">
            <w:pPr>
              <w:rPr>
                <w:color w:val="000000"/>
                <w:sz w:val="22"/>
                <w:szCs w:val="22"/>
                <w:lang w:val="es-GT" w:eastAsia="es-GT"/>
              </w:rPr>
            </w:pPr>
            <w:r w:rsidRPr="00141927">
              <w:rPr>
                <w:color w:val="000000"/>
                <w:sz w:val="22"/>
                <w:szCs w:val="22"/>
                <w:lang w:val="es-GT" w:eastAsia="es-GT"/>
              </w:rPr>
              <w:t>Ministerio de Educación</w:t>
            </w:r>
          </w:p>
        </w:tc>
        <w:tc>
          <w:tcPr>
            <w:tcW w:w="1355" w:type="dxa"/>
            <w:tcBorders>
              <w:top w:val="nil"/>
              <w:left w:val="single" w:sz="4" w:space="0" w:color="auto"/>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143.7</w:t>
            </w:r>
          </w:p>
        </w:tc>
        <w:tc>
          <w:tcPr>
            <w:tcW w:w="1338"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143.7</w:t>
            </w:r>
          </w:p>
        </w:tc>
        <w:tc>
          <w:tcPr>
            <w:tcW w:w="1240"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0.0</w:t>
            </w:r>
          </w:p>
        </w:tc>
        <w:tc>
          <w:tcPr>
            <w:tcW w:w="1311"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100.0%</w:t>
            </w:r>
          </w:p>
        </w:tc>
      </w:tr>
      <w:tr w:rsidR="00260BA4" w:rsidRPr="00141927" w:rsidTr="006E0F32">
        <w:trPr>
          <w:trHeight w:val="305"/>
        </w:trPr>
        <w:tc>
          <w:tcPr>
            <w:tcW w:w="4385" w:type="dxa"/>
            <w:tcBorders>
              <w:top w:val="nil"/>
              <w:left w:val="single" w:sz="8" w:space="0" w:color="auto"/>
              <w:bottom w:val="nil"/>
              <w:right w:val="nil"/>
            </w:tcBorders>
            <w:shd w:val="clear" w:color="000000" w:fill="auto"/>
            <w:noWrap/>
            <w:vAlign w:val="bottom"/>
            <w:hideMark/>
          </w:tcPr>
          <w:p w:rsidR="00260BA4" w:rsidRPr="00141927" w:rsidRDefault="00260BA4" w:rsidP="00D7100C">
            <w:pPr>
              <w:rPr>
                <w:color w:val="000000"/>
                <w:sz w:val="22"/>
                <w:szCs w:val="22"/>
                <w:lang w:val="es-GT" w:eastAsia="es-GT"/>
              </w:rPr>
            </w:pPr>
            <w:r w:rsidRPr="00141927">
              <w:rPr>
                <w:color w:val="000000"/>
                <w:sz w:val="22"/>
                <w:szCs w:val="22"/>
                <w:lang w:val="es-GT" w:eastAsia="es-GT"/>
              </w:rPr>
              <w:t xml:space="preserve">Ministerio de Salud Pública </w:t>
            </w:r>
          </w:p>
        </w:tc>
        <w:tc>
          <w:tcPr>
            <w:tcW w:w="1355" w:type="dxa"/>
            <w:tcBorders>
              <w:top w:val="nil"/>
              <w:left w:val="single" w:sz="4" w:space="0" w:color="auto"/>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547.4</w:t>
            </w:r>
          </w:p>
        </w:tc>
        <w:tc>
          <w:tcPr>
            <w:tcW w:w="1338"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547.4</w:t>
            </w:r>
          </w:p>
        </w:tc>
        <w:tc>
          <w:tcPr>
            <w:tcW w:w="1240"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0.0</w:t>
            </w:r>
          </w:p>
        </w:tc>
        <w:tc>
          <w:tcPr>
            <w:tcW w:w="1311"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100.0%</w:t>
            </w:r>
          </w:p>
        </w:tc>
      </w:tr>
      <w:tr w:rsidR="00260BA4" w:rsidRPr="00141927" w:rsidTr="006E0F32">
        <w:trPr>
          <w:trHeight w:val="305"/>
        </w:trPr>
        <w:tc>
          <w:tcPr>
            <w:tcW w:w="4385" w:type="dxa"/>
            <w:tcBorders>
              <w:top w:val="nil"/>
              <w:left w:val="single" w:sz="8" w:space="0" w:color="auto"/>
              <w:bottom w:val="nil"/>
              <w:right w:val="nil"/>
            </w:tcBorders>
            <w:shd w:val="clear" w:color="000000" w:fill="auto"/>
            <w:noWrap/>
            <w:vAlign w:val="bottom"/>
            <w:hideMark/>
          </w:tcPr>
          <w:p w:rsidR="00260BA4" w:rsidRPr="00141927" w:rsidRDefault="00260BA4" w:rsidP="00D7100C">
            <w:pPr>
              <w:rPr>
                <w:color w:val="000000"/>
                <w:sz w:val="22"/>
                <w:szCs w:val="22"/>
                <w:lang w:val="es-GT" w:eastAsia="es-GT"/>
              </w:rPr>
            </w:pPr>
            <w:r w:rsidRPr="00141927">
              <w:rPr>
                <w:color w:val="000000"/>
                <w:sz w:val="22"/>
                <w:szCs w:val="22"/>
                <w:lang w:val="es-GT" w:eastAsia="es-GT"/>
              </w:rPr>
              <w:t>Ministerio de Trabajo</w:t>
            </w:r>
            <w:r w:rsidR="006E0F32">
              <w:rPr>
                <w:color w:val="000000"/>
                <w:sz w:val="22"/>
                <w:szCs w:val="22"/>
                <w:lang w:val="es-GT" w:eastAsia="es-GT"/>
              </w:rPr>
              <w:t xml:space="preserve"> y Previsión Social</w:t>
            </w:r>
          </w:p>
        </w:tc>
        <w:tc>
          <w:tcPr>
            <w:tcW w:w="1355" w:type="dxa"/>
            <w:tcBorders>
              <w:top w:val="nil"/>
              <w:left w:val="single" w:sz="4" w:space="0" w:color="auto"/>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2.0</w:t>
            </w:r>
          </w:p>
        </w:tc>
        <w:tc>
          <w:tcPr>
            <w:tcW w:w="1338"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2.0</w:t>
            </w:r>
          </w:p>
        </w:tc>
        <w:tc>
          <w:tcPr>
            <w:tcW w:w="1240"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0.0</w:t>
            </w:r>
          </w:p>
        </w:tc>
        <w:tc>
          <w:tcPr>
            <w:tcW w:w="1311"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100.0%</w:t>
            </w:r>
          </w:p>
        </w:tc>
      </w:tr>
      <w:tr w:rsidR="00260BA4" w:rsidRPr="00141927" w:rsidTr="006E0F32">
        <w:trPr>
          <w:trHeight w:val="305"/>
        </w:trPr>
        <w:tc>
          <w:tcPr>
            <w:tcW w:w="4385" w:type="dxa"/>
            <w:tcBorders>
              <w:top w:val="nil"/>
              <w:left w:val="single" w:sz="8" w:space="0" w:color="auto"/>
              <w:bottom w:val="nil"/>
              <w:right w:val="nil"/>
            </w:tcBorders>
            <w:shd w:val="clear" w:color="000000" w:fill="auto"/>
            <w:noWrap/>
            <w:vAlign w:val="bottom"/>
            <w:hideMark/>
          </w:tcPr>
          <w:p w:rsidR="00260BA4" w:rsidRPr="00141927" w:rsidRDefault="00260BA4" w:rsidP="00D7100C">
            <w:pPr>
              <w:rPr>
                <w:color w:val="000000"/>
                <w:sz w:val="22"/>
                <w:szCs w:val="22"/>
                <w:lang w:val="es-GT" w:eastAsia="es-GT"/>
              </w:rPr>
            </w:pPr>
            <w:r w:rsidRPr="00141927">
              <w:rPr>
                <w:color w:val="000000"/>
                <w:sz w:val="22"/>
                <w:szCs w:val="22"/>
                <w:lang w:val="es-GT" w:eastAsia="es-GT"/>
              </w:rPr>
              <w:t>Ministerio de Agricultura</w:t>
            </w:r>
          </w:p>
        </w:tc>
        <w:tc>
          <w:tcPr>
            <w:tcW w:w="1355" w:type="dxa"/>
            <w:tcBorders>
              <w:top w:val="nil"/>
              <w:left w:val="single" w:sz="4" w:space="0" w:color="auto"/>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28.6</w:t>
            </w:r>
          </w:p>
        </w:tc>
        <w:tc>
          <w:tcPr>
            <w:tcW w:w="1338"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28.4</w:t>
            </w:r>
          </w:p>
        </w:tc>
        <w:tc>
          <w:tcPr>
            <w:tcW w:w="1240"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0.2</w:t>
            </w:r>
          </w:p>
        </w:tc>
        <w:tc>
          <w:tcPr>
            <w:tcW w:w="1311"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99.4%</w:t>
            </w:r>
          </w:p>
        </w:tc>
      </w:tr>
      <w:tr w:rsidR="00260BA4" w:rsidRPr="00141927" w:rsidTr="006E0F32">
        <w:trPr>
          <w:trHeight w:val="305"/>
        </w:trPr>
        <w:tc>
          <w:tcPr>
            <w:tcW w:w="4385" w:type="dxa"/>
            <w:tcBorders>
              <w:top w:val="nil"/>
              <w:left w:val="single" w:sz="8" w:space="0" w:color="auto"/>
              <w:bottom w:val="nil"/>
              <w:right w:val="nil"/>
            </w:tcBorders>
            <w:shd w:val="clear" w:color="000000" w:fill="auto"/>
            <w:noWrap/>
            <w:vAlign w:val="bottom"/>
            <w:hideMark/>
          </w:tcPr>
          <w:p w:rsidR="00260BA4" w:rsidRPr="00141927" w:rsidRDefault="00260BA4" w:rsidP="00D7100C">
            <w:pPr>
              <w:rPr>
                <w:color w:val="000000"/>
                <w:sz w:val="22"/>
                <w:szCs w:val="22"/>
                <w:lang w:val="es-GT" w:eastAsia="es-GT"/>
              </w:rPr>
            </w:pPr>
            <w:r w:rsidRPr="00141927">
              <w:rPr>
                <w:color w:val="000000"/>
                <w:sz w:val="22"/>
                <w:szCs w:val="22"/>
                <w:lang w:val="es-GT" w:eastAsia="es-GT"/>
              </w:rPr>
              <w:t>Ministerio de Cultura y Deportes</w:t>
            </w:r>
          </w:p>
        </w:tc>
        <w:tc>
          <w:tcPr>
            <w:tcW w:w="1355" w:type="dxa"/>
            <w:tcBorders>
              <w:top w:val="nil"/>
              <w:left w:val="single" w:sz="4" w:space="0" w:color="auto"/>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4.7</w:t>
            </w:r>
          </w:p>
        </w:tc>
        <w:tc>
          <w:tcPr>
            <w:tcW w:w="1338"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4.7</w:t>
            </w:r>
          </w:p>
        </w:tc>
        <w:tc>
          <w:tcPr>
            <w:tcW w:w="1240"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0.0</w:t>
            </w:r>
          </w:p>
        </w:tc>
        <w:tc>
          <w:tcPr>
            <w:tcW w:w="1311"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100.0%</w:t>
            </w:r>
          </w:p>
        </w:tc>
      </w:tr>
      <w:tr w:rsidR="00260BA4" w:rsidRPr="00141927" w:rsidTr="006E0F32">
        <w:trPr>
          <w:trHeight w:val="305"/>
        </w:trPr>
        <w:tc>
          <w:tcPr>
            <w:tcW w:w="4385" w:type="dxa"/>
            <w:tcBorders>
              <w:top w:val="nil"/>
              <w:left w:val="single" w:sz="8" w:space="0" w:color="auto"/>
              <w:bottom w:val="nil"/>
              <w:right w:val="nil"/>
            </w:tcBorders>
            <w:shd w:val="clear" w:color="000000" w:fill="auto"/>
            <w:noWrap/>
            <w:vAlign w:val="bottom"/>
            <w:hideMark/>
          </w:tcPr>
          <w:p w:rsidR="00260BA4" w:rsidRPr="00141927" w:rsidRDefault="00260BA4" w:rsidP="00D7100C">
            <w:pPr>
              <w:rPr>
                <w:color w:val="000000"/>
                <w:sz w:val="22"/>
                <w:szCs w:val="22"/>
                <w:lang w:val="es-GT" w:eastAsia="es-GT"/>
              </w:rPr>
            </w:pPr>
            <w:r w:rsidRPr="00141927">
              <w:rPr>
                <w:color w:val="000000"/>
                <w:sz w:val="22"/>
                <w:szCs w:val="22"/>
                <w:lang w:val="es-GT" w:eastAsia="es-GT"/>
              </w:rPr>
              <w:t>Secretar</w:t>
            </w:r>
            <w:r w:rsidR="006E0F32">
              <w:rPr>
                <w:color w:val="000000"/>
                <w:sz w:val="22"/>
                <w:szCs w:val="22"/>
                <w:lang w:val="es-GT" w:eastAsia="es-GT"/>
              </w:rPr>
              <w:t>ías</w:t>
            </w:r>
            <w:r w:rsidRPr="00141927">
              <w:rPr>
                <w:color w:val="000000"/>
                <w:sz w:val="22"/>
                <w:szCs w:val="22"/>
                <w:lang w:val="es-GT" w:eastAsia="es-GT"/>
              </w:rPr>
              <w:t xml:space="preserve"> y Otras Dependencias del Ejecutivo</w:t>
            </w:r>
          </w:p>
        </w:tc>
        <w:tc>
          <w:tcPr>
            <w:tcW w:w="1355" w:type="dxa"/>
            <w:tcBorders>
              <w:top w:val="nil"/>
              <w:left w:val="single" w:sz="4" w:space="0" w:color="auto"/>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0.2</w:t>
            </w:r>
          </w:p>
        </w:tc>
        <w:tc>
          <w:tcPr>
            <w:tcW w:w="1338"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0.0</w:t>
            </w:r>
          </w:p>
        </w:tc>
        <w:tc>
          <w:tcPr>
            <w:tcW w:w="1240"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0.2</w:t>
            </w:r>
          </w:p>
        </w:tc>
        <w:tc>
          <w:tcPr>
            <w:tcW w:w="1311"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0.0%</w:t>
            </w:r>
          </w:p>
        </w:tc>
      </w:tr>
      <w:tr w:rsidR="00260BA4" w:rsidRPr="00141927" w:rsidTr="006E0F32">
        <w:trPr>
          <w:trHeight w:val="305"/>
        </w:trPr>
        <w:tc>
          <w:tcPr>
            <w:tcW w:w="4385" w:type="dxa"/>
            <w:tcBorders>
              <w:top w:val="nil"/>
              <w:left w:val="single" w:sz="8" w:space="0" w:color="auto"/>
              <w:bottom w:val="nil"/>
              <w:right w:val="nil"/>
            </w:tcBorders>
            <w:shd w:val="clear" w:color="000000" w:fill="auto"/>
            <w:noWrap/>
            <w:vAlign w:val="bottom"/>
            <w:hideMark/>
          </w:tcPr>
          <w:p w:rsidR="00260BA4" w:rsidRPr="00141927" w:rsidRDefault="00260BA4" w:rsidP="00D7100C">
            <w:pPr>
              <w:rPr>
                <w:color w:val="000000"/>
                <w:sz w:val="22"/>
                <w:szCs w:val="22"/>
                <w:lang w:val="es-GT" w:eastAsia="es-GT"/>
              </w:rPr>
            </w:pPr>
            <w:r w:rsidRPr="00141927">
              <w:rPr>
                <w:color w:val="000000"/>
                <w:sz w:val="22"/>
                <w:szCs w:val="22"/>
                <w:lang w:val="es-GT" w:eastAsia="es-GT"/>
              </w:rPr>
              <w:t>Obligaciones del Estado a Cargo del Tesoro</w:t>
            </w:r>
          </w:p>
        </w:tc>
        <w:tc>
          <w:tcPr>
            <w:tcW w:w="1355" w:type="dxa"/>
            <w:tcBorders>
              <w:top w:val="nil"/>
              <w:left w:val="single" w:sz="4" w:space="0" w:color="auto"/>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177.9</w:t>
            </w:r>
          </w:p>
        </w:tc>
        <w:tc>
          <w:tcPr>
            <w:tcW w:w="1338" w:type="dxa"/>
            <w:tcBorders>
              <w:top w:val="nil"/>
              <w:left w:val="nil"/>
              <w:bottom w:val="nil"/>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161.7</w:t>
            </w:r>
          </w:p>
        </w:tc>
        <w:tc>
          <w:tcPr>
            <w:tcW w:w="1240"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16.2</w:t>
            </w:r>
          </w:p>
        </w:tc>
        <w:tc>
          <w:tcPr>
            <w:tcW w:w="1311"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90.9%</w:t>
            </w:r>
          </w:p>
        </w:tc>
      </w:tr>
      <w:tr w:rsidR="00260BA4" w:rsidRPr="00141927" w:rsidTr="006E0F32">
        <w:trPr>
          <w:trHeight w:val="320"/>
        </w:trPr>
        <w:tc>
          <w:tcPr>
            <w:tcW w:w="4385" w:type="dxa"/>
            <w:tcBorders>
              <w:top w:val="nil"/>
              <w:left w:val="single" w:sz="8" w:space="0" w:color="auto"/>
              <w:bottom w:val="single" w:sz="8" w:space="0" w:color="auto"/>
              <w:right w:val="nil"/>
            </w:tcBorders>
            <w:shd w:val="clear" w:color="000000" w:fill="auto"/>
            <w:noWrap/>
            <w:vAlign w:val="bottom"/>
            <w:hideMark/>
          </w:tcPr>
          <w:p w:rsidR="00260BA4" w:rsidRPr="00141927" w:rsidRDefault="006E0F32" w:rsidP="00D7100C">
            <w:pPr>
              <w:rPr>
                <w:color w:val="000000"/>
                <w:sz w:val="22"/>
                <w:szCs w:val="22"/>
                <w:lang w:val="es-GT" w:eastAsia="es-GT"/>
              </w:rPr>
            </w:pPr>
            <w:r>
              <w:rPr>
                <w:color w:val="000000"/>
                <w:sz w:val="22"/>
                <w:szCs w:val="22"/>
                <w:lang w:val="es-GT" w:eastAsia="es-GT"/>
              </w:rPr>
              <w:t xml:space="preserve">Ministerio de </w:t>
            </w:r>
            <w:r w:rsidR="00260BA4" w:rsidRPr="00141927">
              <w:rPr>
                <w:color w:val="000000"/>
                <w:sz w:val="22"/>
                <w:szCs w:val="22"/>
                <w:lang w:val="es-GT" w:eastAsia="es-GT"/>
              </w:rPr>
              <w:t>Desarrollo Social</w:t>
            </w:r>
          </w:p>
        </w:tc>
        <w:tc>
          <w:tcPr>
            <w:tcW w:w="1355" w:type="dxa"/>
            <w:tcBorders>
              <w:top w:val="nil"/>
              <w:left w:val="single" w:sz="4" w:space="0" w:color="auto"/>
              <w:bottom w:val="single" w:sz="8" w:space="0" w:color="auto"/>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28.0</w:t>
            </w:r>
          </w:p>
        </w:tc>
        <w:tc>
          <w:tcPr>
            <w:tcW w:w="1338" w:type="dxa"/>
            <w:tcBorders>
              <w:top w:val="nil"/>
              <w:left w:val="nil"/>
              <w:bottom w:val="single" w:sz="8" w:space="0" w:color="auto"/>
              <w:right w:val="single" w:sz="4" w:space="0" w:color="auto"/>
            </w:tcBorders>
            <w:shd w:val="clear" w:color="000000" w:fill="auto"/>
            <w:noWrap/>
            <w:vAlign w:val="center"/>
            <w:hideMark/>
          </w:tcPr>
          <w:p w:rsidR="00260BA4" w:rsidRPr="00141927" w:rsidRDefault="00260BA4" w:rsidP="00D7100C">
            <w:pPr>
              <w:jc w:val="center"/>
              <w:rPr>
                <w:color w:val="000000"/>
                <w:sz w:val="22"/>
                <w:szCs w:val="22"/>
                <w:lang w:val="es-GT" w:eastAsia="es-GT"/>
              </w:rPr>
            </w:pPr>
            <w:r w:rsidRPr="00141927">
              <w:rPr>
                <w:color w:val="000000"/>
                <w:sz w:val="22"/>
                <w:szCs w:val="22"/>
                <w:lang w:val="es-GT" w:eastAsia="es-GT"/>
              </w:rPr>
              <w:t>28.0</w:t>
            </w:r>
          </w:p>
        </w:tc>
        <w:tc>
          <w:tcPr>
            <w:tcW w:w="1240" w:type="dxa"/>
            <w:tcBorders>
              <w:top w:val="nil"/>
              <w:left w:val="nil"/>
              <w:bottom w:val="single" w:sz="8" w:space="0" w:color="auto"/>
              <w:right w:val="single" w:sz="4"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0.0</w:t>
            </w:r>
          </w:p>
        </w:tc>
        <w:tc>
          <w:tcPr>
            <w:tcW w:w="1311" w:type="dxa"/>
            <w:tcBorders>
              <w:top w:val="nil"/>
              <w:left w:val="nil"/>
              <w:bottom w:val="single" w:sz="8" w:space="0" w:color="auto"/>
              <w:right w:val="single" w:sz="8" w:space="0" w:color="auto"/>
            </w:tcBorders>
            <w:shd w:val="clear" w:color="auto" w:fill="auto"/>
            <w:noWrap/>
            <w:vAlign w:val="bottom"/>
            <w:hideMark/>
          </w:tcPr>
          <w:p w:rsidR="00260BA4" w:rsidRPr="00141927" w:rsidRDefault="00260BA4" w:rsidP="00D7100C">
            <w:pPr>
              <w:jc w:val="center"/>
              <w:rPr>
                <w:sz w:val="22"/>
                <w:szCs w:val="22"/>
                <w:lang w:val="es-GT" w:eastAsia="es-GT"/>
              </w:rPr>
            </w:pPr>
            <w:r w:rsidRPr="00141927">
              <w:rPr>
                <w:sz w:val="22"/>
                <w:szCs w:val="22"/>
                <w:lang w:val="es-GT" w:eastAsia="es-GT"/>
              </w:rPr>
              <w:t>100.0%</w:t>
            </w:r>
          </w:p>
        </w:tc>
      </w:tr>
    </w:tbl>
    <w:p w:rsidR="00260BA4" w:rsidRDefault="00260BA4" w:rsidP="00260BA4">
      <w:pPr>
        <w:jc w:val="both"/>
        <w:rPr>
          <w:sz w:val="18"/>
        </w:rPr>
      </w:pPr>
      <w:r>
        <w:rPr>
          <w:sz w:val="18"/>
        </w:rPr>
        <w:t>* Cifras preliminares</w:t>
      </w:r>
    </w:p>
    <w:p w:rsidR="00260BA4" w:rsidRPr="00CE76C6" w:rsidRDefault="00260BA4" w:rsidP="00260BA4">
      <w:pPr>
        <w:jc w:val="both"/>
        <w:rPr>
          <w:sz w:val="18"/>
        </w:rPr>
      </w:pPr>
      <w:r>
        <w:rPr>
          <w:sz w:val="18"/>
        </w:rPr>
        <w:t xml:space="preserve">   </w:t>
      </w:r>
      <w:r w:rsidRPr="00CE76C6">
        <w:rPr>
          <w:sz w:val="18"/>
        </w:rPr>
        <w:t>Fuente: Ministerio de Finanzas Públicas</w:t>
      </w:r>
      <w:r>
        <w:rPr>
          <w:sz w:val="18"/>
        </w:rPr>
        <w:t>.</w:t>
      </w:r>
    </w:p>
    <w:p w:rsidR="00260BA4" w:rsidRPr="005361F1" w:rsidRDefault="00260BA4" w:rsidP="00260BA4">
      <w:pPr>
        <w:pStyle w:val="Ttulo3"/>
        <w:numPr>
          <w:ilvl w:val="0"/>
          <w:numId w:val="0"/>
        </w:numPr>
        <w:ind w:left="851" w:hanging="437"/>
        <w:rPr>
          <w:color w:val="auto"/>
          <w:sz w:val="40"/>
        </w:rPr>
      </w:pPr>
    </w:p>
    <w:p w:rsidR="00DD01C8" w:rsidRPr="00DD01C8" w:rsidRDefault="00DD01C8" w:rsidP="00DD01C8"/>
    <w:p w:rsidR="00260BA4" w:rsidRPr="005811DB" w:rsidRDefault="00260BA4" w:rsidP="00260BA4">
      <w:pPr>
        <w:pStyle w:val="Ttulo3"/>
        <w:numPr>
          <w:ilvl w:val="0"/>
          <w:numId w:val="0"/>
        </w:numPr>
        <w:ind w:left="851" w:hanging="437"/>
        <w:rPr>
          <w:rFonts w:ascii="Times New Roman" w:hAnsi="Times New Roman"/>
          <w:color w:val="auto"/>
        </w:rPr>
      </w:pPr>
      <w:bookmarkStart w:id="26" w:name="_Toc98924138"/>
      <w:r w:rsidRPr="005811DB">
        <w:rPr>
          <w:rFonts w:ascii="Times New Roman" w:hAnsi="Times New Roman"/>
          <w:color w:val="auto"/>
        </w:rPr>
        <w:t>4</w:t>
      </w:r>
      <w:r w:rsidRPr="005811DB">
        <w:rPr>
          <w:rFonts w:ascii="Times New Roman" w:hAnsi="Times New Roman"/>
          <w:color w:val="auto"/>
        </w:rPr>
        <w:tab/>
        <w:t>Programa General de Atención al Covid-19</w:t>
      </w:r>
      <w:bookmarkEnd w:id="26"/>
    </w:p>
    <w:p w:rsidR="00260BA4" w:rsidRPr="00DD01C8" w:rsidRDefault="00260BA4" w:rsidP="00260BA4">
      <w:pPr>
        <w:jc w:val="both"/>
        <w:rPr>
          <w:b/>
          <w:sz w:val="32"/>
        </w:rPr>
      </w:pPr>
    </w:p>
    <w:p w:rsidR="00260BA4" w:rsidRDefault="00260BA4" w:rsidP="00260BA4">
      <w:pPr>
        <w:jc w:val="both"/>
      </w:pPr>
      <w:r w:rsidRPr="00B851E2">
        <w:t xml:space="preserve">Durante el </w:t>
      </w:r>
      <w:r w:rsidR="006E4AD6">
        <w:t>E</w:t>
      </w:r>
      <w:r w:rsidRPr="00B851E2">
        <w:t xml:space="preserve">jercicio </w:t>
      </w:r>
      <w:r w:rsidR="006E4AD6">
        <w:t>F</w:t>
      </w:r>
      <w:r w:rsidRPr="00B851E2">
        <w:t xml:space="preserve">iscal 2021 </w:t>
      </w:r>
      <w:r>
        <w:t xml:space="preserve">el gobierno erogó recursos por un monto de Q.3,743.0 millones para atender el Estado de Calamidad Pública por Emergencia </w:t>
      </w:r>
      <w:r w:rsidR="006E4AD6">
        <w:t>del Covid</w:t>
      </w:r>
      <w:r>
        <w:t>-19, que representa</w:t>
      </w:r>
      <w:r w:rsidR="006E4AD6">
        <w:t>n</w:t>
      </w:r>
      <w:r>
        <w:t xml:space="preserve"> el 4.0% de la ejecución total.</w:t>
      </w:r>
    </w:p>
    <w:p w:rsidR="00260BA4" w:rsidRPr="005361F1" w:rsidRDefault="00260BA4" w:rsidP="00260BA4">
      <w:pPr>
        <w:jc w:val="both"/>
        <w:rPr>
          <w:sz w:val="36"/>
        </w:rPr>
      </w:pPr>
    </w:p>
    <w:p w:rsidR="00260BA4" w:rsidRDefault="00260BA4" w:rsidP="00260BA4">
      <w:pPr>
        <w:jc w:val="both"/>
      </w:pPr>
      <w:r>
        <w:t>La entidad que mayor ejecución tuvo fue el Ministerio de Salud Pública y Asistencia Social con un monto de Q.2,988.2 millones, equivalente al 67.3% de</w:t>
      </w:r>
      <w:r w:rsidR="006E4AD6">
        <w:t xml:space="preserve"> su</w:t>
      </w:r>
      <w:r>
        <w:t xml:space="preserve"> presupuesto vigente; le sigue el Ministerio de Comunicaciones, Infraestructura y Vivienda con un monto de Q.521.2 millones, equivalente al 89.1% de</w:t>
      </w:r>
      <w:r w:rsidR="006E4AD6">
        <w:t xml:space="preserve"> su</w:t>
      </w:r>
      <w:r>
        <w:t xml:space="preserve"> presupuesto vigente; el Ministerio de Agricultura, Ganadería y </w:t>
      </w:r>
      <w:r w:rsidR="006E4AD6">
        <w:t>A</w:t>
      </w:r>
      <w:r>
        <w:t>limentación con una ejecución de Q.113.3 millones, equivalente</w:t>
      </w:r>
      <w:r w:rsidR="006E4AD6">
        <w:t>s</w:t>
      </w:r>
      <w:r>
        <w:t xml:space="preserve"> al 100.0% de</w:t>
      </w:r>
      <w:r w:rsidR="006E4AD6">
        <w:t xml:space="preserve"> su</w:t>
      </w:r>
      <w:r>
        <w:t xml:space="preserve"> presupuesto vigente; el Ministerio de Desarrollo Social con una ejecución de Q.104.7 millones, equivalente</w:t>
      </w:r>
      <w:r w:rsidR="006E4AD6">
        <w:t>s</w:t>
      </w:r>
      <w:r>
        <w:t xml:space="preserve"> al 96.3% de</w:t>
      </w:r>
      <w:r w:rsidR="006E4AD6">
        <w:t xml:space="preserve"> su</w:t>
      </w:r>
      <w:r>
        <w:t xml:space="preserve"> presupuesto vigente; las Secretar</w:t>
      </w:r>
      <w:r w:rsidR="006E4AD6">
        <w:t>ías y Otras Dependencias del Ejecutivo</w:t>
      </w:r>
      <w:r>
        <w:t xml:space="preserve"> por un monto de Q.13.7 millones, representa el 91.5% de</w:t>
      </w:r>
      <w:r w:rsidR="006E4AD6">
        <w:t xml:space="preserve"> su</w:t>
      </w:r>
      <w:r>
        <w:t xml:space="preserve"> presupuesto vigente y el Ministerio de Cultura y Deportes con un monto ejecutado de Q.1.8 millones, equivalente</w:t>
      </w:r>
      <w:r w:rsidR="006E4AD6">
        <w:t>s</w:t>
      </w:r>
      <w:r>
        <w:t xml:space="preserve"> al 100.0% de</w:t>
      </w:r>
      <w:r w:rsidR="006E4AD6">
        <w:t xml:space="preserve"> su</w:t>
      </w:r>
      <w:r>
        <w:t xml:space="preserve"> presupuesto vigente.</w:t>
      </w:r>
    </w:p>
    <w:p w:rsidR="00260BA4" w:rsidRDefault="00260BA4" w:rsidP="00260BA4">
      <w:pPr>
        <w:jc w:val="both"/>
      </w:pPr>
    </w:p>
    <w:p w:rsidR="00260BA4" w:rsidRDefault="00260BA4" w:rsidP="00260BA4">
      <w:pPr>
        <w:jc w:val="both"/>
      </w:pPr>
    </w:p>
    <w:p w:rsidR="00260BA4" w:rsidRDefault="00260BA4" w:rsidP="00260BA4">
      <w:pPr>
        <w:jc w:val="both"/>
      </w:pPr>
    </w:p>
    <w:p w:rsidR="00260BA4" w:rsidRDefault="00260BA4" w:rsidP="00260BA4">
      <w:pPr>
        <w:jc w:val="both"/>
      </w:pPr>
    </w:p>
    <w:p w:rsidR="00260BA4" w:rsidRPr="00DD5DD7" w:rsidRDefault="00260BA4" w:rsidP="00260BA4">
      <w:pPr>
        <w:jc w:val="center"/>
        <w:rPr>
          <w:b/>
        </w:rPr>
      </w:pPr>
      <w:r w:rsidRPr="00DD5DD7">
        <w:rPr>
          <w:b/>
        </w:rPr>
        <w:t>Cuadro 8</w:t>
      </w:r>
    </w:p>
    <w:p w:rsidR="00260BA4" w:rsidRDefault="00260BA4" w:rsidP="00260BA4">
      <w:pPr>
        <w:jc w:val="center"/>
        <w:rPr>
          <w:b/>
        </w:rPr>
      </w:pPr>
      <w:r>
        <w:rPr>
          <w:b/>
        </w:rPr>
        <w:t xml:space="preserve">Estado de Calamidad Pública por </w:t>
      </w:r>
      <w:r w:rsidR="008F6D58">
        <w:rPr>
          <w:b/>
        </w:rPr>
        <w:t>E</w:t>
      </w:r>
      <w:r>
        <w:rPr>
          <w:b/>
        </w:rPr>
        <w:t>mergencia C</w:t>
      </w:r>
      <w:r w:rsidR="008F6D58">
        <w:rPr>
          <w:b/>
        </w:rPr>
        <w:t>ovid</w:t>
      </w:r>
      <w:r>
        <w:rPr>
          <w:b/>
        </w:rPr>
        <w:t>-</w:t>
      </w:r>
      <w:r w:rsidRPr="00DD5DD7">
        <w:rPr>
          <w:b/>
        </w:rPr>
        <w:t>19</w:t>
      </w:r>
    </w:p>
    <w:p w:rsidR="00260BA4" w:rsidRPr="00DD5DD7" w:rsidRDefault="00260BA4" w:rsidP="00260BA4">
      <w:pPr>
        <w:jc w:val="center"/>
        <w:rPr>
          <w:b/>
        </w:rPr>
      </w:pPr>
      <w:r>
        <w:rPr>
          <w:b/>
        </w:rPr>
        <w:t>Ejecución Presupuestaria por Entidad al 31 de diciembre de 2021</w:t>
      </w:r>
    </w:p>
    <w:p w:rsidR="00260BA4" w:rsidRDefault="00260BA4" w:rsidP="00260BA4">
      <w:pPr>
        <w:jc w:val="center"/>
        <w:rPr>
          <w:b/>
        </w:rPr>
      </w:pPr>
      <w:r>
        <w:rPr>
          <w:b/>
        </w:rPr>
        <w:t xml:space="preserve"> (En M</w:t>
      </w:r>
      <w:r w:rsidRPr="00DD5DD7">
        <w:rPr>
          <w:b/>
        </w:rPr>
        <w:t>illones de Quetzales</w:t>
      </w:r>
      <w:r>
        <w:rPr>
          <w:b/>
        </w:rPr>
        <w:t xml:space="preserve"> y Porcentajes) *</w:t>
      </w:r>
    </w:p>
    <w:tbl>
      <w:tblPr>
        <w:tblW w:w="9062" w:type="dxa"/>
        <w:tblCellMar>
          <w:left w:w="70" w:type="dxa"/>
          <w:right w:w="70" w:type="dxa"/>
        </w:tblCellMar>
        <w:tblLook w:val="04A0" w:firstRow="1" w:lastRow="0" w:firstColumn="1" w:lastColumn="0" w:noHBand="0" w:noVBand="1"/>
      </w:tblPr>
      <w:tblGrid>
        <w:gridCol w:w="3392"/>
        <w:gridCol w:w="1418"/>
        <w:gridCol w:w="1417"/>
        <w:gridCol w:w="1418"/>
        <w:gridCol w:w="1417"/>
      </w:tblGrid>
      <w:tr w:rsidR="00260BA4" w:rsidRPr="00141927" w:rsidTr="008F6D58">
        <w:trPr>
          <w:trHeight w:val="720"/>
        </w:trPr>
        <w:tc>
          <w:tcPr>
            <w:tcW w:w="3392" w:type="dxa"/>
            <w:tcBorders>
              <w:top w:val="single" w:sz="8" w:space="0" w:color="auto"/>
              <w:left w:val="single" w:sz="8" w:space="0" w:color="auto"/>
              <w:bottom w:val="single" w:sz="8" w:space="0" w:color="auto"/>
              <w:right w:val="nil"/>
            </w:tcBorders>
            <w:shd w:val="clear" w:color="auto" w:fill="8DB4E2"/>
            <w:vAlign w:val="center"/>
            <w:hideMark/>
          </w:tcPr>
          <w:p w:rsidR="00260BA4" w:rsidRPr="00141927" w:rsidRDefault="00260BA4" w:rsidP="00D7100C">
            <w:pPr>
              <w:jc w:val="center"/>
              <w:rPr>
                <w:b/>
                <w:bCs/>
                <w:color w:val="000000"/>
                <w:sz w:val="22"/>
                <w:szCs w:val="22"/>
                <w:lang w:val="es-GT" w:eastAsia="es-GT"/>
              </w:rPr>
            </w:pPr>
            <w:r w:rsidRPr="00141927">
              <w:rPr>
                <w:b/>
                <w:bCs/>
                <w:color w:val="000000"/>
                <w:sz w:val="22"/>
                <w:szCs w:val="22"/>
                <w:lang w:val="es-GT" w:eastAsia="es-GT"/>
              </w:rPr>
              <w:t>Entidad</w:t>
            </w:r>
          </w:p>
        </w:tc>
        <w:tc>
          <w:tcPr>
            <w:tcW w:w="1418" w:type="dxa"/>
            <w:tcBorders>
              <w:top w:val="single" w:sz="8" w:space="0" w:color="auto"/>
              <w:left w:val="single" w:sz="4" w:space="0" w:color="auto"/>
              <w:bottom w:val="single" w:sz="8" w:space="0" w:color="auto"/>
              <w:right w:val="single" w:sz="4" w:space="0" w:color="auto"/>
            </w:tcBorders>
            <w:shd w:val="clear" w:color="auto" w:fill="8DB4E2"/>
            <w:vAlign w:val="center"/>
            <w:hideMark/>
          </w:tcPr>
          <w:p w:rsidR="00260BA4" w:rsidRPr="00141927" w:rsidRDefault="00260BA4" w:rsidP="00D7100C">
            <w:pPr>
              <w:jc w:val="center"/>
              <w:rPr>
                <w:b/>
                <w:bCs/>
                <w:color w:val="000000"/>
                <w:sz w:val="22"/>
                <w:szCs w:val="22"/>
                <w:lang w:val="es-GT" w:eastAsia="es-GT"/>
              </w:rPr>
            </w:pPr>
            <w:r w:rsidRPr="00141927">
              <w:rPr>
                <w:b/>
                <w:bCs/>
                <w:color w:val="000000"/>
                <w:sz w:val="22"/>
                <w:szCs w:val="22"/>
                <w:lang w:val="es-GT" w:eastAsia="es-GT"/>
              </w:rPr>
              <w:t>Vigente</w:t>
            </w:r>
          </w:p>
        </w:tc>
        <w:tc>
          <w:tcPr>
            <w:tcW w:w="1417" w:type="dxa"/>
            <w:tcBorders>
              <w:top w:val="single" w:sz="8" w:space="0" w:color="auto"/>
              <w:left w:val="nil"/>
              <w:bottom w:val="single" w:sz="8" w:space="0" w:color="auto"/>
              <w:right w:val="single" w:sz="4" w:space="0" w:color="auto"/>
            </w:tcBorders>
            <w:shd w:val="clear" w:color="auto" w:fill="8DB4E2"/>
            <w:vAlign w:val="center"/>
            <w:hideMark/>
          </w:tcPr>
          <w:p w:rsidR="00260BA4" w:rsidRPr="00141927" w:rsidRDefault="00260BA4" w:rsidP="00D7100C">
            <w:pPr>
              <w:jc w:val="center"/>
              <w:rPr>
                <w:b/>
                <w:bCs/>
                <w:color w:val="000000"/>
                <w:sz w:val="22"/>
                <w:szCs w:val="22"/>
                <w:lang w:val="es-GT" w:eastAsia="es-GT"/>
              </w:rPr>
            </w:pPr>
            <w:r w:rsidRPr="00141927">
              <w:rPr>
                <w:b/>
                <w:bCs/>
                <w:color w:val="000000"/>
                <w:sz w:val="22"/>
                <w:szCs w:val="22"/>
                <w:lang w:val="es-GT" w:eastAsia="es-GT"/>
              </w:rPr>
              <w:t>Ejecu</w:t>
            </w:r>
            <w:r w:rsidR="008F6D58">
              <w:rPr>
                <w:b/>
                <w:bCs/>
                <w:color w:val="000000"/>
                <w:sz w:val="22"/>
                <w:szCs w:val="22"/>
                <w:lang w:val="es-GT" w:eastAsia="es-GT"/>
              </w:rPr>
              <w:t>tado</w:t>
            </w:r>
          </w:p>
        </w:tc>
        <w:tc>
          <w:tcPr>
            <w:tcW w:w="1418" w:type="dxa"/>
            <w:tcBorders>
              <w:top w:val="single" w:sz="8" w:space="0" w:color="auto"/>
              <w:left w:val="nil"/>
              <w:bottom w:val="single" w:sz="8" w:space="0" w:color="auto"/>
              <w:right w:val="single" w:sz="4" w:space="0" w:color="auto"/>
            </w:tcBorders>
            <w:shd w:val="clear" w:color="auto" w:fill="8DB4E2"/>
            <w:vAlign w:val="center"/>
            <w:hideMark/>
          </w:tcPr>
          <w:p w:rsidR="00260BA4" w:rsidRPr="00141927" w:rsidRDefault="00260BA4" w:rsidP="008F6D58">
            <w:pPr>
              <w:jc w:val="center"/>
              <w:rPr>
                <w:b/>
                <w:bCs/>
                <w:color w:val="000000"/>
                <w:sz w:val="22"/>
                <w:szCs w:val="22"/>
                <w:lang w:val="es-GT" w:eastAsia="es-GT"/>
              </w:rPr>
            </w:pPr>
            <w:r w:rsidRPr="00141927">
              <w:rPr>
                <w:b/>
                <w:bCs/>
                <w:color w:val="000000"/>
                <w:sz w:val="22"/>
                <w:szCs w:val="22"/>
                <w:lang w:val="es-GT" w:eastAsia="es-GT"/>
              </w:rPr>
              <w:t xml:space="preserve">Por </w:t>
            </w:r>
            <w:r w:rsidR="008F6D58">
              <w:rPr>
                <w:b/>
                <w:bCs/>
                <w:color w:val="000000"/>
                <w:sz w:val="22"/>
                <w:szCs w:val="22"/>
                <w:lang w:val="es-GT" w:eastAsia="es-GT"/>
              </w:rPr>
              <w:t>E</w:t>
            </w:r>
            <w:r w:rsidRPr="00141927">
              <w:rPr>
                <w:b/>
                <w:bCs/>
                <w:color w:val="000000"/>
                <w:sz w:val="22"/>
                <w:szCs w:val="22"/>
                <w:lang w:val="es-GT" w:eastAsia="es-GT"/>
              </w:rPr>
              <w:t>jecutar</w:t>
            </w:r>
          </w:p>
        </w:tc>
        <w:tc>
          <w:tcPr>
            <w:tcW w:w="1417" w:type="dxa"/>
            <w:tcBorders>
              <w:top w:val="single" w:sz="8" w:space="0" w:color="auto"/>
              <w:left w:val="nil"/>
              <w:bottom w:val="single" w:sz="8" w:space="0" w:color="auto"/>
              <w:right w:val="single" w:sz="8" w:space="0" w:color="auto"/>
            </w:tcBorders>
            <w:shd w:val="clear" w:color="auto" w:fill="8DB4E2"/>
            <w:vAlign w:val="center"/>
            <w:hideMark/>
          </w:tcPr>
          <w:p w:rsidR="00260BA4" w:rsidRPr="00141927" w:rsidRDefault="00260BA4" w:rsidP="00D7100C">
            <w:pPr>
              <w:jc w:val="center"/>
              <w:rPr>
                <w:b/>
                <w:bCs/>
                <w:color w:val="000000"/>
                <w:sz w:val="22"/>
                <w:szCs w:val="22"/>
                <w:lang w:val="es-GT" w:eastAsia="es-GT"/>
              </w:rPr>
            </w:pPr>
            <w:r w:rsidRPr="00141927">
              <w:rPr>
                <w:b/>
                <w:bCs/>
                <w:color w:val="000000"/>
                <w:sz w:val="22"/>
                <w:szCs w:val="22"/>
                <w:lang w:val="es-GT" w:eastAsia="es-GT"/>
              </w:rPr>
              <w:t xml:space="preserve">% </w:t>
            </w:r>
            <w:r w:rsidR="008F6D58">
              <w:rPr>
                <w:b/>
                <w:bCs/>
                <w:color w:val="000000"/>
                <w:sz w:val="22"/>
                <w:szCs w:val="22"/>
                <w:lang w:val="es-GT" w:eastAsia="es-GT"/>
              </w:rPr>
              <w:t xml:space="preserve">de </w:t>
            </w:r>
            <w:r w:rsidRPr="00141927">
              <w:rPr>
                <w:b/>
                <w:bCs/>
                <w:color w:val="000000"/>
                <w:sz w:val="22"/>
                <w:szCs w:val="22"/>
                <w:lang w:val="es-GT" w:eastAsia="es-GT"/>
              </w:rPr>
              <w:t>Ejecución</w:t>
            </w:r>
          </w:p>
        </w:tc>
      </w:tr>
      <w:tr w:rsidR="00260BA4" w:rsidRPr="00141927" w:rsidTr="008F6D58">
        <w:trPr>
          <w:trHeight w:val="315"/>
        </w:trPr>
        <w:tc>
          <w:tcPr>
            <w:tcW w:w="3392" w:type="dxa"/>
            <w:tcBorders>
              <w:top w:val="nil"/>
              <w:left w:val="single" w:sz="8" w:space="0" w:color="auto"/>
              <w:bottom w:val="nil"/>
              <w:right w:val="nil"/>
            </w:tcBorders>
            <w:shd w:val="clear" w:color="auto" w:fill="auto"/>
            <w:noWrap/>
            <w:vAlign w:val="center"/>
            <w:hideMark/>
          </w:tcPr>
          <w:p w:rsidR="00260BA4" w:rsidRPr="00141927" w:rsidRDefault="00260BA4" w:rsidP="00D7100C">
            <w:pPr>
              <w:jc w:val="center"/>
              <w:rPr>
                <w:b/>
                <w:bCs/>
                <w:color w:val="000000"/>
                <w:sz w:val="22"/>
                <w:szCs w:val="22"/>
                <w:lang w:val="es-GT" w:eastAsia="es-GT"/>
              </w:rPr>
            </w:pPr>
            <w:r w:rsidRPr="00141927">
              <w:rPr>
                <w:b/>
                <w:bCs/>
                <w:color w:val="000000"/>
                <w:sz w:val="22"/>
                <w:szCs w:val="22"/>
                <w:lang w:val="es-GT" w:eastAsia="es-GT"/>
              </w:rPr>
              <w:t>Total</w:t>
            </w:r>
          </w:p>
        </w:tc>
        <w:tc>
          <w:tcPr>
            <w:tcW w:w="1418" w:type="dxa"/>
            <w:tcBorders>
              <w:top w:val="nil"/>
              <w:left w:val="single" w:sz="4" w:space="0" w:color="auto"/>
              <w:bottom w:val="nil"/>
              <w:right w:val="single" w:sz="4" w:space="0" w:color="auto"/>
            </w:tcBorders>
            <w:shd w:val="clear" w:color="auto" w:fill="auto"/>
            <w:noWrap/>
            <w:vAlign w:val="bottom"/>
            <w:hideMark/>
          </w:tcPr>
          <w:p w:rsidR="00260BA4" w:rsidRPr="00141927" w:rsidRDefault="00260BA4" w:rsidP="00D7100C">
            <w:pPr>
              <w:jc w:val="right"/>
              <w:rPr>
                <w:b/>
                <w:bCs/>
                <w:color w:val="000000"/>
                <w:sz w:val="22"/>
                <w:szCs w:val="22"/>
                <w:lang w:val="es-GT" w:eastAsia="es-GT"/>
              </w:rPr>
            </w:pPr>
            <w:r w:rsidRPr="00141927">
              <w:rPr>
                <w:b/>
                <w:bCs/>
                <w:color w:val="000000"/>
                <w:sz w:val="22"/>
                <w:szCs w:val="22"/>
                <w:lang w:val="es-GT" w:eastAsia="es-GT"/>
              </w:rPr>
              <w:t>5,263.4</w:t>
            </w:r>
          </w:p>
        </w:tc>
        <w:tc>
          <w:tcPr>
            <w:tcW w:w="1417"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right"/>
              <w:rPr>
                <w:b/>
                <w:bCs/>
                <w:color w:val="000000"/>
                <w:sz w:val="22"/>
                <w:szCs w:val="22"/>
                <w:lang w:val="es-GT" w:eastAsia="es-GT"/>
              </w:rPr>
            </w:pPr>
            <w:r w:rsidRPr="00141927">
              <w:rPr>
                <w:b/>
                <w:bCs/>
                <w:color w:val="000000"/>
                <w:sz w:val="22"/>
                <w:szCs w:val="22"/>
                <w:lang w:val="es-GT" w:eastAsia="es-GT"/>
              </w:rPr>
              <w:t>3,743.0</w:t>
            </w:r>
          </w:p>
        </w:tc>
        <w:tc>
          <w:tcPr>
            <w:tcW w:w="1418"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right"/>
              <w:rPr>
                <w:b/>
                <w:bCs/>
                <w:color w:val="000000"/>
                <w:sz w:val="22"/>
                <w:szCs w:val="22"/>
                <w:lang w:val="es-GT" w:eastAsia="es-GT"/>
              </w:rPr>
            </w:pPr>
            <w:r w:rsidRPr="00141927">
              <w:rPr>
                <w:b/>
                <w:bCs/>
                <w:color w:val="000000"/>
                <w:sz w:val="22"/>
                <w:szCs w:val="22"/>
                <w:lang w:val="es-GT" w:eastAsia="es-GT"/>
              </w:rPr>
              <w:t>1,520.4</w:t>
            </w:r>
          </w:p>
        </w:tc>
        <w:tc>
          <w:tcPr>
            <w:tcW w:w="1417" w:type="dxa"/>
            <w:tcBorders>
              <w:top w:val="nil"/>
              <w:left w:val="nil"/>
              <w:bottom w:val="nil"/>
              <w:right w:val="single" w:sz="8" w:space="0" w:color="auto"/>
            </w:tcBorders>
            <w:shd w:val="clear" w:color="auto" w:fill="auto"/>
            <w:noWrap/>
            <w:vAlign w:val="bottom"/>
            <w:hideMark/>
          </w:tcPr>
          <w:p w:rsidR="00260BA4" w:rsidRPr="008F6D58" w:rsidRDefault="00260BA4" w:rsidP="00D7100C">
            <w:pPr>
              <w:jc w:val="right"/>
              <w:rPr>
                <w:b/>
                <w:color w:val="000000"/>
                <w:sz w:val="22"/>
                <w:szCs w:val="22"/>
                <w:lang w:val="es-GT" w:eastAsia="es-GT"/>
              </w:rPr>
            </w:pPr>
            <w:r w:rsidRPr="008F6D58">
              <w:rPr>
                <w:b/>
                <w:color w:val="000000"/>
                <w:sz w:val="22"/>
                <w:szCs w:val="22"/>
                <w:lang w:val="es-GT" w:eastAsia="es-GT"/>
              </w:rPr>
              <w:t>71.1%</w:t>
            </w:r>
          </w:p>
        </w:tc>
      </w:tr>
      <w:tr w:rsidR="00260BA4" w:rsidRPr="00141927" w:rsidTr="008F6D58">
        <w:trPr>
          <w:trHeight w:val="375"/>
        </w:trPr>
        <w:tc>
          <w:tcPr>
            <w:tcW w:w="3392" w:type="dxa"/>
            <w:tcBorders>
              <w:top w:val="nil"/>
              <w:left w:val="single" w:sz="8" w:space="0" w:color="auto"/>
              <w:bottom w:val="nil"/>
              <w:right w:val="nil"/>
            </w:tcBorders>
            <w:shd w:val="clear" w:color="auto" w:fill="auto"/>
            <w:noWrap/>
            <w:vAlign w:val="center"/>
            <w:hideMark/>
          </w:tcPr>
          <w:p w:rsidR="00260BA4" w:rsidRPr="00141927" w:rsidRDefault="00260BA4" w:rsidP="00D7100C">
            <w:pPr>
              <w:jc w:val="both"/>
              <w:rPr>
                <w:color w:val="000000"/>
                <w:sz w:val="22"/>
                <w:szCs w:val="22"/>
                <w:lang w:val="es-GT" w:eastAsia="es-GT"/>
              </w:rPr>
            </w:pPr>
            <w:r w:rsidRPr="00141927">
              <w:rPr>
                <w:color w:val="000000"/>
                <w:sz w:val="22"/>
                <w:szCs w:val="22"/>
                <w:lang w:val="es-GT" w:eastAsia="es-GT"/>
              </w:rPr>
              <w:t>Ministerio de Salud Pública</w:t>
            </w:r>
          </w:p>
        </w:tc>
        <w:tc>
          <w:tcPr>
            <w:tcW w:w="1418" w:type="dxa"/>
            <w:tcBorders>
              <w:top w:val="nil"/>
              <w:left w:val="single" w:sz="4" w:space="0" w:color="auto"/>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4,439.7</w:t>
            </w:r>
          </w:p>
        </w:tc>
        <w:tc>
          <w:tcPr>
            <w:tcW w:w="1417"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2,988.2</w:t>
            </w:r>
          </w:p>
        </w:tc>
        <w:tc>
          <w:tcPr>
            <w:tcW w:w="1418"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1,451.5</w:t>
            </w:r>
          </w:p>
        </w:tc>
        <w:tc>
          <w:tcPr>
            <w:tcW w:w="1417"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67.3%</w:t>
            </w:r>
          </w:p>
        </w:tc>
      </w:tr>
      <w:tr w:rsidR="00260BA4" w:rsidRPr="00141927" w:rsidTr="008F6D58">
        <w:trPr>
          <w:trHeight w:val="375"/>
        </w:trPr>
        <w:tc>
          <w:tcPr>
            <w:tcW w:w="3392" w:type="dxa"/>
            <w:tcBorders>
              <w:top w:val="nil"/>
              <w:left w:val="single" w:sz="8" w:space="0" w:color="auto"/>
              <w:bottom w:val="nil"/>
              <w:right w:val="nil"/>
            </w:tcBorders>
            <w:shd w:val="clear" w:color="auto" w:fill="auto"/>
            <w:noWrap/>
            <w:vAlign w:val="center"/>
            <w:hideMark/>
          </w:tcPr>
          <w:p w:rsidR="00260BA4" w:rsidRPr="00141927" w:rsidRDefault="00260BA4" w:rsidP="00D7100C">
            <w:pPr>
              <w:jc w:val="both"/>
              <w:rPr>
                <w:color w:val="000000"/>
                <w:sz w:val="22"/>
                <w:szCs w:val="22"/>
                <w:lang w:val="es-GT" w:eastAsia="es-GT"/>
              </w:rPr>
            </w:pPr>
            <w:r w:rsidRPr="00141927">
              <w:rPr>
                <w:color w:val="000000"/>
                <w:sz w:val="22"/>
                <w:szCs w:val="22"/>
                <w:lang w:val="es-GT" w:eastAsia="es-GT"/>
              </w:rPr>
              <w:t>Ministerio de Agricultura</w:t>
            </w:r>
          </w:p>
        </w:tc>
        <w:tc>
          <w:tcPr>
            <w:tcW w:w="1418" w:type="dxa"/>
            <w:tcBorders>
              <w:top w:val="nil"/>
              <w:left w:val="single" w:sz="4" w:space="0" w:color="auto"/>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113.3</w:t>
            </w:r>
          </w:p>
        </w:tc>
        <w:tc>
          <w:tcPr>
            <w:tcW w:w="1417"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113.3</w:t>
            </w:r>
          </w:p>
        </w:tc>
        <w:tc>
          <w:tcPr>
            <w:tcW w:w="1418"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0.0</w:t>
            </w:r>
          </w:p>
        </w:tc>
        <w:tc>
          <w:tcPr>
            <w:tcW w:w="1417"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100.0%</w:t>
            </w:r>
          </w:p>
        </w:tc>
      </w:tr>
      <w:tr w:rsidR="00260BA4" w:rsidRPr="00141927" w:rsidTr="008F6D58">
        <w:trPr>
          <w:trHeight w:val="375"/>
        </w:trPr>
        <w:tc>
          <w:tcPr>
            <w:tcW w:w="3392" w:type="dxa"/>
            <w:tcBorders>
              <w:top w:val="nil"/>
              <w:left w:val="single" w:sz="8" w:space="0" w:color="auto"/>
              <w:bottom w:val="nil"/>
              <w:right w:val="nil"/>
            </w:tcBorders>
            <w:shd w:val="clear" w:color="auto" w:fill="auto"/>
            <w:noWrap/>
            <w:vAlign w:val="center"/>
            <w:hideMark/>
          </w:tcPr>
          <w:p w:rsidR="00260BA4" w:rsidRPr="00141927" w:rsidRDefault="00260BA4" w:rsidP="00D7100C">
            <w:pPr>
              <w:jc w:val="both"/>
              <w:rPr>
                <w:color w:val="000000"/>
                <w:sz w:val="22"/>
                <w:szCs w:val="22"/>
                <w:lang w:val="es-GT" w:eastAsia="es-GT"/>
              </w:rPr>
            </w:pPr>
            <w:r w:rsidRPr="00141927">
              <w:rPr>
                <w:color w:val="000000"/>
                <w:sz w:val="22"/>
                <w:szCs w:val="22"/>
                <w:lang w:val="es-GT" w:eastAsia="es-GT"/>
              </w:rPr>
              <w:t>Ministerio de Comunicaciones</w:t>
            </w:r>
          </w:p>
        </w:tc>
        <w:tc>
          <w:tcPr>
            <w:tcW w:w="1418" w:type="dxa"/>
            <w:tcBorders>
              <w:top w:val="nil"/>
              <w:left w:val="single" w:sz="4" w:space="0" w:color="auto"/>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584.9</w:t>
            </w:r>
          </w:p>
        </w:tc>
        <w:tc>
          <w:tcPr>
            <w:tcW w:w="1417"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521.2</w:t>
            </w:r>
          </w:p>
        </w:tc>
        <w:tc>
          <w:tcPr>
            <w:tcW w:w="1418"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63.6</w:t>
            </w:r>
          </w:p>
        </w:tc>
        <w:tc>
          <w:tcPr>
            <w:tcW w:w="1417"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89.1%</w:t>
            </w:r>
          </w:p>
        </w:tc>
      </w:tr>
      <w:tr w:rsidR="00260BA4" w:rsidRPr="00141927" w:rsidTr="008F6D58">
        <w:trPr>
          <w:trHeight w:val="375"/>
        </w:trPr>
        <w:tc>
          <w:tcPr>
            <w:tcW w:w="3392" w:type="dxa"/>
            <w:tcBorders>
              <w:top w:val="nil"/>
              <w:left w:val="single" w:sz="8" w:space="0" w:color="auto"/>
              <w:bottom w:val="nil"/>
              <w:right w:val="nil"/>
            </w:tcBorders>
            <w:shd w:val="clear" w:color="auto" w:fill="auto"/>
            <w:noWrap/>
            <w:vAlign w:val="center"/>
            <w:hideMark/>
          </w:tcPr>
          <w:p w:rsidR="00260BA4" w:rsidRPr="00141927" w:rsidRDefault="00260BA4" w:rsidP="00D7100C">
            <w:pPr>
              <w:jc w:val="both"/>
              <w:rPr>
                <w:color w:val="000000"/>
                <w:sz w:val="22"/>
                <w:szCs w:val="22"/>
                <w:lang w:val="es-GT" w:eastAsia="es-GT"/>
              </w:rPr>
            </w:pPr>
            <w:r w:rsidRPr="00141927">
              <w:rPr>
                <w:color w:val="000000"/>
                <w:sz w:val="22"/>
                <w:szCs w:val="22"/>
                <w:lang w:val="es-GT" w:eastAsia="es-GT"/>
              </w:rPr>
              <w:t>Ministerio de Cultura</w:t>
            </w:r>
            <w:r w:rsidR="008F6D58">
              <w:rPr>
                <w:color w:val="000000"/>
                <w:sz w:val="22"/>
                <w:szCs w:val="22"/>
                <w:lang w:val="es-GT" w:eastAsia="es-GT"/>
              </w:rPr>
              <w:t xml:space="preserve"> y Deportes</w:t>
            </w:r>
          </w:p>
        </w:tc>
        <w:tc>
          <w:tcPr>
            <w:tcW w:w="1418" w:type="dxa"/>
            <w:tcBorders>
              <w:top w:val="nil"/>
              <w:left w:val="single" w:sz="4" w:space="0" w:color="auto"/>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1.8</w:t>
            </w:r>
          </w:p>
        </w:tc>
        <w:tc>
          <w:tcPr>
            <w:tcW w:w="1417"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1.8</w:t>
            </w:r>
          </w:p>
        </w:tc>
        <w:tc>
          <w:tcPr>
            <w:tcW w:w="1418"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0.0</w:t>
            </w:r>
          </w:p>
        </w:tc>
        <w:tc>
          <w:tcPr>
            <w:tcW w:w="1417"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100.0%</w:t>
            </w:r>
          </w:p>
        </w:tc>
      </w:tr>
      <w:tr w:rsidR="00260BA4" w:rsidRPr="00141927" w:rsidTr="008F6D58">
        <w:trPr>
          <w:trHeight w:val="375"/>
        </w:trPr>
        <w:tc>
          <w:tcPr>
            <w:tcW w:w="3392" w:type="dxa"/>
            <w:tcBorders>
              <w:top w:val="nil"/>
              <w:left w:val="single" w:sz="8" w:space="0" w:color="auto"/>
              <w:bottom w:val="nil"/>
              <w:right w:val="nil"/>
            </w:tcBorders>
            <w:shd w:val="clear" w:color="auto" w:fill="auto"/>
            <w:noWrap/>
            <w:vAlign w:val="center"/>
            <w:hideMark/>
          </w:tcPr>
          <w:p w:rsidR="00260BA4" w:rsidRPr="00141927" w:rsidRDefault="00260BA4" w:rsidP="00D7100C">
            <w:pPr>
              <w:jc w:val="both"/>
              <w:rPr>
                <w:color w:val="000000"/>
                <w:sz w:val="22"/>
                <w:szCs w:val="22"/>
                <w:lang w:val="es-GT" w:eastAsia="es-GT"/>
              </w:rPr>
            </w:pPr>
            <w:r w:rsidRPr="00141927">
              <w:rPr>
                <w:color w:val="000000"/>
                <w:sz w:val="22"/>
                <w:szCs w:val="22"/>
                <w:lang w:val="es-GT" w:eastAsia="es-GT"/>
              </w:rPr>
              <w:t>Secretar</w:t>
            </w:r>
            <w:r w:rsidR="008F6D58">
              <w:rPr>
                <w:color w:val="000000"/>
                <w:sz w:val="22"/>
                <w:szCs w:val="22"/>
                <w:lang w:val="es-GT" w:eastAsia="es-GT"/>
              </w:rPr>
              <w:t>í</w:t>
            </w:r>
            <w:r w:rsidRPr="00141927">
              <w:rPr>
                <w:color w:val="000000"/>
                <w:sz w:val="22"/>
                <w:szCs w:val="22"/>
                <w:lang w:val="es-GT" w:eastAsia="es-GT"/>
              </w:rPr>
              <w:t>as</w:t>
            </w:r>
            <w:r w:rsidR="008F6D58">
              <w:rPr>
                <w:color w:val="000000"/>
                <w:sz w:val="22"/>
                <w:szCs w:val="22"/>
                <w:lang w:val="es-GT" w:eastAsia="es-GT"/>
              </w:rPr>
              <w:t xml:space="preserve"> y Otras Dependencias</w:t>
            </w:r>
          </w:p>
        </w:tc>
        <w:tc>
          <w:tcPr>
            <w:tcW w:w="1418" w:type="dxa"/>
            <w:tcBorders>
              <w:top w:val="nil"/>
              <w:left w:val="single" w:sz="4" w:space="0" w:color="auto"/>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15.0</w:t>
            </w:r>
          </w:p>
        </w:tc>
        <w:tc>
          <w:tcPr>
            <w:tcW w:w="1417"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13.7</w:t>
            </w:r>
          </w:p>
        </w:tc>
        <w:tc>
          <w:tcPr>
            <w:tcW w:w="1418" w:type="dxa"/>
            <w:tcBorders>
              <w:top w:val="nil"/>
              <w:left w:val="nil"/>
              <w:bottom w:val="nil"/>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1.3</w:t>
            </w:r>
          </w:p>
        </w:tc>
        <w:tc>
          <w:tcPr>
            <w:tcW w:w="1417" w:type="dxa"/>
            <w:tcBorders>
              <w:top w:val="nil"/>
              <w:left w:val="nil"/>
              <w:bottom w:val="nil"/>
              <w:right w:val="single" w:sz="8"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91.5%</w:t>
            </w:r>
          </w:p>
        </w:tc>
      </w:tr>
      <w:tr w:rsidR="00260BA4" w:rsidRPr="00141927" w:rsidTr="008F6D58">
        <w:trPr>
          <w:trHeight w:val="330"/>
        </w:trPr>
        <w:tc>
          <w:tcPr>
            <w:tcW w:w="3392" w:type="dxa"/>
            <w:tcBorders>
              <w:top w:val="nil"/>
              <w:left w:val="single" w:sz="8" w:space="0" w:color="auto"/>
              <w:bottom w:val="single" w:sz="8" w:space="0" w:color="auto"/>
              <w:right w:val="nil"/>
            </w:tcBorders>
            <w:shd w:val="clear" w:color="auto" w:fill="auto"/>
            <w:noWrap/>
            <w:vAlign w:val="center"/>
            <w:hideMark/>
          </w:tcPr>
          <w:p w:rsidR="00260BA4" w:rsidRPr="00141927" w:rsidRDefault="00260BA4" w:rsidP="00D7100C">
            <w:pPr>
              <w:jc w:val="both"/>
              <w:rPr>
                <w:color w:val="000000"/>
                <w:sz w:val="22"/>
                <w:szCs w:val="22"/>
                <w:lang w:val="es-GT" w:eastAsia="es-GT"/>
              </w:rPr>
            </w:pPr>
            <w:r w:rsidRPr="00141927">
              <w:rPr>
                <w:color w:val="000000"/>
                <w:sz w:val="22"/>
                <w:szCs w:val="22"/>
                <w:lang w:val="es-GT" w:eastAsia="es-GT"/>
              </w:rPr>
              <w:t>Ministerio de Desarrollo Social</w:t>
            </w:r>
          </w:p>
        </w:tc>
        <w:tc>
          <w:tcPr>
            <w:tcW w:w="1418" w:type="dxa"/>
            <w:tcBorders>
              <w:top w:val="nil"/>
              <w:left w:val="single" w:sz="4" w:space="0" w:color="auto"/>
              <w:bottom w:val="single" w:sz="8" w:space="0" w:color="auto"/>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108.7</w:t>
            </w:r>
          </w:p>
        </w:tc>
        <w:tc>
          <w:tcPr>
            <w:tcW w:w="1417" w:type="dxa"/>
            <w:tcBorders>
              <w:top w:val="nil"/>
              <w:left w:val="nil"/>
              <w:bottom w:val="single" w:sz="8" w:space="0" w:color="auto"/>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104.7</w:t>
            </w:r>
          </w:p>
        </w:tc>
        <w:tc>
          <w:tcPr>
            <w:tcW w:w="1418" w:type="dxa"/>
            <w:tcBorders>
              <w:top w:val="nil"/>
              <w:left w:val="nil"/>
              <w:bottom w:val="single" w:sz="8" w:space="0" w:color="auto"/>
              <w:right w:val="single" w:sz="4"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4.0</w:t>
            </w:r>
          </w:p>
        </w:tc>
        <w:tc>
          <w:tcPr>
            <w:tcW w:w="1417" w:type="dxa"/>
            <w:tcBorders>
              <w:top w:val="nil"/>
              <w:left w:val="nil"/>
              <w:bottom w:val="single" w:sz="8" w:space="0" w:color="auto"/>
              <w:right w:val="single" w:sz="8" w:space="0" w:color="auto"/>
            </w:tcBorders>
            <w:shd w:val="clear" w:color="auto" w:fill="auto"/>
            <w:noWrap/>
            <w:vAlign w:val="bottom"/>
            <w:hideMark/>
          </w:tcPr>
          <w:p w:rsidR="00260BA4" w:rsidRPr="00141927" w:rsidRDefault="00260BA4" w:rsidP="00D7100C">
            <w:pPr>
              <w:jc w:val="right"/>
              <w:rPr>
                <w:color w:val="000000"/>
                <w:sz w:val="22"/>
                <w:szCs w:val="22"/>
                <w:lang w:val="es-GT" w:eastAsia="es-GT"/>
              </w:rPr>
            </w:pPr>
            <w:r w:rsidRPr="00141927">
              <w:rPr>
                <w:color w:val="000000"/>
                <w:sz w:val="22"/>
                <w:szCs w:val="22"/>
                <w:lang w:val="es-GT" w:eastAsia="es-GT"/>
              </w:rPr>
              <w:t>96.3%</w:t>
            </w:r>
          </w:p>
        </w:tc>
      </w:tr>
    </w:tbl>
    <w:p w:rsidR="00260BA4" w:rsidRDefault="00260BA4" w:rsidP="00260BA4">
      <w:pPr>
        <w:jc w:val="both"/>
        <w:rPr>
          <w:sz w:val="18"/>
        </w:rPr>
      </w:pPr>
      <w:r>
        <w:rPr>
          <w:sz w:val="18"/>
        </w:rPr>
        <w:t>*Cifras Preliminares</w:t>
      </w:r>
    </w:p>
    <w:p w:rsidR="001B1806" w:rsidRDefault="001B1806" w:rsidP="001B1806">
      <w:pPr>
        <w:jc w:val="both"/>
        <w:rPr>
          <w:sz w:val="18"/>
        </w:rPr>
      </w:pPr>
      <w:r>
        <w:rPr>
          <w:sz w:val="18"/>
        </w:rPr>
        <w:t xml:space="preserve">  </w:t>
      </w:r>
      <w:r w:rsidRPr="008C5ECD">
        <w:rPr>
          <w:sz w:val="18"/>
        </w:rPr>
        <w:t>Fuente: Ministerio de Finanzas Públicas.</w:t>
      </w:r>
    </w:p>
    <w:p w:rsidR="001B1806" w:rsidRDefault="001B1806" w:rsidP="00260BA4">
      <w:pPr>
        <w:jc w:val="both"/>
        <w:rPr>
          <w:sz w:val="18"/>
        </w:rPr>
      </w:pPr>
    </w:p>
    <w:p w:rsidR="001B1806" w:rsidRPr="001B1806" w:rsidRDefault="001B1806" w:rsidP="00260BA4">
      <w:pPr>
        <w:jc w:val="both"/>
      </w:pPr>
    </w:p>
    <w:p w:rsidR="00260BA4" w:rsidRPr="0041662A" w:rsidRDefault="00260BA4" w:rsidP="00260BA4">
      <w:pPr>
        <w:pStyle w:val="Ttulo2"/>
        <w:numPr>
          <w:ilvl w:val="0"/>
          <w:numId w:val="3"/>
        </w:numPr>
        <w:spacing w:line="276" w:lineRule="auto"/>
        <w:ind w:left="567" w:hanging="567"/>
        <w:rPr>
          <w:rFonts w:ascii="Times New Roman" w:hAnsi="Times New Roman"/>
          <w:color w:val="auto"/>
          <w:sz w:val="24"/>
          <w:szCs w:val="24"/>
        </w:rPr>
      </w:pPr>
      <w:bookmarkStart w:id="27" w:name="_Toc98924139"/>
      <w:r w:rsidRPr="0041662A">
        <w:rPr>
          <w:rFonts w:ascii="Times New Roman" w:hAnsi="Times New Roman"/>
          <w:color w:val="auto"/>
          <w:sz w:val="24"/>
          <w:szCs w:val="24"/>
        </w:rPr>
        <w:t>Déficit Fiscal Sostenible</w:t>
      </w:r>
      <w:bookmarkEnd w:id="27"/>
    </w:p>
    <w:p w:rsidR="00260BA4" w:rsidRPr="00DF703E" w:rsidRDefault="00260BA4" w:rsidP="00260BA4">
      <w:pPr>
        <w:rPr>
          <w:sz w:val="20"/>
        </w:rPr>
      </w:pPr>
    </w:p>
    <w:p w:rsidR="00260BA4" w:rsidRDefault="00260BA4" w:rsidP="00260BA4">
      <w:pPr>
        <w:jc w:val="both"/>
        <w:rPr>
          <w:lang w:val="es-GT"/>
        </w:rPr>
      </w:pPr>
      <w:r>
        <w:rPr>
          <w:lang w:val="es-GT"/>
        </w:rPr>
        <w:t>Durante la serie 200</w:t>
      </w:r>
      <w:r w:rsidR="00613371">
        <w:rPr>
          <w:lang w:val="es-GT"/>
        </w:rPr>
        <w:t>1</w:t>
      </w:r>
      <w:r>
        <w:rPr>
          <w:lang w:val="es-GT"/>
        </w:rPr>
        <w:t>-2021 el déficit ha presentado una tendencia errática acorde a las variaciones de los ciclos económicos y a las medidas de política económica asumidas por el gobierno para atenuar el efecto los acontecimientos.</w:t>
      </w:r>
    </w:p>
    <w:p w:rsidR="00260BA4" w:rsidRDefault="00260BA4" w:rsidP="00260BA4">
      <w:pPr>
        <w:jc w:val="both"/>
        <w:rPr>
          <w:lang w:val="es-GT"/>
        </w:rPr>
      </w:pPr>
    </w:p>
    <w:p w:rsidR="00260BA4" w:rsidRDefault="00260BA4" w:rsidP="00260BA4">
      <w:pPr>
        <w:jc w:val="both"/>
      </w:pPr>
      <w:r>
        <w:rPr>
          <w:lang w:val="es-GT"/>
        </w:rPr>
        <w:t xml:space="preserve">El resultado presupuestario </w:t>
      </w:r>
      <w:r w:rsidR="00E508CB">
        <w:rPr>
          <w:lang w:val="es-GT"/>
        </w:rPr>
        <w:t xml:space="preserve">del período </w:t>
      </w:r>
      <w:r>
        <w:rPr>
          <w:lang w:val="es-GT"/>
        </w:rPr>
        <w:t>en promedio presenta un déficit de 2.0%</w:t>
      </w:r>
      <w:r w:rsidR="00E508CB">
        <w:rPr>
          <w:lang w:val="es-GT"/>
        </w:rPr>
        <w:t>;</w:t>
      </w:r>
      <w:r>
        <w:rPr>
          <w:lang w:val="es-GT"/>
        </w:rPr>
        <w:t xml:space="preserve"> resalta</w:t>
      </w:r>
      <w:r w:rsidR="00E508CB">
        <w:rPr>
          <w:lang w:val="es-GT"/>
        </w:rPr>
        <w:t>n</w:t>
      </w:r>
      <w:r>
        <w:rPr>
          <w:lang w:val="es-GT"/>
        </w:rPr>
        <w:t xml:space="preserve"> los picos más altos en 2009, como resultado de la crisis financiera internacional </w:t>
      </w:r>
      <w:r>
        <w:t>y en particular la recesión de los Estados Unidos</w:t>
      </w:r>
      <w:r w:rsidR="00E508CB">
        <w:t xml:space="preserve"> de América</w:t>
      </w:r>
      <w:r>
        <w:t>, ante una disminución de las exportaciones, las remesas, la inversión extranjera directa y el turismo.</w:t>
      </w:r>
    </w:p>
    <w:p w:rsidR="00260BA4" w:rsidRDefault="00260BA4" w:rsidP="00260BA4">
      <w:pPr>
        <w:jc w:val="both"/>
      </w:pPr>
    </w:p>
    <w:p w:rsidR="00260BA4" w:rsidRDefault="00260BA4" w:rsidP="00260BA4">
      <w:pPr>
        <w:jc w:val="both"/>
      </w:pPr>
      <w:r>
        <w:t xml:space="preserve">En el 2010 la economía registró un déficit de 3.3% debido a la política fiscal expansiva aplicada para la recuperación económica después de la crisis financiera internacional y debido a los efectos de la erupción del volcán </w:t>
      </w:r>
      <w:r w:rsidR="00E508CB">
        <w:t xml:space="preserve">de </w:t>
      </w:r>
      <w:r>
        <w:t>Pacaya y la tormenta tropical Agatha que afectaron negativamente la actividad productiva del país.</w:t>
      </w:r>
    </w:p>
    <w:p w:rsidR="00260BA4" w:rsidRDefault="00260BA4" w:rsidP="00260BA4">
      <w:pPr>
        <w:jc w:val="both"/>
        <w:rPr>
          <w:lang w:val="es-GT"/>
        </w:rPr>
      </w:pPr>
    </w:p>
    <w:p w:rsidR="00260BA4" w:rsidRDefault="00260BA4" w:rsidP="00260BA4">
      <w:pPr>
        <w:jc w:val="both"/>
        <w:rPr>
          <w:lang w:val="es-GT"/>
        </w:rPr>
      </w:pPr>
      <w:r>
        <w:rPr>
          <w:lang w:val="es-GT"/>
        </w:rPr>
        <w:t>En 2020 el resultado presupuestario fue un déficit de 4.9%</w:t>
      </w:r>
      <w:r w:rsidRPr="006A4B53">
        <w:rPr>
          <w:lang w:val="es-GT"/>
        </w:rPr>
        <w:t xml:space="preserve">, </w:t>
      </w:r>
      <w:r w:rsidR="00E508CB">
        <w:rPr>
          <w:lang w:val="es-GT"/>
        </w:rPr>
        <w:t xml:space="preserve">ya que </w:t>
      </w:r>
      <w:r w:rsidRPr="006A4B53">
        <w:rPr>
          <w:lang w:val="es-GT"/>
        </w:rPr>
        <w:t xml:space="preserve">la crisis sanitaria </w:t>
      </w:r>
      <w:r w:rsidR="00E508CB">
        <w:rPr>
          <w:lang w:val="es-GT"/>
        </w:rPr>
        <w:t>derivada de</w:t>
      </w:r>
      <w:r w:rsidRPr="006A4B53">
        <w:rPr>
          <w:lang w:val="es-GT"/>
        </w:rPr>
        <w:t xml:space="preserve">l </w:t>
      </w:r>
      <w:r w:rsidR="00E508CB">
        <w:rPr>
          <w:lang w:val="es-GT"/>
        </w:rPr>
        <w:t>C</w:t>
      </w:r>
      <w:r w:rsidRPr="006A4B53">
        <w:rPr>
          <w:lang w:val="es-GT"/>
        </w:rPr>
        <w:t>ovid-19</w:t>
      </w:r>
      <w:r w:rsidR="00E508CB">
        <w:rPr>
          <w:lang w:val="es-GT"/>
        </w:rPr>
        <w:t>,</w:t>
      </w:r>
      <w:r w:rsidRPr="006A4B53">
        <w:rPr>
          <w:lang w:val="es-GT"/>
        </w:rPr>
        <w:t xml:space="preserve"> obligó a incrementar la contratación de nueva deuda</w:t>
      </w:r>
      <w:r>
        <w:rPr>
          <w:lang w:val="es-GT"/>
        </w:rPr>
        <w:t xml:space="preserve"> para a</w:t>
      </w:r>
      <w:r w:rsidRPr="006A4B53">
        <w:rPr>
          <w:lang w:val="es-GT"/>
        </w:rPr>
        <w:t>tender y brindar respuesta al coronavirus</w:t>
      </w:r>
      <w:r>
        <w:rPr>
          <w:lang w:val="es-GT"/>
        </w:rPr>
        <w:t xml:space="preserve">. </w:t>
      </w:r>
      <w:r w:rsidRPr="006A4B53">
        <w:rPr>
          <w:lang w:val="es-GT"/>
        </w:rPr>
        <w:t xml:space="preserve">La </w:t>
      </w:r>
      <w:r>
        <w:rPr>
          <w:lang w:val="es-GT"/>
        </w:rPr>
        <w:t xml:space="preserve">intervención fue a través de </w:t>
      </w:r>
      <w:r w:rsidRPr="006A4B53">
        <w:rPr>
          <w:lang w:val="es-GT"/>
        </w:rPr>
        <w:t>la política fiscal para enfrentar la crisis e impulsar la reactivación económica</w:t>
      </w:r>
      <w:r>
        <w:rPr>
          <w:lang w:val="es-GT"/>
        </w:rPr>
        <w:t>.</w:t>
      </w:r>
    </w:p>
    <w:p w:rsidR="001B1806" w:rsidRDefault="001B1806" w:rsidP="00260BA4">
      <w:pPr>
        <w:jc w:val="both"/>
        <w:rPr>
          <w:lang w:val="es-GT"/>
        </w:rPr>
      </w:pPr>
    </w:p>
    <w:p w:rsidR="00260BA4" w:rsidRDefault="00260BA4" w:rsidP="00260BA4">
      <w:pPr>
        <w:jc w:val="both"/>
      </w:pPr>
      <w:r>
        <w:rPr>
          <w:lang w:val="es-GT"/>
        </w:rPr>
        <w:t xml:space="preserve">Con el resultado presupuestario -1.2% para 2021, el déficit como porcentaje del PIB se ubica por debajo del promedio de 2.0% de los últimos 22 años. </w:t>
      </w:r>
      <w:r w:rsidRPr="00124AD6">
        <w:t>Esta situación</w:t>
      </w:r>
      <w:r>
        <w:t xml:space="preserve"> propicia que debe mantenerse </w:t>
      </w:r>
      <w:r w:rsidR="00E508CB">
        <w:lastRenderedPageBreak/>
        <w:t xml:space="preserve">en </w:t>
      </w:r>
      <w:r>
        <w:t>el control de l</w:t>
      </w:r>
      <w:r w:rsidRPr="00124AD6">
        <w:t xml:space="preserve">a senda de consolidación fiscal y </w:t>
      </w:r>
      <w:r>
        <w:t>generar</w:t>
      </w:r>
      <w:r w:rsidRPr="00124AD6">
        <w:t xml:space="preserve"> las condiciones para preservar la estabilidad macroeconómica y la sostenibilidad </w:t>
      </w:r>
      <w:r>
        <w:t xml:space="preserve">de la política </w:t>
      </w:r>
      <w:r w:rsidRPr="00124AD6">
        <w:t>fiscal en el mediano plazo.</w:t>
      </w:r>
    </w:p>
    <w:p w:rsidR="00E508CB" w:rsidRPr="00124AD6" w:rsidRDefault="00E508CB" w:rsidP="00260BA4">
      <w:pPr>
        <w:jc w:val="both"/>
      </w:pPr>
    </w:p>
    <w:p w:rsidR="00260BA4" w:rsidRDefault="00260BA4" w:rsidP="00260BA4">
      <w:pPr>
        <w:jc w:val="both"/>
      </w:pPr>
      <w:r w:rsidRPr="00124AD6">
        <w:t xml:space="preserve">Dentro de los objetivos de la política fiscal se incluye elevar la recaudación de ingresos tributarios, combatir la evasión y el contrabando, lograr la sostenibilidad de los niveles de endeudamiento, así como </w:t>
      </w:r>
      <w:r>
        <w:t>mantener</w:t>
      </w:r>
      <w:r w:rsidRPr="00124AD6">
        <w:t xml:space="preserve"> la transparencia </w:t>
      </w:r>
      <w:r>
        <w:t xml:space="preserve">fiscal </w:t>
      </w:r>
      <w:r w:rsidRPr="00124AD6">
        <w:t xml:space="preserve">y </w:t>
      </w:r>
      <w:r>
        <w:t xml:space="preserve">la </w:t>
      </w:r>
      <w:r w:rsidRPr="00124AD6">
        <w:t>calidad del gasto público</w:t>
      </w:r>
      <w:r>
        <w:t>,</w:t>
      </w:r>
      <w:r w:rsidRPr="00124AD6">
        <w:t xml:space="preserve"> enfocados en el logro de los resultados y una mejor asignación de los recursos</w:t>
      </w:r>
      <w:r>
        <w:t>, priorizando el gasto social.</w:t>
      </w:r>
    </w:p>
    <w:p w:rsidR="00260BA4" w:rsidRDefault="00260BA4" w:rsidP="00260BA4">
      <w:pPr>
        <w:jc w:val="both"/>
      </w:pPr>
    </w:p>
    <w:p w:rsidR="00260BA4" w:rsidRPr="00124AD6" w:rsidRDefault="00260BA4" w:rsidP="00260BA4">
      <w:pPr>
        <w:jc w:val="center"/>
        <w:rPr>
          <w:b/>
        </w:rPr>
      </w:pPr>
      <w:r w:rsidRPr="00124AD6">
        <w:rPr>
          <w:b/>
        </w:rPr>
        <w:t>Gráfica 1</w:t>
      </w:r>
      <w:r w:rsidR="00CD6BEB">
        <w:rPr>
          <w:b/>
        </w:rPr>
        <w:t>9</w:t>
      </w:r>
    </w:p>
    <w:p w:rsidR="00260BA4" w:rsidRPr="00124AD6" w:rsidRDefault="00260BA4" w:rsidP="00260BA4">
      <w:pPr>
        <w:pStyle w:val="NormalWeb"/>
        <w:spacing w:before="0" w:beforeAutospacing="0" w:after="0" w:afterAutospacing="0"/>
        <w:jc w:val="center"/>
        <w:rPr>
          <w:rFonts w:eastAsia="+mn-ea"/>
          <w:b/>
          <w:bCs/>
          <w:color w:val="000000"/>
          <w:kern w:val="24"/>
        </w:rPr>
      </w:pPr>
      <w:r w:rsidRPr="00124AD6">
        <w:rPr>
          <w:rFonts w:eastAsia="+mn-ea"/>
          <w:b/>
          <w:bCs/>
          <w:color w:val="000000"/>
          <w:kern w:val="24"/>
        </w:rPr>
        <w:t>Déficit de la Administración Central 200</w:t>
      </w:r>
      <w:r>
        <w:rPr>
          <w:rFonts w:eastAsia="+mn-ea"/>
          <w:b/>
          <w:bCs/>
          <w:color w:val="000000"/>
          <w:kern w:val="24"/>
        </w:rPr>
        <w:t xml:space="preserve">0 - </w:t>
      </w:r>
      <w:r w:rsidRPr="00124AD6">
        <w:rPr>
          <w:rFonts w:eastAsia="+mn-ea"/>
          <w:b/>
          <w:bCs/>
          <w:color w:val="000000"/>
          <w:kern w:val="24"/>
        </w:rPr>
        <w:t>20</w:t>
      </w:r>
      <w:r>
        <w:rPr>
          <w:rFonts w:eastAsia="+mn-ea"/>
          <w:b/>
          <w:bCs/>
          <w:color w:val="000000"/>
          <w:kern w:val="24"/>
        </w:rPr>
        <w:t>21*</w:t>
      </w:r>
    </w:p>
    <w:p w:rsidR="00260BA4" w:rsidRDefault="00260BA4" w:rsidP="00260BA4">
      <w:pPr>
        <w:pStyle w:val="NormalWeb"/>
        <w:spacing w:before="0" w:beforeAutospacing="0" w:after="0" w:afterAutospacing="0"/>
        <w:jc w:val="center"/>
        <w:rPr>
          <w:rFonts w:eastAsia="+mn-ea"/>
          <w:b/>
          <w:bCs/>
          <w:color w:val="000000"/>
          <w:kern w:val="24"/>
        </w:rPr>
      </w:pPr>
      <w:r>
        <w:rPr>
          <w:rFonts w:eastAsia="+mn-ea"/>
          <w:b/>
          <w:bCs/>
          <w:color w:val="000000"/>
          <w:kern w:val="24"/>
        </w:rPr>
        <w:t>(Porcentajes del PIB)</w:t>
      </w:r>
    </w:p>
    <w:p w:rsidR="00260BA4" w:rsidRDefault="00260BA4" w:rsidP="00260BA4">
      <w:pPr>
        <w:pStyle w:val="NormalWeb"/>
        <w:spacing w:before="0" w:beforeAutospacing="0" w:after="0" w:afterAutospacing="0"/>
        <w:jc w:val="center"/>
        <w:rPr>
          <w:rFonts w:eastAsia="+mn-ea"/>
          <w:b/>
          <w:bCs/>
          <w:color w:val="000000"/>
          <w:kern w:val="24"/>
        </w:rPr>
      </w:pPr>
      <w:r>
        <w:rPr>
          <w:noProof/>
        </w:rPr>
        <w:drawing>
          <wp:inline distT="0" distB="0" distL="0" distR="0" wp14:anchorId="13060685" wp14:editId="6934CD18">
            <wp:extent cx="5941060" cy="3190875"/>
            <wp:effectExtent l="0" t="0" r="2540" b="0"/>
            <wp:docPr id="3" name="Gráfico 3">
              <a:extLst xmlns:a="http://schemas.openxmlformats.org/drawingml/2006/main">
                <a:ext uri="{FF2B5EF4-FFF2-40B4-BE49-F238E27FC236}">
                  <a16:creationId xmlns:a16="http://schemas.microsoft.com/office/drawing/2014/main" id="{5358226D-DC5E-401D-80BE-C9365B9535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60BA4" w:rsidRPr="008C5ECD" w:rsidRDefault="00260BA4" w:rsidP="00260BA4">
      <w:pPr>
        <w:jc w:val="both"/>
        <w:rPr>
          <w:sz w:val="18"/>
          <w:lang w:val="es-GT"/>
        </w:rPr>
      </w:pPr>
      <w:r w:rsidRPr="008C5ECD">
        <w:rPr>
          <w:sz w:val="18"/>
          <w:lang w:val="es-GT"/>
        </w:rPr>
        <w:t>* Cifras preliminares</w:t>
      </w:r>
    </w:p>
    <w:p w:rsidR="00260BA4" w:rsidRPr="008C5ECD" w:rsidRDefault="00260BA4" w:rsidP="00260BA4">
      <w:pPr>
        <w:jc w:val="both"/>
        <w:rPr>
          <w:sz w:val="18"/>
        </w:rPr>
      </w:pPr>
      <w:r w:rsidRPr="008C5ECD">
        <w:rPr>
          <w:sz w:val="18"/>
        </w:rPr>
        <w:t xml:space="preserve">   Fuente: Ministerio de Finanzas Públicas.</w:t>
      </w:r>
    </w:p>
    <w:p w:rsidR="00260BA4" w:rsidRDefault="00260BA4" w:rsidP="00260BA4">
      <w:pPr>
        <w:jc w:val="both"/>
        <w:rPr>
          <w:lang w:val="es-MX"/>
        </w:rPr>
      </w:pPr>
    </w:p>
    <w:p w:rsidR="00D5721B" w:rsidRPr="0041662A" w:rsidRDefault="00B94C0A" w:rsidP="00D5721B">
      <w:pPr>
        <w:pStyle w:val="Ttulo2"/>
        <w:numPr>
          <w:ilvl w:val="0"/>
          <w:numId w:val="3"/>
        </w:numPr>
        <w:spacing w:line="276" w:lineRule="auto"/>
        <w:ind w:left="567" w:hanging="567"/>
        <w:rPr>
          <w:rFonts w:ascii="Times New Roman" w:hAnsi="Times New Roman"/>
          <w:color w:val="auto"/>
          <w:sz w:val="24"/>
          <w:szCs w:val="24"/>
        </w:rPr>
      </w:pPr>
      <w:bookmarkStart w:id="28" w:name="_Toc98924140"/>
      <w:r>
        <w:rPr>
          <w:rFonts w:ascii="Times New Roman" w:hAnsi="Times New Roman"/>
          <w:color w:val="auto"/>
          <w:sz w:val="24"/>
          <w:szCs w:val="24"/>
        </w:rPr>
        <w:t>Situación Financiera de la Administración Central</w:t>
      </w:r>
      <w:bookmarkEnd w:id="28"/>
    </w:p>
    <w:p w:rsidR="00260BA4" w:rsidRDefault="00260BA4" w:rsidP="00260BA4">
      <w:pPr>
        <w:jc w:val="both"/>
        <w:rPr>
          <w:sz w:val="20"/>
          <w:lang w:val="es-MX"/>
        </w:rPr>
      </w:pPr>
    </w:p>
    <w:p w:rsidR="00B94C0A" w:rsidRDefault="00B94C0A" w:rsidP="00B94C0A">
      <w:pPr>
        <w:jc w:val="both"/>
      </w:pPr>
      <w:r>
        <w:t xml:space="preserve">De conformidad con la situación financiera al 31 de diciembre de 2021, los Ingresos Totales se ubicaron en un monto de Q.82,185.9 millones, y estuvieron por arriba en 119.9% de lo estimado en el presupuesto aprobado que fue de Q.68,547.4 millones; este aumento preliminar se observa  principalmente en los Ingresos Tributarios, con Q.13,991.4 millones por arriba de lo presupuestado, equivalentes al </w:t>
      </w:r>
      <w:r w:rsidR="00B15F51">
        <w:t>1</w:t>
      </w:r>
      <w:r>
        <w:t>21.9%, el incremento se ubica en los Impuestos Directos con una recaudación mayor a lo presupuestado en 132.5%, mientras que los Impuestos Indirectos fueron mayores en 116.4%, los Ingresos No Tributarios se ejecutaron en Q.428.0 millones menos de lo asignado, equivalentes al 90.5%, mientras que los Ingresos de Capital se ejecutaron en Q.75.1 millones por arriba del asignado que fue de Q.3.4 millones.</w:t>
      </w:r>
    </w:p>
    <w:p w:rsidR="00B94C0A" w:rsidRDefault="00B94C0A" w:rsidP="00B94C0A">
      <w:pPr>
        <w:jc w:val="both"/>
      </w:pPr>
    </w:p>
    <w:p w:rsidR="00B94C0A" w:rsidRDefault="00B94C0A" w:rsidP="00B94C0A">
      <w:pPr>
        <w:jc w:val="both"/>
      </w:pPr>
      <w:r>
        <w:t xml:space="preserve">En lo referente a los Gastos Totales, sin incluir amortizaciones de la Deuda Pública, la ejecución preliminar es de Q.90,065.8 millones, que, en virtud que el presupuesto no fue aprobado, se toma </w:t>
      </w:r>
      <w:r>
        <w:lastRenderedPageBreak/>
        <w:t xml:space="preserve">el vigente del 2020, el cual estuvo afectado por los diferentes aumentos y fue de Q.103,427.1 millones, quedando por debajo en Q.13,361.3 millones, respecto </w:t>
      </w:r>
      <w:r w:rsidR="0097091C">
        <w:t>de</w:t>
      </w:r>
      <w:r>
        <w:t>l presupuesto aprobado, teniendo su principal impacto en los Gastos Corriente</w:t>
      </w:r>
      <w:r w:rsidR="0097091C">
        <w:t>s</w:t>
      </w:r>
      <w:r>
        <w:t xml:space="preserve">, con 90.0% respecto </w:t>
      </w:r>
      <w:r w:rsidR="0097091C">
        <w:t>de</w:t>
      </w:r>
      <w:r>
        <w:t>l presupuesto aprobado; por su lado los Gastos de Capital, se ejecutaron en 75.4% del presupuesto asignado.</w:t>
      </w:r>
    </w:p>
    <w:p w:rsidR="00B94C0A" w:rsidRDefault="00B94C0A" w:rsidP="00B94C0A">
      <w:pPr>
        <w:jc w:val="both"/>
      </w:pPr>
    </w:p>
    <w:p w:rsidR="00B94C0A" w:rsidRDefault="00B94C0A" w:rsidP="00B94C0A">
      <w:pPr>
        <w:jc w:val="both"/>
      </w:pPr>
      <w:r w:rsidRPr="00A55969">
        <w:t xml:space="preserve">El presupuesto aprobado estableció un resultado presupuestario de Q.34,879.7 millones, mientras que al cierre preliminar se alcanza un monto de Q.7,879.9 millones, es decir, se ubicó por debajo en Q.26,999.8 millones, equivalentes al </w:t>
      </w:r>
      <w:r w:rsidR="0097091C" w:rsidRPr="00A55969">
        <w:t>22.6</w:t>
      </w:r>
      <w:r w:rsidRPr="00A55969">
        <w:t xml:space="preserve"> </w:t>
      </w:r>
      <w:r w:rsidR="0097091C" w:rsidRPr="00A55969">
        <w:t>sobre</w:t>
      </w:r>
      <w:r w:rsidRPr="00A55969">
        <w:t xml:space="preserve"> lo aprobado, en virtud que lo aprobado estuvo reflejando los efectos negativos del 2020, que ya no se dieron en 2021, principalmente por la recuperación de los ingresos tributarios.</w:t>
      </w:r>
    </w:p>
    <w:p w:rsidR="00B94C0A" w:rsidRDefault="00B94C0A" w:rsidP="00B94C0A">
      <w:pPr>
        <w:jc w:val="both"/>
        <w:rPr>
          <w:lang w:val="es-GT"/>
        </w:rPr>
      </w:pPr>
    </w:p>
    <w:p w:rsidR="00260BA4" w:rsidRDefault="00260BA4" w:rsidP="00260BA4">
      <w:pPr>
        <w:jc w:val="both"/>
        <w:rPr>
          <w:sz w:val="20"/>
          <w:lang w:val="es-MX"/>
        </w:rPr>
      </w:pPr>
    </w:p>
    <w:p w:rsidR="00260BA4" w:rsidRPr="00124AD6" w:rsidRDefault="00260BA4" w:rsidP="00260BA4">
      <w:pPr>
        <w:pStyle w:val="NormalWeb"/>
        <w:spacing w:before="0" w:beforeAutospacing="0" w:after="0" w:afterAutospacing="0"/>
        <w:jc w:val="center"/>
        <w:rPr>
          <w:b/>
        </w:rPr>
      </w:pPr>
      <w:r w:rsidRPr="00124AD6">
        <w:rPr>
          <w:b/>
        </w:rPr>
        <w:t xml:space="preserve">Cuadro </w:t>
      </w:r>
      <w:r w:rsidR="00CF6077">
        <w:rPr>
          <w:b/>
        </w:rPr>
        <w:t>9</w:t>
      </w:r>
    </w:p>
    <w:p w:rsidR="00260BA4" w:rsidRPr="00124AD6" w:rsidRDefault="00260BA4" w:rsidP="00260BA4">
      <w:pPr>
        <w:pStyle w:val="NormalWeb"/>
        <w:spacing w:before="0" w:beforeAutospacing="0" w:after="0" w:afterAutospacing="0"/>
        <w:jc w:val="center"/>
        <w:rPr>
          <w:b/>
        </w:rPr>
      </w:pPr>
      <w:r w:rsidRPr="00124AD6">
        <w:rPr>
          <w:b/>
        </w:rPr>
        <w:t>Situación Financiera de la Administración Central</w:t>
      </w:r>
    </w:p>
    <w:p w:rsidR="00260BA4" w:rsidRPr="00124AD6" w:rsidRDefault="00260BA4" w:rsidP="00260BA4">
      <w:pPr>
        <w:pStyle w:val="NormalWeb"/>
        <w:spacing w:before="0" w:beforeAutospacing="0" w:after="0" w:afterAutospacing="0"/>
        <w:jc w:val="center"/>
        <w:rPr>
          <w:b/>
        </w:rPr>
      </w:pPr>
      <w:r w:rsidRPr="00124AD6">
        <w:rPr>
          <w:b/>
        </w:rPr>
        <w:t>Ejecución al 31 de diciembre de 20</w:t>
      </w:r>
      <w:r>
        <w:rPr>
          <w:b/>
        </w:rPr>
        <w:t>2</w:t>
      </w:r>
      <w:r w:rsidR="00CF6077">
        <w:rPr>
          <w:b/>
        </w:rPr>
        <w:t>1</w:t>
      </w:r>
      <w:r>
        <w:rPr>
          <w:b/>
        </w:rPr>
        <w:t>*</w:t>
      </w:r>
    </w:p>
    <w:p w:rsidR="00260BA4" w:rsidRDefault="00260BA4" w:rsidP="00260BA4">
      <w:pPr>
        <w:jc w:val="center"/>
        <w:rPr>
          <w:sz w:val="20"/>
          <w:lang w:val="es-MX"/>
        </w:rPr>
      </w:pPr>
      <w:r>
        <w:rPr>
          <w:b/>
        </w:rPr>
        <w:t>(</w:t>
      </w:r>
      <w:r w:rsidRPr="00124AD6">
        <w:rPr>
          <w:b/>
        </w:rPr>
        <w:t>Millones de Quetzales y Porcentaj</w:t>
      </w:r>
      <w:r>
        <w:rPr>
          <w:b/>
        </w:rPr>
        <w:t>es)</w:t>
      </w:r>
    </w:p>
    <w:p w:rsidR="00260BA4" w:rsidRDefault="00260BA4" w:rsidP="00260BA4">
      <w:pPr>
        <w:jc w:val="both"/>
        <w:rPr>
          <w:rFonts w:ascii="Calibri" w:eastAsia="Calibri" w:hAnsi="Calibri"/>
          <w:sz w:val="20"/>
          <w:szCs w:val="20"/>
          <w:lang w:val="es-GT" w:eastAsia="es-GT"/>
        </w:rPr>
      </w:pPr>
      <w:r>
        <w:rPr>
          <w:lang w:val="es-MX"/>
        </w:rPr>
        <w:fldChar w:fldCharType="begin"/>
      </w:r>
      <w:r>
        <w:rPr>
          <w:lang w:val="es-MX"/>
        </w:rPr>
        <w:instrText xml:space="preserve"> LINK Excel.Sheet.12 "C:\\Users\\deefoper12\\Documents\\Mis Documentos\\2022\\DTF 2022\\Informe fin de año 2021\\Cuadros para Informe de Fin de Año 2021..xlsx" "Sit Fin!F5C1:F38C5" \a \f 4 \h  \* MERGEFORMAT </w:instrText>
      </w:r>
      <w:r>
        <w:rPr>
          <w:lang w:val="es-MX"/>
        </w:rPr>
        <w:fldChar w:fldCharType="separate"/>
      </w:r>
    </w:p>
    <w:tbl>
      <w:tblPr>
        <w:tblW w:w="5081" w:type="pct"/>
        <w:tblCellMar>
          <w:left w:w="70" w:type="dxa"/>
          <w:right w:w="70" w:type="dxa"/>
        </w:tblCellMar>
        <w:tblLook w:val="04A0" w:firstRow="1" w:lastRow="0" w:firstColumn="1" w:lastColumn="0" w:noHBand="0" w:noVBand="1"/>
      </w:tblPr>
      <w:tblGrid>
        <w:gridCol w:w="4243"/>
        <w:gridCol w:w="1137"/>
        <w:gridCol w:w="1275"/>
        <w:gridCol w:w="1415"/>
        <w:gridCol w:w="1417"/>
      </w:tblGrid>
      <w:tr w:rsidR="00260BA4" w:rsidRPr="00C8515C" w:rsidTr="00720F07">
        <w:trPr>
          <w:trHeight w:val="195"/>
        </w:trPr>
        <w:tc>
          <w:tcPr>
            <w:tcW w:w="2236" w:type="pct"/>
            <w:vMerge w:val="restart"/>
            <w:tcBorders>
              <w:top w:val="single" w:sz="8" w:space="0" w:color="auto"/>
              <w:left w:val="single" w:sz="8" w:space="0" w:color="auto"/>
              <w:bottom w:val="nil"/>
              <w:right w:val="nil"/>
            </w:tcBorders>
            <w:shd w:val="clear" w:color="auto" w:fill="8DB4E2"/>
            <w:noWrap/>
            <w:vAlign w:val="center"/>
            <w:hideMark/>
          </w:tcPr>
          <w:p w:rsidR="00260BA4" w:rsidRPr="00C8515C" w:rsidRDefault="00260BA4" w:rsidP="00D7100C">
            <w:pPr>
              <w:jc w:val="center"/>
              <w:rPr>
                <w:b/>
                <w:bCs/>
                <w:sz w:val="20"/>
                <w:szCs w:val="28"/>
                <w:lang w:val="es-GT" w:eastAsia="es-GT"/>
              </w:rPr>
            </w:pPr>
            <w:r w:rsidRPr="00C8515C">
              <w:rPr>
                <w:b/>
                <w:bCs/>
                <w:sz w:val="20"/>
                <w:szCs w:val="28"/>
                <w:lang w:val="es-GT" w:eastAsia="es-GT"/>
              </w:rPr>
              <w:t>Concepto</w:t>
            </w:r>
          </w:p>
        </w:tc>
        <w:tc>
          <w:tcPr>
            <w:tcW w:w="1271" w:type="pct"/>
            <w:gridSpan w:val="2"/>
            <w:tcBorders>
              <w:top w:val="single" w:sz="8" w:space="0" w:color="auto"/>
              <w:left w:val="nil"/>
              <w:bottom w:val="nil"/>
              <w:right w:val="nil"/>
            </w:tcBorders>
            <w:shd w:val="clear" w:color="auto" w:fill="8DB4E2"/>
            <w:vAlign w:val="center"/>
            <w:hideMark/>
          </w:tcPr>
          <w:p w:rsidR="00260BA4" w:rsidRPr="00C8515C" w:rsidRDefault="00260BA4" w:rsidP="00D7100C">
            <w:pPr>
              <w:jc w:val="center"/>
              <w:rPr>
                <w:b/>
                <w:bCs/>
                <w:sz w:val="20"/>
                <w:szCs w:val="28"/>
                <w:lang w:val="es-GT" w:eastAsia="es-GT"/>
              </w:rPr>
            </w:pPr>
            <w:r w:rsidRPr="00C8515C">
              <w:rPr>
                <w:b/>
                <w:bCs/>
                <w:sz w:val="20"/>
                <w:szCs w:val="28"/>
                <w:lang w:val="es-GT" w:eastAsia="es-GT"/>
              </w:rPr>
              <w:t>Presupuesto</w:t>
            </w:r>
          </w:p>
        </w:tc>
        <w:tc>
          <w:tcPr>
            <w:tcW w:w="746" w:type="pct"/>
            <w:vMerge w:val="restart"/>
            <w:tcBorders>
              <w:top w:val="single" w:sz="8" w:space="0" w:color="auto"/>
              <w:left w:val="nil"/>
              <w:bottom w:val="nil"/>
              <w:right w:val="nil"/>
            </w:tcBorders>
            <w:shd w:val="clear" w:color="auto" w:fill="8DB4E2"/>
            <w:vAlign w:val="center"/>
            <w:hideMark/>
          </w:tcPr>
          <w:p w:rsidR="00260BA4" w:rsidRPr="00C8515C" w:rsidRDefault="00260BA4" w:rsidP="00D7100C">
            <w:pPr>
              <w:jc w:val="center"/>
              <w:rPr>
                <w:b/>
                <w:bCs/>
                <w:sz w:val="20"/>
                <w:szCs w:val="28"/>
                <w:lang w:val="es-GT" w:eastAsia="es-GT"/>
              </w:rPr>
            </w:pPr>
            <w:r w:rsidRPr="00C8515C">
              <w:rPr>
                <w:b/>
                <w:bCs/>
                <w:sz w:val="20"/>
                <w:szCs w:val="28"/>
                <w:lang w:val="es-GT" w:eastAsia="es-GT"/>
              </w:rPr>
              <w:t>Diferencia Absoluta</w:t>
            </w:r>
          </w:p>
        </w:tc>
        <w:tc>
          <w:tcPr>
            <w:tcW w:w="747" w:type="pct"/>
            <w:vMerge w:val="restart"/>
            <w:tcBorders>
              <w:top w:val="single" w:sz="8" w:space="0" w:color="auto"/>
              <w:left w:val="nil"/>
              <w:bottom w:val="nil"/>
              <w:right w:val="single" w:sz="8" w:space="0" w:color="auto"/>
            </w:tcBorders>
            <w:shd w:val="clear" w:color="auto" w:fill="8DB4E2"/>
            <w:vAlign w:val="center"/>
            <w:hideMark/>
          </w:tcPr>
          <w:p w:rsidR="00260BA4" w:rsidRPr="00C8515C" w:rsidRDefault="00260BA4" w:rsidP="00D7100C">
            <w:pPr>
              <w:jc w:val="center"/>
              <w:rPr>
                <w:b/>
                <w:bCs/>
                <w:sz w:val="20"/>
                <w:szCs w:val="28"/>
                <w:lang w:val="es-GT" w:eastAsia="es-GT"/>
              </w:rPr>
            </w:pPr>
            <w:r w:rsidRPr="00C8515C">
              <w:rPr>
                <w:b/>
                <w:bCs/>
                <w:sz w:val="20"/>
                <w:szCs w:val="28"/>
                <w:lang w:val="es-GT" w:eastAsia="es-GT"/>
              </w:rPr>
              <w:t>% Ejecución</w:t>
            </w:r>
          </w:p>
        </w:tc>
      </w:tr>
      <w:tr w:rsidR="00260BA4" w:rsidRPr="00C8515C" w:rsidTr="00D7100C">
        <w:trPr>
          <w:trHeight w:val="195"/>
        </w:trPr>
        <w:tc>
          <w:tcPr>
            <w:tcW w:w="2236" w:type="pct"/>
            <w:vMerge/>
            <w:tcBorders>
              <w:top w:val="single" w:sz="8" w:space="0" w:color="auto"/>
              <w:left w:val="single" w:sz="8" w:space="0" w:color="auto"/>
              <w:bottom w:val="nil"/>
              <w:right w:val="nil"/>
            </w:tcBorders>
            <w:vAlign w:val="center"/>
            <w:hideMark/>
          </w:tcPr>
          <w:p w:rsidR="00260BA4" w:rsidRPr="00C8515C" w:rsidRDefault="00260BA4" w:rsidP="00D7100C">
            <w:pPr>
              <w:rPr>
                <w:b/>
                <w:bCs/>
                <w:sz w:val="20"/>
                <w:szCs w:val="28"/>
                <w:lang w:val="es-GT" w:eastAsia="es-GT"/>
              </w:rPr>
            </w:pPr>
          </w:p>
        </w:tc>
        <w:tc>
          <w:tcPr>
            <w:tcW w:w="599" w:type="pct"/>
            <w:tcBorders>
              <w:top w:val="nil"/>
              <w:left w:val="nil"/>
              <w:bottom w:val="nil"/>
              <w:right w:val="nil"/>
            </w:tcBorders>
            <w:shd w:val="clear" w:color="000000" w:fill="8DB4E2"/>
            <w:vAlign w:val="center"/>
            <w:hideMark/>
          </w:tcPr>
          <w:p w:rsidR="00260BA4" w:rsidRPr="00C8515C" w:rsidRDefault="00260BA4" w:rsidP="00D7100C">
            <w:pPr>
              <w:jc w:val="center"/>
              <w:rPr>
                <w:b/>
                <w:bCs/>
                <w:sz w:val="20"/>
                <w:szCs w:val="28"/>
                <w:lang w:val="es-GT" w:eastAsia="es-GT"/>
              </w:rPr>
            </w:pPr>
            <w:r w:rsidRPr="00C8515C">
              <w:rPr>
                <w:b/>
                <w:bCs/>
                <w:sz w:val="20"/>
                <w:szCs w:val="28"/>
                <w:lang w:val="es-GT" w:eastAsia="es-GT"/>
              </w:rPr>
              <w:t>Aprobado</w:t>
            </w:r>
          </w:p>
        </w:tc>
        <w:tc>
          <w:tcPr>
            <w:tcW w:w="672" w:type="pct"/>
            <w:tcBorders>
              <w:top w:val="nil"/>
              <w:left w:val="nil"/>
              <w:bottom w:val="nil"/>
              <w:right w:val="nil"/>
            </w:tcBorders>
            <w:shd w:val="clear" w:color="000000" w:fill="8DB4E2"/>
            <w:vAlign w:val="center"/>
            <w:hideMark/>
          </w:tcPr>
          <w:p w:rsidR="00260BA4" w:rsidRPr="00C8515C" w:rsidRDefault="00260BA4" w:rsidP="00D7100C">
            <w:pPr>
              <w:jc w:val="center"/>
              <w:rPr>
                <w:b/>
                <w:bCs/>
                <w:sz w:val="20"/>
                <w:szCs w:val="28"/>
                <w:lang w:val="es-GT" w:eastAsia="es-GT"/>
              </w:rPr>
            </w:pPr>
            <w:r w:rsidRPr="00C8515C">
              <w:rPr>
                <w:b/>
                <w:bCs/>
                <w:sz w:val="20"/>
                <w:szCs w:val="28"/>
                <w:lang w:val="es-GT" w:eastAsia="es-GT"/>
              </w:rPr>
              <w:t>Ejecutado</w:t>
            </w:r>
          </w:p>
        </w:tc>
        <w:tc>
          <w:tcPr>
            <w:tcW w:w="746" w:type="pct"/>
            <w:vMerge/>
            <w:tcBorders>
              <w:top w:val="single" w:sz="8" w:space="0" w:color="auto"/>
              <w:left w:val="nil"/>
              <w:bottom w:val="nil"/>
              <w:right w:val="nil"/>
            </w:tcBorders>
            <w:vAlign w:val="center"/>
            <w:hideMark/>
          </w:tcPr>
          <w:p w:rsidR="00260BA4" w:rsidRPr="00C8515C" w:rsidRDefault="00260BA4" w:rsidP="00D7100C">
            <w:pPr>
              <w:rPr>
                <w:b/>
                <w:bCs/>
                <w:sz w:val="20"/>
                <w:szCs w:val="28"/>
                <w:lang w:val="es-GT" w:eastAsia="es-GT"/>
              </w:rPr>
            </w:pPr>
          </w:p>
        </w:tc>
        <w:tc>
          <w:tcPr>
            <w:tcW w:w="747" w:type="pct"/>
            <w:vMerge/>
            <w:tcBorders>
              <w:top w:val="single" w:sz="8" w:space="0" w:color="auto"/>
              <w:left w:val="nil"/>
              <w:bottom w:val="nil"/>
              <w:right w:val="single" w:sz="8" w:space="0" w:color="auto"/>
            </w:tcBorders>
            <w:vAlign w:val="center"/>
            <w:hideMark/>
          </w:tcPr>
          <w:p w:rsidR="00260BA4" w:rsidRPr="00C8515C" w:rsidRDefault="00260BA4" w:rsidP="00D7100C">
            <w:pPr>
              <w:rPr>
                <w:b/>
                <w:bCs/>
                <w:sz w:val="20"/>
                <w:szCs w:val="28"/>
                <w:lang w:val="es-GT" w:eastAsia="es-GT"/>
              </w:rPr>
            </w:pP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rPr>
                <w:b/>
                <w:bCs/>
                <w:sz w:val="20"/>
                <w:lang w:val="es-GT" w:eastAsia="es-GT"/>
              </w:rPr>
            </w:pPr>
            <w:r w:rsidRPr="00C8515C">
              <w:rPr>
                <w:b/>
                <w:bCs/>
                <w:sz w:val="20"/>
                <w:lang w:val="es-GT" w:eastAsia="es-GT"/>
              </w:rPr>
              <w:t xml:space="preserve">Ingresos Totales </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68,547.4</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82,185.9</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Pr>
                <w:b/>
                <w:bCs/>
                <w:sz w:val="20"/>
                <w:lang w:val="es-GT" w:eastAsia="es-GT"/>
              </w:rPr>
              <w:t>-</w:t>
            </w:r>
            <w:r w:rsidRPr="00C8515C">
              <w:rPr>
                <w:b/>
                <w:bCs/>
                <w:sz w:val="20"/>
                <w:lang w:val="es-GT" w:eastAsia="es-GT"/>
              </w:rPr>
              <w:t>13,638.5</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b/>
                <w:bCs/>
                <w:sz w:val="20"/>
                <w:lang w:val="es-GT" w:eastAsia="es-GT"/>
              </w:rPr>
            </w:pPr>
            <w:r>
              <w:rPr>
                <w:b/>
                <w:bCs/>
                <w:sz w:val="20"/>
                <w:lang w:val="es-GT" w:eastAsia="es-GT"/>
              </w:rPr>
              <w:t>1</w:t>
            </w:r>
            <w:r w:rsidRPr="00C8515C">
              <w:rPr>
                <w:b/>
                <w:bCs/>
                <w:sz w:val="20"/>
                <w:lang w:val="es-GT" w:eastAsia="es-GT"/>
              </w:rPr>
              <w:t>19.9%</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100" w:firstLine="200"/>
              <w:rPr>
                <w:sz w:val="20"/>
                <w:lang w:val="es-GT" w:eastAsia="es-GT"/>
              </w:rPr>
            </w:pPr>
            <w:r w:rsidRPr="00C8515C">
              <w:rPr>
                <w:sz w:val="20"/>
                <w:lang w:val="es-GT" w:eastAsia="es-GT"/>
              </w:rPr>
              <w:t>Ingresos Corrientes</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68,544.0</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82,107.4</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Pr>
                <w:sz w:val="20"/>
                <w:lang w:val="es-GT" w:eastAsia="es-GT"/>
              </w:rPr>
              <w:t>-</w:t>
            </w:r>
            <w:r w:rsidRPr="00C8515C">
              <w:rPr>
                <w:sz w:val="20"/>
                <w:lang w:val="es-GT" w:eastAsia="es-GT"/>
              </w:rPr>
              <w:t>13,563.3</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1</w:t>
            </w:r>
            <w:r w:rsidRPr="00C8515C">
              <w:rPr>
                <w:sz w:val="20"/>
                <w:lang w:val="es-GT" w:eastAsia="es-GT"/>
              </w:rPr>
              <w:t>19.8%</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200" w:firstLine="400"/>
              <w:rPr>
                <w:sz w:val="20"/>
                <w:lang w:val="es-GT" w:eastAsia="es-GT"/>
              </w:rPr>
            </w:pPr>
            <w:r w:rsidRPr="00C8515C">
              <w:rPr>
                <w:sz w:val="20"/>
                <w:lang w:val="es-GT" w:eastAsia="es-GT"/>
              </w:rPr>
              <w:t>Ingresos Tributarios*</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64,027.7</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78,019.1</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Pr>
                <w:sz w:val="20"/>
                <w:lang w:val="es-GT" w:eastAsia="es-GT"/>
              </w:rPr>
              <w:t>-</w:t>
            </w:r>
            <w:r w:rsidRPr="00C8515C">
              <w:rPr>
                <w:sz w:val="20"/>
                <w:lang w:val="es-GT" w:eastAsia="es-GT"/>
              </w:rPr>
              <w:t>13,991.4</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1</w:t>
            </w:r>
            <w:r w:rsidRPr="00C8515C">
              <w:rPr>
                <w:sz w:val="20"/>
                <w:lang w:val="es-GT" w:eastAsia="es-GT"/>
              </w:rPr>
              <w:t>21.9%</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300" w:firstLine="600"/>
              <w:rPr>
                <w:sz w:val="20"/>
                <w:lang w:val="es-GT" w:eastAsia="es-GT"/>
              </w:rPr>
            </w:pPr>
            <w:r w:rsidRPr="00C8515C">
              <w:rPr>
                <w:sz w:val="20"/>
                <w:lang w:val="es-GT" w:eastAsia="es-GT"/>
              </w:rPr>
              <w:t>Impuestos Directos</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color w:val="000000"/>
                <w:sz w:val="20"/>
                <w:lang w:val="es-GT" w:eastAsia="es-GT"/>
              </w:rPr>
            </w:pPr>
            <w:r w:rsidRPr="00C8515C">
              <w:rPr>
                <w:color w:val="000000"/>
                <w:sz w:val="20"/>
                <w:lang w:val="es-GT" w:eastAsia="es-GT"/>
              </w:rPr>
              <w:t>21,669.4</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28,715.7</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Pr>
                <w:sz w:val="20"/>
                <w:lang w:val="es-GT" w:eastAsia="es-GT"/>
              </w:rPr>
              <w:t>-</w:t>
            </w:r>
            <w:r w:rsidRPr="00C8515C">
              <w:rPr>
                <w:sz w:val="20"/>
                <w:lang w:val="es-GT" w:eastAsia="es-GT"/>
              </w:rPr>
              <w:t>7,046.3</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1</w:t>
            </w:r>
            <w:r w:rsidRPr="00C8515C">
              <w:rPr>
                <w:sz w:val="20"/>
                <w:lang w:val="es-GT" w:eastAsia="es-GT"/>
              </w:rPr>
              <w:t>32.5%</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300" w:firstLine="600"/>
              <w:rPr>
                <w:sz w:val="20"/>
                <w:lang w:val="es-GT" w:eastAsia="es-GT"/>
              </w:rPr>
            </w:pPr>
            <w:r w:rsidRPr="00C8515C">
              <w:rPr>
                <w:sz w:val="20"/>
                <w:lang w:val="es-GT" w:eastAsia="es-GT"/>
              </w:rPr>
              <w:t>Impuestos Indirectos</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42,358.3</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49,303.4</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Pr>
                <w:sz w:val="20"/>
                <w:lang w:val="es-GT" w:eastAsia="es-GT"/>
              </w:rPr>
              <w:t>-</w:t>
            </w:r>
            <w:r w:rsidRPr="00C8515C">
              <w:rPr>
                <w:sz w:val="20"/>
                <w:lang w:val="es-GT" w:eastAsia="es-GT"/>
              </w:rPr>
              <w:t>6,945.1</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1</w:t>
            </w:r>
            <w:r w:rsidRPr="00C8515C">
              <w:rPr>
                <w:sz w:val="20"/>
                <w:lang w:val="es-GT" w:eastAsia="es-GT"/>
              </w:rPr>
              <w:t>16.4%</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400" w:firstLine="800"/>
              <w:rPr>
                <w:sz w:val="20"/>
                <w:lang w:val="es-GT" w:eastAsia="es-GT"/>
              </w:rPr>
            </w:pPr>
            <w:r w:rsidRPr="00C8515C">
              <w:rPr>
                <w:sz w:val="20"/>
                <w:lang w:val="es-GT" w:eastAsia="es-GT"/>
              </w:rPr>
              <w:t>Impuesto al Valor Agregado</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31,679.9</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36,985.3</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Pr>
                <w:sz w:val="20"/>
                <w:lang w:val="es-GT" w:eastAsia="es-GT"/>
              </w:rPr>
              <w:t>-</w:t>
            </w:r>
            <w:r w:rsidRPr="00C8515C">
              <w:rPr>
                <w:sz w:val="20"/>
                <w:lang w:val="es-GT" w:eastAsia="es-GT"/>
              </w:rPr>
              <w:t>5,305.4</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1</w:t>
            </w:r>
            <w:r w:rsidRPr="00C8515C">
              <w:rPr>
                <w:sz w:val="20"/>
                <w:lang w:val="es-GT" w:eastAsia="es-GT"/>
              </w:rPr>
              <w:t>16.7%</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200" w:firstLine="400"/>
              <w:rPr>
                <w:sz w:val="20"/>
                <w:lang w:val="es-GT" w:eastAsia="es-GT"/>
              </w:rPr>
            </w:pPr>
            <w:r w:rsidRPr="00C8515C">
              <w:rPr>
                <w:sz w:val="20"/>
                <w:lang w:val="es-GT" w:eastAsia="es-GT"/>
              </w:rPr>
              <w:t xml:space="preserve">No Tributarios y Transferencias </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color w:val="000000"/>
                <w:sz w:val="20"/>
                <w:lang w:val="es-GT" w:eastAsia="es-GT"/>
              </w:rPr>
            </w:pPr>
            <w:r w:rsidRPr="00C8515C">
              <w:rPr>
                <w:color w:val="000000"/>
                <w:sz w:val="20"/>
                <w:lang w:val="es-GT" w:eastAsia="es-GT"/>
              </w:rPr>
              <w:t>4,516.3</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4,088.3</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428.0</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sidRPr="00C8515C">
              <w:rPr>
                <w:sz w:val="20"/>
                <w:lang w:val="es-GT" w:eastAsia="es-GT"/>
              </w:rPr>
              <w:t>9</w:t>
            </w:r>
            <w:r>
              <w:rPr>
                <w:sz w:val="20"/>
                <w:lang w:val="es-GT" w:eastAsia="es-GT"/>
              </w:rPr>
              <w:t>0</w:t>
            </w:r>
            <w:r w:rsidRPr="00C8515C">
              <w:rPr>
                <w:sz w:val="20"/>
                <w:lang w:val="es-GT" w:eastAsia="es-GT"/>
              </w:rPr>
              <w:t>.5%</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100" w:firstLine="200"/>
              <w:rPr>
                <w:sz w:val="20"/>
                <w:lang w:val="es-GT" w:eastAsia="es-GT"/>
              </w:rPr>
            </w:pPr>
            <w:r w:rsidRPr="00C8515C">
              <w:rPr>
                <w:sz w:val="20"/>
                <w:lang w:val="es-GT" w:eastAsia="es-GT"/>
              </w:rPr>
              <w:t>Ingresos de Capital</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3.4</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78.5</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Pr>
                <w:sz w:val="20"/>
                <w:lang w:val="es-GT" w:eastAsia="es-GT"/>
              </w:rPr>
              <w:t>-</w:t>
            </w:r>
            <w:r w:rsidRPr="00C8515C">
              <w:rPr>
                <w:sz w:val="20"/>
                <w:lang w:val="es-GT" w:eastAsia="es-GT"/>
              </w:rPr>
              <w:t>75.1</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sidRPr="00C8515C">
              <w:rPr>
                <w:sz w:val="20"/>
                <w:lang w:val="es-GT" w:eastAsia="es-GT"/>
              </w:rPr>
              <w:t>2</w:t>
            </w:r>
            <w:r>
              <w:rPr>
                <w:sz w:val="20"/>
                <w:lang w:val="es-GT" w:eastAsia="es-GT"/>
              </w:rPr>
              <w:t>,306</w:t>
            </w:r>
            <w:r w:rsidRPr="00C8515C">
              <w:rPr>
                <w:sz w:val="20"/>
                <w:lang w:val="es-GT" w:eastAsia="es-GT"/>
              </w:rPr>
              <w:t>.7%</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rPr>
                <w:b/>
                <w:bCs/>
                <w:sz w:val="20"/>
                <w:lang w:val="es-GT" w:eastAsia="es-GT"/>
              </w:rPr>
            </w:pPr>
            <w:r w:rsidRPr="00C8515C">
              <w:rPr>
                <w:b/>
                <w:bCs/>
                <w:sz w:val="20"/>
                <w:lang w:val="es-GT" w:eastAsia="es-GT"/>
              </w:rPr>
              <w:t>Gastos Totales</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103,427.1</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90,065.8</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13,361.3</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b/>
                <w:bCs/>
                <w:sz w:val="20"/>
                <w:lang w:val="es-GT" w:eastAsia="es-GT"/>
              </w:rPr>
            </w:pPr>
            <w:r>
              <w:rPr>
                <w:b/>
                <w:bCs/>
                <w:sz w:val="20"/>
                <w:lang w:val="es-GT" w:eastAsia="es-GT"/>
              </w:rPr>
              <w:t>87.1</w:t>
            </w:r>
            <w:r w:rsidRPr="00C8515C">
              <w:rPr>
                <w:b/>
                <w:bCs/>
                <w:sz w:val="20"/>
                <w:lang w:val="es-GT" w:eastAsia="es-GT"/>
              </w:rPr>
              <w:t>%</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100" w:firstLine="201"/>
              <w:rPr>
                <w:b/>
                <w:bCs/>
                <w:sz w:val="20"/>
                <w:lang w:val="es-GT" w:eastAsia="es-GT"/>
              </w:rPr>
            </w:pPr>
            <w:r w:rsidRPr="00C8515C">
              <w:rPr>
                <w:b/>
                <w:bCs/>
                <w:sz w:val="20"/>
                <w:lang w:val="es-GT" w:eastAsia="es-GT"/>
              </w:rPr>
              <w:t>Gastos Corrientes</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82,471.8</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74,258.4</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8,213.4</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b/>
                <w:bCs/>
                <w:sz w:val="20"/>
                <w:lang w:val="es-GT" w:eastAsia="es-GT"/>
              </w:rPr>
            </w:pPr>
            <w:r>
              <w:rPr>
                <w:b/>
                <w:bCs/>
                <w:sz w:val="20"/>
                <w:lang w:val="es-GT" w:eastAsia="es-GT"/>
              </w:rPr>
              <w:t>90.0</w:t>
            </w:r>
            <w:r w:rsidRPr="00C8515C">
              <w:rPr>
                <w:b/>
                <w:bCs/>
                <w:sz w:val="20"/>
                <w:lang w:val="es-GT" w:eastAsia="es-GT"/>
              </w:rPr>
              <w:t>%</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200" w:firstLine="400"/>
              <w:rPr>
                <w:sz w:val="20"/>
                <w:lang w:val="es-GT" w:eastAsia="es-GT"/>
              </w:rPr>
            </w:pPr>
            <w:r w:rsidRPr="00C8515C">
              <w:rPr>
                <w:sz w:val="20"/>
                <w:lang w:val="es-GT" w:eastAsia="es-GT"/>
              </w:rPr>
              <w:t>Intereses</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color w:val="000000"/>
                <w:sz w:val="20"/>
                <w:lang w:val="es-GT" w:eastAsia="es-GT"/>
              </w:rPr>
            </w:pPr>
            <w:r w:rsidRPr="00C8515C">
              <w:rPr>
                <w:color w:val="000000"/>
                <w:sz w:val="20"/>
                <w:lang w:val="es-GT" w:eastAsia="es-GT"/>
              </w:rPr>
              <w:t>10,516.7</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color w:val="000000"/>
                <w:sz w:val="20"/>
                <w:lang w:val="es-GT" w:eastAsia="es-GT"/>
              </w:rPr>
            </w:pPr>
            <w:r w:rsidRPr="00C8515C">
              <w:rPr>
                <w:color w:val="000000"/>
                <w:sz w:val="20"/>
                <w:lang w:val="es-GT" w:eastAsia="es-GT"/>
              </w:rPr>
              <w:t>11,545.8</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Pr>
                <w:sz w:val="20"/>
                <w:lang w:val="es-GT" w:eastAsia="es-GT"/>
              </w:rPr>
              <w:t>-</w:t>
            </w:r>
            <w:r w:rsidRPr="00C8515C">
              <w:rPr>
                <w:sz w:val="20"/>
                <w:lang w:val="es-GT" w:eastAsia="es-GT"/>
              </w:rPr>
              <w:t>1,029.2</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109</w:t>
            </w:r>
            <w:r w:rsidRPr="00C8515C">
              <w:rPr>
                <w:sz w:val="20"/>
                <w:lang w:val="es-GT" w:eastAsia="es-GT"/>
              </w:rPr>
              <w:t>.8%</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300" w:firstLine="600"/>
              <w:rPr>
                <w:sz w:val="20"/>
                <w:lang w:val="es-GT" w:eastAsia="es-GT"/>
              </w:rPr>
            </w:pPr>
            <w:r w:rsidRPr="00C8515C">
              <w:rPr>
                <w:sz w:val="20"/>
                <w:lang w:val="es-GT" w:eastAsia="es-GT"/>
              </w:rPr>
              <w:t>Deuda Interna</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color w:val="000000"/>
                <w:sz w:val="20"/>
                <w:lang w:val="es-GT" w:eastAsia="es-GT"/>
              </w:rPr>
            </w:pPr>
            <w:r w:rsidRPr="00C8515C">
              <w:rPr>
                <w:color w:val="000000"/>
                <w:sz w:val="20"/>
                <w:lang w:val="es-GT" w:eastAsia="es-GT"/>
              </w:rPr>
              <w:t>6,455.0</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7,930.3</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Pr>
                <w:sz w:val="20"/>
                <w:lang w:val="es-GT" w:eastAsia="es-GT"/>
              </w:rPr>
              <w:t>-</w:t>
            </w:r>
            <w:r w:rsidRPr="00C8515C">
              <w:rPr>
                <w:sz w:val="20"/>
                <w:lang w:val="es-GT" w:eastAsia="es-GT"/>
              </w:rPr>
              <w:t>1,475.3</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1</w:t>
            </w:r>
            <w:r w:rsidRPr="00C8515C">
              <w:rPr>
                <w:sz w:val="20"/>
                <w:lang w:val="es-GT" w:eastAsia="es-GT"/>
              </w:rPr>
              <w:t>22.9%</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300" w:firstLine="600"/>
              <w:rPr>
                <w:sz w:val="20"/>
                <w:lang w:val="es-GT" w:eastAsia="es-GT"/>
              </w:rPr>
            </w:pPr>
            <w:r w:rsidRPr="00C8515C">
              <w:rPr>
                <w:sz w:val="20"/>
                <w:lang w:val="es-GT" w:eastAsia="es-GT"/>
              </w:rPr>
              <w:t>Deuda Externa</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color w:val="000000"/>
                <w:sz w:val="20"/>
                <w:lang w:val="es-GT" w:eastAsia="es-GT"/>
              </w:rPr>
            </w:pPr>
            <w:r w:rsidRPr="00C8515C">
              <w:rPr>
                <w:color w:val="000000"/>
                <w:sz w:val="20"/>
                <w:lang w:val="es-GT" w:eastAsia="es-GT"/>
              </w:rPr>
              <w:t>4,061.6</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color w:val="000000"/>
                <w:sz w:val="20"/>
                <w:lang w:val="es-GT" w:eastAsia="es-GT"/>
              </w:rPr>
            </w:pPr>
            <w:r w:rsidRPr="00C8515C">
              <w:rPr>
                <w:color w:val="000000"/>
                <w:sz w:val="20"/>
                <w:lang w:val="es-GT" w:eastAsia="es-GT"/>
              </w:rPr>
              <w:t>3,615.5</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446.1</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89</w:t>
            </w:r>
            <w:r w:rsidRPr="00C8515C">
              <w:rPr>
                <w:sz w:val="20"/>
                <w:lang w:val="es-GT" w:eastAsia="es-GT"/>
              </w:rPr>
              <w:t>.0%</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400" w:firstLine="800"/>
              <w:rPr>
                <w:sz w:val="20"/>
                <w:lang w:val="es-GT" w:eastAsia="es-GT"/>
              </w:rPr>
            </w:pPr>
            <w:r w:rsidRPr="00C8515C">
              <w:rPr>
                <w:sz w:val="20"/>
                <w:lang w:val="es-GT" w:eastAsia="es-GT"/>
              </w:rPr>
              <w:t>Préstamos</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color w:val="000000"/>
                <w:sz w:val="20"/>
                <w:lang w:val="es-GT" w:eastAsia="es-GT"/>
              </w:rPr>
            </w:pPr>
            <w:r w:rsidRPr="00C8515C">
              <w:rPr>
                <w:color w:val="000000"/>
                <w:sz w:val="20"/>
                <w:lang w:val="es-GT" w:eastAsia="es-GT"/>
              </w:rPr>
              <w:t>1,436.4</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1,333.1</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103.4</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92.8</w:t>
            </w:r>
            <w:r w:rsidRPr="00C8515C">
              <w:rPr>
                <w:sz w:val="20"/>
                <w:lang w:val="es-GT" w:eastAsia="es-GT"/>
              </w:rPr>
              <w:t>%</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400" w:firstLine="800"/>
              <w:rPr>
                <w:sz w:val="20"/>
                <w:lang w:val="es-GT" w:eastAsia="es-GT"/>
              </w:rPr>
            </w:pPr>
            <w:r w:rsidRPr="00C8515C">
              <w:rPr>
                <w:sz w:val="20"/>
                <w:lang w:val="es-GT" w:eastAsia="es-GT"/>
              </w:rPr>
              <w:t>Bonos</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color w:val="000000"/>
                <w:sz w:val="20"/>
                <w:lang w:val="es-GT" w:eastAsia="es-GT"/>
              </w:rPr>
            </w:pPr>
            <w:r w:rsidRPr="00C8515C">
              <w:rPr>
                <w:color w:val="000000"/>
                <w:sz w:val="20"/>
                <w:lang w:val="es-GT" w:eastAsia="es-GT"/>
              </w:rPr>
              <w:t>2,625.2</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2,282.4</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342.7</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86.9</w:t>
            </w:r>
            <w:r w:rsidRPr="00C8515C">
              <w:rPr>
                <w:sz w:val="20"/>
                <w:lang w:val="es-GT" w:eastAsia="es-GT"/>
              </w:rPr>
              <w:t>%</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100" w:firstLine="201"/>
              <w:rPr>
                <w:b/>
                <w:bCs/>
                <w:sz w:val="20"/>
                <w:lang w:val="es-GT" w:eastAsia="es-GT"/>
              </w:rPr>
            </w:pPr>
            <w:r w:rsidRPr="00C8515C">
              <w:rPr>
                <w:b/>
                <w:bCs/>
                <w:sz w:val="20"/>
                <w:lang w:val="es-GT" w:eastAsia="es-GT"/>
              </w:rPr>
              <w:t>Gastos de Capital</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20,955.3</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15,807.4</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5,147.9</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b/>
                <w:bCs/>
                <w:sz w:val="20"/>
                <w:lang w:val="es-GT" w:eastAsia="es-GT"/>
              </w:rPr>
            </w:pPr>
            <w:r>
              <w:rPr>
                <w:b/>
                <w:bCs/>
                <w:sz w:val="20"/>
                <w:lang w:val="es-GT" w:eastAsia="es-GT"/>
              </w:rPr>
              <w:t>75.4</w:t>
            </w:r>
            <w:r w:rsidRPr="00C8515C">
              <w:rPr>
                <w:b/>
                <w:bCs/>
                <w:sz w:val="20"/>
                <w:lang w:val="es-GT" w:eastAsia="es-GT"/>
              </w:rPr>
              <w:t>%</w:t>
            </w:r>
          </w:p>
        </w:tc>
      </w:tr>
      <w:tr w:rsidR="00260BA4" w:rsidRPr="00C8515C" w:rsidTr="00D7100C">
        <w:trPr>
          <w:trHeight w:val="195"/>
        </w:trPr>
        <w:tc>
          <w:tcPr>
            <w:tcW w:w="2236" w:type="pct"/>
            <w:tcBorders>
              <w:top w:val="nil"/>
              <w:left w:val="single" w:sz="8" w:space="0" w:color="auto"/>
              <w:bottom w:val="nil"/>
              <w:right w:val="nil"/>
            </w:tcBorders>
            <w:shd w:val="clear" w:color="000000" w:fill="95B3D7"/>
            <w:noWrap/>
            <w:vAlign w:val="bottom"/>
            <w:hideMark/>
          </w:tcPr>
          <w:p w:rsidR="00260BA4" w:rsidRPr="00C8515C" w:rsidRDefault="00260BA4" w:rsidP="00D7100C">
            <w:pPr>
              <w:rPr>
                <w:b/>
                <w:bCs/>
                <w:sz w:val="20"/>
                <w:lang w:val="es-GT" w:eastAsia="es-GT"/>
              </w:rPr>
            </w:pPr>
            <w:r w:rsidRPr="00C8515C">
              <w:rPr>
                <w:b/>
                <w:bCs/>
                <w:sz w:val="20"/>
                <w:lang w:val="es-GT" w:eastAsia="es-GT"/>
              </w:rPr>
              <w:t>Resultado en Cuenta Corriente</w:t>
            </w:r>
          </w:p>
        </w:tc>
        <w:tc>
          <w:tcPr>
            <w:tcW w:w="599" w:type="pct"/>
            <w:tcBorders>
              <w:top w:val="nil"/>
              <w:left w:val="nil"/>
              <w:bottom w:val="nil"/>
              <w:right w:val="nil"/>
            </w:tcBorders>
            <w:shd w:val="clear" w:color="000000" w:fill="95B3D7"/>
            <w:noWrap/>
            <w:vAlign w:val="bottom"/>
            <w:hideMark/>
          </w:tcPr>
          <w:p w:rsidR="00260BA4" w:rsidRPr="00C8515C" w:rsidRDefault="00260BA4" w:rsidP="00D7100C">
            <w:pPr>
              <w:jc w:val="right"/>
              <w:rPr>
                <w:b/>
                <w:bCs/>
                <w:color w:val="000000"/>
                <w:sz w:val="20"/>
                <w:lang w:val="es-GT" w:eastAsia="es-GT"/>
              </w:rPr>
            </w:pPr>
            <w:r w:rsidRPr="00C8515C">
              <w:rPr>
                <w:b/>
                <w:bCs/>
                <w:color w:val="000000"/>
                <w:sz w:val="20"/>
                <w:lang w:val="es-GT" w:eastAsia="es-GT"/>
              </w:rPr>
              <w:t>-13,927.8</w:t>
            </w:r>
          </w:p>
        </w:tc>
        <w:tc>
          <w:tcPr>
            <w:tcW w:w="672" w:type="pct"/>
            <w:tcBorders>
              <w:top w:val="nil"/>
              <w:left w:val="nil"/>
              <w:bottom w:val="nil"/>
              <w:right w:val="nil"/>
            </w:tcBorders>
            <w:shd w:val="clear" w:color="000000" w:fill="95B3D7"/>
            <w:noWrap/>
            <w:vAlign w:val="bottom"/>
            <w:hideMark/>
          </w:tcPr>
          <w:p w:rsidR="00260BA4" w:rsidRPr="00C8515C" w:rsidRDefault="00260BA4" w:rsidP="00D7100C">
            <w:pPr>
              <w:jc w:val="right"/>
              <w:rPr>
                <w:b/>
                <w:bCs/>
                <w:color w:val="000000"/>
                <w:sz w:val="20"/>
                <w:lang w:val="es-GT" w:eastAsia="es-GT"/>
              </w:rPr>
            </w:pPr>
            <w:r w:rsidRPr="00C8515C">
              <w:rPr>
                <w:b/>
                <w:bCs/>
                <w:color w:val="000000"/>
                <w:sz w:val="20"/>
                <w:lang w:val="es-GT" w:eastAsia="es-GT"/>
              </w:rPr>
              <w:t>7,848.9</w:t>
            </w:r>
          </w:p>
        </w:tc>
        <w:tc>
          <w:tcPr>
            <w:tcW w:w="746" w:type="pct"/>
            <w:tcBorders>
              <w:top w:val="nil"/>
              <w:left w:val="nil"/>
              <w:bottom w:val="nil"/>
              <w:right w:val="nil"/>
            </w:tcBorders>
            <w:shd w:val="clear" w:color="000000" w:fill="95B3D7"/>
            <w:noWrap/>
            <w:vAlign w:val="bottom"/>
            <w:hideMark/>
          </w:tcPr>
          <w:p w:rsidR="00260BA4" w:rsidRPr="00C8515C" w:rsidRDefault="00260BA4" w:rsidP="00D7100C">
            <w:pPr>
              <w:jc w:val="right"/>
              <w:rPr>
                <w:b/>
                <w:bCs/>
                <w:sz w:val="20"/>
                <w:lang w:val="es-GT" w:eastAsia="es-GT"/>
              </w:rPr>
            </w:pPr>
            <w:r>
              <w:rPr>
                <w:b/>
                <w:bCs/>
                <w:sz w:val="20"/>
                <w:lang w:val="es-GT" w:eastAsia="es-GT"/>
              </w:rPr>
              <w:t>-</w:t>
            </w:r>
            <w:r w:rsidRPr="00C8515C">
              <w:rPr>
                <w:b/>
                <w:bCs/>
                <w:sz w:val="20"/>
                <w:lang w:val="es-GT" w:eastAsia="es-GT"/>
              </w:rPr>
              <w:t>21,776.7</w:t>
            </w:r>
          </w:p>
        </w:tc>
        <w:tc>
          <w:tcPr>
            <w:tcW w:w="747" w:type="pct"/>
            <w:tcBorders>
              <w:top w:val="nil"/>
              <w:left w:val="nil"/>
              <w:bottom w:val="nil"/>
              <w:right w:val="single" w:sz="8" w:space="0" w:color="auto"/>
            </w:tcBorders>
            <w:shd w:val="clear" w:color="000000" w:fill="95B3D7"/>
            <w:noWrap/>
            <w:vAlign w:val="bottom"/>
            <w:hideMark/>
          </w:tcPr>
          <w:p w:rsidR="00260BA4" w:rsidRPr="00C8515C" w:rsidRDefault="00260BA4" w:rsidP="00D7100C">
            <w:pPr>
              <w:jc w:val="center"/>
              <w:rPr>
                <w:b/>
                <w:bCs/>
                <w:sz w:val="20"/>
                <w:lang w:val="es-GT" w:eastAsia="es-GT"/>
              </w:rPr>
            </w:pPr>
            <w:r w:rsidRPr="00C8515C">
              <w:rPr>
                <w:b/>
                <w:bCs/>
                <w:sz w:val="20"/>
                <w:lang w:val="es-GT" w:eastAsia="es-GT"/>
              </w:rPr>
              <w:t>-56.4%</w:t>
            </w:r>
          </w:p>
        </w:tc>
      </w:tr>
      <w:tr w:rsidR="00260BA4" w:rsidRPr="00C8515C" w:rsidTr="00D7100C">
        <w:trPr>
          <w:trHeight w:val="195"/>
        </w:trPr>
        <w:tc>
          <w:tcPr>
            <w:tcW w:w="2236" w:type="pct"/>
            <w:tcBorders>
              <w:top w:val="nil"/>
              <w:left w:val="single" w:sz="8" w:space="0" w:color="auto"/>
              <w:bottom w:val="nil"/>
              <w:right w:val="nil"/>
            </w:tcBorders>
            <w:shd w:val="clear" w:color="000000" w:fill="95B3D7"/>
            <w:noWrap/>
            <w:vAlign w:val="bottom"/>
            <w:hideMark/>
          </w:tcPr>
          <w:p w:rsidR="00260BA4" w:rsidRPr="00C8515C" w:rsidRDefault="00260BA4" w:rsidP="00D7100C">
            <w:pPr>
              <w:rPr>
                <w:b/>
                <w:bCs/>
                <w:sz w:val="20"/>
                <w:lang w:val="es-GT" w:eastAsia="es-GT"/>
              </w:rPr>
            </w:pPr>
            <w:r w:rsidRPr="00C8515C">
              <w:rPr>
                <w:b/>
                <w:bCs/>
                <w:sz w:val="20"/>
                <w:lang w:val="es-GT" w:eastAsia="es-GT"/>
              </w:rPr>
              <w:t>Resultado Primario</w:t>
            </w:r>
          </w:p>
        </w:tc>
        <w:tc>
          <w:tcPr>
            <w:tcW w:w="599" w:type="pct"/>
            <w:tcBorders>
              <w:top w:val="nil"/>
              <w:left w:val="nil"/>
              <w:bottom w:val="nil"/>
              <w:right w:val="nil"/>
            </w:tcBorders>
            <w:shd w:val="clear" w:color="000000" w:fill="95B3D7"/>
            <w:noWrap/>
            <w:vAlign w:val="bottom"/>
            <w:hideMark/>
          </w:tcPr>
          <w:p w:rsidR="00260BA4" w:rsidRPr="00C8515C" w:rsidRDefault="00260BA4" w:rsidP="00D7100C">
            <w:pPr>
              <w:jc w:val="right"/>
              <w:rPr>
                <w:b/>
                <w:bCs/>
                <w:color w:val="000000"/>
                <w:sz w:val="20"/>
                <w:lang w:val="es-GT" w:eastAsia="es-GT"/>
              </w:rPr>
            </w:pPr>
            <w:r w:rsidRPr="00C8515C">
              <w:rPr>
                <w:b/>
                <w:bCs/>
                <w:color w:val="000000"/>
                <w:sz w:val="20"/>
                <w:lang w:val="es-GT" w:eastAsia="es-GT"/>
              </w:rPr>
              <w:t>-24,363.0</w:t>
            </w:r>
          </w:p>
        </w:tc>
        <w:tc>
          <w:tcPr>
            <w:tcW w:w="672" w:type="pct"/>
            <w:tcBorders>
              <w:top w:val="nil"/>
              <w:left w:val="nil"/>
              <w:bottom w:val="nil"/>
              <w:right w:val="nil"/>
            </w:tcBorders>
            <w:shd w:val="clear" w:color="000000" w:fill="95B3D7"/>
            <w:noWrap/>
            <w:vAlign w:val="bottom"/>
            <w:hideMark/>
          </w:tcPr>
          <w:p w:rsidR="00260BA4" w:rsidRPr="00C8515C" w:rsidRDefault="00260BA4" w:rsidP="00D7100C">
            <w:pPr>
              <w:jc w:val="right"/>
              <w:rPr>
                <w:b/>
                <w:bCs/>
                <w:color w:val="000000"/>
                <w:sz w:val="20"/>
                <w:lang w:val="es-GT" w:eastAsia="es-GT"/>
              </w:rPr>
            </w:pPr>
            <w:r w:rsidRPr="00C8515C">
              <w:rPr>
                <w:b/>
                <w:bCs/>
                <w:color w:val="000000"/>
                <w:sz w:val="20"/>
                <w:lang w:val="es-GT" w:eastAsia="es-GT"/>
              </w:rPr>
              <w:t>3,665.9</w:t>
            </w:r>
          </w:p>
        </w:tc>
        <w:tc>
          <w:tcPr>
            <w:tcW w:w="746" w:type="pct"/>
            <w:tcBorders>
              <w:top w:val="nil"/>
              <w:left w:val="nil"/>
              <w:bottom w:val="nil"/>
              <w:right w:val="nil"/>
            </w:tcBorders>
            <w:shd w:val="clear" w:color="000000" w:fill="95B3D7"/>
            <w:noWrap/>
            <w:vAlign w:val="bottom"/>
            <w:hideMark/>
          </w:tcPr>
          <w:p w:rsidR="00260BA4" w:rsidRPr="00C8515C" w:rsidRDefault="00260BA4" w:rsidP="00D7100C">
            <w:pPr>
              <w:jc w:val="right"/>
              <w:rPr>
                <w:b/>
                <w:bCs/>
                <w:sz w:val="20"/>
                <w:lang w:val="es-GT" w:eastAsia="es-GT"/>
              </w:rPr>
            </w:pPr>
            <w:r>
              <w:rPr>
                <w:b/>
                <w:bCs/>
                <w:sz w:val="20"/>
                <w:lang w:val="es-GT" w:eastAsia="es-GT"/>
              </w:rPr>
              <w:t>-</w:t>
            </w:r>
            <w:r w:rsidRPr="00C8515C">
              <w:rPr>
                <w:b/>
                <w:bCs/>
                <w:sz w:val="20"/>
                <w:lang w:val="es-GT" w:eastAsia="es-GT"/>
              </w:rPr>
              <w:t>28,029.0</w:t>
            </w:r>
          </w:p>
        </w:tc>
        <w:tc>
          <w:tcPr>
            <w:tcW w:w="747" w:type="pct"/>
            <w:tcBorders>
              <w:top w:val="nil"/>
              <w:left w:val="nil"/>
              <w:bottom w:val="nil"/>
              <w:right w:val="single" w:sz="8" w:space="0" w:color="auto"/>
            </w:tcBorders>
            <w:shd w:val="clear" w:color="000000" w:fill="95B3D7"/>
            <w:noWrap/>
            <w:vAlign w:val="bottom"/>
            <w:hideMark/>
          </w:tcPr>
          <w:p w:rsidR="00260BA4" w:rsidRPr="00C8515C" w:rsidRDefault="00260BA4" w:rsidP="00D7100C">
            <w:pPr>
              <w:jc w:val="center"/>
              <w:rPr>
                <w:b/>
                <w:bCs/>
                <w:sz w:val="20"/>
                <w:lang w:val="es-GT" w:eastAsia="es-GT"/>
              </w:rPr>
            </w:pPr>
            <w:r w:rsidRPr="00C8515C">
              <w:rPr>
                <w:b/>
                <w:bCs/>
                <w:sz w:val="20"/>
                <w:lang w:val="es-GT" w:eastAsia="es-GT"/>
              </w:rPr>
              <w:t>-15.0%</w:t>
            </w:r>
          </w:p>
        </w:tc>
      </w:tr>
      <w:tr w:rsidR="00260BA4" w:rsidRPr="00C8515C" w:rsidTr="00D7100C">
        <w:trPr>
          <w:trHeight w:val="195"/>
        </w:trPr>
        <w:tc>
          <w:tcPr>
            <w:tcW w:w="2236" w:type="pct"/>
            <w:tcBorders>
              <w:top w:val="nil"/>
              <w:left w:val="single" w:sz="8" w:space="0" w:color="auto"/>
              <w:bottom w:val="nil"/>
              <w:right w:val="nil"/>
            </w:tcBorders>
            <w:shd w:val="clear" w:color="000000" w:fill="95B3D7"/>
            <w:noWrap/>
            <w:vAlign w:val="bottom"/>
            <w:hideMark/>
          </w:tcPr>
          <w:p w:rsidR="00260BA4" w:rsidRPr="00C8515C" w:rsidRDefault="00260BA4" w:rsidP="00D7100C">
            <w:pPr>
              <w:rPr>
                <w:b/>
                <w:bCs/>
                <w:sz w:val="20"/>
                <w:lang w:val="es-GT" w:eastAsia="es-GT"/>
              </w:rPr>
            </w:pPr>
            <w:r w:rsidRPr="00C8515C">
              <w:rPr>
                <w:b/>
                <w:bCs/>
                <w:sz w:val="20"/>
                <w:lang w:val="es-GT" w:eastAsia="es-GT"/>
              </w:rPr>
              <w:t>Resultado Presupuestal</w:t>
            </w:r>
          </w:p>
        </w:tc>
        <w:tc>
          <w:tcPr>
            <w:tcW w:w="599" w:type="pct"/>
            <w:tcBorders>
              <w:top w:val="nil"/>
              <w:left w:val="nil"/>
              <w:bottom w:val="nil"/>
              <w:right w:val="nil"/>
            </w:tcBorders>
            <w:shd w:val="clear" w:color="000000" w:fill="95B3D7"/>
            <w:noWrap/>
            <w:vAlign w:val="bottom"/>
            <w:hideMark/>
          </w:tcPr>
          <w:p w:rsidR="00260BA4" w:rsidRPr="00C8515C" w:rsidRDefault="00260BA4" w:rsidP="00D7100C">
            <w:pPr>
              <w:jc w:val="right"/>
              <w:rPr>
                <w:b/>
                <w:bCs/>
                <w:sz w:val="20"/>
                <w:lang w:val="es-GT" w:eastAsia="es-GT"/>
              </w:rPr>
            </w:pPr>
            <w:r w:rsidRPr="00C8515C">
              <w:rPr>
                <w:b/>
                <w:bCs/>
                <w:sz w:val="20"/>
                <w:lang w:val="es-GT" w:eastAsia="es-GT"/>
              </w:rPr>
              <w:t>-34,879.7</w:t>
            </w:r>
          </w:p>
        </w:tc>
        <w:tc>
          <w:tcPr>
            <w:tcW w:w="672" w:type="pct"/>
            <w:tcBorders>
              <w:top w:val="nil"/>
              <w:left w:val="nil"/>
              <w:bottom w:val="nil"/>
              <w:right w:val="nil"/>
            </w:tcBorders>
            <w:shd w:val="clear" w:color="000000" w:fill="95B3D7"/>
            <w:noWrap/>
            <w:vAlign w:val="bottom"/>
            <w:hideMark/>
          </w:tcPr>
          <w:p w:rsidR="00260BA4" w:rsidRPr="00C8515C" w:rsidRDefault="00260BA4" w:rsidP="00D7100C">
            <w:pPr>
              <w:jc w:val="right"/>
              <w:rPr>
                <w:b/>
                <w:bCs/>
                <w:sz w:val="20"/>
                <w:lang w:val="es-GT" w:eastAsia="es-GT"/>
              </w:rPr>
            </w:pPr>
            <w:r w:rsidRPr="00C8515C">
              <w:rPr>
                <w:b/>
                <w:bCs/>
                <w:sz w:val="20"/>
                <w:lang w:val="es-GT" w:eastAsia="es-GT"/>
              </w:rPr>
              <w:t>-7,879.9</w:t>
            </w:r>
          </w:p>
        </w:tc>
        <w:tc>
          <w:tcPr>
            <w:tcW w:w="746" w:type="pct"/>
            <w:tcBorders>
              <w:top w:val="nil"/>
              <w:left w:val="nil"/>
              <w:bottom w:val="nil"/>
              <w:right w:val="nil"/>
            </w:tcBorders>
            <w:shd w:val="clear" w:color="000000" w:fill="95B3D7"/>
            <w:noWrap/>
            <w:vAlign w:val="bottom"/>
            <w:hideMark/>
          </w:tcPr>
          <w:p w:rsidR="00260BA4" w:rsidRPr="00C8515C" w:rsidRDefault="00260BA4" w:rsidP="00D7100C">
            <w:pPr>
              <w:jc w:val="right"/>
              <w:rPr>
                <w:b/>
                <w:bCs/>
                <w:sz w:val="20"/>
                <w:lang w:val="es-GT" w:eastAsia="es-GT"/>
              </w:rPr>
            </w:pPr>
            <w:r>
              <w:rPr>
                <w:b/>
                <w:bCs/>
                <w:sz w:val="20"/>
                <w:lang w:val="es-GT" w:eastAsia="es-GT"/>
              </w:rPr>
              <w:t>-</w:t>
            </w:r>
            <w:r w:rsidRPr="00C8515C">
              <w:rPr>
                <w:b/>
                <w:bCs/>
                <w:sz w:val="20"/>
                <w:lang w:val="es-GT" w:eastAsia="es-GT"/>
              </w:rPr>
              <w:t>26,999.8</w:t>
            </w:r>
          </w:p>
        </w:tc>
        <w:tc>
          <w:tcPr>
            <w:tcW w:w="747" w:type="pct"/>
            <w:tcBorders>
              <w:top w:val="nil"/>
              <w:left w:val="nil"/>
              <w:bottom w:val="nil"/>
              <w:right w:val="single" w:sz="8" w:space="0" w:color="auto"/>
            </w:tcBorders>
            <w:shd w:val="clear" w:color="000000" w:fill="95B3D7"/>
            <w:noWrap/>
            <w:vAlign w:val="bottom"/>
            <w:hideMark/>
          </w:tcPr>
          <w:p w:rsidR="00260BA4" w:rsidRPr="00C8515C" w:rsidRDefault="00260BA4" w:rsidP="00D7100C">
            <w:pPr>
              <w:jc w:val="center"/>
              <w:rPr>
                <w:b/>
                <w:bCs/>
                <w:sz w:val="20"/>
                <w:lang w:val="es-GT" w:eastAsia="es-GT"/>
              </w:rPr>
            </w:pPr>
            <w:r>
              <w:rPr>
                <w:b/>
                <w:bCs/>
                <w:sz w:val="20"/>
                <w:lang w:val="es-GT" w:eastAsia="es-GT"/>
              </w:rPr>
              <w:t>22.6</w:t>
            </w:r>
            <w:r w:rsidRPr="00C8515C">
              <w:rPr>
                <w:b/>
                <w:bCs/>
                <w:sz w:val="20"/>
                <w:lang w:val="es-GT" w:eastAsia="es-GT"/>
              </w:rPr>
              <w:t>%</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rPr>
                <w:sz w:val="20"/>
                <w:lang w:val="es-GT" w:eastAsia="es-GT"/>
              </w:rPr>
            </w:pPr>
            <w:r w:rsidRPr="00C8515C">
              <w:rPr>
                <w:sz w:val="20"/>
                <w:lang w:val="es-GT" w:eastAsia="es-GT"/>
              </w:rPr>
              <w:t>Financiamiento Total</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34,879.7</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7,879.9</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26,999.8</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22.6</w:t>
            </w:r>
            <w:r w:rsidRPr="00C8515C">
              <w:rPr>
                <w:sz w:val="20"/>
                <w:lang w:val="es-GT" w:eastAsia="es-GT"/>
              </w:rPr>
              <w:t>%</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100" w:firstLine="201"/>
              <w:rPr>
                <w:b/>
                <w:bCs/>
                <w:sz w:val="20"/>
                <w:lang w:val="es-GT" w:eastAsia="es-GT"/>
              </w:rPr>
            </w:pPr>
            <w:r w:rsidRPr="00C8515C">
              <w:rPr>
                <w:b/>
                <w:bCs/>
                <w:sz w:val="20"/>
                <w:lang w:val="es-GT" w:eastAsia="es-GT"/>
              </w:rPr>
              <w:t>Financiamiento Externo Neto</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2,257.7</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5,235.9</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Pr>
                <w:b/>
                <w:bCs/>
                <w:sz w:val="20"/>
                <w:lang w:val="es-GT" w:eastAsia="es-GT"/>
              </w:rPr>
              <w:t>-</w:t>
            </w:r>
            <w:r w:rsidRPr="00C8515C">
              <w:rPr>
                <w:b/>
                <w:bCs/>
                <w:sz w:val="20"/>
                <w:lang w:val="es-GT" w:eastAsia="es-GT"/>
              </w:rPr>
              <w:t>2,978.3</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b/>
                <w:bCs/>
                <w:sz w:val="20"/>
                <w:lang w:val="es-GT" w:eastAsia="es-GT"/>
              </w:rPr>
            </w:pPr>
            <w:r>
              <w:rPr>
                <w:b/>
                <w:bCs/>
                <w:sz w:val="20"/>
                <w:lang w:val="es-GT" w:eastAsia="es-GT"/>
              </w:rPr>
              <w:t>2</w:t>
            </w:r>
            <w:r w:rsidRPr="00C8515C">
              <w:rPr>
                <w:b/>
                <w:bCs/>
                <w:sz w:val="20"/>
                <w:lang w:val="es-GT" w:eastAsia="es-GT"/>
              </w:rPr>
              <w:t>31.9%</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200" w:firstLine="400"/>
              <w:rPr>
                <w:sz w:val="20"/>
                <w:lang w:val="es-GT" w:eastAsia="es-GT"/>
              </w:rPr>
            </w:pPr>
            <w:r w:rsidRPr="00C8515C">
              <w:rPr>
                <w:sz w:val="20"/>
                <w:lang w:val="es-GT" w:eastAsia="es-GT"/>
              </w:rPr>
              <w:t>Préstamos</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2,257.7</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-2,496.2</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4,753.9</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sidRPr="00C8515C">
              <w:rPr>
                <w:sz w:val="20"/>
                <w:lang w:val="es-GT" w:eastAsia="es-GT"/>
              </w:rPr>
              <w:t>-</w:t>
            </w:r>
            <w:r>
              <w:rPr>
                <w:sz w:val="20"/>
                <w:lang w:val="es-GT" w:eastAsia="es-GT"/>
              </w:rPr>
              <w:t>1</w:t>
            </w:r>
            <w:r w:rsidRPr="00C8515C">
              <w:rPr>
                <w:sz w:val="20"/>
                <w:lang w:val="es-GT" w:eastAsia="es-GT"/>
              </w:rPr>
              <w:t>10.6%</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300" w:firstLine="600"/>
              <w:rPr>
                <w:sz w:val="20"/>
                <w:lang w:val="es-GT" w:eastAsia="es-GT"/>
              </w:rPr>
            </w:pPr>
            <w:r w:rsidRPr="00C8515C">
              <w:rPr>
                <w:sz w:val="20"/>
                <w:lang w:val="es-GT" w:eastAsia="es-GT"/>
              </w:rPr>
              <w:t xml:space="preserve">Desembolsos </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5,558.7</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443.7</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5,115.0</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8</w:t>
            </w:r>
            <w:r w:rsidRPr="00C8515C">
              <w:rPr>
                <w:sz w:val="20"/>
                <w:lang w:val="es-GT" w:eastAsia="es-GT"/>
              </w:rPr>
              <w:t>.0%</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300" w:firstLine="600"/>
              <w:rPr>
                <w:sz w:val="20"/>
                <w:lang w:val="es-GT" w:eastAsia="es-GT"/>
              </w:rPr>
            </w:pPr>
            <w:r w:rsidRPr="00C8515C">
              <w:rPr>
                <w:sz w:val="20"/>
                <w:lang w:val="es-GT" w:eastAsia="es-GT"/>
              </w:rPr>
              <w:t>Amortizaciones</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3,301.0</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2,939.9</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361.1</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89.1</w:t>
            </w:r>
            <w:r w:rsidRPr="00C8515C">
              <w:rPr>
                <w:sz w:val="20"/>
                <w:lang w:val="es-GT" w:eastAsia="es-GT"/>
              </w:rPr>
              <w:t>%</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200" w:firstLine="400"/>
              <w:rPr>
                <w:sz w:val="20"/>
                <w:lang w:val="es-GT" w:eastAsia="es-GT"/>
              </w:rPr>
            </w:pPr>
            <w:r w:rsidRPr="00C8515C">
              <w:rPr>
                <w:sz w:val="20"/>
                <w:lang w:val="es-GT" w:eastAsia="es-GT"/>
              </w:rPr>
              <w:t>Eurobonos</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0.0</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7,732.2</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Pr>
                <w:sz w:val="20"/>
                <w:lang w:val="es-GT" w:eastAsia="es-GT"/>
              </w:rPr>
              <w:t>-</w:t>
            </w:r>
            <w:r w:rsidRPr="00C8515C">
              <w:rPr>
                <w:sz w:val="20"/>
                <w:lang w:val="es-GT" w:eastAsia="es-GT"/>
              </w:rPr>
              <w:t>7,732.2</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sidRPr="00C8515C">
              <w:rPr>
                <w:sz w:val="20"/>
                <w:lang w:val="es-GT" w:eastAsia="es-GT"/>
              </w:rPr>
              <w:t> </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100" w:firstLine="201"/>
              <w:rPr>
                <w:b/>
                <w:bCs/>
                <w:sz w:val="20"/>
                <w:lang w:val="es-GT" w:eastAsia="es-GT"/>
              </w:rPr>
            </w:pPr>
            <w:r w:rsidRPr="00C8515C">
              <w:rPr>
                <w:b/>
                <w:bCs/>
                <w:sz w:val="20"/>
                <w:lang w:val="es-GT" w:eastAsia="es-GT"/>
              </w:rPr>
              <w:t>Financiamiento Interno Neto</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32,622.0</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2,644.0</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29,978.1</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b/>
                <w:bCs/>
                <w:sz w:val="20"/>
                <w:lang w:val="es-GT" w:eastAsia="es-GT"/>
              </w:rPr>
            </w:pPr>
            <w:r>
              <w:rPr>
                <w:b/>
                <w:bCs/>
                <w:sz w:val="20"/>
                <w:lang w:val="es-GT" w:eastAsia="es-GT"/>
              </w:rPr>
              <w:t>8.1</w:t>
            </w:r>
            <w:r w:rsidRPr="00C8515C">
              <w:rPr>
                <w:b/>
                <w:bCs/>
                <w:sz w:val="20"/>
                <w:lang w:val="es-GT" w:eastAsia="es-GT"/>
              </w:rPr>
              <w:t>%</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center"/>
            <w:hideMark/>
          </w:tcPr>
          <w:p w:rsidR="00260BA4" w:rsidRPr="00C8515C" w:rsidRDefault="00260BA4" w:rsidP="00D7100C">
            <w:pPr>
              <w:rPr>
                <w:sz w:val="20"/>
                <w:lang w:val="es-GT" w:eastAsia="es-GT"/>
              </w:rPr>
            </w:pPr>
            <w:r w:rsidRPr="00C8515C">
              <w:rPr>
                <w:sz w:val="20"/>
                <w:lang w:val="es-GT" w:eastAsia="es-GT"/>
              </w:rPr>
              <w:t xml:space="preserve">Negociación Neta  </w:t>
            </w:r>
          </w:p>
        </w:tc>
        <w:tc>
          <w:tcPr>
            <w:tcW w:w="599" w:type="pct"/>
            <w:tcBorders>
              <w:top w:val="nil"/>
              <w:left w:val="nil"/>
              <w:bottom w:val="nil"/>
              <w:right w:val="nil"/>
            </w:tcBorders>
            <w:shd w:val="clear" w:color="000000" w:fill="FFFFFF"/>
            <w:noWrap/>
            <w:vAlign w:val="center"/>
            <w:hideMark/>
          </w:tcPr>
          <w:p w:rsidR="00260BA4" w:rsidRPr="00C8515C" w:rsidRDefault="00260BA4" w:rsidP="00D7100C">
            <w:pPr>
              <w:jc w:val="right"/>
              <w:rPr>
                <w:sz w:val="20"/>
                <w:lang w:val="es-GT" w:eastAsia="es-GT"/>
              </w:rPr>
            </w:pPr>
            <w:r w:rsidRPr="00C8515C">
              <w:rPr>
                <w:sz w:val="20"/>
                <w:lang w:val="es-GT" w:eastAsia="es-GT"/>
              </w:rPr>
              <w:t>30,047.9</w:t>
            </w:r>
          </w:p>
        </w:tc>
        <w:tc>
          <w:tcPr>
            <w:tcW w:w="672" w:type="pct"/>
            <w:tcBorders>
              <w:top w:val="nil"/>
              <w:left w:val="nil"/>
              <w:bottom w:val="nil"/>
              <w:right w:val="nil"/>
            </w:tcBorders>
            <w:shd w:val="clear" w:color="000000" w:fill="FFFFFF"/>
            <w:noWrap/>
            <w:vAlign w:val="center"/>
            <w:hideMark/>
          </w:tcPr>
          <w:p w:rsidR="00260BA4" w:rsidRPr="00C8515C" w:rsidRDefault="00260BA4" w:rsidP="00D7100C">
            <w:pPr>
              <w:jc w:val="right"/>
              <w:rPr>
                <w:sz w:val="20"/>
                <w:lang w:val="es-GT" w:eastAsia="es-GT"/>
              </w:rPr>
            </w:pPr>
            <w:r w:rsidRPr="00C8515C">
              <w:rPr>
                <w:sz w:val="20"/>
                <w:lang w:val="es-GT" w:eastAsia="es-GT"/>
              </w:rPr>
              <w:t>11,315.8</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18,732.2</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Pr>
                <w:sz w:val="20"/>
                <w:lang w:val="es-GT" w:eastAsia="es-GT"/>
              </w:rPr>
              <w:t>37.7</w:t>
            </w:r>
            <w:r w:rsidRPr="00C8515C">
              <w:rPr>
                <w:sz w:val="20"/>
                <w:lang w:val="es-GT" w:eastAsia="es-GT"/>
              </w:rPr>
              <w:t>%</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center"/>
            <w:hideMark/>
          </w:tcPr>
          <w:p w:rsidR="00260BA4" w:rsidRPr="00C8515C" w:rsidRDefault="00260BA4" w:rsidP="00D7100C">
            <w:pPr>
              <w:rPr>
                <w:sz w:val="20"/>
                <w:lang w:val="es-GT" w:eastAsia="es-GT"/>
              </w:rPr>
            </w:pPr>
            <w:r w:rsidRPr="00C8515C">
              <w:rPr>
                <w:sz w:val="20"/>
                <w:lang w:val="es-GT" w:eastAsia="es-GT"/>
              </w:rPr>
              <w:t>Negociación Neta de Primas por Colocación</w:t>
            </w:r>
          </w:p>
        </w:tc>
        <w:tc>
          <w:tcPr>
            <w:tcW w:w="599" w:type="pct"/>
            <w:tcBorders>
              <w:top w:val="nil"/>
              <w:left w:val="nil"/>
              <w:bottom w:val="nil"/>
              <w:right w:val="nil"/>
            </w:tcBorders>
            <w:shd w:val="clear" w:color="000000" w:fill="FFFFFF"/>
            <w:noWrap/>
            <w:vAlign w:val="center"/>
            <w:hideMark/>
          </w:tcPr>
          <w:p w:rsidR="00260BA4" w:rsidRPr="00C8515C" w:rsidRDefault="00260BA4" w:rsidP="00D7100C">
            <w:pPr>
              <w:jc w:val="right"/>
              <w:rPr>
                <w:sz w:val="20"/>
                <w:lang w:val="es-GT" w:eastAsia="es-GT"/>
              </w:rPr>
            </w:pPr>
            <w:r w:rsidRPr="00C8515C">
              <w:rPr>
                <w:sz w:val="20"/>
                <w:lang w:val="es-GT" w:eastAsia="es-GT"/>
              </w:rPr>
              <w:t>-93.8</w:t>
            </w:r>
          </w:p>
        </w:tc>
        <w:tc>
          <w:tcPr>
            <w:tcW w:w="672" w:type="pct"/>
            <w:tcBorders>
              <w:top w:val="nil"/>
              <w:left w:val="nil"/>
              <w:bottom w:val="nil"/>
              <w:right w:val="nil"/>
            </w:tcBorders>
            <w:shd w:val="clear" w:color="000000" w:fill="FFFFFF"/>
            <w:noWrap/>
            <w:vAlign w:val="center"/>
            <w:hideMark/>
          </w:tcPr>
          <w:p w:rsidR="00260BA4" w:rsidRPr="00C8515C" w:rsidRDefault="00260BA4" w:rsidP="00D7100C">
            <w:pPr>
              <w:jc w:val="right"/>
              <w:rPr>
                <w:sz w:val="20"/>
                <w:lang w:val="es-GT" w:eastAsia="es-GT"/>
              </w:rPr>
            </w:pPr>
            <w:r w:rsidRPr="00C8515C">
              <w:rPr>
                <w:sz w:val="20"/>
                <w:lang w:val="es-GT" w:eastAsia="es-GT"/>
              </w:rPr>
              <w:t>3,137.3</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Pr>
                <w:sz w:val="20"/>
                <w:lang w:val="es-GT" w:eastAsia="es-GT"/>
              </w:rPr>
              <w:t>-</w:t>
            </w:r>
            <w:r w:rsidRPr="00C8515C">
              <w:rPr>
                <w:sz w:val="20"/>
                <w:lang w:val="es-GT" w:eastAsia="es-GT"/>
              </w:rPr>
              <w:t>3,231.0</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sidRPr="00C8515C">
              <w:rPr>
                <w:sz w:val="20"/>
                <w:lang w:val="es-GT" w:eastAsia="es-GT"/>
              </w:rPr>
              <w:t>-3</w:t>
            </w:r>
            <w:r>
              <w:rPr>
                <w:sz w:val="20"/>
                <w:lang w:val="es-GT" w:eastAsia="es-GT"/>
              </w:rPr>
              <w:t>,</w:t>
            </w:r>
            <w:r w:rsidRPr="00C8515C">
              <w:rPr>
                <w:sz w:val="20"/>
                <w:lang w:val="es-GT" w:eastAsia="es-GT"/>
              </w:rPr>
              <w:t>445.4%</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300" w:firstLine="600"/>
              <w:rPr>
                <w:sz w:val="20"/>
                <w:lang w:val="es-GT" w:eastAsia="es-GT"/>
              </w:rPr>
            </w:pPr>
            <w:r w:rsidRPr="00C8515C">
              <w:rPr>
                <w:sz w:val="20"/>
                <w:lang w:val="es-GT" w:eastAsia="es-GT"/>
              </w:rPr>
              <w:t>Colocación</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0.0</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3,137.3</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Pr>
                <w:sz w:val="20"/>
                <w:lang w:val="es-GT" w:eastAsia="es-GT"/>
              </w:rPr>
              <w:t>-</w:t>
            </w:r>
            <w:r w:rsidRPr="00C8515C">
              <w:rPr>
                <w:sz w:val="20"/>
                <w:lang w:val="es-GT" w:eastAsia="es-GT"/>
              </w:rPr>
              <w:t>3,137.3</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r w:rsidRPr="00C8515C">
              <w:rPr>
                <w:sz w:val="20"/>
                <w:lang w:val="es-GT" w:eastAsia="es-GT"/>
              </w:rPr>
              <w:t> </w:t>
            </w: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bottom"/>
            <w:hideMark/>
          </w:tcPr>
          <w:p w:rsidR="00260BA4" w:rsidRPr="00C8515C" w:rsidRDefault="00260BA4" w:rsidP="00D7100C">
            <w:pPr>
              <w:ind w:firstLineChars="300" w:firstLine="600"/>
              <w:rPr>
                <w:sz w:val="20"/>
                <w:lang w:val="es-GT" w:eastAsia="es-GT"/>
              </w:rPr>
            </w:pPr>
            <w:r w:rsidRPr="00C8515C">
              <w:rPr>
                <w:sz w:val="20"/>
                <w:lang w:val="es-GT" w:eastAsia="es-GT"/>
              </w:rPr>
              <w:t>Amortización</w:t>
            </w:r>
          </w:p>
        </w:tc>
        <w:tc>
          <w:tcPr>
            <w:tcW w:w="599"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93.8</w:t>
            </w:r>
          </w:p>
        </w:tc>
        <w:tc>
          <w:tcPr>
            <w:tcW w:w="672" w:type="pct"/>
            <w:tcBorders>
              <w:top w:val="nil"/>
              <w:left w:val="nil"/>
              <w:bottom w:val="nil"/>
              <w:right w:val="nil"/>
            </w:tcBorders>
            <w:shd w:val="clear" w:color="000000" w:fill="FFFFFF"/>
            <w:noWrap/>
            <w:vAlign w:val="bottom"/>
            <w:hideMark/>
          </w:tcPr>
          <w:p w:rsidR="00260BA4" w:rsidRPr="00C8515C" w:rsidRDefault="00260BA4" w:rsidP="00D7100C">
            <w:pPr>
              <w:rPr>
                <w:sz w:val="20"/>
                <w:lang w:val="es-GT" w:eastAsia="es-GT"/>
              </w:rPr>
            </w:pPr>
            <w:r w:rsidRPr="00C8515C">
              <w:rPr>
                <w:sz w:val="20"/>
                <w:lang w:val="es-GT" w:eastAsia="es-GT"/>
              </w:rPr>
              <w:t> </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93.8</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p>
        </w:tc>
      </w:tr>
      <w:tr w:rsidR="00260BA4" w:rsidRPr="00C8515C" w:rsidTr="00D7100C">
        <w:trPr>
          <w:trHeight w:val="195"/>
        </w:trPr>
        <w:tc>
          <w:tcPr>
            <w:tcW w:w="2236" w:type="pct"/>
            <w:tcBorders>
              <w:top w:val="nil"/>
              <w:left w:val="single" w:sz="8" w:space="0" w:color="auto"/>
              <w:bottom w:val="nil"/>
              <w:right w:val="nil"/>
            </w:tcBorders>
            <w:shd w:val="clear" w:color="000000" w:fill="FFFFFF"/>
            <w:noWrap/>
            <w:vAlign w:val="center"/>
            <w:hideMark/>
          </w:tcPr>
          <w:p w:rsidR="00260BA4" w:rsidRPr="00C8515C" w:rsidRDefault="00260BA4" w:rsidP="00D7100C">
            <w:pPr>
              <w:rPr>
                <w:sz w:val="20"/>
                <w:lang w:val="es-GT" w:eastAsia="es-GT"/>
              </w:rPr>
            </w:pPr>
            <w:r w:rsidRPr="00C8515C">
              <w:rPr>
                <w:sz w:val="20"/>
                <w:lang w:val="es-GT" w:eastAsia="es-GT"/>
              </w:rPr>
              <w:t xml:space="preserve">Amortización por el Costo de la Política Monetaria </w:t>
            </w:r>
          </w:p>
        </w:tc>
        <w:tc>
          <w:tcPr>
            <w:tcW w:w="599" w:type="pct"/>
            <w:tcBorders>
              <w:top w:val="nil"/>
              <w:left w:val="nil"/>
              <w:bottom w:val="nil"/>
              <w:right w:val="nil"/>
            </w:tcBorders>
            <w:shd w:val="clear" w:color="000000" w:fill="FFFFFF"/>
            <w:noWrap/>
            <w:vAlign w:val="center"/>
            <w:hideMark/>
          </w:tcPr>
          <w:p w:rsidR="00260BA4" w:rsidRPr="00C8515C" w:rsidRDefault="00260BA4" w:rsidP="00D7100C">
            <w:pPr>
              <w:jc w:val="right"/>
              <w:rPr>
                <w:sz w:val="20"/>
                <w:lang w:val="es-GT" w:eastAsia="es-GT"/>
              </w:rPr>
            </w:pPr>
            <w:r w:rsidRPr="00C8515C">
              <w:rPr>
                <w:sz w:val="20"/>
                <w:lang w:val="es-GT" w:eastAsia="es-GT"/>
              </w:rPr>
              <w:t>699.5</w:t>
            </w:r>
          </w:p>
        </w:tc>
        <w:tc>
          <w:tcPr>
            <w:tcW w:w="672" w:type="pct"/>
            <w:tcBorders>
              <w:top w:val="nil"/>
              <w:left w:val="nil"/>
              <w:bottom w:val="nil"/>
              <w:right w:val="nil"/>
            </w:tcBorders>
            <w:shd w:val="clear" w:color="000000" w:fill="FFFFFF"/>
            <w:noWrap/>
            <w:vAlign w:val="center"/>
            <w:hideMark/>
          </w:tcPr>
          <w:p w:rsidR="00260BA4" w:rsidRPr="00C8515C" w:rsidRDefault="00260BA4" w:rsidP="00D7100C">
            <w:pPr>
              <w:rPr>
                <w:sz w:val="20"/>
                <w:lang w:val="es-GT" w:eastAsia="es-GT"/>
              </w:rPr>
            </w:pPr>
            <w:r w:rsidRPr="00C8515C">
              <w:rPr>
                <w:sz w:val="20"/>
                <w:lang w:val="es-GT" w:eastAsia="es-GT"/>
              </w:rPr>
              <w:t> </w:t>
            </w:r>
          </w:p>
        </w:tc>
        <w:tc>
          <w:tcPr>
            <w:tcW w:w="746" w:type="pct"/>
            <w:tcBorders>
              <w:top w:val="nil"/>
              <w:left w:val="nil"/>
              <w:bottom w:val="nil"/>
              <w:right w:val="nil"/>
            </w:tcBorders>
            <w:shd w:val="clear" w:color="000000" w:fill="FFFFFF"/>
            <w:noWrap/>
            <w:vAlign w:val="bottom"/>
            <w:hideMark/>
          </w:tcPr>
          <w:p w:rsidR="00260BA4" w:rsidRPr="00C8515C" w:rsidRDefault="00260BA4" w:rsidP="00D7100C">
            <w:pPr>
              <w:jc w:val="right"/>
              <w:rPr>
                <w:sz w:val="20"/>
                <w:lang w:val="es-GT" w:eastAsia="es-GT"/>
              </w:rPr>
            </w:pPr>
            <w:r w:rsidRPr="00C8515C">
              <w:rPr>
                <w:sz w:val="20"/>
                <w:lang w:val="es-GT" w:eastAsia="es-GT"/>
              </w:rPr>
              <w:t>699.5</w:t>
            </w:r>
          </w:p>
        </w:tc>
        <w:tc>
          <w:tcPr>
            <w:tcW w:w="747" w:type="pct"/>
            <w:tcBorders>
              <w:top w:val="nil"/>
              <w:left w:val="nil"/>
              <w:bottom w:val="nil"/>
              <w:right w:val="single" w:sz="8" w:space="0" w:color="auto"/>
            </w:tcBorders>
            <w:shd w:val="clear" w:color="000000" w:fill="FFFFFF"/>
            <w:noWrap/>
            <w:vAlign w:val="bottom"/>
            <w:hideMark/>
          </w:tcPr>
          <w:p w:rsidR="00260BA4" w:rsidRPr="00C8515C" w:rsidRDefault="00260BA4" w:rsidP="00D7100C">
            <w:pPr>
              <w:jc w:val="center"/>
              <w:rPr>
                <w:sz w:val="20"/>
                <w:lang w:val="es-GT" w:eastAsia="es-GT"/>
              </w:rPr>
            </w:pPr>
          </w:p>
        </w:tc>
      </w:tr>
      <w:tr w:rsidR="00260BA4" w:rsidRPr="00C8515C" w:rsidTr="00D7100C">
        <w:trPr>
          <w:trHeight w:val="195"/>
        </w:trPr>
        <w:tc>
          <w:tcPr>
            <w:tcW w:w="2236" w:type="pct"/>
            <w:tcBorders>
              <w:top w:val="nil"/>
              <w:left w:val="single" w:sz="8" w:space="0" w:color="auto"/>
              <w:bottom w:val="single" w:sz="8" w:space="0" w:color="auto"/>
              <w:right w:val="nil"/>
            </w:tcBorders>
            <w:shd w:val="clear" w:color="000000" w:fill="FFFFFF"/>
            <w:noWrap/>
            <w:vAlign w:val="center"/>
            <w:hideMark/>
          </w:tcPr>
          <w:p w:rsidR="00260BA4" w:rsidRPr="00C8515C" w:rsidRDefault="00260BA4" w:rsidP="00D7100C">
            <w:pPr>
              <w:rPr>
                <w:b/>
                <w:bCs/>
                <w:sz w:val="20"/>
                <w:lang w:val="es-GT" w:eastAsia="es-GT"/>
              </w:rPr>
            </w:pPr>
            <w:r w:rsidRPr="00C8515C">
              <w:rPr>
                <w:b/>
                <w:bCs/>
                <w:sz w:val="20"/>
                <w:lang w:val="es-GT" w:eastAsia="es-GT"/>
              </w:rPr>
              <w:t>Variación de Caja (+) disminución (-) aumento</w:t>
            </w:r>
          </w:p>
        </w:tc>
        <w:tc>
          <w:tcPr>
            <w:tcW w:w="599" w:type="pct"/>
            <w:tcBorders>
              <w:top w:val="nil"/>
              <w:left w:val="nil"/>
              <w:bottom w:val="single" w:sz="8" w:space="0" w:color="auto"/>
              <w:right w:val="nil"/>
            </w:tcBorders>
            <w:shd w:val="clear" w:color="000000" w:fill="FFFFFF"/>
            <w:noWrap/>
            <w:vAlign w:val="center"/>
            <w:hideMark/>
          </w:tcPr>
          <w:p w:rsidR="00260BA4" w:rsidRPr="00C8515C" w:rsidRDefault="00260BA4" w:rsidP="00D7100C">
            <w:pPr>
              <w:jc w:val="right"/>
              <w:rPr>
                <w:b/>
                <w:bCs/>
                <w:sz w:val="20"/>
                <w:lang w:val="es-GT" w:eastAsia="es-GT"/>
              </w:rPr>
            </w:pPr>
            <w:r w:rsidRPr="00C8515C">
              <w:rPr>
                <w:b/>
                <w:bCs/>
                <w:sz w:val="20"/>
                <w:lang w:val="es-GT" w:eastAsia="es-GT"/>
              </w:rPr>
              <w:t>3,367.4</w:t>
            </w:r>
          </w:p>
        </w:tc>
        <w:tc>
          <w:tcPr>
            <w:tcW w:w="672" w:type="pct"/>
            <w:tcBorders>
              <w:top w:val="nil"/>
              <w:left w:val="nil"/>
              <w:bottom w:val="single" w:sz="8" w:space="0" w:color="auto"/>
              <w:right w:val="nil"/>
            </w:tcBorders>
            <w:shd w:val="clear" w:color="000000" w:fill="FFFFFF"/>
            <w:noWrap/>
            <w:vAlign w:val="center"/>
            <w:hideMark/>
          </w:tcPr>
          <w:p w:rsidR="00260BA4" w:rsidRPr="00C8515C" w:rsidRDefault="00260BA4" w:rsidP="00D7100C">
            <w:pPr>
              <w:jc w:val="right"/>
              <w:rPr>
                <w:b/>
                <w:bCs/>
                <w:sz w:val="20"/>
                <w:lang w:val="es-GT" w:eastAsia="es-GT"/>
              </w:rPr>
            </w:pPr>
            <w:r w:rsidRPr="00C8515C">
              <w:rPr>
                <w:b/>
                <w:bCs/>
                <w:sz w:val="20"/>
                <w:lang w:val="es-GT" w:eastAsia="es-GT"/>
              </w:rPr>
              <w:t>-11,809.1</w:t>
            </w:r>
          </w:p>
        </w:tc>
        <w:tc>
          <w:tcPr>
            <w:tcW w:w="746" w:type="pct"/>
            <w:tcBorders>
              <w:top w:val="nil"/>
              <w:left w:val="nil"/>
              <w:bottom w:val="single" w:sz="8" w:space="0" w:color="auto"/>
              <w:right w:val="nil"/>
            </w:tcBorders>
            <w:shd w:val="clear" w:color="000000" w:fill="FFFFFF"/>
            <w:noWrap/>
            <w:vAlign w:val="bottom"/>
            <w:hideMark/>
          </w:tcPr>
          <w:p w:rsidR="00260BA4" w:rsidRPr="00C8515C" w:rsidRDefault="00260BA4" w:rsidP="00D7100C">
            <w:pPr>
              <w:jc w:val="right"/>
              <w:rPr>
                <w:b/>
                <w:bCs/>
                <w:sz w:val="20"/>
                <w:lang w:val="es-GT" w:eastAsia="es-GT"/>
              </w:rPr>
            </w:pPr>
            <w:r w:rsidRPr="00C8515C">
              <w:rPr>
                <w:b/>
                <w:bCs/>
                <w:sz w:val="20"/>
                <w:lang w:val="es-GT" w:eastAsia="es-GT"/>
              </w:rPr>
              <w:t>15,176.5</w:t>
            </w:r>
          </w:p>
        </w:tc>
        <w:tc>
          <w:tcPr>
            <w:tcW w:w="747" w:type="pct"/>
            <w:tcBorders>
              <w:top w:val="nil"/>
              <w:left w:val="nil"/>
              <w:bottom w:val="single" w:sz="8" w:space="0" w:color="auto"/>
              <w:right w:val="single" w:sz="8" w:space="0" w:color="auto"/>
            </w:tcBorders>
            <w:shd w:val="clear" w:color="000000" w:fill="FFFFFF"/>
            <w:noWrap/>
            <w:vAlign w:val="bottom"/>
            <w:hideMark/>
          </w:tcPr>
          <w:p w:rsidR="00260BA4" w:rsidRPr="00C8515C" w:rsidRDefault="00260BA4" w:rsidP="00D7100C">
            <w:pPr>
              <w:jc w:val="center"/>
              <w:rPr>
                <w:b/>
                <w:bCs/>
                <w:sz w:val="20"/>
                <w:lang w:val="es-GT" w:eastAsia="es-GT"/>
              </w:rPr>
            </w:pPr>
            <w:r w:rsidRPr="00C8515C">
              <w:rPr>
                <w:b/>
                <w:bCs/>
                <w:sz w:val="20"/>
                <w:lang w:val="es-GT" w:eastAsia="es-GT"/>
              </w:rPr>
              <w:t>-</w:t>
            </w:r>
            <w:r>
              <w:rPr>
                <w:b/>
                <w:bCs/>
                <w:sz w:val="20"/>
                <w:lang w:val="es-GT" w:eastAsia="es-GT"/>
              </w:rPr>
              <w:t>3</w:t>
            </w:r>
            <w:r w:rsidRPr="00C8515C">
              <w:rPr>
                <w:b/>
                <w:bCs/>
                <w:sz w:val="20"/>
                <w:lang w:val="es-GT" w:eastAsia="es-GT"/>
              </w:rPr>
              <w:t>50.7%</w:t>
            </w:r>
          </w:p>
        </w:tc>
      </w:tr>
    </w:tbl>
    <w:p w:rsidR="00CF6077" w:rsidRPr="008C5ECD" w:rsidRDefault="00260BA4" w:rsidP="00CF6077">
      <w:pPr>
        <w:jc w:val="both"/>
        <w:rPr>
          <w:sz w:val="18"/>
          <w:lang w:val="es-GT"/>
        </w:rPr>
      </w:pPr>
      <w:r>
        <w:rPr>
          <w:sz w:val="20"/>
          <w:lang w:val="es-MX"/>
        </w:rPr>
        <w:fldChar w:fldCharType="end"/>
      </w:r>
      <w:r w:rsidR="00CF6077" w:rsidRPr="008C5ECD">
        <w:rPr>
          <w:sz w:val="18"/>
          <w:lang w:val="es-GT"/>
        </w:rPr>
        <w:t>* Cifras preliminares</w:t>
      </w:r>
    </w:p>
    <w:p w:rsidR="00CF6077" w:rsidRPr="008C5ECD" w:rsidRDefault="00CF6077" w:rsidP="00CF6077">
      <w:pPr>
        <w:jc w:val="both"/>
        <w:rPr>
          <w:sz w:val="18"/>
        </w:rPr>
      </w:pPr>
      <w:r w:rsidRPr="008C5ECD">
        <w:rPr>
          <w:sz w:val="18"/>
        </w:rPr>
        <w:t xml:space="preserve">   Fuente: Ministerio de Finanzas Públicas.</w:t>
      </w:r>
    </w:p>
    <w:p w:rsidR="00802E7E" w:rsidRPr="001A254D" w:rsidRDefault="001D7553" w:rsidP="00C774F3">
      <w:pPr>
        <w:pStyle w:val="Ttulo2"/>
        <w:numPr>
          <w:ilvl w:val="0"/>
          <w:numId w:val="3"/>
        </w:numPr>
        <w:spacing w:line="276" w:lineRule="auto"/>
        <w:ind w:left="567" w:hanging="567"/>
        <w:rPr>
          <w:rFonts w:ascii="Times New Roman" w:hAnsi="Times New Roman"/>
          <w:color w:val="auto"/>
          <w:sz w:val="24"/>
          <w:szCs w:val="24"/>
        </w:rPr>
      </w:pPr>
      <w:bookmarkStart w:id="29" w:name="_Toc364869044"/>
      <w:bookmarkStart w:id="30" w:name="_Toc98924141"/>
      <w:bookmarkEnd w:id="17"/>
      <w:bookmarkEnd w:id="18"/>
      <w:r w:rsidRPr="001A254D">
        <w:rPr>
          <w:rFonts w:ascii="Times New Roman" w:hAnsi="Times New Roman"/>
          <w:color w:val="auto"/>
          <w:sz w:val="24"/>
          <w:szCs w:val="24"/>
        </w:rPr>
        <w:lastRenderedPageBreak/>
        <w:t xml:space="preserve">Principales </w:t>
      </w:r>
      <w:r w:rsidR="00BA1267" w:rsidRPr="001A254D">
        <w:rPr>
          <w:rFonts w:ascii="Times New Roman" w:hAnsi="Times New Roman"/>
          <w:color w:val="auto"/>
          <w:sz w:val="24"/>
          <w:szCs w:val="24"/>
        </w:rPr>
        <w:t xml:space="preserve">Metas y </w:t>
      </w:r>
      <w:r w:rsidRPr="001A254D">
        <w:rPr>
          <w:rFonts w:ascii="Times New Roman" w:hAnsi="Times New Roman"/>
          <w:color w:val="auto"/>
          <w:sz w:val="24"/>
          <w:szCs w:val="24"/>
        </w:rPr>
        <w:t>Resultados</w:t>
      </w:r>
      <w:r w:rsidR="001A254D" w:rsidRPr="001A254D">
        <w:rPr>
          <w:rFonts w:ascii="Times New Roman" w:hAnsi="Times New Roman"/>
          <w:color w:val="auto"/>
          <w:sz w:val="24"/>
          <w:szCs w:val="24"/>
        </w:rPr>
        <w:t xml:space="preserve"> de Ejecución Física</w:t>
      </w:r>
      <w:bookmarkEnd w:id="30"/>
    </w:p>
    <w:p w:rsidR="00E24F7B" w:rsidRDefault="00E24F7B" w:rsidP="00E24F7B"/>
    <w:p w:rsidR="00C92009" w:rsidRDefault="00C92009" w:rsidP="00C92009">
      <w:pPr>
        <w:jc w:val="both"/>
      </w:pPr>
      <w:r>
        <w:t xml:space="preserve">Bajo la metodología de la Gestión por Resultados (GpR), durante el Ejercicio Fiscal 2021 las entidades públicas ejecutaron sus asignaciones presupuestarias en la </w:t>
      </w:r>
      <w:r w:rsidR="005F67AE">
        <w:t>generación</w:t>
      </w:r>
      <w:r>
        <w:t xml:space="preserve"> de bienes y prestación de servicios públicos </w:t>
      </w:r>
      <w:r w:rsidR="00EC0035">
        <w:t>con</w:t>
      </w:r>
      <w:r>
        <w:t xml:space="preserve"> calidad</w:t>
      </w:r>
      <w:r w:rsidR="00EC0035">
        <w:t xml:space="preserve"> y eficiencia</w:t>
      </w:r>
      <w:r>
        <w:t>, con base en los lineamientos contenidos en la Política General de Gobierno 2020-2024, para el establecimiento de una ruta para el desarrollo sostenible, enfocándose en los cinco pilares estratégicos: a) Economía, Competitividad y Prosperidad; b) Desarrollo Social; c) Gobernabilidad y Seguridad en Desarrollo; d) Estado Responsable, Transparente y Efectivo; y, e) Relaciones con el Mundo.</w:t>
      </w:r>
    </w:p>
    <w:p w:rsidR="00C92009" w:rsidRDefault="00C92009" w:rsidP="00C92009">
      <w:pPr>
        <w:jc w:val="both"/>
      </w:pPr>
    </w:p>
    <w:p w:rsidR="00C92009" w:rsidRDefault="00C92009" w:rsidP="00C92009">
      <w:pPr>
        <w:jc w:val="both"/>
      </w:pPr>
      <w:r>
        <w:t>Se continuó dando prioridad a las acciones relacionadas al cumplimiento de las disposiciones contenidas en la “Ley de Emergencia Nacional para la Atención de la Pandemia Covid-19” aprobada por el Congreso de la República mediante la emisión del Decreto No. 11-2021, como un mecanismo temporal de adquisición extraordinaria de medicamentos, suministros, material médico-quirúrgico y servicios destinados a la atención de pacientes contagiados con dicha enfermedad.</w:t>
      </w:r>
    </w:p>
    <w:p w:rsidR="00C92009" w:rsidRDefault="00C92009" w:rsidP="00E24F7B"/>
    <w:p w:rsidR="009A590B" w:rsidRDefault="009A590B" w:rsidP="009A590B">
      <w:pPr>
        <w:jc w:val="both"/>
      </w:pPr>
      <w:r>
        <w:t>E</w:t>
      </w:r>
      <w:r w:rsidR="00A94E0F">
        <w:t>n ese sentido, se presenta una</w:t>
      </w:r>
      <w:r>
        <w:t xml:space="preserve"> serie de indicadores, metas y resultados alcanzados en 202</w:t>
      </w:r>
      <w:r w:rsidR="00A94E0F">
        <w:t xml:space="preserve">1 que reflejan los avances </w:t>
      </w:r>
      <w:r w:rsidR="00A829DD">
        <w:t>en la</w:t>
      </w:r>
      <w:r w:rsidR="00A94E0F">
        <w:t xml:space="preserve"> ejecución física de algunas entidades públicas, con énfasis en sectores prioritarios, tales como:</w:t>
      </w:r>
      <w:r>
        <w:t xml:space="preserve"> promoción de la transparencia y lucha contra la corrupción; modernización del Estado; seguridad alimentaria y nutricional; salud; educación; acciones de protección social; infraestructura para la productividad y competitividad; gestión ambiental y de los recursos naturales; energías renovables; seguridad interna; entre otros.</w:t>
      </w:r>
    </w:p>
    <w:p w:rsidR="00C92009" w:rsidRDefault="00C92009" w:rsidP="00E24F7B"/>
    <w:p w:rsidR="003F5B9B" w:rsidRPr="00124AD6" w:rsidRDefault="00B2697F" w:rsidP="003F5B9B">
      <w:pPr>
        <w:jc w:val="center"/>
        <w:rPr>
          <w:b/>
        </w:rPr>
      </w:pPr>
      <w:r>
        <w:rPr>
          <w:b/>
        </w:rPr>
        <w:t>Figura</w:t>
      </w:r>
      <w:r w:rsidR="003F5B9B" w:rsidRPr="00124AD6">
        <w:rPr>
          <w:b/>
        </w:rPr>
        <w:t xml:space="preserve"> </w:t>
      </w:r>
      <w:r w:rsidR="00BF4C36">
        <w:rPr>
          <w:b/>
        </w:rPr>
        <w:t>1</w:t>
      </w:r>
    </w:p>
    <w:p w:rsidR="00700C75" w:rsidRDefault="003F5B9B" w:rsidP="003F5B9B">
      <w:pPr>
        <w:jc w:val="center"/>
        <w:rPr>
          <w:b/>
        </w:rPr>
      </w:pPr>
      <w:r>
        <w:rPr>
          <w:b/>
        </w:rPr>
        <w:t>L</w:t>
      </w:r>
      <w:r w:rsidR="00700C75">
        <w:rPr>
          <w:b/>
        </w:rPr>
        <w:t>ogros en la Atención de la Pandemia Covid-19</w:t>
      </w:r>
      <w:r w:rsidR="00BF4C36">
        <w:rPr>
          <w:b/>
        </w:rPr>
        <w:t xml:space="preserve"> en 2021</w:t>
      </w:r>
    </w:p>
    <w:p w:rsidR="00BE5F3C" w:rsidRDefault="00BE5F3C" w:rsidP="00BF4C36">
      <w:pPr>
        <w:jc w:val="center"/>
      </w:pPr>
      <w:r>
        <w:rPr>
          <w:noProof/>
        </w:rPr>
        <w:drawing>
          <wp:inline distT="0" distB="0" distL="0" distR="0" wp14:anchorId="1B6A1F38" wp14:editId="158C9692">
            <wp:extent cx="5457139" cy="3481409"/>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7073" t="32711" r="23353" b="16318"/>
                    <a:stretch/>
                  </pic:blipFill>
                  <pic:spPr bwMode="auto">
                    <a:xfrm>
                      <a:off x="0" y="0"/>
                      <a:ext cx="5755923" cy="3672020"/>
                    </a:xfrm>
                    <a:prstGeom prst="rect">
                      <a:avLst/>
                    </a:prstGeom>
                    <a:ln>
                      <a:noFill/>
                    </a:ln>
                    <a:extLst>
                      <a:ext uri="{53640926-AAD7-44D8-BBD7-CCE9431645EC}">
                        <a14:shadowObscured xmlns:a14="http://schemas.microsoft.com/office/drawing/2010/main"/>
                      </a:ext>
                    </a:extLst>
                  </pic:spPr>
                </pic:pic>
              </a:graphicData>
            </a:graphic>
          </wp:inline>
        </w:drawing>
      </w:r>
    </w:p>
    <w:p w:rsidR="0046185B" w:rsidRPr="004E678D" w:rsidRDefault="00BF4C36" w:rsidP="0046185B">
      <w:pPr>
        <w:jc w:val="both"/>
        <w:rPr>
          <w:sz w:val="18"/>
        </w:rPr>
      </w:pPr>
      <w:r>
        <w:rPr>
          <w:sz w:val="18"/>
        </w:rPr>
        <w:t xml:space="preserve">        </w:t>
      </w:r>
      <w:r w:rsidR="00A829DD">
        <w:rPr>
          <w:sz w:val="18"/>
        </w:rPr>
        <w:t xml:space="preserve">     </w:t>
      </w:r>
      <w:r w:rsidR="0046185B" w:rsidRPr="004E678D">
        <w:rPr>
          <w:sz w:val="18"/>
        </w:rPr>
        <w:t xml:space="preserve">Fuente: </w:t>
      </w:r>
      <w:r w:rsidR="0046185B">
        <w:rPr>
          <w:sz w:val="18"/>
        </w:rPr>
        <w:t>Informe General de la República 2021. Gobierno de Guatemala.</w:t>
      </w:r>
    </w:p>
    <w:p w:rsidR="00C34F74" w:rsidRDefault="00C34F74" w:rsidP="00E24F7B"/>
    <w:p w:rsidR="00C34F74" w:rsidRPr="00124AD6" w:rsidRDefault="00ED511D" w:rsidP="00C34F74">
      <w:pPr>
        <w:jc w:val="center"/>
        <w:rPr>
          <w:b/>
        </w:rPr>
      </w:pPr>
      <w:r>
        <w:rPr>
          <w:b/>
        </w:rPr>
        <w:t xml:space="preserve">Gráfica </w:t>
      </w:r>
      <w:r w:rsidR="00CD6BEB">
        <w:rPr>
          <w:b/>
        </w:rPr>
        <w:t>20</w:t>
      </w:r>
    </w:p>
    <w:p w:rsidR="00C34F74" w:rsidRDefault="00C34F74" w:rsidP="00C34F74">
      <w:pPr>
        <w:jc w:val="center"/>
        <w:rPr>
          <w:b/>
        </w:rPr>
      </w:pPr>
      <w:r>
        <w:rPr>
          <w:b/>
        </w:rPr>
        <w:t>Personas Vacunadas contra el Covid-19</w:t>
      </w:r>
    </w:p>
    <w:p w:rsidR="00C34F74" w:rsidRDefault="00C34F74" w:rsidP="00C34F74">
      <w:pPr>
        <w:jc w:val="center"/>
        <w:rPr>
          <w:b/>
        </w:rPr>
      </w:pPr>
      <w:r>
        <w:rPr>
          <w:b/>
        </w:rPr>
        <w:t>Por Dosis y Grupos de Edad</w:t>
      </w:r>
      <w:r w:rsidR="00DE15CA">
        <w:rPr>
          <w:b/>
        </w:rPr>
        <w:t xml:space="preserve"> en 2021</w:t>
      </w:r>
    </w:p>
    <w:p w:rsidR="00BE5F3C" w:rsidRPr="00C34F74" w:rsidRDefault="008E3862" w:rsidP="00657F6F">
      <w:pPr>
        <w:jc w:val="center"/>
        <w:rPr>
          <w:sz w:val="36"/>
        </w:rPr>
      </w:pPr>
      <w:r>
        <w:rPr>
          <w:noProof/>
        </w:rPr>
        <w:drawing>
          <wp:inline distT="0" distB="0" distL="0" distR="0" wp14:anchorId="790E0950" wp14:editId="51A9581E">
            <wp:extent cx="6060440" cy="2911450"/>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7266" t="41695" r="23111" b="29117"/>
                    <a:stretch/>
                  </pic:blipFill>
                  <pic:spPr bwMode="auto">
                    <a:xfrm>
                      <a:off x="0" y="0"/>
                      <a:ext cx="6137427" cy="2948435"/>
                    </a:xfrm>
                    <a:prstGeom prst="rect">
                      <a:avLst/>
                    </a:prstGeom>
                    <a:ln>
                      <a:noFill/>
                    </a:ln>
                    <a:extLst>
                      <a:ext uri="{53640926-AAD7-44D8-BBD7-CCE9431645EC}">
                        <a14:shadowObscured xmlns:a14="http://schemas.microsoft.com/office/drawing/2010/main"/>
                      </a:ext>
                    </a:extLst>
                  </pic:spPr>
                </pic:pic>
              </a:graphicData>
            </a:graphic>
          </wp:inline>
        </w:drawing>
      </w:r>
    </w:p>
    <w:p w:rsidR="00C34F74" w:rsidRPr="004E678D" w:rsidRDefault="00C34F74" w:rsidP="00C34F74">
      <w:pPr>
        <w:jc w:val="both"/>
        <w:rPr>
          <w:sz w:val="18"/>
        </w:rPr>
      </w:pPr>
      <w:r>
        <w:rPr>
          <w:sz w:val="18"/>
        </w:rPr>
        <w:t xml:space="preserve">   </w:t>
      </w:r>
      <w:r w:rsidRPr="004E678D">
        <w:rPr>
          <w:sz w:val="18"/>
        </w:rPr>
        <w:t xml:space="preserve">Fuente: </w:t>
      </w:r>
      <w:r>
        <w:rPr>
          <w:sz w:val="18"/>
        </w:rPr>
        <w:t>Informe General de la República 2021. Gobierno de Guatemala.</w:t>
      </w:r>
    </w:p>
    <w:p w:rsidR="00BE5F3C" w:rsidRPr="00DB541E" w:rsidRDefault="00BE5F3C" w:rsidP="00E24F7B"/>
    <w:p w:rsidR="0046185B" w:rsidRPr="002F4DE5" w:rsidRDefault="0046185B" w:rsidP="00E24F7B">
      <w:pPr>
        <w:rPr>
          <w:sz w:val="52"/>
        </w:rPr>
      </w:pPr>
    </w:p>
    <w:p w:rsidR="0046185B" w:rsidRPr="00124AD6" w:rsidRDefault="0046185B" w:rsidP="0046185B">
      <w:pPr>
        <w:jc w:val="center"/>
        <w:rPr>
          <w:b/>
        </w:rPr>
      </w:pPr>
      <w:r w:rsidRPr="00124AD6">
        <w:rPr>
          <w:b/>
        </w:rPr>
        <w:t xml:space="preserve">Cuadro </w:t>
      </w:r>
      <w:r w:rsidR="00F50C88">
        <w:rPr>
          <w:b/>
        </w:rPr>
        <w:t>10</w:t>
      </w:r>
    </w:p>
    <w:p w:rsidR="00A45A84" w:rsidRDefault="00A45A84" w:rsidP="0046185B">
      <w:pPr>
        <w:jc w:val="center"/>
        <w:rPr>
          <w:b/>
        </w:rPr>
      </w:pPr>
      <w:r>
        <w:rPr>
          <w:b/>
        </w:rPr>
        <w:t>Generación de Energía Hidroeléctrica por el INDE</w:t>
      </w:r>
      <w:r w:rsidR="00DE15CA">
        <w:rPr>
          <w:b/>
        </w:rPr>
        <w:t xml:space="preserve"> en 2021</w:t>
      </w:r>
    </w:p>
    <w:p w:rsidR="009D72D8" w:rsidRDefault="00A123E2" w:rsidP="00E24F7B">
      <w:r>
        <w:rPr>
          <w:noProof/>
        </w:rPr>
        <w:drawing>
          <wp:inline distT="0" distB="0" distL="0" distR="0" wp14:anchorId="55BB0475" wp14:editId="354E1439">
            <wp:extent cx="6181851" cy="3394253"/>
            <wp:effectExtent l="19050" t="19050" r="9525" b="158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6891" t="26705" r="22095" b="35857"/>
                    <a:stretch/>
                  </pic:blipFill>
                  <pic:spPr bwMode="auto">
                    <a:xfrm>
                      <a:off x="0" y="0"/>
                      <a:ext cx="6236618" cy="3424324"/>
                    </a:xfrm>
                    <a:prstGeom prst="rect">
                      <a:avLst/>
                    </a:prstGeom>
                    <a:ln>
                      <a:solidFill>
                        <a:schemeClr val="tx1"/>
                      </a:solidFill>
                    </a:ln>
                    <a:effectLst>
                      <a:softEdge rad="12700"/>
                    </a:effectLst>
                    <a:extLst>
                      <a:ext uri="{53640926-AAD7-44D8-BBD7-CCE9431645EC}">
                        <a14:shadowObscured xmlns:a14="http://schemas.microsoft.com/office/drawing/2010/main"/>
                      </a:ext>
                    </a:extLst>
                  </pic:spPr>
                </pic:pic>
              </a:graphicData>
            </a:graphic>
          </wp:inline>
        </w:drawing>
      </w:r>
    </w:p>
    <w:p w:rsidR="00C34F74" w:rsidRPr="004E678D" w:rsidRDefault="00C34F74" w:rsidP="00C34F74">
      <w:pPr>
        <w:jc w:val="both"/>
        <w:rPr>
          <w:sz w:val="18"/>
        </w:rPr>
      </w:pPr>
      <w:r>
        <w:rPr>
          <w:sz w:val="18"/>
        </w:rPr>
        <w:t xml:space="preserve"> </w:t>
      </w:r>
      <w:r w:rsidRPr="004E678D">
        <w:rPr>
          <w:sz w:val="18"/>
        </w:rPr>
        <w:t xml:space="preserve">Fuente: </w:t>
      </w:r>
      <w:r>
        <w:rPr>
          <w:sz w:val="18"/>
        </w:rPr>
        <w:t>Informe General de la República 2021. Gobierno de Guatemala.</w:t>
      </w:r>
    </w:p>
    <w:p w:rsidR="009113CE" w:rsidRPr="00124AD6" w:rsidRDefault="009113CE" w:rsidP="009113CE">
      <w:pPr>
        <w:jc w:val="center"/>
        <w:rPr>
          <w:b/>
        </w:rPr>
      </w:pPr>
      <w:r w:rsidRPr="00124AD6">
        <w:rPr>
          <w:b/>
        </w:rPr>
        <w:lastRenderedPageBreak/>
        <w:t xml:space="preserve">Cuadro </w:t>
      </w:r>
      <w:r w:rsidR="00F50C88">
        <w:rPr>
          <w:b/>
        </w:rPr>
        <w:t>11</w:t>
      </w:r>
    </w:p>
    <w:p w:rsidR="00A45A84" w:rsidRDefault="00A45A84" w:rsidP="009113CE">
      <w:pPr>
        <w:jc w:val="center"/>
        <w:rPr>
          <w:b/>
        </w:rPr>
      </w:pPr>
      <w:r>
        <w:rPr>
          <w:b/>
        </w:rPr>
        <w:t>Créditos y Subsidios Económicos y Productivos</w:t>
      </w:r>
      <w:r w:rsidR="00F50C88">
        <w:rPr>
          <w:b/>
        </w:rPr>
        <w:t xml:space="preserve"> en 2021</w:t>
      </w:r>
    </w:p>
    <w:p w:rsidR="00FB388D" w:rsidRDefault="00B77BF5" w:rsidP="00052373">
      <w:pPr>
        <w:jc w:val="center"/>
      </w:pPr>
      <w:r>
        <w:rPr>
          <w:noProof/>
        </w:rPr>
        <w:drawing>
          <wp:inline distT="0" distB="0" distL="0" distR="0" wp14:anchorId="09F29A11" wp14:editId="7D7651FF">
            <wp:extent cx="5998210" cy="2296973"/>
            <wp:effectExtent l="19050" t="19050" r="21590" b="273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6985" t="33286" r="22327" b="41158"/>
                    <a:stretch/>
                  </pic:blipFill>
                  <pic:spPr bwMode="auto">
                    <a:xfrm>
                      <a:off x="0" y="0"/>
                      <a:ext cx="6066852" cy="2323259"/>
                    </a:xfrm>
                    <a:prstGeom prst="rect">
                      <a:avLst/>
                    </a:prstGeom>
                    <a:ln>
                      <a:solidFill>
                        <a:schemeClr val="tx1"/>
                      </a:solidFill>
                    </a:ln>
                    <a:effectLst/>
                    <a:extLst>
                      <a:ext uri="{53640926-AAD7-44D8-BBD7-CCE9431645EC}">
                        <a14:shadowObscured xmlns:a14="http://schemas.microsoft.com/office/drawing/2010/main"/>
                      </a:ext>
                    </a:extLst>
                  </pic:spPr>
                </pic:pic>
              </a:graphicData>
            </a:graphic>
          </wp:inline>
        </w:drawing>
      </w:r>
    </w:p>
    <w:p w:rsidR="00C34F74" w:rsidRPr="004E678D" w:rsidRDefault="00C34F74" w:rsidP="00C34F74">
      <w:pPr>
        <w:jc w:val="both"/>
        <w:rPr>
          <w:sz w:val="18"/>
        </w:rPr>
      </w:pPr>
      <w:r>
        <w:rPr>
          <w:sz w:val="18"/>
        </w:rPr>
        <w:t xml:space="preserve"> </w:t>
      </w:r>
      <w:r w:rsidRPr="004E678D">
        <w:rPr>
          <w:sz w:val="18"/>
        </w:rPr>
        <w:t xml:space="preserve">Fuente: </w:t>
      </w:r>
      <w:r>
        <w:rPr>
          <w:sz w:val="18"/>
        </w:rPr>
        <w:t>Informe General de la República 2021. Gobierno de Guatemala.</w:t>
      </w:r>
    </w:p>
    <w:p w:rsidR="00FB388D" w:rsidRDefault="00FB388D" w:rsidP="00E24F7B"/>
    <w:p w:rsidR="009113CE" w:rsidRPr="0048662C" w:rsidRDefault="009113CE" w:rsidP="00E24F7B">
      <w:pPr>
        <w:rPr>
          <w:sz w:val="56"/>
        </w:rPr>
      </w:pPr>
    </w:p>
    <w:p w:rsidR="009113CE" w:rsidRPr="00124AD6" w:rsidRDefault="009113CE" w:rsidP="009113CE">
      <w:pPr>
        <w:jc w:val="center"/>
        <w:rPr>
          <w:b/>
        </w:rPr>
      </w:pPr>
      <w:r w:rsidRPr="00124AD6">
        <w:rPr>
          <w:b/>
        </w:rPr>
        <w:t xml:space="preserve">Cuadro </w:t>
      </w:r>
      <w:r w:rsidR="00495EC3">
        <w:rPr>
          <w:b/>
        </w:rPr>
        <w:t>12</w:t>
      </w:r>
    </w:p>
    <w:p w:rsidR="00D5503E" w:rsidRDefault="00D5503E" w:rsidP="009113CE">
      <w:pPr>
        <w:jc w:val="center"/>
        <w:rPr>
          <w:b/>
        </w:rPr>
      </w:pPr>
      <w:r>
        <w:rPr>
          <w:b/>
        </w:rPr>
        <w:t>Asistencia Técnica y Tecnológica para Mejorar la Productividad</w:t>
      </w:r>
      <w:r w:rsidR="00495EC3">
        <w:rPr>
          <w:b/>
        </w:rPr>
        <w:t xml:space="preserve"> en 2021</w:t>
      </w:r>
    </w:p>
    <w:p w:rsidR="009D72D8" w:rsidRDefault="00B77BF5" w:rsidP="00052373">
      <w:pPr>
        <w:jc w:val="center"/>
      </w:pPr>
      <w:r>
        <w:rPr>
          <w:noProof/>
        </w:rPr>
        <w:drawing>
          <wp:inline distT="0" distB="0" distL="0" distR="0" wp14:anchorId="7CBDF75A" wp14:editId="11560583">
            <wp:extent cx="5981336" cy="4272076"/>
            <wp:effectExtent l="19050" t="19050" r="19685" b="146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6817" t="30356" r="22305" b="19586"/>
                    <a:stretch/>
                  </pic:blipFill>
                  <pic:spPr bwMode="auto">
                    <a:xfrm>
                      <a:off x="0" y="0"/>
                      <a:ext cx="6024370" cy="43028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34F74" w:rsidRPr="004E678D" w:rsidRDefault="00C34F74" w:rsidP="00C34F74">
      <w:pPr>
        <w:jc w:val="both"/>
        <w:rPr>
          <w:sz w:val="18"/>
        </w:rPr>
      </w:pPr>
      <w:r>
        <w:rPr>
          <w:sz w:val="18"/>
        </w:rPr>
        <w:t xml:space="preserve"> </w:t>
      </w:r>
      <w:r w:rsidRPr="004E678D">
        <w:rPr>
          <w:sz w:val="18"/>
        </w:rPr>
        <w:t xml:space="preserve">Fuente: </w:t>
      </w:r>
      <w:r>
        <w:rPr>
          <w:sz w:val="18"/>
        </w:rPr>
        <w:t>Informe General de la República 2021. Gobierno de Guatemala.</w:t>
      </w:r>
    </w:p>
    <w:p w:rsidR="009325E4" w:rsidRDefault="009325E4" w:rsidP="00E24F7B"/>
    <w:p w:rsidR="005D4C20" w:rsidRDefault="005D4C20" w:rsidP="00E24F7B"/>
    <w:p w:rsidR="009113CE" w:rsidRPr="00124AD6" w:rsidRDefault="009113CE" w:rsidP="009113CE">
      <w:pPr>
        <w:jc w:val="center"/>
        <w:rPr>
          <w:b/>
        </w:rPr>
      </w:pPr>
      <w:r w:rsidRPr="00124AD6">
        <w:rPr>
          <w:b/>
        </w:rPr>
        <w:t xml:space="preserve">Cuadro </w:t>
      </w:r>
      <w:r w:rsidR="009325E4">
        <w:rPr>
          <w:b/>
        </w:rPr>
        <w:t>13</w:t>
      </w:r>
    </w:p>
    <w:p w:rsidR="00794240" w:rsidRDefault="00794240" w:rsidP="009113CE">
      <w:pPr>
        <w:jc w:val="center"/>
        <w:rPr>
          <w:b/>
        </w:rPr>
      </w:pPr>
      <w:r>
        <w:rPr>
          <w:b/>
        </w:rPr>
        <w:t>Textos y Cuadernos de Trabajo Impresos y Entregados</w:t>
      </w:r>
    </w:p>
    <w:p w:rsidR="009113CE" w:rsidRDefault="009113CE" w:rsidP="00794240">
      <w:pPr>
        <w:jc w:val="center"/>
      </w:pPr>
      <w:r>
        <w:rPr>
          <w:b/>
        </w:rPr>
        <w:t>Ejercicio Fiscal 2021</w:t>
      </w:r>
    </w:p>
    <w:p w:rsidR="009D72D8" w:rsidRDefault="00A00DAB" w:rsidP="00052373">
      <w:pPr>
        <w:jc w:val="center"/>
      </w:pPr>
      <w:r>
        <w:rPr>
          <w:noProof/>
        </w:rPr>
        <w:drawing>
          <wp:inline distT="0" distB="0" distL="0" distR="0" wp14:anchorId="0BA13A28" wp14:editId="2BE6DC61">
            <wp:extent cx="6164346" cy="2479853"/>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6609" t="26094" r="22305" b="47644"/>
                    <a:stretch/>
                  </pic:blipFill>
                  <pic:spPr bwMode="auto">
                    <a:xfrm>
                      <a:off x="0" y="0"/>
                      <a:ext cx="6240051" cy="2510308"/>
                    </a:xfrm>
                    <a:prstGeom prst="rect">
                      <a:avLst/>
                    </a:prstGeom>
                    <a:ln>
                      <a:noFill/>
                    </a:ln>
                    <a:extLst>
                      <a:ext uri="{53640926-AAD7-44D8-BBD7-CCE9431645EC}">
                        <a14:shadowObscured xmlns:a14="http://schemas.microsoft.com/office/drawing/2010/main"/>
                      </a:ext>
                    </a:extLst>
                  </pic:spPr>
                </pic:pic>
              </a:graphicData>
            </a:graphic>
          </wp:inline>
        </w:drawing>
      </w:r>
    </w:p>
    <w:p w:rsidR="00C34F74" w:rsidRPr="004E678D" w:rsidRDefault="00C34F74" w:rsidP="00C34F74">
      <w:pPr>
        <w:jc w:val="both"/>
        <w:rPr>
          <w:sz w:val="18"/>
        </w:rPr>
      </w:pPr>
      <w:r>
        <w:rPr>
          <w:sz w:val="18"/>
        </w:rPr>
        <w:t xml:space="preserve"> </w:t>
      </w:r>
      <w:r w:rsidRPr="004E678D">
        <w:rPr>
          <w:sz w:val="18"/>
        </w:rPr>
        <w:t xml:space="preserve">Fuente: </w:t>
      </w:r>
      <w:r>
        <w:rPr>
          <w:sz w:val="18"/>
        </w:rPr>
        <w:t>Informe General de la República 2021. Gobierno de Guatemala.</w:t>
      </w:r>
    </w:p>
    <w:p w:rsidR="00C17E6C" w:rsidRDefault="00C17E6C" w:rsidP="00E24F7B"/>
    <w:p w:rsidR="009325E4" w:rsidRDefault="009325E4" w:rsidP="00E24F7B"/>
    <w:p w:rsidR="0048662C" w:rsidRDefault="0048662C" w:rsidP="00E24F7B"/>
    <w:p w:rsidR="009113CE" w:rsidRDefault="009113CE" w:rsidP="00E24F7B"/>
    <w:p w:rsidR="009113CE" w:rsidRDefault="009113CE" w:rsidP="00E24F7B"/>
    <w:p w:rsidR="009113CE" w:rsidRPr="00124AD6" w:rsidRDefault="009113CE" w:rsidP="009113CE">
      <w:pPr>
        <w:jc w:val="center"/>
        <w:rPr>
          <w:b/>
        </w:rPr>
      </w:pPr>
      <w:r w:rsidRPr="00124AD6">
        <w:rPr>
          <w:b/>
        </w:rPr>
        <w:t xml:space="preserve">Cuadro </w:t>
      </w:r>
      <w:r w:rsidR="009325E4">
        <w:rPr>
          <w:b/>
        </w:rPr>
        <w:t>14</w:t>
      </w:r>
    </w:p>
    <w:p w:rsidR="00794240" w:rsidRDefault="009113CE" w:rsidP="009113CE">
      <w:pPr>
        <w:jc w:val="center"/>
        <w:rPr>
          <w:b/>
        </w:rPr>
      </w:pPr>
      <w:r>
        <w:rPr>
          <w:b/>
        </w:rPr>
        <w:t>P</w:t>
      </w:r>
      <w:r w:rsidR="00794240">
        <w:rPr>
          <w:b/>
        </w:rPr>
        <w:t>oblación Beneficiada con Acciones para la Reducción de la</w:t>
      </w:r>
    </w:p>
    <w:p w:rsidR="00794240" w:rsidRDefault="00794240" w:rsidP="009113CE">
      <w:pPr>
        <w:jc w:val="center"/>
        <w:rPr>
          <w:b/>
        </w:rPr>
      </w:pPr>
      <w:r>
        <w:rPr>
          <w:b/>
        </w:rPr>
        <w:t>Mortalidad Materna y Neonatal</w:t>
      </w:r>
    </w:p>
    <w:p w:rsidR="009113CE" w:rsidRDefault="009113CE" w:rsidP="00794240">
      <w:pPr>
        <w:jc w:val="center"/>
      </w:pPr>
      <w:r>
        <w:rPr>
          <w:b/>
        </w:rPr>
        <w:t>Ejercicio Fiscal 2021</w:t>
      </w:r>
    </w:p>
    <w:p w:rsidR="00C17E6C" w:rsidRDefault="00730F60" w:rsidP="00052373">
      <w:pPr>
        <w:jc w:val="center"/>
      </w:pPr>
      <w:r>
        <w:rPr>
          <w:noProof/>
        </w:rPr>
        <w:drawing>
          <wp:inline distT="0" distB="0" distL="0" distR="0" wp14:anchorId="194E4080" wp14:editId="3625993A">
            <wp:extent cx="6142355" cy="2860244"/>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6910" t="43231" r="22007" b="26721"/>
                    <a:stretch/>
                  </pic:blipFill>
                  <pic:spPr bwMode="auto">
                    <a:xfrm>
                      <a:off x="0" y="0"/>
                      <a:ext cx="6196693" cy="2885547"/>
                    </a:xfrm>
                    <a:prstGeom prst="rect">
                      <a:avLst/>
                    </a:prstGeom>
                    <a:ln>
                      <a:noFill/>
                    </a:ln>
                    <a:extLst>
                      <a:ext uri="{53640926-AAD7-44D8-BBD7-CCE9431645EC}">
                        <a14:shadowObscured xmlns:a14="http://schemas.microsoft.com/office/drawing/2010/main"/>
                      </a:ext>
                    </a:extLst>
                  </pic:spPr>
                </pic:pic>
              </a:graphicData>
            </a:graphic>
          </wp:inline>
        </w:drawing>
      </w:r>
    </w:p>
    <w:p w:rsidR="00C34F74" w:rsidRPr="004E678D" w:rsidRDefault="00C34F74" w:rsidP="00C34F74">
      <w:pPr>
        <w:jc w:val="both"/>
        <w:rPr>
          <w:sz w:val="18"/>
        </w:rPr>
      </w:pPr>
      <w:r>
        <w:rPr>
          <w:sz w:val="18"/>
        </w:rPr>
        <w:t xml:space="preserve">  </w:t>
      </w:r>
      <w:r w:rsidRPr="004E678D">
        <w:rPr>
          <w:sz w:val="18"/>
        </w:rPr>
        <w:t xml:space="preserve">Fuente: </w:t>
      </w:r>
      <w:r>
        <w:rPr>
          <w:sz w:val="18"/>
        </w:rPr>
        <w:t>Informe General de la República 2021. Gobierno de Guatemala.</w:t>
      </w:r>
    </w:p>
    <w:p w:rsidR="00A00DAB" w:rsidRDefault="00A00DAB" w:rsidP="00E24F7B"/>
    <w:p w:rsidR="006E545D" w:rsidRPr="00072B03" w:rsidRDefault="006E545D" w:rsidP="00E24F7B">
      <w:pPr>
        <w:rPr>
          <w:sz w:val="10"/>
        </w:rPr>
      </w:pPr>
    </w:p>
    <w:p w:rsidR="009113CE" w:rsidRPr="00124AD6" w:rsidRDefault="009113CE" w:rsidP="009113CE">
      <w:pPr>
        <w:jc w:val="center"/>
        <w:rPr>
          <w:b/>
        </w:rPr>
      </w:pPr>
      <w:r w:rsidRPr="00124AD6">
        <w:rPr>
          <w:b/>
        </w:rPr>
        <w:t xml:space="preserve">Cuadro </w:t>
      </w:r>
      <w:r w:rsidR="006E667B">
        <w:rPr>
          <w:b/>
        </w:rPr>
        <w:t>15</w:t>
      </w:r>
    </w:p>
    <w:p w:rsidR="00794240" w:rsidRDefault="00794240" w:rsidP="00794240">
      <w:pPr>
        <w:jc w:val="center"/>
        <w:rPr>
          <w:b/>
        </w:rPr>
      </w:pPr>
      <w:r>
        <w:rPr>
          <w:b/>
        </w:rPr>
        <w:t>Población Beneficiada con Acciones para la Prevención de la</w:t>
      </w:r>
    </w:p>
    <w:p w:rsidR="00794240" w:rsidRDefault="00794240" w:rsidP="00794240">
      <w:pPr>
        <w:jc w:val="center"/>
        <w:rPr>
          <w:b/>
        </w:rPr>
      </w:pPr>
      <w:r>
        <w:rPr>
          <w:b/>
        </w:rPr>
        <w:t>Mortalidad de la Niñez y Desnutrición Crónica</w:t>
      </w:r>
      <w:r w:rsidR="006E667B">
        <w:rPr>
          <w:b/>
        </w:rPr>
        <w:t xml:space="preserve"> en 2021</w:t>
      </w:r>
    </w:p>
    <w:p w:rsidR="00A00DAB" w:rsidRDefault="00617FF0" w:rsidP="00E24F7B">
      <w:r>
        <w:rPr>
          <w:noProof/>
        </w:rPr>
        <w:drawing>
          <wp:inline distT="0" distB="0" distL="0" distR="0" wp14:anchorId="01E51FB4" wp14:editId="742A5CED">
            <wp:extent cx="6011545" cy="3869140"/>
            <wp:effectExtent l="0" t="0" r="825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6797" t="33780" r="22315" b="19437"/>
                    <a:stretch/>
                  </pic:blipFill>
                  <pic:spPr bwMode="auto">
                    <a:xfrm>
                      <a:off x="0" y="0"/>
                      <a:ext cx="6039536" cy="3887156"/>
                    </a:xfrm>
                    <a:prstGeom prst="rect">
                      <a:avLst/>
                    </a:prstGeom>
                    <a:ln>
                      <a:noFill/>
                    </a:ln>
                    <a:extLst>
                      <a:ext uri="{53640926-AAD7-44D8-BBD7-CCE9431645EC}">
                        <a14:shadowObscured xmlns:a14="http://schemas.microsoft.com/office/drawing/2010/main"/>
                      </a:ext>
                    </a:extLst>
                  </pic:spPr>
                </pic:pic>
              </a:graphicData>
            </a:graphic>
          </wp:inline>
        </w:drawing>
      </w:r>
    </w:p>
    <w:p w:rsidR="00C34F74" w:rsidRPr="004E678D" w:rsidRDefault="00052373" w:rsidP="00C34F74">
      <w:pPr>
        <w:jc w:val="both"/>
        <w:rPr>
          <w:sz w:val="18"/>
        </w:rPr>
      </w:pPr>
      <w:r>
        <w:rPr>
          <w:sz w:val="18"/>
        </w:rPr>
        <w:t xml:space="preserve"> </w:t>
      </w:r>
      <w:r w:rsidR="00C34F74">
        <w:rPr>
          <w:sz w:val="18"/>
        </w:rPr>
        <w:t xml:space="preserve"> </w:t>
      </w:r>
      <w:r w:rsidR="00C34F74" w:rsidRPr="004E678D">
        <w:rPr>
          <w:sz w:val="18"/>
        </w:rPr>
        <w:t xml:space="preserve">Fuente: </w:t>
      </w:r>
      <w:r w:rsidR="00C34F74">
        <w:rPr>
          <w:sz w:val="18"/>
        </w:rPr>
        <w:t>Informe General de la República 2021. Gobierno de Guatemala.</w:t>
      </w:r>
    </w:p>
    <w:p w:rsidR="00A00DAB" w:rsidRDefault="00A00DAB" w:rsidP="00E24F7B"/>
    <w:p w:rsidR="009113CE" w:rsidRPr="006E667B" w:rsidRDefault="009113CE" w:rsidP="00E24F7B"/>
    <w:p w:rsidR="009113CE" w:rsidRPr="00124AD6" w:rsidRDefault="009113CE" w:rsidP="009113CE">
      <w:pPr>
        <w:jc w:val="center"/>
        <w:rPr>
          <w:b/>
        </w:rPr>
      </w:pPr>
      <w:r w:rsidRPr="00124AD6">
        <w:rPr>
          <w:b/>
        </w:rPr>
        <w:t xml:space="preserve">Cuadro </w:t>
      </w:r>
      <w:r w:rsidR="002D6E76">
        <w:rPr>
          <w:b/>
        </w:rPr>
        <w:t>16</w:t>
      </w:r>
    </w:p>
    <w:p w:rsidR="00794240" w:rsidRDefault="00794240" w:rsidP="009113CE">
      <w:pPr>
        <w:jc w:val="center"/>
        <w:rPr>
          <w:b/>
        </w:rPr>
      </w:pPr>
      <w:r>
        <w:rPr>
          <w:b/>
        </w:rPr>
        <w:t>Familias Beneficiadas y Raciones Servidas a través del MAGA,</w:t>
      </w:r>
    </w:p>
    <w:p w:rsidR="00794240" w:rsidRDefault="00794240" w:rsidP="009113CE">
      <w:pPr>
        <w:jc w:val="center"/>
        <w:rPr>
          <w:b/>
        </w:rPr>
      </w:pPr>
      <w:r>
        <w:rPr>
          <w:b/>
        </w:rPr>
        <w:t>Según Tipo de Intervención</w:t>
      </w:r>
      <w:r w:rsidR="006E667B">
        <w:rPr>
          <w:b/>
        </w:rPr>
        <w:t xml:space="preserve"> en 2021</w:t>
      </w:r>
    </w:p>
    <w:p w:rsidR="001A1D42" w:rsidRDefault="001A1D42" w:rsidP="00052373">
      <w:pPr>
        <w:jc w:val="center"/>
      </w:pPr>
      <w:r>
        <w:rPr>
          <w:noProof/>
        </w:rPr>
        <w:drawing>
          <wp:inline distT="0" distB="0" distL="0" distR="0" wp14:anchorId="5AE04A90" wp14:editId="69A54882">
            <wp:extent cx="6008750" cy="2414016"/>
            <wp:effectExtent l="0" t="0" r="0" b="57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6861" t="33550" r="22059" b="39503"/>
                    <a:stretch/>
                  </pic:blipFill>
                  <pic:spPr bwMode="auto">
                    <a:xfrm>
                      <a:off x="0" y="0"/>
                      <a:ext cx="6060310" cy="2434730"/>
                    </a:xfrm>
                    <a:prstGeom prst="rect">
                      <a:avLst/>
                    </a:prstGeom>
                    <a:ln>
                      <a:noFill/>
                    </a:ln>
                    <a:extLst>
                      <a:ext uri="{53640926-AAD7-44D8-BBD7-CCE9431645EC}">
                        <a14:shadowObscured xmlns:a14="http://schemas.microsoft.com/office/drawing/2010/main"/>
                      </a:ext>
                    </a:extLst>
                  </pic:spPr>
                </pic:pic>
              </a:graphicData>
            </a:graphic>
          </wp:inline>
        </w:drawing>
      </w:r>
    </w:p>
    <w:p w:rsidR="00C34F74" w:rsidRPr="004E678D" w:rsidRDefault="00C34F74" w:rsidP="00C34F74">
      <w:pPr>
        <w:jc w:val="both"/>
        <w:rPr>
          <w:sz w:val="18"/>
        </w:rPr>
      </w:pPr>
      <w:r>
        <w:rPr>
          <w:sz w:val="18"/>
        </w:rPr>
        <w:t xml:space="preserve">  </w:t>
      </w:r>
      <w:r w:rsidRPr="004E678D">
        <w:rPr>
          <w:sz w:val="18"/>
        </w:rPr>
        <w:t xml:space="preserve">Fuente: </w:t>
      </w:r>
      <w:r>
        <w:rPr>
          <w:sz w:val="18"/>
        </w:rPr>
        <w:t>Informe General de la República 2021. Gobierno de Guatemala.</w:t>
      </w:r>
    </w:p>
    <w:p w:rsidR="009113CE" w:rsidRDefault="009113CE" w:rsidP="00E24F7B"/>
    <w:p w:rsidR="009113CE" w:rsidRPr="00124AD6" w:rsidRDefault="009113CE" w:rsidP="009113CE">
      <w:pPr>
        <w:jc w:val="center"/>
        <w:rPr>
          <w:b/>
        </w:rPr>
      </w:pPr>
      <w:r w:rsidRPr="00124AD6">
        <w:rPr>
          <w:b/>
        </w:rPr>
        <w:t xml:space="preserve">Cuadro </w:t>
      </w:r>
      <w:r w:rsidR="004A2D02">
        <w:rPr>
          <w:b/>
        </w:rPr>
        <w:t>17</w:t>
      </w:r>
    </w:p>
    <w:p w:rsidR="002B1E34" w:rsidRDefault="002B1E34" w:rsidP="009113CE">
      <w:pPr>
        <w:jc w:val="center"/>
        <w:rPr>
          <w:b/>
        </w:rPr>
      </w:pPr>
      <w:r>
        <w:rPr>
          <w:b/>
        </w:rPr>
        <w:t>Estudiantes Atendidos con Necesidades Educativas Especiales</w:t>
      </w:r>
    </w:p>
    <w:p w:rsidR="002B1E34" w:rsidRDefault="002B1E34" w:rsidP="009113CE">
      <w:pPr>
        <w:jc w:val="center"/>
        <w:rPr>
          <w:b/>
        </w:rPr>
      </w:pPr>
      <w:r>
        <w:rPr>
          <w:b/>
        </w:rPr>
        <w:t>Asociadas a Problemas de Discapacidad</w:t>
      </w:r>
    </w:p>
    <w:p w:rsidR="009113CE" w:rsidRDefault="009113CE" w:rsidP="002B1E34">
      <w:pPr>
        <w:jc w:val="center"/>
      </w:pPr>
      <w:r>
        <w:rPr>
          <w:b/>
        </w:rPr>
        <w:t>Ejercicio Fiscal 2021</w:t>
      </w:r>
    </w:p>
    <w:p w:rsidR="001A1D42" w:rsidRDefault="00A0437F" w:rsidP="00052373">
      <w:pPr>
        <w:jc w:val="center"/>
      </w:pPr>
      <w:r>
        <w:rPr>
          <w:noProof/>
        </w:rPr>
        <w:drawing>
          <wp:inline distT="0" distB="0" distL="0" distR="0" wp14:anchorId="24CF1904" wp14:editId="5A2424B7">
            <wp:extent cx="6056357" cy="2867558"/>
            <wp:effectExtent l="0" t="0" r="1905"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6937" t="39794" r="22182" b="28346"/>
                    <a:stretch/>
                  </pic:blipFill>
                  <pic:spPr bwMode="auto">
                    <a:xfrm>
                      <a:off x="0" y="0"/>
                      <a:ext cx="6106449" cy="2891275"/>
                    </a:xfrm>
                    <a:prstGeom prst="rect">
                      <a:avLst/>
                    </a:prstGeom>
                    <a:ln>
                      <a:noFill/>
                    </a:ln>
                    <a:extLst>
                      <a:ext uri="{53640926-AAD7-44D8-BBD7-CCE9431645EC}">
                        <a14:shadowObscured xmlns:a14="http://schemas.microsoft.com/office/drawing/2010/main"/>
                      </a:ext>
                    </a:extLst>
                  </pic:spPr>
                </pic:pic>
              </a:graphicData>
            </a:graphic>
          </wp:inline>
        </w:drawing>
      </w:r>
    </w:p>
    <w:p w:rsidR="00C34F74" w:rsidRPr="004E678D" w:rsidRDefault="00C34F74" w:rsidP="00C34F74">
      <w:pPr>
        <w:jc w:val="both"/>
        <w:rPr>
          <w:sz w:val="18"/>
        </w:rPr>
      </w:pPr>
      <w:r>
        <w:rPr>
          <w:sz w:val="18"/>
        </w:rPr>
        <w:t xml:space="preserve"> </w:t>
      </w:r>
      <w:r w:rsidRPr="004E678D">
        <w:rPr>
          <w:sz w:val="18"/>
        </w:rPr>
        <w:t xml:space="preserve">Fuente: </w:t>
      </w:r>
      <w:r>
        <w:rPr>
          <w:sz w:val="18"/>
        </w:rPr>
        <w:t>Informe General de la República 2021. Gobierno de Guatemala.</w:t>
      </w:r>
    </w:p>
    <w:p w:rsidR="001A1D42" w:rsidRDefault="001A1D42" w:rsidP="00E24F7B"/>
    <w:p w:rsidR="009113CE" w:rsidRDefault="009113CE" w:rsidP="00E24F7B"/>
    <w:p w:rsidR="004A2D02" w:rsidRDefault="004A2D02" w:rsidP="00E24F7B"/>
    <w:p w:rsidR="009113CE" w:rsidRDefault="009113CE" w:rsidP="00E24F7B"/>
    <w:p w:rsidR="009113CE" w:rsidRPr="00124AD6" w:rsidRDefault="009113CE" w:rsidP="009113CE">
      <w:pPr>
        <w:jc w:val="center"/>
        <w:rPr>
          <w:b/>
        </w:rPr>
      </w:pPr>
      <w:r w:rsidRPr="00124AD6">
        <w:rPr>
          <w:b/>
        </w:rPr>
        <w:t xml:space="preserve">Cuadro </w:t>
      </w:r>
      <w:r w:rsidR="004A2D02">
        <w:rPr>
          <w:b/>
        </w:rPr>
        <w:t>18</w:t>
      </w:r>
    </w:p>
    <w:p w:rsidR="00F2049C" w:rsidRDefault="002B1E34" w:rsidP="009113CE">
      <w:pPr>
        <w:jc w:val="center"/>
        <w:rPr>
          <w:b/>
        </w:rPr>
      </w:pPr>
      <w:r>
        <w:rPr>
          <w:b/>
        </w:rPr>
        <w:t xml:space="preserve">Formación Artística Profesional </w:t>
      </w:r>
      <w:r w:rsidR="00F2049C">
        <w:rPr>
          <w:b/>
        </w:rPr>
        <w:t>y Básica,</w:t>
      </w:r>
    </w:p>
    <w:p w:rsidR="00F2049C" w:rsidRDefault="00F2049C" w:rsidP="009113CE">
      <w:pPr>
        <w:jc w:val="center"/>
        <w:rPr>
          <w:b/>
        </w:rPr>
      </w:pPr>
      <w:r>
        <w:rPr>
          <w:b/>
        </w:rPr>
        <w:t>Por Tipo de Servicio y Desagregación por Género</w:t>
      </w:r>
    </w:p>
    <w:p w:rsidR="009113CE" w:rsidRDefault="009113CE" w:rsidP="002B1E34">
      <w:pPr>
        <w:jc w:val="center"/>
      </w:pPr>
      <w:r>
        <w:rPr>
          <w:b/>
        </w:rPr>
        <w:t>Ejercicio Fiscal 2021</w:t>
      </w:r>
    </w:p>
    <w:p w:rsidR="009A256D" w:rsidRDefault="007E394A" w:rsidP="00052373">
      <w:pPr>
        <w:jc w:val="center"/>
      </w:pPr>
      <w:r>
        <w:rPr>
          <w:noProof/>
        </w:rPr>
        <w:drawing>
          <wp:inline distT="0" distB="0" distL="0" distR="0" wp14:anchorId="6A083439" wp14:editId="3024528A">
            <wp:extent cx="6084559" cy="2340864"/>
            <wp:effectExtent l="0" t="0" r="0" b="254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6946" t="27629" r="21976" b="46667"/>
                    <a:stretch/>
                  </pic:blipFill>
                  <pic:spPr bwMode="auto">
                    <a:xfrm>
                      <a:off x="0" y="0"/>
                      <a:ext cx="6148178" cy="2365340"/>
                    </a:xfrm>
                    <a:prstGeom prst="rect">
                      <a:avLst/>
                    </a:prstGeom>
                    <a:ln>
                      <a:noFill/>
                    </a:ln>
                    <a:extLst>
                      <a:ext uri="{53640926-AAD7-44D8-BBD7-CCE9431645EC}">
                        <a14:shadowObscured xmlns:a14="http://schemas.microsoft.com/office/drawing/2010/main"/>
                      </a:ext>
                    </a:extLst>
                  </pic:spPr>
                </pic:pic>
              </a:graphicData>
            </a:graphic>
          </wp:inline>
        </w:drawing>
      </w:r>
    </w:p>
    <w:p w:rsidR="00C34F74" w:rsidRPr="004E678D" w:rsidRDefault="00C34F74" w:rsidP="00C34F74">
      <w:pPr>
        <w:jc w:val="both"/>
        <w:rPr>
          <w:sz w:val="18"/>
        </w:rPr>
      </w:pPr>
      <w:r>
        <w:rPr>
          <w:sz w:val="18"/>
        </w:rPr>
        <w:t xml:space="preserve"> </w:t>
      </w:r>
      <w:r w:rsidRPr="004E678D">
        <w:rPr>
          <w:sz w:val="18"/>
        </w:rPr>
        <w:t xml:space="preserve">Fuente: </w:t>
      </w:r>
      <w:r>
        <w:rPr>
          <w:sz w:val="18"/>
        </w:rPr>
        <w:t>Informe General de la República 2021. Gobierno de Guatemala.</w:t>
      </w:r>
    </w:p>
    <w:p w:rsidR="009A256D" w:rsidRDefault="009A256D" w:rsidP="00E24F7B"/>
    <w:p w:rsidR="009113CE" w:rsidRDefault="009113CE" w:rsidP="00E24F7B"/>
    <w:p w:rsidR="009113CE" w:rsidRDefault="009113CE" w:rsidP="00E24F7B"/>
    <w:p w:rsidR="009113CE" w:rsidRDefault="009113CE" w:rsidP="00E24F7B"/>
    <w:p w:rsidR="009113CE" w:rsidRPr="00124AD6" w:rsidRDefault="00E92635" w:rsidP="009113CE">
      <w:pPr>
        <w:jc w:val="center"/>
        <w:rPr>
          <w:b/>
        </w:rPr>
      </w:pPr>
      <w:r>
        <w:rPr>
          <w:b/>
        </w:rPr>
        <w:t>Figura</w:t>
      </w:r>
      <w:r w:rsidR="009113CE" w:rsidRPr="00124AD6">
        <w:rPr>
          <w:b/>
        </w:rPr>
        <w:t xml:space="preserve"> </w:t>
      </w:r>
      <w:r w:rsidR="00B4064F">
        <w:rPr>
          <w:b/>
        </w:rPr>
        <w:t>2</w:t>
      </w:r>
    </w:p>
    <w:p w:rsidR="00F2049C" w:rsidRDefault="00F2049C" w:rsidP="009113CE">
      <w:pPr>
        <w:jc w:val="center"/>
        <w:rPr>
          <w:b/>
        </w:rPr>
      </w:pPr>
      <w:r>
        <w:rPr>
          <w:b/>
        </w:rPr>
        <w:t>Bienes Decomisados al Narcotráfico</w:t>
      </w:r>
    </w:p>
    <w:p w:rsidR="009113CE" w:rsidRDefault="009113CE" w:rsidP="00F2049C">
      <w:pPr>
        <w:jc w:val="center"/>
        <w:rPr>
          <w:b/>
        </w:rPr>
      </w:pPr>
      <w:r>
        <w:rPr>
          <w:b/>
        </w:rPr>
        <w:t>Ejercicio Fiscal 2021</w:t>
      </w:r>
    </w:p>
    <w:p w:rsidR="00B4064F" w:rsidRPr="00ED3FD0" w:rsidRDefault="00B4064F" w:rsidP="00F2049C">
      <w:pPr>
        <w:jc w:val="center"/>
        <w:rPr>
          <w:sz w:val="40"/>
        </w:rPr>
      </w:pPr>
    </w:p>
    <w:p w:rsidR="009A256D" w:rsidRDefault="00FE322C" w:rsidP="00E24F7B">
      <w:r>
        <w:rPr>
          <w:noProof/>
        </w:rPr>
        <w:drawing>
          <wp:inline distT="0" distB="0" distL="0" distR="0" wp14:anchorId="5C781665" wp14:editId="4D08B705">
            <wp:extent cx="6269063" cy="5522976"/>
            <wp:effectExtent l="0" t="0" r="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7081" t="30581" r="24247" b="14316"/>
                    <a:stretch/>
                  </pic:blipFill>
                  <pic:spPr bwMode="auto">
                    <a:xfrm>
                      <a:off x="0" y="0"/>
                      <a:ext cx="6307688" cy="5557004"/>
                    </a:xfrm>
                    <a:prstGeom prst="rect">
                      <a:avLst/>
                    </a:prstGeom>
                    <a:ln>
                      <a:noFill/>
                    </a:ln>
                    <a:extLst>
                      <a:ext uri="{53640926-AAD7-44D8-BBD7-CCE9431645EC}">
                        <a14:shadowObscured xmlns:a14="http://schemas.microsoft.com/office/drawing/2010/main"/>
                      </a:ext>
                    </a:extLst>
                  </pic:spPr>
                </pic:pic>
              </a:graphicData>
            </a:graphic>
          </wp:inline>
        </w:drawing>
      </w:r>
    </w:p>
    <w:p w:rsidR="00C34F74" w:rsidRPr="004E678D" w:rsidRDefault="00C34F74" w:rsidP="00C34F74">
      <w:pPr>
        <w:jc w:val="both"/>
        <w:rPr>
          <w:sz w:val="18"/>
        </w:rPr>
      </w:pPr>
      <w:r>
        <w:rPr>
          <w:sz w:val="18"/>
        </w:rPr>
        <w:t xml:space="preserve"> </w:t>
      </w:r>
      <w:r w:rsidR="00B4064F">
        <w:rPr>
          <w:sz w:val="18"/>
        </w:rPr>
        <w:t xml:space="preserve">   </w:t>
      </w:r>
      <w:r w:rsidR="00CE7A81">
        <w:rPr>
          <w:sz w:val="18"/>
        </w:rPr>
        <w:t xml:space="preserve">  </w:t>
      </w:r>
      <w:r w:rsidRPr="004E678D">
        <w:rPr>
          <w:sz w:val="18"/>
        </w:rPr>
        <w:t xml:space="preserve">Fuente: </w:t>
      </w:r>
      <w:r>
        <w:rPr>
          <w:sz w:val="18"/>
        </w:rPr>
        <w:t>Informe General de la República 2021. Gobierno de Guatemala.</w:t>
      </w:r>
    </w:p>
    <w:p w:rsidR="007E394A" w:rsidRDefault="007E394A" w:rsidP="00E24F7B"/>
    <w:p w:rsidR="00B4064F" w:rsidRDefault="00B4064F">
      <w:r>
        <w:br w:type="page"/>
      </w:r>
    </w:p>
    <w:p w:rsidR="009113CE" w:rsidRDefault="009113CE" w:rsidP="00E24F7B"/>
    <w:p w:rsidR="009113CE" w:rsidRDefault="009113CE" w:rsidP="00E24F7B"/>
    <w:p w:rsidR="009113CE" w:rsidRDefault="009113CE" w:rsidP="00E24F7B"/>
    <w:p w:rsidR="00C02AC5" w:rsidRDefault="00C02AC5" w:rsidP="00E24F7B"/>
    <w:p w:rsidR="009113CE" w:rsidRPr="00124AD6" w:rsidRDefault="009113CE" w:rsidP="009113CE">
      <w:pPr>
        <w:jc w:val="center"/>
        <w:rPr>
          <w:b/>
        </w:rPr>
      </w:pPr>
      <w:r w:rsidRPr="00124AD6">
        <w:rPr>
          <w:b/>
        </w:rPr>
        <w:t xml:space="preserve">Cuadro </w:t>
      </w:r>
      <w:r w:rsidR="00C02AC5">
        <w:rPr>
          <w:b/>
        </w:rPr>
        <w:t>19</w:t>
      </w:r>
    </w:p>
    <w:p w:rsidR="0086214E" w:rsidRDefault="0086214E" w:rsidP="009113CE">
      <w:pPr>
        <w:jc w:val="center"/>
        <w:rPr>
          <w:b/>
        </w:rPr>
      </w:pPr>
      <w:r>
        <w:rPr>
          <w:b/>
        </w:rPr>
        <w:t>Resultados del Programa de Servicios de Seguridad Policial</w:t>
      </w:r>
    </w:p>
    <w:p w:rsidR="009113CE" w:rsidRDefault="009113CE" w:rsidP="0086214E">
      <w:pPr>
        <w:jc w:val="center"/>
        <w:rPr>
          <w:b/>
        </w:rPr>
      </w:pPr>
      <w:r>
        <w:rPr>
          <w:b/>
        </w:rPr>
        <w:t>Ejercicio Fiscal 2021</w:t>
      </w:r>
    </w:p>
    <w:p w:rsidR="00C02AC5" w:rsidRDefault="00C02AC5" w:rsidP="0086214E">
      <w:pPr>
        <w:jc w:val="center"/>
      </w:pPr>
    </w:p>
    <w:p w:rsidR="007E394A" w:rsidRDefault="00FF1FC6" w:rsidP="00FE1C3C">
      <w:pPr>
        <w:jc w:val="center"/>
      </w:pPr>
      <w:r>
        <w:rPr>
          <w:noProof/>
        </w:rPr>
        <w:drawing>
          <wp:inline distT="0" distB="0" distL="0" distR="0" wp14:anchorId="2409B7AC" wp14:editId="644C37A6">
            <wp:extent cx="6172310" cy="4220870"/>
            <wp:effectExtent l="0" t="0" r="0"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6849" t="31857" r="22178" b="24041"/>
                    <a:stretch/>
                  </pic:blipFill>
                  <pic:spPr bwMode="auto">
                    <a:xfrm>
                      <a:off x="0" y="0"/>
                      <a:ext cx="6245601" cy="4270989"/>
                    </a:xfrm>
                    <a:prstGeom prst="rect">
                      <a:avLst/>
                    </a:prstGeom>
                    <a:ln>
                      <a:noFill/>
                    </a:ln>
                    <a:extLst>
                      <a:ext uri="{53640926-AAD7-44D8-BBD7-CCE9431645EC}">
                        <a14:shadowObscured xmlns:a14="http://schemas.microsoft.com/office/drawing/2010/main"/>
                      </a:ext>
                    </a:extLst>
                  </pic:spPr>
                </pic:pic>
              </a:graphicData>
            </a:graphic>
          </wp:inline>
        </w:drawing>
      </w:r>
    </w:p>
    <w:p w:rsidR="00C34F74" w:rsidRPr="004E678D" w:rsidRDefault="00C34F74" w:rsidP="00C34F74">
      <w:pPr>
        <w:jc w:val="both"/>
        <w:rPr>
          <w:sz w:val="18"/>
        </w:rPr>
      </w:pPr>
      <w:r>
        <w:rPr>
          <w:sz w:val="18"/>
        </w:rPr>
        <w:t xml:space="preserve"> </w:t>
      </w:r>
      <w:r w:rsidR="00FE1C3C">
        <w:rPr>
          <w:sz w:val="18"/>
        </w:rPr>
        <w:t xml:space="preserve"> </w:t>
      </w:r>
      <w:r w:rsidRPr="004E678D">
        <w:rPr>
          <w:sz w:val="18"/>
        </w:rPr>
        <w:t xml:space="preserve">Fuente: </w:t>
      </w:r>
      <w:r>
        <w:rPr>
          <w:sz w:val="18"/>
        </w:rPr>
        <w:t>Informe General de la República 2021. Gobierno de Guatemala.</w:t>
      </w:r>
    </w:p>
    <w:p w:rsidR="00FE322C" w:rsidRDefault="00FE322C" w:rsidP="00E24F7B"/>
    <w:p w:rsidR="009113CE" w:rsidRDefault="009113CE" w:rsidP="00E24F7B"/>
    <w:p w:rsidR="00C02AC5" w:rsidRDefault="00C02AC5">
      <w:r>
        <w:br w:type="page"/>
      </w:r>
    </w:p>
    <w:p w:rsidR="009113CE" w:rsidRDefault="009113CE" w:rsidP="00E24F7B"/>
    <w:p w:rsidR="00C02AC5" w:rsidRDefault="00C02AC5" w:rsidP="00E24F7B"/>
    <w:p w:rsidR="00DD534D" w:rsidRDefault="00DD534D" w:rsidP="00E24F7B"/>
    <w:p w:rsidR="009113CE" w:rsidRPr="00124AD6" w:rsidRDefault="009113CE" w:rsidP="009113CE">
      <w:pPr>
        <w:jc w:val="center"/>
        <w:rPr>
          <w:b/>
        </w:rPr>
      </w:pPr>
      <w:r w:rsidRPr="00124AD6">
        <w:rPr>
          <w:b/>
        </w:rPr>
        <w:t xml:space="preserve">Cuadro </w:t>
      </w:r>
      <w:r w:rsidR="00C02AC5">
        <w:rPr>
          <w:b/>
        </w:rPr>
        <w:t>20</w:t>
      </w:r>
    </w:p>
    <w:p w:rsidR="0086214E" w:rsidRDefault="009113CE" w:rsidP="009113CE">
      <w:pPr>
        <w:jc w:val="center"/>
        <w:rPr>
          <w:b/>
        </w:rPr>
      </w:pPr>
      <w:r>
        <w:rPr>
          <w:b/>
        </w:rPr>
        <w:t>P</w:t>
      </w:r>
      <w:r w:rsidR="0086214E">
        <w:rPr>
          <w:b/>
        </w:rPr>
        <w:t>roceso y Estatus de las Alertas Recibidas</w:t>
      </w:r>
    </w:p>
    <w:p w:rsidR="009113CE" w:rsidRDefault="009113CE" w:rsidP="0086214E">
      <w:pPr>
        <w:jc w:val="center"/>
        <w:rPr>
          <w:b/>
        </w:rPr>
      </w:pPr>
      <w:r>
        <w:rPr>
          <w:b/>
        </w:rPr>
        <w:t>Ejercicio Fiscal 2021</w:t>
      </w:r>
    </w:p>
    <w:p w:rsidR="00DD534D" w:rsidRDefault="00DD534D" w:rsidP="0086214E">
      <w:pPr>
        <w:jc w:val="center"/>
      </w:pPr>
    </w:p>
    <w:p w:rsidR="00FE322C" w:rsidRDefault="008E4821" w:rsidP="00FE1C3C">
      <w:pPr>
        <w:jc w:val="center"/>
      </w:pPr>
      <w:r>
        <w:rPr>
          <w:noProof/>
        </w:rPr>
        <w:drawing>
          <wp:inline distT="0" distB="0" distL="0" distR="0" wp14:anchorId="5C2E6E21" wp14:editId="77AAF541">
            <wp:extent cx="6246468" cy="6035040"/>
            <wp:effectExtent l="19050" t="19050" r="21590" b="2286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940" t="20250" r="22059" b="15052"/>
                    <a:stretch/>
                  </pic:blipFill>
                  <pic:spPr bwMode="auto">
                    <a:xfrm>
                      <a:off x="0" y="0"/>
                      <a:ext cx="6287679" cy="60748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34F74" w:rsidRPr="004E678D" w:rsidRDefault="00C34F74" w:rsidP="00C34F74">
      <w:pPr>
        <w:jc w:val="both"/>
        <w:rPr>
          <w:sz w:val="18"/>
        </w:rPr>
      </w:pPr>
      <w:r>
        <w:rPr>
          <w:sz w:val="18"/>
        </w:rPr>
        <w:t xml:space="preserve">  </w:t>
      </w:r>
      <w:r w:rsidRPr="004E678D">
        <w:rPr>
          <w:sz w:val="18"/>
        </w:rPr>
        <w:t xml:space="preserve">Fuente: </w:t>
      </w:r>
      <w:r>
        <w:rPr>
          <w:sz w:val="18"/>
        </w:rPr>
        <w:t>Informe General de la República 2021. Gobierno de Guatemala.</w:t>
      </w:r>
    </w:p>
    <w:p w:rsidR="00FF1FC6" w:rsidRDefault="00FF1FC6" w:rsidP="00E24F7B"/>
    <w:p w:rsidR="009113CE" w:rsidRDefault="009113CE" w:rsidP="00E24F7B"/>
    <w:p w:rsidR="009113CE" w:rsidRDefault="009113CE" w:rsidP="00E24F7B"/>
    <w:p w:rsidR="00DD534D" w:rsidRDefault="00DD534D" w:rsidP="00E24F7B"/>
    <w:p w:rsidR="00DD534D" w:rsidRPr="00DB541E" w:rsidRDefault="00DD534D" w:rsidP="00E24F7B">
      <w:pPr>
        <w:rPr>
          <w:sz w:val="40"/>
        </w:rPr>
      </w:pPr>
    </w:p>
    <w:p w:rsidR="00DB541E" w:rsidRDefault="00DB541E" w:rsidP="00E24F7B"/>
    <w:p w:rsidR="009113CE" w:rsidRPr="00124AD6" w:rsidRDefault="002208BB" w:rsidP="009113CE">
      <w:pPr>
        <w:jc w:val="center"/>
        <w:rPr>
          <w:b/>
        </w:rPr>
      </w:pPr>
      <w:r>
        <w:rPr>
          <w:b/>
        </w:rPr>
        <w:t>Figura</w:t>
      </w:r>
      <w:r w:rsidR="009113CE" w:rsidRPr="00124AD6">
        <w:rPr>
          <w:b/>
        </w:rPr>
        <w:t xml:space="preserve"> </w:t>
      </w:r>
      <w:r w:rsidR="00DD534D">
        <w:rPr>
          <w:b/>
        </w:rPr>
        <w:t>3</w:t>
      </w:r>
    </w:p>
    <w:p w:rsidR="00A7189D" w:rsidRDefault="009113CE" w:rsidP="009113CE">
      <w:pPr>
        <w:jc w:val="center"/>
        <w:rPr>
          <w:b/>
        </w:rPr>
      </w:pPr>
      <w:r>
        <w:rPr>
          <w:b/>
        </w:rPr>
        <w:t>P</w:t>
      </w:r>
      <w:r w:rsidR="00A7189D">
        <w:rPr>
          <w:b/>
        </w:rPr>
        <w:t>ortales de Transparencia Fiscal Implementados por el MINFIN</w:t>
      </w:r>
    </w:p>
    <w:p w:rsidR="009113CE" w:rsidRDefault="009113CE" w:rsidP="0086214E">
      <w:pPr>
        <w:jc w:val="center"/>
        <w:rPr>
          <w:b/>
        </w:rPr>
      </w:pPr>
      <w:r>
        <w:rPr>
          <w:b/>
        </w:rPr>
        <w:t>Ejercicio Fiscal 2021</w:t>
      </w:r>
    </w:p>
    <w:p w:rsidR="00DD534D" w:rsidRPr="00DB541E" w:rsidRDefault="00DD534D" w:rsidP="0086214E">
      <w:pPr>
        <w:jc w:val="center"/>
        <w:rPr>
          <w:sz w:val="40"/>
        </w:rPr>
      </w:pPr>
    </w:p>
    <w:p w:rsidR="00FF1FC6" w:rsidRDefault="004B4D1E" w:rsidP="00ED3FD0">
      <w:r>
        <w:rPr>
          <w:noProof/>
        </w:rPr>
        <w:drawing>
          <wp:inline distT="0" distB="0" distL="0" distR="0" wp14:anchorId="04708343" wp14:editId="2E3953AF">
            <wp:extent cx="6393180" cy="6239865"/>
            <wp:effectExtent l="0" t="0" r="7620" b="889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1086" t="31782" r="26501" b="14918"/>
                    <a:stretch/>
                  </pic:blipFill>
                  <pic:spPr bwMode="auto">
                    <a:xfrm>
                      <a:off x="0" y="0"/>
                      <a:ext cx="6502781" cy="6346838"/>
                    </a:xfrm>
                    <a:prstGeom prst="rect">
                      <a:avLst/>
                    </a:prstGeom>
                    <a:ln>
                      <a:noFill/>
                    </a:ln>
                    <a:extLst>
                      <a:ext uri="{53640926-AAD7-44D8-BBD7-CCE9431645EC}">
                        <a14:shadowObscured xmlns:a14="http://schemas.microsoft.com/office/drawing/2010/main"/>
                      </a:ext>
                    </a:extLst>
                  </pic:spPr>
                </pic:pic>
              </a:graphicData>
            </a:graphic>
          </wp:inline>
        </w:drawing>
      </w:r>
    </w:p>
    <w:p w:rsidR="00C34F74" w:rsidRPr="004E678D" w:rsidRDefault="00CE7A81" w:rsidP="00C34F74">
      <w:pPr>
        <w:jc w:val="both"/>
        <w:rPr>
          <w:sz w:val="18"/>
        </w:rPr>
      </w:pPr>
      <w:r>
        <w:rPr>
          <w:sz w:val="18"/>
        </w:rPr>
        <w:t xml:space="preserve"> </w:t>
      </w:r>
      <w:r w:rsidR="00DD534D">
        <w:rPr>
          <w:sz w:val="18"/>
        </w:rPr>
        <w:t xml:space="preserve">      </w:t>
      </w:r>
      <w:r w:rsidR="00C34F74">
        <w:rPr>
          <w:sz w:val="18"/>
        </w:rPr>
        <w:t xml:space="preserve"> </w:t>
      </w:r>
      <w:r w:rsidR="00C34F74" w:rsidRPr="004E678D">
        <w:rPr>
          <w:sz w:val="18"/>
        </w:rPr>
        <w:t xml:space="preserve">Fuente: </w:t>
      </w:r>
      <w:r w:rsidR="00C34F74">
        <w:rPr>
          <w:sz w:val="18"/>
        </w:rPr>
        <w:t>Informe General de la República 2021. Gobierno de Guatemala.</w:t>
      </w:r>
    </w:p>
    <w:p w:rsidR="008E4821" w:rsidRDefault="008E4821" w:rsidP="00E24F7B"/>
    <w:p w:rsidR="009113CE" w:rsidRDefault="009113CE" w:rsidP="00E24F7B"/>
    <w:p w:rsidR="00DD534D" w:rsidRDefault="00DD534D" w:rsidP="00E24F7B"/>
    <w:p w:rsidR="000205D6" w:rsidRDefault="000205D6" w:rsidP="00E24F7B"/>
    <w:p w:rsidR="009113CE" w:rsidRPr="00DB541E" w:rsidRDefault="009113CE" w:rsidP="00E24F7B">
      <w:pPr>
        <w:rPr>
          <w:sz w:val="36"/>
        </w:rPr>
      </w:pPr>
    </w:p>
    <w:p w:rsidR="009113CE" w:rsidRPr="00124AD6" w:rsidRDefault="002208BB" w:rsidP="009113CE">
      <w:pPr>
        <w:jc w:val="center"/>
        <w:rPr>
          <w:b/>
        </w:rPr>
      </w:pPr>
      <w:r>
        <w:rPr>
          <w:b/>
        </w:rPr>
        <w:t>Figura</w:t>
      </w:r>
      <w:r w:rsidR="009113CE" w:rsidRPr="00124AD6">
        <w:rPr>
          <w:b/>
        </w:rPr>
        <w:t xml:space="preserve"> </w:t>
      </w:r>
      <w:r w:rsidR="00DD534D">
        <w:rPr>
          <w:b/>
        </w:rPr>
        <w:t>4</w:t>
      </w:r>
    </w:p>
    <w:p w:rsidR="00A7189D" w:rsidRDefault="00A7189D" w:rsidP="009113CE">
      <w:pPr>
        <w:jc w:val="center"/>
        <w:rPr>
          <w:b/>
        </w:rPr>
      </w:pPr>
      <w:r>
        <w:rPr>
          <w:b/>
        </w:rPr>
        <w:t>Acciones de Prevención y Control Forestal</w:t>
      </w:r>
    </w:p>
    <w:p w:rsidR="009113CE" w:rsidRDefault="009113CE" w:rsidP="00A7189D">
      <w:pPr>
        <w:jc w:val="center"/>
        <w:rPr>
          <w:b/>
        </w:rPr>
      </w:pPr>
      <w:r>
        <w:rPr>
          <w:b/>
        </w:rPr>
        <w:t>Ejercicio Fiscal 2021</w:t>
      </w:r>
    </w:p>
    <w:p w:rsidR="00DD534D" w:rsidRPr="00ED3FD0" w:rsidRDefault="00DD534D" w:rsidP="00A7189D">
      <w:pPr>
        <w:jc w:val="center"/>
        <w:rPr>
          <w:sz w:val="40"/>
        </w:rPr>
      </w:pPr>
    </w:p>
    <w:p w:rsidR="008E4821" w:rsidRDefault="00245361" w:rsidP="00FE1C3C">
      <w:pPr>
        <w:jc w:val="center"/>
      </w:pPr>
      <w:r>
        <w:rPr>
          <w:noProof/>
        </w:rPr>
        <w:drawing>
          <wp:inline distT="0" distB="0" distL="0" distR="0" wp14:anchorId="36ECD973" wp14:editId="7630321F">
            <wp:extent cx="5764530" cy="6042355"/>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3006" t="31217" r="28036" b="18816"/>
                    <a:stretch/>
                  </pic:blipFill>
                  <pic:spPr bwMode="auto">
                    <a:xfrm>
                      <a:off x="0" y="0"/>
                      <a:ext cx="5819526" cy="6100001"/>
                    </a:xfrm>
                    <a:prstGeom prst="rect">
                      <a:avLst/>
                    </a:prstGeom>
                    <a:ln>
                      <a:noFill/>
                    </a:ln>
                    <a:extLst>
                      <a:ext uri="{53640926-AAD7-44D8-BBD7-CCE9431645EC}">
                        <a14:shadowObscured xmlns:a14="http://schemas.microsoft.com/office/drawing/2010/main"/>
                      </a:ext>
                    </a:extLst>
                  </pic:spPr>
                </pic:pic>
              </a:graphicData>
            </a:graphic>
          </wp:inline>
        </w:drawing>
      </w:r>
    </w:p>
    <w:p w:rsidR="00C34F74" w:rsidRPr="004E678D" w:rsidRDefault="00F84B54" w:rsidP="00FE1C3C">
      <w:pPr>
        <w:rPr>
          <w:sz w:val="18"/>
        </w:rPr>
      </w:pPr>
      <w:r>
        <w:rPr>
          <w:sz w:val="18"/>
        </w:rPr>
        <w:t xml:space="preserve">    </w:t>
      </w:r>
      <w:r w:rsidR="00C34F74" w:rsidRPr="004E678D">
        <w:rPr>
          <w:sz w:val="18"/>
        </w:rPr>
        <w:t xml:space="preserve">Fuente: </w:t>
      </w:r>
      <w:r w:rsidR="00C34F74">
        <w:rPr>
          <w:sz w:val="18"/>
        </w:rPr>
        <w:t>Informe General de la República 2021. Gobierno de Guatemala.</w:t>
      </w:r>
    </w:p>
    <w:p w:rsidR="00245361" w:rsidRDefault="00245361" w:rsidP="00E24F7B"/>
    <w:p w:rsidR="009113CE" w:rsidRDefault="009113CE" w:rsidP="00E24F7B"/>
    <w:p w:rsidR="00DD534D" w:rsidRDefault="00DD534D" w:rsidP="00E24F7B"/>
    <w:p w:rsidR="00DD534D" w:rsidRDefault="00DD534D" w:rsidP="00E24F7B"/>
    <w:p w:rsidR="009113CE" w:rsidRPr="00124AD6" w:rsidRDefault="002208BB" w:rsidP="009113CE">
      <w:pPr>
        <w:jc w:val="center"/>
        <w:rPr>
          <w:b/>
        </w:rPr>
      </w:pPr>
      <w:r>
        <w:rPr>
          <w:b/>
        </w:rPr>
        <w:lastRenderedPageBreak/>
        <w:t>Figura</w:t>
      </w:r>
      <w:r w:rsidR="009113CE" w:rsidRPr="00124AD6">
        <w:rPr>
          <w:b/>
        </w:rPr>
        <w:t xml:space="preserve"> </w:t>
      </w:r>
      <w:r w:rsidR="00DD534D">
        <w:rPr>
          <w:b/>
        </w:rPr>
        <w:t>5</w:t>
      </w:r>
    </w:p>
    <w:p w:rsidR="00A7189D" w:rsidRDefault="00A7189D" w:rsidP="009113CE">
      <w:pPr>
        <w:jc w:val="center"/>
        <w:rPr>
          <w:b/>
        </w:rPr>
      </w:pPr>
      <w:r>
        <w:rPr>
          <w:b/>
        </w:rPr>
        <w:t>Asesoría y Asistencia Técnica a las Municipalidades</w:t>
      </w:r>
      <w:r w:rsidR="00DD534D">
        <w:rPr>
          <w:b/>
        </w:rPr>
        <w:t xml:space="preserve"> en 2021</w:t>
      </w:r>
    </w:p>
    <w:p w:rsidR="00ED3FD0" w:rsidRPr="00ED3FD0" w:rsidRDefault="00ED3FD0" w:rsidP="009113CE">
      <w:pPr>
        <w:jc w:val="center"/>
        <w:rPr>
          <w:b/>
          <w:sz w:val="18"/>
        </w:rPr>
      </w:pPr>
    </w:p>
    <w:p w:rsidR="00245361" w:rsidRDefault="00245361" w:rsidP="00F84B54">
      <w:pPr>
        <w:jc w:val="center"/>
      </w:pPr>
      <w:r>
        <w:rPr>
          <w:noProof/>
        </w:rPr>
        <w:drawing>
          <wp:inline distT="0" distB="0" distL="0" distR="0" wp14:anchorId="5E863C3A" wp14:editId="5E23D69C">
            <wp:extent cx="5746055" cy="3884371"/>
            <wp:effectExtent l="0" t="0" r="7620" b="190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7235" t="32966" r="22830" b="18500"/>
                    <a:stretch/>
                  </pic:blipFill>
                  <pic:spPr bwMode="auto">
                    <a:xfrm>
                      <a:off x="0" y="0"/>
                      <a:ext cx="5807764" cy="3926087"/>
                    </a:xfrm>
                    <a:prstGeom prst="rect">
                      <a:avLst/>
                    </a:prstGeom>
                    <a:ln>
                      <a:noFill/>
                    </a:ln>
                    <a:extLst>
                      <a:ext uri="{53640926-AAD7-44D8-BBD7-CCE9431645EC}">
                        <a14:shadowObscured xmlns:a14="http://schemas.microsoft.com/office/drawing/2010/main"/>
                      </a:ext>
                    </a:extLst>
                  </pic:spPr>
                </pic:pic>
              </a:graphicData>
            </a:graphic>
          </wp:inline>
        </w:drawing>
      </w:r>
    </w:p>
    <w:p w:rsidR="00C34F74" w:rsidRPr="004E678D" w:rsidRDefault="00CE7A81" w:rsidP="00C34F74">
      <w:pPr>
        <w:jc w:val="both"/>
        <w:rPr>
          <w:sz w:val="18"/>
        </w:rPr>
      </w:pPr>
      <w:r>
        <w:rPr>
          <w:sz w:val="18"/>
        </w:rPr>
        <w:t xml:space="preserve"> </w:t>
      </w:r>
      <w:r w:rsidR="00DD534D">
        <w:rPr>
          <w:sz w:val="18"/>
        </w:rPr>
        <w:t xml:space="preserve">  </w:t>
      </w:r>
      <w:r>
        <w:rPr>
          <w:sz w:val="18"/>
        </w:rPr>
        <w:t xml:space="preserve">   </w:t>
      </w:r>
      <w:r w:rsidR="00C34F74" w:rsidRPr="004E678D">
        <w:rPr>
          <w:sz w:val="18"/>
        </w:rPr>
        <w:t xml:space="preserve">Fuente: </w:t>
      </w:r>
      <w:r w:rsidR="00C34F74">
        <w:rPr>
          <w:sz w:val="18"/>
        </w:rPr>
        <w:t>Informe General de la República 2021. Gobierno de Guatemala.</w:t>
      </w:r>
    </w:p>
    <w:p w:rsidR="00245361" w:rsidRPr="00ED3FD0" w:rsidRDefault="00245361" w:rsidP="00E24F7B">
      <w:pPr>
        <w:rPr>
          <w:sz w:val="22"/>
        </w:rPr>
      </w:pPr>
    </w:p>
    <w:p w:rsidR="009113CE" w:rsidRDefault="009113CE" w:rsidP="00E24F7B"/>
    <w:p w:rsidR="00DD534D" w:rsidRPr="00DB541E" w:rsidRDefault="00DD534D" w:rsidP="00E24F7B"/>
    <w:p w:rsidR="009113CE" w:rsidRPr="00124AD6" w:rsidRDefault="002208BB" w:rsidP="009113CE">
      <w:pPr>
        <w:jc w:val="center"/>
        <w:rPr>
          <w:b/>
        </w:rPr>
      </w:pPr>
      <w:r>
        <w:rPr>
          <w:b/>
        </w:rPr>
        <w:t>Figura</w:t>
      </w:r>
      <w:r w:rsidR="009113CE" w:rsidRPr="00124AD6">
        <w:rPr>
          <w:b/>
        </w:rPr>
        <w:t xml:space="preserve"> </w:t>
      </w:r>
      <w:r w:rsidR="00DD534D">
        <w:rPr>
          <w:b/>
        </w:rPr>
        <w:t>6</w:t>
      </w:r>
    </w:p>
    <w:p w:rsidR="00A7189D" w:rsidRDefault="00A7189D" w:rsidP="009113CE">
      <w:pPr>
        <w:jc w:val="center"/>
        <w:rPr>
          <w:b/>
        </w:rPr>
      </w:pPr>
      <w:r>
        <w:rPr>
          <w:b/>
        </w:rPr>
        <w:t>Servicios Consulares Efectuados por el MINEX</w:t>
      </w:r>
      <w:r w:rsidR="00DD534D">
        <w:rPr>
          <w:b/>
        </w:rPr>
        <w:t xml:space="preserve"> en 2021</w:t>
      </w:r>
    </w:p>
    <w:p w:rsidR="00ED3FD0" w:rsidRPr="00ED3FD0" w:rsidRDefault="00ED3FD0" w:rsidP="009113CE">
      <w:pPr>
        <w:jc w:val="center"/>
        <w:rPr>
          <w:b/>
          <w:sz w:val="18"/>
        </w:rPr>
      </w:pPr>
    </w:p>
    <w:p w:rsidR="00245361" w:rsidRDefault="00245361" w:rsidP="00F84B54">
      <w:pPr>
        <w:jc w:val="center"/>
      </w:pPr>
      <w:r>
        <w:rPr>
          <w:noProof/>
        </w:rPr>
        <w:drawing>
          <wp:inline distT="0" distB="0" distL="0" distR="0" wp14:anchorId="22C0A625" wp14:editId="6C4DC8DA">
            <wp:extent cx="5178353" cy="2589581"/>
            <wp:effectExtent l="0" t="0" r="3810" b="127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3115" t="37853" r="26884" b="36764"/>
                    <a:stretch/>
                  </pic:blipFill>
                  <pic:spPr bwMode="auto">
                    <a:xfrm>
                      <a:off x="0" y="0"/>
                      <a:ext cx="5229304" cy="2615060"/>
                    </a:xfrm>
                    <a:prstGeom prst="rect">
                      <a:avLst/>
                    </a:prstGeom>
                    <a:ln>
                      <a:noFill/>
                    </a:ln>
                    <a:extLst>
                      <a:ext uri="{53640926-AAD7-44D8-BBD7-CCE9431645EC}">
                        <a14:shadowObscured xmlns:a14="http://schemas.microsoft.com/office/drawing/2010/main"/>
                      </a:ext>
                    </a:extLst>
                  </pic:spPr>
                </pic:pic>
              </a:graphicData>
            </a:graphic>
          </wp:inline>
        </w:drawing>
      </w:r>
    </w:p>
    <w:p w:rsidR="00C34F74" w:rsidRPr="004E678D" w:rsidRDefault="00F84B54" w:rsidP="00C34F74">
      <w:pPr>
        <w:jc w:val="both"/>
        <w:rPr>
          <w:sz w:val="18"/>
        </w:rPr>
      </w:pPr>
      <w:r>
        <w:rPr>
          <w:sz w:val="18"/>
        </w:rPr>
        <w:t xml:space="preserve">              </w:t>
      </w:r>
      <w:r w:rsidR="00C34F74">
        <w:rPr>
          <w:sz w:val="18"/>
        </w:rPr>
        <w:t xml:space="preserve"> </w:t>
      </w:r>
      <w:r w:rsidR="00C34F74" w:rsidRPr="004E678D">
        <w:rPr>
          <w:sz w:val="18"/>
        </w:rPr>
        <w:t xml:space="preserve">Fuente: </w:t>
      </w:r>
      <w:r w:rsidR="00C34F74">
        <w:rPr>
          <w:sz w:val="18"/>
        </w:rPr>
        <w:t>Informe General de la República 2021. Gobierno de Guatemala.</w:t>
      </w:r>
    </w:p>
    <w:p w:rsidR="00245361" w:rsidRDefault="00245361" w:rsidP="00E24F7B"/>
    <w:p w:rsidR="00A60157" w:rsidRDefault="00A60157" w:rsidP="00E24F7B"/>
    <w:p w:rsidR="009113CE" w:rsidRPr="00124AD6" w:rsidRDefault="009113CE" w:rsidP="009113CE">
      <w:pPr>
        <w:jc w:val="center"/>
        <w:rPr>
          <w:b/>
        </w:rPr>
      </w:pPr>
      <w:r w:rsidRPr="00124AD6">
        <w:rPr>
          <w:b/>
        </w:rPr>
        <w:t xml:space="preserve">Cuadro </w:t>
      </w:r>
      <w:r w:rsidR="00A60157">
        <w:rPr>
          <w:b/>
        </w:rPr>
        <w:t>21</w:t>
      </w:r>
    </w:p>
    <w:p w:rsidR="00D72340" w:rsidRDefault="00D72340" w:rsidP="009113CE">
      <w:pPr>
        <w:jc w:val="center"/>
        <w:rPr>
          <w:b/>
        </w:rPr>
      </w:pPr>
      <w:r>
        <w:rPr>
          <w:b/>
        </w:rPr>
        <w:t>Campañas Nacionales e Internacionales de Turismo</w:t>
      </w:r>
    </w:p>
    <w:p w:rsidR="009113CE" w:rsidRDefault="009113CE" w:rsidP="00D72340">
      <w:pPr>
        <w:jc w:val="center"/>
      </w:pPr>
      <w:r>
        <w:rPr>
          <w:b/>
        </w:rPr>
        <w:t>Ejercicio Fiscal 2021</w:t>
      </w:r>
    </w:p>
    <w:p w:rsidR="004F2632" w:rsidRDefault="00020C88" w:rsidP="00E24F7B">
      <w:r>
        <w:rPr>
          <w:noProof/>
        </w:rPr>
        <w:drawing>
          <wp:inline distT="0" distB="0" distL="0" distR="0" wp14:anchorId="3589D599" wp14:editId="61163389">
            <wp:extent cx="6133465" cy="3545105"/>
            <wp:effectExtent l="19050" t="19050" r="19685" b="1778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6817" t="37691" r="21813" b="19203"/>
                    <a:stretch/>
                  </pic:blipFill>
                  <pic:spPr bwMode="auto">
                    <a:xfrm>
                      <a:off x="0" y="0"/>
                      <a:ext cx="6175539" cy="35694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F2632" w:rsidRDefault="00C54B3A" w:rsidP="00E24F7B">
      <w:r>
        <w:rPr>
          <w:noProof/>
        </w:rPr>
        <w:drawing>
          <wp:inline distT="0" distB="0" distL="0" distR="0" wp14:anchorId="6A3D6B20" wp14:editId="440CF706">
            <wp:extent cx="6133465" cy="3328416"/>
            <wp:effectExtent l="19050" t="19050" r="19685" b="2476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6826" t="26713" r="22317" b="34510"/>
                    <a:stretch/>
                  </pic:blipFill>
                  <pic:spPr bwMode="auto">
                    <a:xfrm>
                      <a:off x="0" y="0"/>
                      <a:ext cx="6170980" cy="33487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34F74" w:rsidRPr="004E678D" w:rsidRDefault="00C34F74" w:rsidP="00C34F74">
      <w:pPr>
        <w:jc w:val="both"/>
        <w:rPr>
          <w:sz w:val="18"/>
        </w:rPr>
      </w:pPr>
      <w:r>
        <w:rPr>
          <w:sz w:val="18"/>
        </w:rPr>
        <w:t xml:space="preserve"> </w:t>
      </w:r>
      <w:r w:rsidRPr="004E678D">
        <w:rPr>
          <w:sz w:val="18"/>
        </w:rPr>
        <w:t xml:space="preserve">Fuente: </w:t>
      </w:r>
      <w:r>
        <w:rPr>
          <w:sz w:val="18"/>
        </w:rPr>
        <w:t>Informe General de la República 2021. Gobierno de Guatemala.</w:t>
      </w:r>
    </w:p>
    <w:p w:rsidR="00E3238A" w:rsidRDefault="00E3238A" w:rsidP="00723EE3">
      <w:pPr>
        <w:jc w:val="both"/>
      </w:pPr>
    </w:p>
    <w:p w:rsidR="00A60157" w:rsidRPr="006211E9" w:rsidRDefault="00A60157" w:rsidP="00723EE3">
      <w:pPr>
        <w:jc w:val="both"/>
        <w:rPr>
          <w:sz w:val="48"/>
        </w:rPr>
      </w:pPr>
    </w:p>
    <w:p w:rsidR="009A0BB6" w:rsidRDefault="009A0BB6" w:rsidP="00C774F3">
      <w:pPr>
        <w:pStyle w:val="Ttulo2"/>
        <w:numPr>
          <w:ilvl w:val="0"/>
          <w:numId w:val="3"/>
        </w:numPr>
        <w:spacing w:line="276" w:lineRule="auto"/>
        <w:ind w:left="567" w:hanging="567"/>
        <w:rPr>
          <w:rFonts w:ascii="Times New Roman" w:hAnsi="Times New Roman"/>
          <w:color w:val="auto"/>
          <w:sz w:val="24"/>
          <w:szCs w:val="24"/>
        </w:rPr>
      </w:pPr>
      <w:bookmarkStart w:id="31" w:name="_Toc98924142"/>
      <w:r>
        <w:rPr>
          <w:rFonts w:ascii="Times New Roman" w:hAnsi="Times New Roman"/>
          <w:color w:val="auto"/>
          <w:sz w:val="24"/>
          <w:szCs w:val="24"/>
        </w:rPr>
        <w:t>Fondos Extrapresupuestarios</w:t>
      </w:r>
      <w:bookmarkEnd w:id="31"/>
    </w:p>
    <w:p w:rsidR="009A0BB6" w:rsidRPr="006211E9" w:rsidRDefault="009A0BB6" w:rsidP="00E24F7B">
      <w:pPr>
        <w:rPr>
          <w:sz w:val="36"/>
        </w:rPr>
      </w:pPr>
    </w:p>
    <w:p w:rsidR="009A0BB6" w:rsidRDefault="00AA1C55" w:rsidP="00BF239D">
      <w:pPr>
        <w:jc w:val="both"/>
      </w:pPr>
      <w:r>
        <w:t xml:space="preserve">El </w:t>
      </w:r>
      <w:r w:rsidR="009A0BB6">
        <w:t xml:space="preserve">Presupuesto General de Ingresos y Egresos del Estado </w:t>
      </w:r>
      <w:r>
        <w:t>para el</w:t>
      </w:r>
      <w:r w:rsidR="009A0BB6">
        <w:t xml:space="preserve"> Ejercicio Fiscal que corresponda, contiene el detalle y desglose </w:t>
      </w:r>
      <w:r w:rsidR="00AB214E">
        <w:t xml:space="preserve">de </w:t>
      </w:r>
      <w:r w:rsidR="009A0BB6">
        <w:t>los ingresos y gastos de las entidades de la Administración Central</w:t>
      </w:r>
      <w:r>
        <w:t>; p</w:t>
      </w:r>
      <w:r w:rsidR="009A0BB6">
        <w:t xml:space="preserve">or lo tanto, </w:t>
      </w:r>
      <w:r w:rsidR="00FB1D8B">
        <w:t>existen</w:t>
      </w:r>
      <w:r w:rsidR="009A0BB6">
        <w:t xml:space="preserve"> otras asignaciones que al </w:t>
      </w:r>
      <w:r w:rsidR="00FB1D8B">
        <w:t>no figurar en</w:t>
      </w:r>
      <w:r w:rsidR="009A0BB6">
        <w:t xml:space="preserve"> </w:t>
      </w:r>
      <w:r w:rsidR="00FB1D8B">
        <w:t xml:space="preserve">dicho </w:t>
      </w:r>
      <w:r w:rsidR="009A0BB6">
        <w:t xml:space="preserve">documento se consideran fondos extrapresupuestarios, entre los cuales se pueden mencionar: los ingresos propios o privativos, los saldos de caja, </w:t>
      </w:r>
      <w:r w:rsidR="00FB1D8B">
        <w:t xml:space="preserve">las rentas de la propiedad, </w:t>
      </w:r>
      <w:r w:rsidR="009A0BB6">
        <w:t>los ingresos de operación, las transferencias corrientes y de capital, entre otros, de las entidades descentralizadas y autónomas y de las municipalidades del país.</w:t>
      </w:r>
      <w:r w:rsidR="009933A5">
        <w:t xml:space="preserve"> Tampoco figuran las asignaciones para cubrir el funcionamiento de las entidades públicas del sector financiero (Banco de Guatemala, Crédito Hipotecario Nacional, entre otras) y financiar el costo de la política monetaria aprobada por la Junta Mon</w:t>
      </w:r>
      <w:r w:rsidR="007766FA">
        <w:t>e</w:t>
      </w:r>
      <w:r w:rsidR="009933A5">
        <w:t>taria.</w:t>
      </w:r>
    </w:p>
    <w:p w:rsidR="009A0BB6" w:rsidRPr="006211E9" w:rsidRDefault="009A0BB6" w:rsidP="00BF239D">
      <w:pPr>
        <w:jc w:val="both"/>
        <w:rPr>
          <w:sz w:val="36"/>
        </w:rPr>
      </w:pPr>
    </w:p>
    <w:p w:rsidR="000E0C87" w:rsidRDefault="00F6432D" w:rsidP="00BF239D">
      <w:pPr>
        <w:jc w:val="both"/>
      </w:pPr>
      <w:r>
        <w:t xml:space="preserve">De esa cuenta, en los siguientes dos cuadros se presenta el Presupuesto </w:t>
      </w:r>
      <w:r w:rsidR="00A74E6A">
        <w:t>Aprobado de I</w:t>
      </w:r>
      <w:r>
        <w:t xml:space="preserve">ngresos y </w:t>
      </w:r>
      <w:r w:rsidR="00A3418E">
        <w:t xml:space="preserve">el </w:t>
      </w:r>
      <w:r w:rsidR="008136F3">
        <w:t xml:space="preserve">Presupuesto </w:t>
      </w:r>
      <w:r w:rsidR="00A74E6A">
        <w:t xml:space="preserve">Percibido </w:t>
      </w:r>
      <w:r w:rsidR="008136F3">
        <w:t xml:space="preserve">de Ingresos </w:t>
      </w:r>
      <w:r w:rsidR="00A74E6A">
        <w:t>durante</w:t>
      </w:r>
      <w:r w:rsidR="00700012">
        <w:t xml:space="preserve"> el </w:t>
      </w:r>
      <w:r>
        <w:t>Ejercicio Fiscal 20</w:t>
      </w:r>
      <w:r w:rsidR="00AD1077">
        <w:t>2</w:t>
      </w:r>
      <w:r w:rsidR="009933A5">
        <w:t>1</w:t>
      </w:r>
      <w:r>
        <w:t>, de las entidades descentralizadas y autónomas bajo la Clasificación de Recursos por Rubro</w:t>
      </w:r>
      <w:r w:rsidR="00700012">
        <w:t xml:space="preserve">, en los cuales se puede destacar que en su conjunto, estas entidades </w:t>
      </w:r>
      <w:r w:rsidR="00DF0608">
        <w:t>ejecutaron</w:t>
      </w:r>
      <w:r w:rsidR="00700012">
        <w:t xml:space="preserve"> el </w:t>
      </w:r>
      <w:r w:rsidR="00406669">
        <w:t>81.3</w:t>
      </w:r>
      <w:r w:rsidR="00700012">
        <w:t xml:space="preserve">% de su presupuesto de ingresos aprobado, lo que significa un </w:t>
      </w:r>
      <w:r w:rsidR="00AD1077">
        <w:t>moderado</w:t>
      </w:r>
      <w:r w:rsidR="00700012">
        <w:t xml:space="preserve"> nivel de efectividad para percibir los ingresos programados, situación que vuelve a muchas de estas entidades, en altamente dependientes de los aportes del Gobierno Central para financiar sus actividades </w:t>
      </w:r>
      <w:r w:rsidR="009933A5">
        <w:t>que por ley les corresponde desempeñar</w:t>
      </w:r>
      <w:r w:rsidR="00700012">
        <w:t>.</w:t>
      </w:r>
      <w:r w:rsidR="008136F3">
        <w:t xml:space="preserve"> Esto ha ocasionado la emisión de leyes específicas para asignar y/o incrementar el traslado de recursos públicos vía aportes o transferencias, situación que provoca un alto nivel de rigide</w:t>
      </w:r>
      <w:r w:rsidR="00A3418E">
        <w:t>z</w:t>
      </w:r>
      <w:r w:rsidR="008136F3">
        <w:t xml:space="preserve"> al Presupuesto General de Ingresos y Egresos del Estado, ocasionando </w:t>
      </w:r>
      <w:r w:rsidR="00A3418E">
        <w:t xml:space="preserve">muchas veces </w:t>
      </w:r>
      <w:r w:rsidR="008136F3">
        <w:t>que los Ministerios de Estado o las Secretarías y Otras Dependencias del Ejecutivo dispongan de escasos recursos para el desarrollo de su gestión pública, encaminada a lograr el bienestar social y económico de la población</w:t>
      </w:r>
      <w:r w:rsidR="00A3418E">
        <w:t xml:space="preserve"> más necesitada del país.</w:t>
      </w:r>
    </w:p>
    <w:p w:rsidR="00700012" w:rsidRPr="006211E9" w:rsidRDefault="00700012" w:rsidP="00BF239D">
      <w:pPr>
        <w:jc w:val="both"/>
        <w:rPr>
          <w:sz w:val="36"/>
        </w:rPr>
      </w:pPr>
    </w:p>
    <w:p w:rsidR="00E3238A" w:rsidRDefault="007766FA" w:rsidP="00BF239D">
      <w:pPr>
        <w:jc w:val="both"/>
      </w:pPr>
      <w:r>
        <w:t>Dentro del Presupuesto General de Ingresos y Egresos del Estado únicamente se programan como transferencias corrientes y/o de capital</w:t>
      </w:r>
      <w:r w:rsidR="00164FF3">
        <w:t>,</w:t>
      </w:r>
      <w:r>
        <w:t xml:space="preserve"> los aportes que la Administración Central efectúa a las entidades descentralizadas y autónomas, ya sea por disposiciones constitucionales, o bien por la emisión de leyes de afectación con destino específico.</w:t>
      </w:r>
    </w:p>
    <w:p w:rsidR="00E3238A" w:rsidRDefault="00E3238A" w:rsidP="00BF239D">
      <w:pPr>
        <w:jc w:val="both"/>
      </w:pPr>
    </w:p>
    <w:p w:rsidR="00E3238A" w:rsidRDefault="00E3238A" w:rsidP="00BF239D">
      <w:pPr>
        <w:jc w:val="both"/>
      </w:pPr>
    </w:p>
    <w:p w:rsidR="00E3238A" w:rsidRDefault="00E3238A" w:rsidP="00BF239D">
      <w:pPr>
        <w:jc w:val="both"/>
      </w:pPr>
    </w:p>
    <w:p w:rsidR="00E3238A" w:rsidRDefault="00E3238A" w:rsidP="00BF239D">
      <w:pPr>
        <w:jc w:val="both"/>
      </w:pPr>
    </w:p>
    <w:p w:rsidR="002A615C" w:rsidRDefault="002A615C" w:rsidP="00BF239D">
      <w:pPr>
        <w:jc w:val="both"/>
      </w:pPr>
    </w:p>
    <w:p w:rsidR="00A60157" w:rsidRDefault="00A60157">
      <w:r>
        <w:br w:type="page"/>
      </w:r>
    </w:p>
    <w:p w:rsidR="00691DA3" w:rsidRPr="00124AD6" w:rsidRDefault="00691DA3" w:rsidP="00691DA3">
      <w:pPr>
        <w:jc w:val="center"/>
        <w:rPr>
          <w:b/>
        </w:rPr>
      </w:pPr>
      <w:r w:rsidRPr="00124AD6">
        <w:rPr>
          <w:b/>
        </w:rPr>
        <w:lastRenderedPageBreak/>
        <w:t xml:space="preserve">Cuadro </w:t>
      </w:r>
      <w:r w:rsidR="00A861C2">
        <w:rPr>
          <w:b/>
        </w:rPr>
        <w:t>2</w:t>
      </w:r>
      <w:r w:rsidR="00E50F6A">
        <w:rPr>
          <w:b/>
        </w:rPr>
        <w:t>2</w:t>
      </w:r>
      <w:r w:rsidR="000E0C87">
        <w:rPr>
          <w:b/>
        </w:rPr>
        <w:t xml:space="preserve"> (1/</w:t>
      </w:r>
      <w:r w:rsidR="002A615C">
        <w:rPr>
          <w:b/>
        </w:rPr>
        <w:t>4</w:t>
      </w:r>
      <w:r w:rsidR="000E0C87">
        <w:rPr>
          <w:b/>
        </w:rPr>
        <w:t>)</w:t>
      </w:r>
    </w:p>
    <w:p w:rsidR="00691DA3" w:rsidRDefault="00691DA3" w:rsidP="00691DA3">
      <w:pPr>
        <w:jc w:val="center"/>
        <w:rPr>
          <w:b/>
        </w:rPr>
      </w:pPr>
      <w:r>
        <w:rPr>
          <w:b/>
        </w:rPr>
        <w:t xml:space="preserve">Presupuesto Aprobado de </w:t>
      </w:r>
      <w:r w:rsidR="000E0C87">
        <w:rPr>
          <w:b/>
        </w:rPr>
        <w:t xml:space="preserve">Ingresos de </w:t>
      </w:r>
      <w:r>
        <w:rPr>
          <w:b/>
        </w:rPr>
        <w:t>Entidades Descentralizadas y Autónomas</w:t>
      </w:r>
    </w:p>
    <w:p w:rsidR="009A0BB6" w:rsidRDefault="00691DA3" w:rsidP="00691DA3">
      <w:pPr>
        <w:jc w:val="center"/>
        <w:rPr>
          <w:b/>
        </w:rPr>
      </w:pPr>
      <w:r>
        <w:rPr>
          <w:b/>
        </w:rPr>
        <w:t>Ejercicio Fiscal 20</w:t>
      </w:r>
      <w:r w:rsidR="00697325">
        <w:rPr>
          <w:b/>
        </w:rPr>
        <w:t>2</w:t>
      </w:r>
      <w:r w:rsidR="00E50F6A">
        <w:rPr>
          <w:b/>
        </w:rPr>
        <w:t>1</w:t>
      </w:r>
      <w:r w:rsidR="009E1E5D">
        <w:rPr>
          <w:b/>
        </w:rPr>
        <w:t>*</w:t>
      </w:r>
    </w:p>
    <w:p w:rsidR="00691DA3" w:rsidRDefault="00691DA3" w:rsidP="00691DA3">
      <w:pPr>
        <w:jc w:val="center"/>
        <w:rPr>
          <w:b/>
        </w:rPr>
      </w:pPr>
      <w:r>
        <w:rPr>
          <w:b/>
        </w:rPr>
        <w:t>(En Millones de Quetzales)</w:t>
      </w:r>
    </w:p>
    <w:p w:rsidR="002A615C" w:rsidRDefault="009E330C" w:rsidP="00691DA3">
      <w:pPr>
        <w:jc w:val="center"/>
        <w:rPr>
          <w:b/>
        </w:rPr>
      </w:pPr>
      <w:r w:rsidRPr="009E330C">
        <w:rPr>
          <w:noProof/>
        </w:rPr>
        <w:drawing>
          <wp:inline distT="0" distB="0" distL="0" distR="0">
            <wp:extent cx="6160109" cy="7366406"/>
            <wp:effectExtent l="0" t="0" r="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63999" cy="7371058"/>
                    </a:xfrm>
                    <a:prstGeom prst="rect">
                      <a:avLst/>
                    </a:prstGeom>
                    <a:noFill/>
                    <a:ln>
                      <a:noFill/>
                    </a:ln>
                  </pic:spPr>
                </pic:pic>
              </a:graphicData>
            </a:graphic>
          </wp:inline>
        </w:drawing>
      </w:r>
    </w:p>
    <w:p w:rsidR="002A615C" w:rsidRPr="00124AD6" w:rsidRDefault="002A615C" w:rsidP="002A615C">
      <w:pPr>
        <w:jc w:val="center"/>
        <w:rPr>
          <w:b/>
        </w:rPr>
      </w:pPr>
      <w:r w:rsidRPr="00124AD6">
        <w:rPr>
          <w:b/>
        </w:rPr>
        <w:lastRenderedPageBreak/>
        <w:t xml:space="preserve">Cuadro </w:t>
      </w:r>
      <w:r w:rsidR="007401CA">
        <w:rPr>
          <w:b/>
        </w:rPr>
        <w:t>2</w:t>
      </w:r>
      <w:r w:rsidR="00E50F6A">
        <w:rPr>
          <w:b/>
        </w:rPr>
        <w:t>2</w:t>
      </w:r>
      <w:r>
        <w:rPr>
          <w:b/>
        </w:rPr>
        <w:t xml:space="preserve"> (2/4)</w:t>
      </w:r>
    </w:p>
    <w:p w:rsidR="002A615C" w:rsidRDefault="002A615C" w:rsidP="002A615C">
      <w:pPr>
        <w:jc w:val="center"/>
        <w:rPr>
          <w:b/>
        </w:rPr>
      </w:pPr>
      <w:r>
        <w:rPr>
          <w:b/>
        </w:rPr>
        <w:t>Presupuesto Aprobado de Ingresos de Entidades Descentralizadas y Autónomas</w:t>
      </w:r>
    </w:p>
    <w:p w:rsidR="002A615C" w:rsidRDefault="002A615C" w:rsidP="002A615C">
      <w:pPr>
        <w:jc w:val="center"/>
        <w:rPr>
          <w:b/>
        </w:rPr>
      </w:pPr>
      <w:r>
        <w:rPr>
          <w:b/>
        </w:rPr>
        <w:t>Ejercicio Fiscal 20</w:t>
      </w:r>
      <w:r w:rsidR="0029018C">
        <w:rPr>
          <w:b/>
        </w:rPr>
        <w:t>2</w:t>
      </w:r>
      <w:r w:rsidR="00E50F6A">
        <w:rPr>
          <w:b/>
        </w:rPr>
        <w:t>1</w:t>
      </w:r>
      <w:r>
        <w:rPr>
          <w:b/>
        </w:rPr>
        <w:t>*</w:t>
      </w:r>
    </w:p>
    <w:p w:rsidR="002A615C" w:rsidRDefault="002A615C" w:rsidP="002A615C">
      <w:pPr>
        <w:jc w:val="center"/>
        <w:rPr>
          <w:b/>
        </w:rPr>
      </w:pPr>
      <w:r>
        <w:rPr>
          <w:b/>
        </w:rPr>
        <w:t>(En Millones de Quetzales)</w:t>
      </w:r>
    </w:p>
    <w:p w:rsidR="002A615C" w:rsidRDefault="004B5CA9" w:rsidP="00691DA3">
      <w:pPr>
        <w:jc w:val="center"/>
        <w:rPr>
          <w:b/>
        </w:rPr>
      </w:pPr>
      <w:r w:rsidRPr="004B5CA9">
        <w:rPr>
          <w:noProof/>
        </w:rPr>
        <w:drawing>
          <wp:inline distT="0" distB="0" distL="0" distR="0">
            <wp:extent cx="6325870" cy="7410298"/>
            <wp:effectExtent l="0" t="0" r="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65660" cy="7456909"/>
                    </a:xfrm>
                    <a:prstGeom prst="rect">
                      <a:avLst/>
                    </a:prstGeom>
                    <a:noFill/>
                    <a:ln>
                      <a:noFill/>
                    </a:ln>
                  </pic:spPr>
                </pic:pic>
              </a:graphicData>
            </a:graphic>
          </wp:inline>
        </w:drawing>
      </w:r>
    </w:p>
    <w:p w:rsidR="002A615C" w:rsidRPr="00124AD6" w:rsidRDefault="002A615C" w:rsidP="002A615C">
      <w:pPr>
        <w:jc w:val="center"/>
        <w:rPr>
          <w:b/>
        </w:rPr>
      </w:pPr>
      <w:r w:rsidRPr="00124AD6">
        <w:rPr>
          <w:b/>
        </w:rPr>
        <w:lastRenderedPageBreak/>
        <w:t xml:space="preserve">Cuadro </w:t>
      </w:r>
      <w:r w:rsidR="007401CA">
        <w:rPr>
          <w:b/>
        </w:rPr>
        <w:t>2</w:t>
      </w:r>
      <w:r w:rsidR="00E50F6A">
        <w:rPr>
          <w:b/>
        </w:rPr>
        <w:t>2</w:t>
      </w:r>
      <w:r>
        <w:rPr>
          <w:b/>
        </w:rPr>
        <w:t xml:space="preserve"> (</w:t>
      </w:r>
      <w:r w:rsidR="0029018C">
        <w:rPr>
          <w:b/>
        </w:rPr>
        <w:t>3/4</w:t>
      </w:r>
      <w:r>
        <w:rPr>
          <w:b/>
        </w:rPr>
        <w:t>)</w:t>
      </w:r>
    </w:p>
    <w:p w:rsidR="002A615C" w:rsidRDefault="002A615C" w:rsidP="002A615C">
      <w:pPr>
        <w:jc w:val="center"/>
        <w:rPr>
          <w:b/>
        </w:rPr>
      </w:pPr>
      <w:r>
        <w:rPr>
          <w:b/>
        </w:rPr>
        <w:t>Presupuesto Aprobado de Ingresos de Entidades Descentralizadas y Autónomas</w:t>
      </w:r>
    </w:p>
    <w:p w:rsidR="002A615C" w:rsidRDefault="002A615C" w:rsidP="002A615C">
      <w:pPr>
        <w:jc w:val="center"/>
        <w:rPr>
          <w:b/>
        </w:rPr>
      </w:pPr>
      <w:r>
        <w:rPr>
          <w:b/>
        </w:rPr>
        <w:t>Ejercicio Fiscal 20</w:t>
      </w:r>
      <w:r w:rsidR="0029018C">
        <w:rPr>
          <w:b/>
        </w:rPr>
        <w:t>2</w:t>
      </w:r>
      <w:r w:rsidR="00E50F6A">
        <w:rPr>
          <w:b/>
        </w:rPr>
        <w:t>1</w:t>
      </w:r>
      <w:r>
        <w:rPr>
          <w:b/>
        </w:rPr>
        <w:t>*</w:t>
      </w:r>
    </w:p>
    <w:p w:rsidR="002A615C" w:rsidRDefault="002A615C" w:rsidP="002A615C">
      <w:pPr>
        <w:jc w:val="center"/>
        <w:rPr>
          <w:b/>
        </w:rPr>
      </w:pPr>
      <w:r>
        <w:rPr>
          <w:b/>
        </w:rPr>
        <w:t>(En Millones de Quetzales)</w:t>
      </w:r>
    </w:p>
    <w:p w:rsidR="002A615C" w:rsidRDefault="004B5CA9" w:rsidP="00691DA3">
      <w:pPr>
        <w:jc w:val="center"/>
        <w:rPr>
          <w:b/>
        </w:rPr>
      </w:pPr>
      <w:r w:rsidRPr="004B5CA9">
        <w:rPr>
          <w:noProof/>
        </w:rPr>
        <w:drawing>
          <wp:inline distT="0" distB="0" distL="0" distR="0">
            <wp:extent cx="6388100" cy="726399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28385" cy="7309801"/>
                    </a:xfrm>
                    <a:prstGeom prst="rect">
                      <a:avLst/>
                    </a:prstGeom>
                    <a:noFill/>
                    <a:ln>
                      <a:noFill/>
                    </a:ln>
                  </pic:spPr>
                </pic:pic>
              </a:graphicData>
            </a:graphic>
          </wp:inline>
        </w:drawing>
      </w:r>
    </w:p>
    <w:p w:rsidR="002A615C" w:rsidRDefault="002A615C" w:rsidP="00691DA3">
      <w:pPr>
        <w:jc w:val="center"/>
        <w:rPr>
          <w:b/>
        </w:rPr>
      </w:pPr>
    </w:p>
    <w:p w:rsidR="000205D6" w:rsidRDefault="000205D6" w:rsidP="002A615C">
      <w:pPr>
        <w:jc w:val="center"/>
        <w:rPr>
          <w:b/>
        </w:rPr>
      </w:pPr>
    </w:p>
    <w:p w:rsidR="002A615C" w:rsidRPr="00124AD6" w:rsidRDefault="002A615C" w:rsidP="002A615C">
      <w:pPr>
        <w:jc w:val="center"/>
        <w:rPr>
          <w:b/>
        </w:rPr>
      </w:pPr>
      <w:r w:rsidRPr="00124AD6">
        <w:rPr>
          <w:b/>
        </w:rPr>
        <w:t xml:space="preserve">Cuadro </w:t>
      </w:r>
      <w:r w:rsidR="007401CA">
        <w:rPr>
          <w:b/>
        </w:rPr>
        <w:t>2</w:t>
      </w:r>
      <w:r w:rsidR="00E50F6A">
        <w:rPr>
          <w:b/>
        </w:rPr>
        <w:t>2</w:t>
      </w:r>
      <w:r>
        <w:rPr>
          <w:b/>
        </w:rPr>
        <w:t xml:space="preserve"> (</w:t>
      </w:r>
      <w:r w:rsidR="0029018C">
        <w:rPr>
          <w:b/>
        </w:rPr>
        <w:t>4/4</w:t>
      </w:r>
      <w:r>
        <w:rPr>
          <w:b/>
        </w:rPr>
        <w:t>)</w:t>
      </w:r>
    </w:p>
    <w:p w:rsidR="002A615C" w:rsidRDefault="002A615C" w:rsidP="002A615C">
      <w:pPr>
        <w:jc w:val="center"/>
        <w:rPr>
          <w:b/>
        </w:rPr>
      </w:pPr>
      <w:r>
        <w:rPr>
          <w:b/>
        </w:rPr>
        <w:t>Presupuesto Aprobado de Ingresos de Entidades Descentralizadas y Autónomas</w:t>
      </w:r>
    </w:p>
    <w:p w:rsidR="002A615C" w:rsidRDefault="002A615C" w:rsidP="002A615C">
      <w:pPr>
        <w:jc w:val="center"/>
        <w:rPr>
          <w:b/>
        </w:rPr>
      </w:pPr>
      <w:r>
        <w:rPr>
          <w:b/>
        </w:rPr>
        <w:t>Ejercicio Fiscal 20</w:t>
      </w:r>
      <w:r w:rsidR="0029018C">
        <w:rPr>
          <w:b/>
        </w:rPr>
        <w:t>2</w:t>
      </w:r>
      <w:r w:rsidR="00E50F6A">
        <w:rPr>
          <w:b/>
        </w:rPr>
        <w:t>1</w:t>
      </w:r>
      <w:r>
        <w:rPr>
          <w:b/>
        </w:rPr>
        <w:t>*</w:t>
      </w:r>
    </w:p>
    <w:p w:rsidR="002A615C" w:rsidRDefault="002A615C" w:rsidP="002A615C">
      <w:pPr>
        <w:jc w:val="center"/>
        <w:rPr>
          <w:b/>
        </w:rPr>
      </w:pPr>
      <w:r>
        <w:rPr>
          <w:b/>
        </w:rPr>
        <w:t>(En Millones de Quetzales)</w:t>
      </w:r>
    </w:p>
    <w:p w:rsidR="002A615C" w:rsidRDefault="004B5CA9" w:rsidP="00691DA3">
      <w:pPr>
        <w:jc w:val="center"/>
        <w:rPr>
          <w:b/>
        </w:rPr>
      </w:pPr>
      <w:r w:rsidRPr="004B5CA9">
        <w:rPr>
          <w:noProof/>
        </w:rPr>
        <w:drawing>
          <wp:inline distT="0" distB="0" distL="0" distR="0">
            <wp:extent cx="6336030" cy="6898234"/>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97909" cy="6965603"/>
                    </a:xfrm>
                    <a:prstGeom prst="rect">
                      <a:avLst/>
                    </a:prstGeom>
                    <a:noFill/>
                    <a:ln>
                      <a:noFill/>
                    </a:ln>
                  </pic:spPr>
                </pic:pic>
              </a:graphicData>
            </a:graphic>
          </wp:inline>
        </w:drawing>
      </w:r>
    </w:p>
    <w:p w:rsidR="00A74E6A" w:rsidRPr="00A74E6A" w:rsidRDefault="00A74E6A" w:rsidP="00A74E6A">
      <w:pPr>
        <w:rPr>
          <w:sz w:val="18"/>
        </w:rPr>
      </w:pPr>
      <w:r w:rsidRPr="00A74E6A">
        <w:rPr>
          <w:sz w:val="18"/>
        </w:rPr>
        <w:t>* Cifras</w:t>
      </w:r>
      <w:r>
        <w:rPr>
          <w:sz w:val="18"/>
        </w:rPr>
        <w:t xml:space="preserve"> preliminares</w:t>
      </w:r>
    </w:p>
    <w:p w:rsidR="000E0C87" w:rsidRDefault="00A74E6A" w:rsidP="000E0C87">
      <w:r>
        <w:rPr>
          <w:sz w:val="18"/>
        </w:rPr>
        <w:t xml:space="preserve">   </w:t>
      </w:r>
      <w:r w:rsidR="000E0C87" w:rsidRPr="004E678D">
        <w:rPr>
          <w:sz w:val="18"/>
        </w:rPr>
        <w:t xml:space="preserve">Fuente: </w:t>
      </w:r>
      <w:r w:rsidR="000E0C87">
        <w:rPr>
          <w:sz w:val="18"/>
        </w:rPr>
        <w:t>Ministerio de Finanzas Públicas, con base en el SICOIN.DES.</w:t>
      </w:r>
    </w:p>
    <w:p w:rsidR="000205D6" w:rsidRDefault="000205D6" w:rsidP="000E0C87">
      <w:pPr>
        <w:jc w:val="center"/>
        <w:rPr>
          <w:b/>
        </w:rPr>
      </w:pPr>
    </w:p>
    <w:p w:rsidR="000E0C87" w:rsidRPr="00124AD6" w:rsidRDefault="000E0C87" w:rsidP="000E0C87">
      <w:pPr>
        <w:jc w:val="center"/>
        <w:rPr>
          <w:b/>
        </w:rPr>
      </w:pPr>
      <w:r w:rsidRPr="00124AD6">
        <w:rPr>
          <w:b/>
        </w:rPr>
        <w:lastRenderedPageBreak/>
        <w:t xml:space="preserve">Cuadro </w:t>
      </w:r>
      <w:r w:rsidR="007401CA">
        <w:rPr>
          <w:b/>
        </w:rPr>
        <w:t>2</w:t>
      </w:r>
      <w:r w:rsidR="00643230">
        <w:rPr>
          <w:b/>
        </w:rPr>
        <w:t>3</w:t>
      </w:r>
      <w:r>
        <w:rPr>
          <w:b/>
        </w:rPr>
        <w:t xml:space="preserve"> (1/</w:t>
      </w:r>
      <w:r w:rsidR="00465859">
        <w:rPr>
          <w:b/>
        </w:rPr>
        <w:t>4</w:t>
      </w:r>
      <w:r>
        <w:rPr>
          <w:b/>
        </w:rPr>
        <w:t>)</w:t>
      </w:r>
    </w:p>
    <w:p w:rsidR="000E0C87" w:rsidRDefault="000E0C87" w:rsidP="000E0C87">
      <w:pPr>
        <w:jc w:val="center"/>
        <w:rPr>
          <w:b/>
        </w:rPr>
      </w:pPr>
      <w:r>
        <w:rPr>
          <w:b/>
        </w:rPr>
        <w:t>Presupuesto Percibido de Ingresos de Entidades Descentralizadas y Autónomas</w:t>
      </w:r>
    </w:p>
    <w:p w:rsidR="000E0C87" w:rsidRDefault="000E0C87" w:rsidP="000E0C87">
      <w:pPr>
        <w:jc w:val="center"/>
        <w:rPr>
          <w:b/>
        </w:rPr>
      </w:pPr>
      <w:r>
        <w:rPr>
          <w:b/>
        </w:rPr>
        <w:t>Ejercicio Fiscal 20</w:t>
      </w:r>
      <w:r w:rsidR="00697325">
        <w:rPr>
          <w:b/>
        </w:rPr>
        <w:t>2</w:t>
      </w:r>
      <w:r w:rsidR="00643230">
        <w:rPr>
          <w:b/>
        </w:rPr>
        <w:t>1</w:t>
      </w:r>
      <w:r>
        <w:rPr>
          <w:b/>
        </w:rPr>
        <w:t>*</w:t>
      </w:r>
    </w:p>
    <w:p w:rsidR="000E0C87" w:rsidRDefault="000E0C87" w:rsidP="000E0C87">
      <w:pPr>
        <w:jc w:val="center"/>
        <w:rPr>
          <w:b/>
        </w:rPr>
      </w:pPr>
      <w:r>
        <w:rPr>
          <w:b/>
        </w:rPr>
        <w:t>(En Millones de Quetzales)</w:t>
      </w:r>
    </w:p>
    <w:p w:rsidR="00465859" w:rsidRPr="00465859" w:rsidRDefault="004B5CA9" w:rsidP="000E0C87">
      <w:pPr>
        <w:jc w:val="center"/>
        <w:rPr>
          <w:b/>
          <w:sz w:val="22"/>
        </w:rPr>
      </w:pPr>
      <w:r w:rsidRPr="004B5CA9">
        <w:rPr>
          <w:noProof/>
        </w:rPr>
        <w:drawing>
          <wp:inline distT="0" distB="0" distL="0" distR="0">
            <wp:extent cx="6307455" cy="735909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50407" cy="7409205"/>
                    </a:xfrm>
                    <a:prstGeom prst="rect">
                      <a:avLst/>
                    </a:prstGeom>
                    <a:noFill/>
                    <a:ln>
                      <a:noFill/>
                    </a:ln>
                  </pic:spPr>
                </pic:pic>
              </a:graphicData>
            </a:graphic>
          </wp:inline>
        </w:drawing>
      </w:r>
    </w:p>
    <w:p w:rsidR="000E0C87" w:rsidRPr="00124AD6" w:rsidRDefault="000E0C87" w:rsidP="000E0C87">
      <w:pPr>
        <w:jc w:val="center"/>
        <w:rPr>
          <w:b/>
        </w:rPr>
      </w:pPr>
      <w:r w:rsidRPr="00124AD6">
        <w:rPr>
          <w:b/>
        </w:rPr>
        <w:lastRenderedPageBreak/>
        <w:t xml:space="preserve">Cuadro </w:t>
      </w:r>
      <w:r w:rsidR="007401CA">
        <w:rPr>
          <w:b/>
        </w:rPr>
        <w:t>2</w:t>
      </w:r>
      <w:r w:rsidR="00643230">
        <w:rPr>
          <w:b/>
        </w:rPr>
        <w:t>3</w:t>
      </w:r>
      <w:r>
        <w:rPr>
          <w:b/>
        </w:rPr>
        <w:t xml:space="preserve"> (2/</w:t>
      </w:r>
      <w:r w:rsidR="00465859">
        <w:rPr>
          <w:b/>
        </w:rPr>
        <w:t>4</w:t>
      </w:r>
      <w:r>
        <w:rPr>
          <w:b/>
        </w:rPr>
        <w:t>)</w:t>
      </w:r>
    </w:p>
    <w:p w:rsidR="000E0C87" w:rsidRDefault="000E0C87" w:rsidP="000E0C87">
      <w:pPr>
        <w:jc w:val="center"/>
        <w:rPr>
          <w:b/>
        </w:rPr>
      </w:pPr>
      <w:r>
        <w:rPr>
          <w:b/>
        </w:rPr>
        <w:t>Presupuesto Percibido de Ingresos de Entidades Descentralizadas y Autónomas</w:t>
      </w:r>
    </w:p>
    <w:p w:rsidR="000E0C87" w:rsidRDefault="000E0C87" w:rsidP="000E0C87">
      <w:pPr>
        <w:jc w:val="center"/>
        <w:rPr>
          <w:b/>
        </w:rPr>
      </w:pPr>
      <w:r>
        <w:rPr>
          <w:b/>
        </w:rPr>
        <w:t>Ejercicio Fiscal 20</w:t>
      </w:r>
      <w:r w:rsidR="00465859">
        <w:rPr>
          <w:b/>
        </w:rPr>
        <w:t>2</w:t>
      </w:r>
      <w:r w:rsidR="00643230">
        <w:rPr>
          <w:b/>
        </w:rPr>
        <w:t>1</w:t>
      </w:r>
      <w:r>
        <w:rPr>
          <w:b/>
        </w:rPr>
        <w:t>*</w:t>
      </w:r>
    </w:p>
    <w:p w:rsidR="000E0C87" w:rsidRDefault="000E0C87" w:rsidP="000E0C87">
      <w:pPr>
        <w:jc w:val="center"/>
        <w:rPr>
          <w:b/>
        </w:rPr>
      </w:pPr>
      <w:r>
        <w:rPr>
          <w:b/>
        </w:rPr>
        <w:t>(En Millones de Quetzales)</w:t>
      </w:r>
    </w:p>
    <w:p w:rsidR="00085F77" w:rsidRDefault="004B5CA9" w:rsidP="000E0C87">
      <w:pPr>
        <w:jc w:val="center"/>
        <w:rPr>
          <w:b/>
        </w:rPr>
      </w:pPr>
      <w:r w:rsidRPr="004B5CA9">
        <w:rPr>
          <w:noProof/>
        </w:rPr>
        <w:drawing>
          <wp:inline distT="0" distB="0" distL="0" distR="0">
            <wp:extent cx="6273113" cy="722010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02486" cy="7253909"/>
                    </a:xfrm>
                    <a:prstGeom prst="rect">
                      <a:avLst/>
                    </a:prstGeom>
                    <a:noFill/>
                    <a:ln>
                      <a:noFill/>
                    </a:ln>
                  </pic:spPr>
                </pic:pic>
              </a:graphicData>
            </a:graphic>
          </wp:inline>
        </w:drawing>
      </w:r>
    </w:p>
    <w:p w:rsidR="00643230" w:rsidRDefault="00643230" w:rsidP="00465859">
      <w:pPr>
        <w:jc w:val="center"/>
        <w:rPr>
          <w:b/>
        </w:rPr>
      </w:pPr>
    </w:p>
    <w:p w:rsidR="00465859" w:rsidRPr="00124AD6" w:rsidRDefault="00465859" w:rsidP="00465859">
      <w:pPr>
        <w:jc w:val="center"/>
        <w:rPr>
          <w:b/>
        </w:rPr>
      </w:pPr>
      <w:r w:rsidRPr="00124AD6">
        <w:rPr>
          <w:b/>
        </w:rPr>
        <w:lastRenderedPageBreak/>
        <w:t xml:space="preserve">Cuadro </w:t>
      </w:r>
      <w:r w:rsidR="007401CA">
        <w:rPr>
          <w:b/>
        </w:rPr>
        <w:t>2</w:t>
      </w:r>
      <w:r w:rsidR="00643230">
        <w:rPr>
          <w:b/>
        </w:rPr>
        <w:t>3</w:t>
      </w:r>
      <w:r>
        <w:rPr>
          <w:b/>
        </w:rPr>
        <w:t xml:space="preserve"> (3/4)</w:t>
      </w:r>
    </w:p>
    <w:p w:rsidR="00465859" w:rsidRDefault="00465859" w:rsidP="00465859">
      <w:pPr>
        <w:jc w:val="center"/>
        <w:rPr>
          <w:b/>
        </w:rPr>
      </w:pPr>
      <w:r>
        <w:rPr>
          <w:b/>
        </w:rPr>
        <w:t>Presupuesto Percibido de Ingresos de Entidades Descentralizadas y Autónomas</w:t>
      </w:r>
    </w:p>
    <w:p w:rsidR="00465859" w:rsidRDefault="00465859" w:rsidP="00465859">
      <w:pPr>
        <w:jc w:val="center"/>
        <w:rPr>
          <w:b/>
        </w:rPr>
      </w:pPr>
      <w:r>
        <w:rPr>
          <w:b/>
        </w:rPr>
        <w:t>Ejercicio Fiscal 202</w:t>
      </w:r>
      <w:r w:rsidR="00643230">
        <w:rPr>
          <w:b/>
        </w:rPr>
        <w:t>1</w:t>
      </w:r>
      <w:r>
        <w:rPr>
          <w:b/>
        </w:rPr>
        <w:t>*</w:t>
      </w:r>
    </w:p>
    <w:p w:rsidR="00465859" w:rsidRDefault="00465859" w:rsidP="00465859">
      <w:pPr>
        <w:jc w:val="center"/>
        <w:rPr>
          <w:b/>
        </w:rPr>
      </w:pPr>
      <w:r>
        <w:rPr>
          <w:b/>
        </w:rPr>
        <w:t>(En Millones de Quetzales)</w:t>
      </w:r>
    </w:p>
    <w:p w:rsidR="00465859" w:rsidRDefault="004B5CA9" w:rsidP="000E0C87">
      <w:pPr>
        <w:jc w:val="center"/>
        <w:rPr>
          <w:b/>
        </w:rPr>
      </w:pPr>
      <w:r w:rsidRPr="004B5CA9">
        <w:rPr>
          <w:noProof/>
        </w:rPr>
        <w:drawing>
          <wp:inline distT="0" distB="0" distL="0" distR="0">
            <wp:extent cx="6335395" cy="6320333"/>
            <wp:effectExtent l="0" t="0" r="8255"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70525" cy="6355379"/>
                    </a:xfrm>
                    <a:prstGeom prst="rect">
                      <a:avLst/>
                    </a:prstGeom>
                    <a:noFill/>
                    <a:ln>
                      <a:noFill/>
                    </a:ln>
                  </pic:spPr>
                </pic:pic>
              </a:graphicData>
            </a:graphic>
          </wp:inline>
        </w:drawing>
      </w:r>
    </w:p>
    <w:p w:rsidR="00465859" w:rsidRDefault="00465859" w:rsidP="000E0C87">
      <w:pPr>
        <w:jc w:val="center"/>
        <w:rPr>
          <w:b/>
        </w:rPr>
      </w:pPr>
    </w:p>
    <w:p w:rsidR="00465859" w:rsidRDefault="00465859" w:rsidP="000E0C87">
      <w:pPr>
        <w:jc w:val="center"/>
        <w:rPr>
          <w:b/>
        </w:rPr>
      </w:pPr>
    </w:p>
    <w:p w:rsidR="00465859" w:rsidRDefault="00465859" w:rsidP="000E0C87">
      <w:pPr>
        <w:jc w:val="center"/>
        <w:rPr>
          <w:b/>
        </w:rPr>
      </w:pPr>
    </w:p>
    <w:p w:rsidR="000205D6" w:rsidRDefault="000205D6" w:rsidP="000E0C87">
      <w:pPr>
        <w:jc w:val="center"/>
        <w:rPr>
          <w:b/>
        </w:rPr>
      </w:pPr>
    </w:p>
    <w:p w:rsidR="000205D6" w:rsidRDefault="000205D6" w:rsidP="000E0C87">
      <w:pPr>
        <w:jc w:val="center"/>
        <w:rPr>
          <w:b/>
        </w:rPr>
      </w:pPr>
    </w:p>
    <w:p w:rsidR="00137073" w:rsidRDefault="00137073" w:rsidP="000E0C87">
      <w:pPr>
        <w:jc w:val="center"/>
        <w:rPr>
          <w:b/>
        </w:rPr>
      </w:pPr>
    </w:p>
    <w:p w:rsidR="00465859" w:rsidRPr="00124AD6" w:rsidRDefault="00465859" w:rsidP="00465859">
      <w:pPr>
        <w:jc w:val="center"/>
        <w:rPr>
          <w:b/>
        </w:rPr>
      </w:pPr>
      <w:r w:rsidRPr="00124AD6">
        <w:rPr>
          <w:b/>
        </w:rPr>
        <w:lastRenderedPageBreak/>
        <w:t xml:space="preserve">Cuadro </w:t>
      </w:r>
      <w:r w:rsidR="007401CA">
        <w:rPr>
          <w:b/>
        </w:rPr>
        <w:t>2</w:t>
      </w:r>
      <w:r w:rsidR="00643230">
        <w:rPr>
          <w:b/>
        </w:rPr>
        <w:t>3</w:t>
      </w:r>
      <w:r>
        <w:rPr>
          <w:b/>
        </w:rPr>
        <w:t xml:space="preserve"> (4/4)</w:t>
      </w:r>
    </w:p>
    <w:p w:rsidR="00465859" w:rsidRDefault="00465859" w:rsidP="00465859">
      <w:pPr>
        <w:jc w:val="center"/>
        <w:rPr>
          <w:b/>
        </w:rPr>
      </w:pPr>
      <w:r>
        <w:rPr>
          <w:b/>
        </w:rPr>
        <w:t>Presupuesto Percibido de Ingresos de Entidades Descentralizadas y Autónomas</w:t>
      </w:r>
    </w:p>
    <w:p w:rsidR="00465859" w:rsidRDefault="00465859" w:rsidP="00465859">
      <w:pPr>
        <w:jc w:val="center"/>
        <w:rPr>
          <w:b/>
        </w:rPr>
      </w:pPr>
      <w:r>
        <w:rPr>
          <w:b/>
        </w:rPr>
        <w:t>Ejercicio Fiscal 202</w:t>
      </w:r>
      <w:r w:rsidR="00643230">
        <w:rPr>
          <w:b/>
        </w:rPr>
        <w:t>1</w:t>
      </w:r>
      <w:r>
        <w:rPr>
          <w:b/>
        </w:rPr>
        <w:t>*</w:t>
      </w:r>
    </w:p>
    <w:p w:rsidR="00465859" w:rsidRDefault="00465859" w:rsidP="00465859">
      <w:pPr>
        <w:jc w:val="center"/>
        <w:rPr>
          <w:b/>
        </w:rPr>
      </w:pPr>
      <w:r>
        <w:rPr>
          <w:b/>
        </w:rPr>
        <w:t>(En Millones de Quetzales)</w:t>
      </w:r>
    </w:p>
    <w:p w:rsidR="00465859" w:rsidRDefault="004B5CA9" w:rsidP="000E0C87">
      <w:pPr>
        <w:jc w:val="center"/>
        <w:rPr>
          <w:b/>
        </w:rPr>
      </w:pPr>
      <w:r w:rsidRPr="004B5CA9">
        <w:rPr>
          <w:noProof/>
        </w:rPr>
        <w:drawing>
          <wp:inline distT="0" distB="0" distL="0" distR="0">
            <wp:extent cx="6360392" cy="6678777"/>
            <wp:effectExtent l="0" t="0" r="254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91825" cy="6711783"/>
                    </a:xfrm>
                    <a:prstGeom prst="rect">
                      <a:avLst/>
                    </a:prstGeom>
                    <a:noFill/>
                    <a:ln>
                      <a:noFill/>
                    </a:ln>
                  </pic:spPr>
                </pic:pic>
              </a:graphicData>
            </a:graphic>
          </wp:inline>
        </w:drawing>
      </w:r>
    </w:p>
    <w:p w:rsidR="000D786F" w:rsidRPr="004E678D" w:rsidRDefault="000D786F" w:rsidP="000D786F">
      <w:pPr>
        <w:jc w:val="both"/>
        <w:rPr>
          <w:sz w:val="18"/>
        </w:rPr>
      </w:pPr>
      <w:r w:rsidRPr="004E678D">
        <w:rPr>
          <w:sz w:val="18"/>
          <w:lang w:val="es-GT"/>
        </w:rPr>
        <w:t>* Cifras preliminares</w:t>
      </w:r>
    </w:p>
    <w:p w:rsidR="000D786F" w:rsidRDefault="006469FA" w:rsidP="000D786F">
      <w:pPr>
        <w:rPr>
          <w:sz w:val="18"/>
        </w:rPr>
      </w:pPr>
      <w:r>
        <w:rPr>
          <w:sz w:val="18"/>
        </w:rPr>
        <w:t xml:space="preserve">   </w:t>
      </w:r>
      <w:r w:rsidR="000D786F" w:rsidRPr="004E678D">
        <w:rPr>
          <w:sz w:val="18"/>
        </w:rPr>
        <w:t xml:space="preserve">Fuente: </w:t>
      </w:r>
      <w:r w:rsidR="000D786F">
        <w:rPr>
          <w:sz w:val="18"/>
        </w:rPr>
        <w:t>Ministerio de Finanzas Públicas, con base en el SICOIN.DES.</w:t>
      </w:r>
    </w:p>
    <w:p w:rsidR="00085F77" w:rsidRDefault="006469FA">
      <w:pPr>
        <w:rPr>
          <w:sz w:val="18"/>
        </w:rPr>
      </w:pPr>
      <w:r>
        <w:rPr>
          <w:sz w:val="18"/>
        </w:rPr>
        <w:t xml:space="preserve"> </w:t>
      </w:r>
      <w:r w:rsidR="00085F77">
        <w:rPr>
          <w:sz w:val="18"/>
        </w:rPr>
        <w:br w:type="page"/>
      </w:r>
    </w:p>
    <w:p w:rsidR="00E03081" w:rsidRPr="00E03081" w:rsidRDefault="00E03081"/>
    <w:p w:rsidR="00C620A4" w:rsidRPr="00902561" w:rsidRDefault="00C620A4" w:rsidP="00C620A4">
      <w:pPr>
        <w:pStyle w:val="Ttulo1"/>
        <w:rPr>
          <w:lang w:val="es-MX"/>
        </w:rPr>
      </w:pPr>
      <w:bookmarkStart w:id="32" w:name="_Toc417992544"/>
      <w:bookmarkStart w:id="33" w:name="_Toc443491862"/>
      <w:bookmarkStart w:id="34" w:name="_Toc482339312"/>
      <w:bookmarkStart w:id="35" w:name="_Toc98924143"/>
      <w:bookmarkEnd w:id="29"/>
      <w:r w:rsidRPr="00902561">
        <w:rPr>
          <w:lang w:val="es-MX"/>
        </w:rPr>
        <w:t xml:space="preserve">Logros de la Gestión de las Finanzas Públicas </w:t>
      </w:r>
      <w:r w:rsidR="00AD1077" w:rsidRPr="00902561">
        <w:rPr>
          <w:lang w:val="es-MX"/>
        </w:rPr>
        <w:t xml:space="preserve">durante el </w:t>
      </w:r>
      <w:r w:rsidRPr="00902561">
        <w:rPr>
          <w:lang w:val="es-MX"/>
        </w:rPr>
        <w:t>20</w:t>
      </w:r>
      <w:r w:rsidR="00697325" w:rsidRPr="00902561">
        <w:rPr>
          <w:lang w:val="es-MX"/>
        </w:rPr>
        <w:t>2</w:t>
      </w:r>
      <w:r w:rsidR="00282087">
        <w:rPr>
          <w:lang w:val="es-MX"/>
        </w:rPr>
        <w:t>2</w:t>
      </w:r>
      <w:bookmarkEnd w:id="32"/>
      <w:bookmarkEnd w:id="33"/>
      <w:bookmarkEnd w:id="34"/>
      <w:bookmarkEnd w:id="35"/>
    </w:p>
    <w:p w:rsidR="00C620A4" w:rsidRPr="00267603" w:rsidRDefault="00C620A4" w:rsidP="00C620A4">
      <w:pPr>
        <w:rPr>
          <w:rFonts w:eastAsia="Calibri"/>
          <w:sz w:val="16"/>
          <w:lang w:val="es-MX" w:eastAsia="en-US" w:bidi="en-US"/>
        </w:rPr>
      </w:pPr>
    </w:p>
    <w:p w:rsidR="00C620A4" w:rsidRPr="009F6AC2" w:rsidRDefault="00C620A4" w:rsidP="00E31662">
      <w:pPr>
        <w:jc w:val="both"/>
        <w:rPr>
          <w:rFonts w:eastAsia="Calibri"/>
          <w:lang w:val="es-GT" w:eastAsia="en-US" w:bidi="en-US"/>
        </w:rPr>
      </w:pPr>
      <w:r w:rsidRPr="009F6AC2">
        <w:rPr>
          <w:rFonts w:eastAsia="Calibri"/>
          <w:lang w:val="es-GT" w:eastAsia="en-US" w:bidi="en-US"/>
        </w:rPr>
        <w:t>Dentro de l</w:t>
      </w:r>
      <w:r w:rsidR="00E31662">
        <w:rPr>
          <w:rFonts w:eastAsia="Calibri"/>
          <w:lang w:val="es-GT" w:eastAsia="en-US" w:bidi="en-US"/>
        </w:rPr>
        <w:t>a</w:t>
      </w:r>
      <w:r w:rsidRPr="009F6AC2">
        <w:rPr>
          <w:rFonts w:eastAsia="Calibri"/>
          <w:lang w:val="es-GT" w:eastAsia="en-US" w:bidi="en-US"/>
        </w:rPr>
        <w:t xml:space="preserve">s principales </w:t>
      </w:r>
      <w:r w:rsidR="00E31662">
        <w:rPr>
          <w:rFonts w:eastAsia="Calibri"/>
          <w:lang w:val="es-GT" w:eastAsia="en-US" w:bidi="en-US"/>
        </w:rPr>
        <w:t xml:space="preserve">acciones y buenas prácticas implementadas, así como los </w:t>
      </w:r>
      <w:r w:rsidRPr="009F6AC2">
        <w:rPr>
          <w:rFonts w:eastAsia="Calibri"/>
          <w:lang w:val="es-GT" w:eastAsia="en-US" w:bidi="en-US"/>
        </w:rPr>
        <w:t xml:space="preserve">logros </w:t>
      </w:r>
      <w:r w:rsidR="0043775E">
        <w:rPr>
          <w:rFonts w:eastAsia="Calibri"/>
          <w:lang w:val="es-GT" w:eastAsia="en-US" w:bidi="en-US"/>
        </w:rPr>
        <w:t xml:space="preserve">y resultados </w:t>
      </w:r>
      <w:r w:rsidRPr="009F6AC2">
        <w:rPr>
          <w:rFonts w:eastAsia="Calibri"/>
          <w:lang w:val="es-GT" w:eastAsia="en-US" w:bidi="en-US"/>
        </w:rPr>
        <w:t>obtenidos durante</w:t>
      </w:r>
      <w:r w:rsidR="00E31662">
        <w:rPr>
          <w:rFonts w:eastAsia="Calibri"/>
          <w:lang w:val="es-GT" w:eastAsia="en-US" w:bidi="en-US"/>
        </w:rPr>
        <w:t xml:space="preserve"> el ejercicio fiscal</w:t>
      </w:r>
      <w:r w:rsidRPr="009F6AC2">
        <w:rPr>
          <w:rFonts w:eastAsia="Calibri"/>
          <w:lang w:val="es-GT" w:eastAsia="en-US" w:bidi="en-US"/>
        </w:rPr>
        <w:t xml:space="preserve"> 20</w:t>
      </w:r>
      <w:r w:rsidR="00697325">
        <w:rPr>
          <w:rFonts w:eastAsia="Calibri"/>
          <w:lang w:val="es-GT" w:eastAsia="en-US" w:bidi="en-US"/>
        </w:rPr>
        <w:t>2</w:t>
      </w:r>
      <w:r w:rsidR="00E31662">
        <w:rPr>
          <w:rFonts w:eastAsia="Calibri"/>
          <w:lang w:val="es-GT" w:eastAsia="en-US" w:bidi="en-US"/>
        </w:rPr>
        <w:t>1</w:t>
      </w:r>
      <w:r w:rsidRPr="009F6AC2">
        <w:rPr>
          <w:rFonts w:eastAsia="Calibri"/>
          <w:lang w:val="es-GT" w:eastAsia="en-US" w:bidi="en-US"/>
        </w:rPr>
        <w:t xml:space="preserve"> se pueden </w:t>
      </w:r>
      <w:r w:rsidR="00E31662">
        <w:rPr>
          <w:rFonts w:eastAsia="Calibri"/>
          <w:lang w:val="es-GT" w:eastAsia="en-US" w:bidi="en-US"/>
        </w:rPr>
        <w:t>mencionar</w:t>
      </w:r>
      <w:r w:rsidR="00E03081">
        <w:rPr>
          <w:rFonts w:eastAsia="Calibri"/>
          <w:lang w:val="es-GT" w:eastAsia="en-US" w:bidi="en-US"/>
        </w:rPr>
        <w:t xml:space="preserve"> los siguientes</w:t>
      </w:r>
      <w:r w:rsidRPr="009F6AC2">
        <w:rPr>
          <w:rFonts w:eastAsia="Calibri"/>
          <w:lang w:val="es-GT" w:eastAsia="en-US" w:bidi="en-US"/>
        </w:rPr>
        <w:t>:</w:t>
      </w:r>
    </w:p>
    <w:p w:rsidR="00C620A4" w:rsidRPr="00E03081" w:rsidRDefault="00C620A4" w:rsidP="00C620A4">
      <w:pPr>
        <w:rPr>
          <w:rFonts w:eastAsia="Calibri"/>
          <w:lang w:val="es-GT" w:eastAsia="en-US" w:bidi="en-US"/>
        </w:rPr>
      </w:pPr>
    </w:p>
    <w:p w:rsidR="00C620A4" w:rsidRPr="009F6AC2" w:rsidRDefault="00C620A4" w:rsidP="00C620A4">
      <w:pPr>
        <w:pStyle w:val="Ttulo2"/>
        <w:rPr>
          <w:rFonts w:ascii="Times New Roman" w:eastAsia="Calibri" w:hAnsi="Times New Roman"/>
          <w:color w:val="auto"/>
          <w:sz w:val="24"/>
          <w:szCs w:val="24"/>
          <w:lang w:val="es-GT" w:eastAsia="en-US" w:bidi="en-US"/>
        </w:rPr>
      </w:pPr>
      <w:bookmarkStart w:id="36" w:name="_Toc417992545"/>
      <w:bookmarkStart w:id="37" w:name="_Toc443491863"/>
      <w:bookmarkStart w:id="38" w:name="_Toc482339313"/>
      <w:bookmarkStart w:id="39" w:name="_Toc98924144"/>
      <w:r>
        <w:rPr>
          <w:rFonts w:ascii="Times New Roman" w:eastAsia="Calibri" w:hAnsi="Times New Roman"/>
          <w:color w:val="auto"/>
          <w:sz w:val="24"/>
          <w:szCs w:val="24"/>
          <w:lang w:val="es-GT" w:eastAsia="en-US" w:bidi="en-US"/>
        </w:rPr>
        <w:t>Gobierno Abierto y Transparencia</w:t>
      </w:r>
      <w:bookmarkEnd w:id="36"/>
      <w:bookmarkEnd w:id="37"/>
      <w:r>
        <w:rPr>
          <w:rFonts w:ascii="Times New Roman" w:eastAsia="Calibri" w:hAnsi="Times New Roman"/>
          <w:color w:val="auto"/>
          <w:sz w:val="24"/>
          <w:szCs w:val="24"/>
          <w:lang w:val="es-GT" w:eastAsia="en-US" w:bidi="en-US"/>
        </w:rPr>
        <w:t xml:space="preserve"> Fiscal</w:t>
      </w:r>
      <w:bookmarkEnd w:id="38"/>
      <w:bookmarkEnd w:id="39"/>
    </w:p>
    <w:p w:rsidR="00C620A4" w:rsidRPr="00267603" w:rsidRDefault="00C620A4" w:rsidP="00C620A4">
      <w:pPr>
        <w:jc w:val="both"/>
        <w:rPr>
          <w:rFonts w:eastAsia="Calibri"/>
          <w:sz w:val="20"/>
          <w:lang w:val="es-GT" w:eastAsia="en-US" w:bidi="en-US"/>
        </w:rPr>
      </w:pPr>
    </w:p>
    <w:p w:rsidR="004B4F9D" w:rsidRDefault="004B3CF1" w:rsidP="00C620A4">
      <w:pPr>
        <w:jc w:val="both"/>
        <w:rPr>
          <w:rFonts w:eastAsia="Calibri"/>
          <w:lang w:val="es-GT" w:eastAsia="en-US" w:bidi="en-US"/>
        </w:rPr>
      </w:pPr>
      <w:r>
        <w:rPr>
          <w:rFonts w:eastAsia="Calibri"/>
          <w:lang w:val="es-GT" w:eastAsia="en-US" w:bidi="en-US"/>
        </w:rPr>
        <w:t>Considerando que en ago</w:t>
      </w:r>
      <w:r w:rsidR="004B4F9D">
        <w:rPr>
          <w:rFonts w:eastAsia="Calibri"/>
          <w:lang w:val="es-GT" w:eastAsia="en-US" w:bidi="en-US"/>
        </w:rPr>
        <w:t>s</w:t>
      </w:r>
      <w:r>
        <w:rPr>
          <w:rFonts w:eastAsia="Calibri"/>
          <w:lang w:val="es-GT" w:eastAsia="en-US" w:bidi="en-US"/>
        </w:rPr>
        <w:t>to de 2020</w:t>
      </w:r>
      <w:r w:rsidR="004B4F9D">
        <w:rPr>
          <w:rFonts w:eastAsia="Calibri"/>
          <w:lang w:val="es-GT" w:eastAsia="en-US" w:bidi="en-US"/>
        </w:rPr>
        <w:t xml:space="preserve"> finalizó oficialmente la vigencia del </w:t>
      </w:r>
      <w:r w:rsidR="00D41D38">
        <w:rPr>
          <w:rFonts w:eastAsia="Calibri"/>
          <w:lang w:val="es-GT" w:eastAsia="en-US" w:bidi="en-US"/>
        </w:rPr>
        <w:t>Cuarto</w:t>
      </w:r>
      <w:r w:rsidR="0043775E">
        <w:rPr>
          <w:rFonts w:eastAsia="Calibri"/>
          <w:lang w:val="es-GT" w:eastAsia="en-US" w:bidi="en-US"/>
        </w:rPr>
        <w:t xml:space="preserve"> Plan de Acción Nacional de Gobierno Abierto 201</w:t>
      </w:r>
      <w:r w:rsidR="00D41D38">
        <w:rPr>
          <w:rFonts w:eastAsia="Calibri"/>
          <w:lang w:val="es-GT" w:eastAsia="en-US" w:bidi="en-US"/>
        </w:rPr>
        <w:t>8-2020</w:t>
      </w:r>
      <w:r w:rsidR="0043775E">
        <w:rPr>
          <w:rFonts w:eastAsia="Calibri"/>
          <w:lang w:val="es-GT" w:eastAsia="en-US" w:bidi="en-US"/>
        </w:rPr>
        <w:t xml:space="preserve">, </w:t>
      </w:r>
      <w:r w:rsidR="004B4F9D">
        <w:rPr>
          <w:rFonts w:eastAsia="Calibri"/>
          <w:lang w:val="es-GT" w:eastAsia="en-US" w:bidi="en-US"/>
        </w:rPr>
        <w:t>a partir de octubre de ese año dio inicio formal el proceso de formulación o co-creación del Quinto Plan de Acción Nacional de Gobierno Abierto 2021-2023 mediante la realización de la convocatoria pública efectuada por parte del Presidente Constitucional de la República</w:t>
      </w:r>
      <w:r w:rsidR="001715D7">
        <w:rPr>
          <w:rFonts w:eastAsia="Calibri"/>
          <w:lang w:val="es-GT" w:eastAsia="en-US" w:bidi="en-US"/>
        </w:rPr>
        <w:t>, en la cual</w:t>
      </w:r>
      <w:r w:rsidR="00BD1DB3">
        <w:rPr>
          <w:rFonts w:eastAsia="Calibri"/>
          <w:lang w:val="es-GT" w:eastAsia="en-US" w:bidi="en-US"/>
        </w:rPr>
        <w:t xml:space="preserve"> invitó a participar en </w:t>
      </w:r>
      <w:r w:rsidR="001715D7">
        <w:rPr>
          <w:rFonts w:eastAsia="Calibri"/>
          <w:lang w:val="es-GT" w:eastAsia="en-US" w:bidi="en-US"/>
        </w:rPr>
        <w:t>dicho</w:t>
      </w:r>
      <w:r w:rsidR="00BD1DB3">
        <w:rPr>
          <w:rFonts w:eastAsia="Calibri"/>
          <w:lang w:val="es-GT" w:eastAsia="en-US" w:bidi="en-US"/>
        </w:rPr>
        <w:t xml:space="preserve"> proceso a las organizaciones de sociedad civil, </w:t>
      </w:r>
      <w:r w:rsidR="001D55E9">
        <w:rPr>
          <w:rFonts w:eastAsia="Calibri"/>
          <w:lang w:val="es-GT" w:eastAsia="en-US" w:bidi="en-US"/>
        </w:rPr>
        <w:t>sector académico, tanques de pensamiento, centro</w:t>
      </w:r>
      <w:r w:rsidR="009B07D5">
        <w:rPr>
          <w:rFonts w:eastAsia="Calibri"/>
          <w:lang w:val="es-GT" w:eastAsia="en-US" w:bidi="en-US"/>
        </w:rPr>
        <w:t>s</w:t>
      </w:r>
      <w:r w:rsidR="001D55E9">
        <w:rPr>
          <w:rFonts w:eastAsia="Calibri"/>
          <w:lang w:val="es-GT" w:eastAsia="en-US" w:bidi="en-US"/>
        </w:rPr>
        <w:t xml:space="preserve"> de investigación, sector privado y población en general.</w:t>
      </w:r>
    </w:p>
    <w:p w:rsidR="001D55E9" w:rsidRDefault="001D55E9" w:rsidP="00C620A4">
      <w:pPr>
        <w:jc w:val="both"/>
        <w:rPr>
          <w:rFonts w:eastAsia="Calibri"/>
          <w:lang w:val="es-GT" w:eastAsia="en-US" w:bidi="en-US"/>
        </w:rPr>
      </w:pPr>
    </w:p>
    <w:p w:rsidR="005E475B" w:rsidRPr="005E475B" w:rsidRDefault="005E475B" w:rsidP="005E475B">
      <w:pPr>
        <w:jc w:val="both"/>
        <w:rPr>
          <w:rFonts w:eastAsia="Calibri"/>
          <w:lang w:val="es-GT" w:eastAsia="en-US" w:bidi="en-US"/>
        </w:rPr>
      </w:pPr>
      <w:r>
        <w:rPr>
          <w:rFonts w:eastAsia="Calibri"/>
          <w:lang w:val="es-GT" w:eastAsia="en-US" w:bidi="en-US"/>
        </w:rPr>
        <w:t xml:space="preserve">El avance alcanzado en los últimos meses </w:t>
      </w:r>
      <w:r w:rsidR="00307F95">
        <w:rPr>
          <w:rFonts w:eastAsia="Calibri"/>
          <w:lang w:val="es-GT" w:eastAsia="en-US" w:bidi="en-US"/>
        </w:rPr>
        <w:t>de 202</w:t>
      </w:r>
      <w:r w:rsidR="00254625">
        <w:rPr>
          <w:rFonts w:eastAsia="Calibri"/>
          <w:lang w:val="es-GT" w:eastAsia="en-US" w:bidi="en-US"/>
        </w:rPr>
        <w:t xml:space="preserve">0 </w:t>
      </w:r>
      <w:r>
        <w:rPr>
          <w:rFonts w:eastAsia="Calibri"/>
          <w:lang w:val="es-GT" w:eastAsia="en-US" w:bidi="en-US"/>
        </w:rPr>
        <w:t xml:space="preserve">en el referido proceso de co-creación fue muy bajo, considerando que la mayoría de las entidades públicas debían </w:t>
      </w:r>
      <w:r w:rsidR="00D279DD">
        <w:rPr>
          <w:rFonts w:eastAsia="Calibri"/>
          <w:lang w:val="es-GT" w:eastAsia="en-US" w:bidi="en-US"/>
        </w:rPr>
        <w:t>realizar</w:t>
      </w:r>
      <w:r>
        <w:rPr>
          <w:rFonts w:eastAsia="Calibri"/>
          <w:lang w:val="es-GT" w:eastAsia="en-US" w:bidi="en-US"/>
        </w:rPr>
        <w:t xml:space="preserve"> prioritariamente las acciones para la atención de la pandemia del Covid-19. En ese sentido, fue en el año 2021 que se desarrollaron de manera regular dichas acciones y se logró concluir satisfactoriamente la conformación del Quinto Plan de Acción Nacional de Gobierno Abierto, mismo que estará vigente a partir de enero de 2022 </w:t>
      </w:r>
      <w:r w:rsidR="007325F4">
        <w:rPr>
          <w:rFonts w:eastAsia="Calibri"/>
          <w:lang w:val="es-GT" w:eastAsia="en-US" w:bidi="en-US"/>
        </w:rPr>
        <w:t>finalizando en</w:t>
      </w:r>
      <w:r>
        <w:rPr>
          <w:rFonts w:eastAsia="Calibri"/>
          <w:lang w:val="es-GT" w:eastAsia="en-US" w:bidi="en-US"/>
        </w:rPr>
        <w:t xml:space="preserve"> agosto de 2023. </w:t>
      </w:r>
      <w:r w:rsidRPr="005E475B">
        <w:rPr>
          <w:rFonts w:eastAsia="Calibri"/>
          <w:lang w:val="es-GT" w:eastAsia="en-US" w:bidi="en-US"/>
        </w:rPr>
        <w:t>Las entidades públicas y organizaciones de sociedad civil participantes</w:t>
      </w:r>
      <w:r w:rsidR="00E83E6B">
        <w:rPr>
          <w:rFonts w:eastAsia="Calibri"/>
          <w:lang w:val="es-GT" w:eastAsia="en-US" w:bidi="en-US"/>
        </w:rPr>
        <w:t xml:space="preserve"> en el Comité Técnico de Gobierno Abierto</w:t>
      </w:r>
      <w:r>
        <w:rPr>
          <w:rFonts w:eastAsia="Calibri"/>
          <w:lang w:val="es-GT" w:eastAsia="en-US" w:bidi="en-US"/>
        </w:rPr>
        <w:t xml:space="preserve">, </w:t>
      </w:r>
      <w:r w:rsidRPr="005E475B">
        <w:rPr>
          <w:rFonts w:eastAsia="Calibri"/>
          <w:lang w:val="es-GT" w:eastAsia="en-US" w:bidi="en-US"/>
        </w:rPr>
        <w:t>bajo la dirección y acompañamiento de la Comisión Presidencial de Gobierno Abierto y Electrónico (GAE), definieron un solo eje temático transversal denominado: “Transparencia en la Gestión Pública y Presupuesto del Estado”</w:t>
      </w:r>
      <w:r w:rsidR="00AA3F57">
        <w:rPr>
          <w:rFonts w:eastAsia="Calibri"/>
          <w:lang w:val="es-GT" w:eastAsia="en-US" w:bidi="en-US"/>
        </w:rPr>
        <w:t>,</w:t>
      </w:r>
      <w:r w:rsidRPr="005E475B">
        <w:rPr>
          <w:rFonts w:eastAsia="Calibri"/>
          <w:lang w:val="es-GT" w:eastAsia="en-US" w:bidi="en-US"/>
        </w:rPr>
        <w:t xml:space="preserve"> y se acordaron seis mesas temáticas, de la siguiente forma:</w:t>
      </w:r>
    </w:p>
    <w:p w:rsidR="005E475B" w:rsidRPr="005E475B" w:rsidRDefault="005E475B" w:rsidP="005E475B">
      <w:pPr>
        <w:jc w:val="both"/>
        <w:rPr>
          <w:rFonts w:eastAsia="Calibri"/>
          <w:lang w:val="es-GT" w:eastAsia="en-US" w:bidi="en-US"/>
        </w:rPr>
      </w:pPr>
    </w:p>
    <w:p w:rsidR="005E475B" w:rsidRPr="005E475B" w:rsidRDefault="005E475B" w:rsidP="005E475B">
      <w:pPr>
        <w:jc w:val="both"/>
        <w:rPr>
          <w:rFonts w:eastAsia="Calibri"/>
          <w:lang w:val="es-GT" w:eastAsia="en-US" w:bidi="en-US"/>
        </w:rPr>
      </w:pPr>
      <w:r w:rsidRPr="005E475B">
        <w:rPr>
          <w:rFonts w:eastAsia="Calibri"/>
          <w:lang w:val="es-GT" w:eastAsia="en-US" w:bidi="en-US"/>
        </w:rPr>
        <w:t>1.</w:t>
      </w:r>
      <w:r w:rsidRPr="005E475B">
        <w:rPr>
          <w:rFonts w:eastAsia="Calibri"/>
          <w:lang w:val="es-GT" w:eastAsia="en-US" w:bidi="en-US"/>
        </w:rPr>
        <w:tab/>
        <w:t>Gobierno Digital y Modernización de la Gestión Pública.</w:t>
      </w:r>
    </w:p>
    <w:p w:rsidR="005E475B" w:rsidRPr="005E475B" w:rsidRDefault="005E475B" w:rsidP="005E475B">
      <w:pPr>
        <w:jc w:val="both"/>
        <w:rPr>
          <w:rFonts w:eastAsia="Calibri"/>
          <w:lang w:val="es-GT" w:eastAsia="en-US" w:bidi="en-US"/>
        </w:rPr>
      </w:pPr>
      <w:r w:rsidRPr="005E475B">
        <w:rPr>
          <w:rFonts w:eastAsia="Calibri"/>
          <w:lang w:val="es-GT" w:eastAsia="en-US" w:bidi="en-US"/>
        </w:rPr>
        <w:t>2.</w:t>
      </w:r>
      <w:r w:rsidRPr="005E475B">
        <w:rPr>
          <w:rFonts w:eastAsia="Calibri"/>
          <w:lang w:val="es-GT" w:eastAsia="en-US" w:bidi="en-US"/>
        </w:rPr>
        <w:tab/>
        <w:t>Educación, Salud, Seguridad Alimentaria y Nutricional.</w:t>
      </w:r>
    </w:p>
    <w:p w:rsidR="005E475B" w:rsidRPr="005E475B" w:rsidRDefault="005E475B" w:rsidP="005E475B">
      <w:pPr>
        <w:jc w:val="both"/>
        <w:rPr>
          <w:rFonts w:eastAsia="Calibri"/>
          <w:lang w:val="es-GT" w:eastAsia="en-US" w:bidi="en-US"/>
        </w:rPr>
      </w:pPr>
      <w:r w:rsidRPr="005E475B">
        <w:rPr>
          <w:rFonts w:eastAsia="Calibri"/>
          <w:lang w:val="es-GT" w:eastAsia="en-US" w:bidi="en-US"/>
        </w:rPr>
        <w:t>3.</w:t>
      </w:r>
      <w:r w:rsidRPr="005E475B">
        <w:rPr>
          <w:rFonts w:eastAsia="Calibri"/>
          <w:lang w:val="es-GT" w:eastAsia="en-US" w:bidi="en-US"/>
        </w:rPr>
        <w:tab/>
        <w:t>Medio Ambiente y Cambio Climático.</w:t>
      </w:r>
    </w:p>
    <w:p w:rsidR="005E475B" w:rsidRPr="005E475B" w:rsidRDefault="005E475B" w:rsidP="005E475B">
      <w:pPr>
        <w:jc w:val="both"/>
        <w:rPr>
          <w:rFonts w:eastAsia="Calibri"/>
          <w:lang w:val="es-GT" w:eastAsia="en-US" w:bidi="en-US"/>
        </w:rPr>
      </w:pPr>
      <w:r w:rsidRPr="005E475B">
        <w:rPr>
          <w:rFonts w:eastAsia="Calibri"/>
          <w:lang w:val="es-GT" w:eastAsia="en-US" w:bidi="en-US"/>
        </w:rPr>
        <w:t>4.</w:t>
      </w:r>
      <w:r w:rsidRPr="005E475B">
        <w:rPr>
          <w:rFonts w:eastAsia="Calibri"/>
          <w:lang w:val="es-GT" w:eastAsia="en-US" w:bidi="en-US"/>
        </w:rPr>
        <w:tab/>
        <w:t>Reducción de la Pobreza y Migración.</w:t>
      </w:r>
    </w:p>
    <w:p w:rsidR="005E475B" w:rsidRPr="005E475B" w:rsidRDefault="005E475B" w:rsidP="005E475B">
      <w:pPr>
        <w:jc w:val="both"/>
        <w:rPr>
          <w:rFonts w:eastAsia="Calibri"/>
          <w:lang w:val="es-GT" w:eastAsia="en-US" w:bidi="en-US"/>
        </w:rPr>
      </w:pPr>
      <w:r w:rsidRPr="005E475B">
        <w:rPr>
          <w:rFonts w:eastAsia="Calibri"/>
          <w:lang w:val="es-GT" w:eastAsia="en-US" w:bidi="en-US"/>
        </w:rPr>
        <w:t>5.</w:t>
      </w:r>
      <w:r w:rsidRPr="005E475B">
        <w:rPr>
          <w:rFonts w:eastAsia="Calibri"/>
          <w:lang w:val="es-GT" w:eastAsia="en-US" w:bidi="en-US"/>
        </w:rPr>
        <w:tab/>
        <w:t>Inclusión Social y Poblaciones en Condiciones de Vulnerabilidad.</w:t>
      </w:r>
    </w:p>
    <w:p w:rsidR="001D55E9" w:rsidRDefault="005E475B" w:rsidP="005E475B">
      <w:pPr>
        <w:ind w:left="709" w:hanging="709"/>
        <w:jc w:val="both"/>
        <w:rPr>
          <w:rFonts w:eastAsia="Calibri"/>
          <w:lang w:val="es-GT" w:eastAsia="en-US" w:bidi="en-US"/>
        </w:rPr>
      </w:pPr>
      <w:r w:rsidRPr="005E475B">
        <w:rPr>
          <w:rFonts w:eastAsia="Calibri"/>
          <w:lang w:val="es-GT" w:eastAsia="en-US" w:bidi="en-US"/>
        </w:rPr>
        <w:t>6.</w:t>
      </w:r>
      <w:r w:rsidRPr="005E475B">
        <w:rPr>
          <w:rFonts w:eastAsia="Calibri"/>
          <w:lang w:val="es-GT" w:eastAsia="en-US" w:bidi="en-US"/>
        </w:rPr>
        <w:tab/>
        <w:t>Gestión y Seguimiento de Iniciativas, Tratados y Convenios Internacionales en Materia de Transparencia, Anticorrupción y Rendición de Cuentas.</w:t>
      </w:r>
    </w:p>
    <w:p w:rsidR="004B4F9D" w:rsidRDefault="004B4F9D" w:rsidP="00C620A4">
      <w:pPr>
        <w:jc w:val="both"/>
        <w:rPr>
          <w:rFonts w:eastAsia="Calibri"/>
          <w:lang w:val="es-GT" w:eastAsia="en-US" w:bidi="en-US"/>
        </w:rPr>
      </w:pPr>
    </w:p>
    <w:p w:rsidR="00296842" w:rsidRPr="00296842" w:rsidRDefault="00296842" w:rsidP="00296842">
      <w:pPr>
        <w:jc w:val="both"/>
        <w:rPr>
          <w:rFonts w:eastAsia="Calibri"/>
          <w:lang w:val="es-GT" w:eastAsia="en-US" w:bidi="en-US"/>
        </w:rPr>
      </w:pPr>
      <w:r>
        <w:rPr>
          <w:rFonts w:eastAsia="Calibri"/>
          <w:lang w:val="es-GT" w:eastAsia="en-US" w:bidi="en-US"/>
        </w:rPr>
        <w:t xml:space="preserve">Para la formulación del </w:t>
      </w:r>
      <w:r w:rsidRPr="00296842">
        <w:rPr>
          <w:rFonts w:eastAsia="Calibri"/>
          <w:lang w:val="es-GT" w:eastAsia="en-US" w:bidi="en-US"/>
        </w:rPr>
        <w:t>Quinto Plan de Acción Nacional de Gobierno Abierto 2021-2023</w:t>
      </w:r>
      <w:r>
        <w:rPr>
          <w:rFonts w:eastAsia="Calibri"/>
          <w:lang w:val="es-GT" w:eastAsia="en-US" w:bidi="en-US"/>
        </w:rPr>
        <w:t xml:space="preserve"> se acordó definir un número reducido de compromisos e hitos, con el propósito de hacerlo más operativo y realizable, enfocándose en compromisos relevantes y de beneficio para los sectores sociales más necesitados del país; por lo tanto, dicho plan </w:t>
      </w:r>
      <w:r w:rsidRPr="00296842">
        <w:rPr>
          <w:rFonts w:eastAsia="Calibri"/>
          <w:lang w:val="es-GT" w:eastAsia="en-US" w:bidi="en-US"/>
        </w:rPr>
        <w:t>quedó integrado por 12 compromisos en las 6 áreas temáticas antes mencionadas, habiéndose definido éstos de la siguiente manera:</w:t>
      </w:r>
    </w:p>
    <w:p w:rsidR="00296842" w:rsidRPr="00296842" w:rsidRDefault="00296842" w:rsidP="00296842">
      <w:pPr>
        <w:jc w:val="both"/>
        <w:rPr>
          <w:rFonts w:eastAsia="Calibri"/>
          <w:lang w:val="es-GT" w:eastAsia="en-US" w:bidi="en-US"/>
        </w:rPr>
      </w:pPr>
    </w:p>
    <w:p w:rsidR="00296842" w:rsidRPr="00296842" w:rsidRDefault="00296842" w:rsidP="00296842">
      <w:pPr>
        <w:jc w:val="both"/>
        <w:rPr>
          <w:rFonts w:eastAsia="Calibri"/>
          <w:lang w:val="es-GT" w:eastAsia="en-US" w:bidi="en-US"/>
        </w:rPr>
      </w:pPr>
      <w:r w:rsidRPr="00296842">
        <w:rPr>
          <w:rFonts w:eastAsia="Calibri"/>
          <w:lang w:val="es-GT" w:eastAsia="en-US" w:bidi="en-US"/>
        </w:rPr>
        <w:t>1.</w:t>
      </w:r>
      <w:r w:rsidRPr="00296842">
        <w:rPr>
          <w:rFonts w:eastAsia="Calibri"/>
          <w:lang w:val="es-GT" w:eastAsia="en-US" w:bidi="en-US"/>
        </w:rPr>
        <w:tab/>
        <w:t>Acciones para el fortalecimiento de publicación en datos abiertos.</w:t>
      </w:r>
    </w:p>
    <w:p w:rsidR="00296842" w:rsidRPr="00296842" w:rsidRDefault="00296842" w:rsidP="00296842">
      <w:pPr>
        <w:jc w:val="both"/>
        <w:rPr>
          <w:rFonts w:eastAsia="Calibri"/>
          <w:lang w:val="es-GT" w:eastAsia="en-US" w:bidi="en-US"/>
        </w:rPr>
      </w:pPr>
      <w:r w:rsidRPr="00296842">
        <w:rPr>
          <w:rFonts w:eastAsia="Calibri"/>
          <w:lang w:val="es-GT" w:eastAsia="en-US" w:bidi="en-US"/>
        </w:rPr>
        <w:t>2.</w:t>
      </w:r>
      <w:r w:rsidRPr="00296842">
        <w:rPr>
          <w:rFonts w:eastAsia="Calibri"/>
          <w:lang w:val="es-GT" w:eastAsia="en-US" w:bidi="en-US"/>
        </w:rPr>
        <w:tab/>
        <w:t>Actualización participativa del Plan Nacional de Gobierno Digital 2021-2026.</w:t>
      </w:r>
    </w:p>
    <w:p w:rsidR="00296842" w:rsidRDefault="00296842" w:rsidP="00296842">
      <w:pPr>
        <w:jc w:val="both"/>
        <w:rPr>
          <w:rFonts w:eastAsia="Calibri"/>
          <w:lang w:val="es-GT" w:eastAsia="en-US" w:bidi="en-US"/>
        </w:rPr>
      </w:pPr>
      <w:r w:rsidRPr="00296842">
        <w:rPr>
          <w:rFonts w:eastAsia="Calibri"/>
          <w:lang w:val="es-GT" w:eastAsia="en-US" w:bidi="en-US"/>
        </w:rPr>
        <w:t>3.</w:t>
      </w:r>
      <w:r w:rsidRPr="00296842">
        <w:rPr>
          <w:rFonts w:eastAsia="Calibri"/>
          <w:lang w:val="es-GT" w:eastAsia="en-US" w:bidi="en-US"/>
        </w:rPr>
        <w:tab/>
        <w:t>Promoción de la Gran Cruzada Nacional por la Nutrición.</w:t>
      </w:r>
    </w:p>
    <w:p w:rsidR="002E2A30" w:rsidRDefault="002E2A30" w:rsidP="00296842">
      <w:pPr>
        <w:jc w:val="both"/>
        <w:rPr>
          <w:rFonts w:eastAsia="Calibri"/>
          <w:lang w:val="es-GT" w:eastAsia="en-US" w:bidi="en-US"/>
        </w:rPr>
      </w:pPr>
    </w:p>
    <w:p w:rsidR="002E2A30" w:rsidRDefault="002E2A30" w:rsidP="00296842">
      <w:pPr>
        <w:jc w:val="both"/>
        <w:rPr>
          <w:rFonts w:eastAsia="Calibri"/>
          <w:lang w:val="es-GT" w:eastAsia="en-US" w:bidi="en-US"/>
        </w:rPr>
      </w:pPr>
    </w:p>
    <w:p w:rsidR="000205D6" w:rsidRPr="000205D6" w:rsidRDefault="000205D6" w:rsidP="00296842">
      <w:pPr>
        <w:jc w:val="both"/>
        <w:rPr>
          <w:rFonts w:eastAsia="Calibri"/>
          <w:sz w:val="36"/>
          <w:lang w:val="es-GT" w:eastAsia="en-US" w:bidi="en-US"/>
        </w:rPr>
      </w:pPr>
    </w:p>
    <w:p w:rsidR="00296842" w:rsidRDefault="00296842" w:rsidP="00296842">
      <w:pPr>
        <w:ind w:left="709" w:hanging="709"/>
        <w:jc w:val="both"/>
        <w:rPr>
          <w:rFonts w:eastAsia="Calibri"/>
          <w:lang w:val="es-GT" w:eastAsia="en-US" w:bidi="en-US"/>
        </w:rPr>
      </w:pPr>
      <w:r w:rsidRPr="00296842">
        <w:rPr>
          <w:rFonts w:eastAsia="Calibri"/>
          <w:lang w:val="es-GT" w:eastAsia="en-US" w:bidi="en-US"/>
        </w:rPr>
        <w:t>4.</w:t>
      </w:r>
      <w:r w:rsidRPr="00296842">
        <w:rPr>
          <w:rFonts w:eastAsia="Calibri"/>
          <w:lang w:val="es-GT" w:eastAsia="en-US" w:bidi="en-US"/>
        </w:rPr>
        <w:tab/>
        <w:t>Elaborar una herramienta digital de consulta que transparente las gestiones del Ministerio de Educación, que permita identificar información pertinente y la definición de sus indicadores de forma colaborativa.</w:t>
      </w:r>
    </w:p>
    <w:p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5.</w:t>
      </w:r>
      <w:r w:rsidRPr="00296842">
        <w:rPr>
          <w:rFonts w:eastAsia="Calibri"/>
          <w:lang w:val="es-GT" w:eastAsia="en-US" w:bidi="en-US"/>
        </w:rPr>
        <w:tab/>
        <w:t>Fortalecimiento de la transparencia y procesos de rendición de cuentas en el Ministerio de Salud Pública y Asistencia Social.</w:t>
      </w:r>
    </w:p>
    <w:p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6.</w:t>
      </w:r>
      <w:r w:rsidRPr="00296842">
        <w:rPr>
          <w:rFonts w:eastAsia="Calibri"/>
          <w:lang w:val="es-GT" w:eastAsia="en-US" w:bidi="en-US"/>
        </w:rPr>
        <w:tab/>
        <w:t>Transparencia, rendición de cuentas y acciones de socialización para fortalecer los esfuerzos por el medio ambiente, detener el cambio climático y proteger la biodiversidad del país.</w:t>
      </w:r>
    </w:p>
    <w:p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7.</w:t>
      </w:r>
      <w:r w:rsidRPr="00296842">
        <w:rPr>
          <w:rFonts w:eastAsia="Calibri"/>
          <w:lang w:val="es-GT" w:eastAsia="en-US" w:bidi="en-US"/>
        </w:rPr>
        <w:tab/>
        <w:t>Realización de acciones orientadas a la aplicación del Plan de Acción de la Política Nacional de Empleo Digno 2017-2032.</w:t>
      </w:r>
    </w:p>
    <w:p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8.</w:t>
      </w:r>
      <w:r w:rsidRPr="00296842">
        <w:rPr>
          <w:rFonts w:eastAsia="Calibri"/>
          <w:lang w:val="es-GT" w:eastAsia="en-US" w:bidi="en-US"/>
        </w:rPr>
        <w:tab/>
        <w:t>Diseño de la estrategia y plan de coordinación interinstitucional y articulación programática para la reducción de la migración irregular.</w:t>
      </w:r>
    </w:p>
    <w:p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9.</w:t>
      </w:r>
      <w:r w:rsidRPr="00296842">
        <w:rPr>
          <w:rFonts w:eastAsia="Calibri"/>
          <w:lang w:val="es-GT" w:eastAsia="en-US" w:bidi="en-US"/>
        </w:rPr>
        <w:tab/>
        <w:t xml:space="preserve">Revisión de la Política Nacional de Discapacidad que incluya como producto la elaboración de un documento que contenga una propuesta de modificación a la política actual, alineándose a la garantía de derechos civiles, económicos y sociales establecidos en la Convención sobre los Derechos de Personas con Discapacidad de la Organización de </w:t>
      </w:r>
      <w:r w:rsidR="002E2A30">
        <w:rPr>
          <w:rFonts w:eastAsia="Calibri"/>
          <w:lang w:val="es-GT" w:eastAsia="en-US" w:bidi="en-US"/>
        </w:rPr>
        <w:t xml:space="preserve">las </w:t>
      </w:r>
      <w:r w:rsidRPr="00296842">
        <w:rPr>
          <w:rFonts w:eastAsia="Calibri"/>
          <w:lang w:val="es-GT" w:eastAsia="en-US" w:bidi="en-US"/>
        </w:rPr>
        <w:t>Naciones Unidas (ONU).</w:t>
      </w:r>
    </w:p>
    <w:p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10.</w:t>
      </w:r>
      <w:r w:rsidRPr="00296842">
        <w:rPr>
          <w:rFonts w:eastAsia="Calibri"/>
          <w:lang w:val="es-GT" w:eastAsia="en-US" w:bidi="en-US"/>
        </w:rPr>
        <w:tab/>
        <w:t>Seguimiento nacional y participativo a las convenciones y tratados internacionales en materia de transparencia y anticorrupción.</w:t>
      </w:r>
    </w:p>
    <w:p w:rsidR="00296842" w:rsidRPr="00296842" w:rsidRDefault="00296842" w:rsidP="00D5334A">
      <w:pPr>
        <w:ind w:left="709" w:hanging="709"/>
        <w:jc w:val="both"/>
        <w:rPr>
          <w:rFonts w:eastAsia="Calibri"/>
          <w:lang w:val="es-GT" w:eastAsia="en-US" w:bidi="en-US"/>
        </w:rPr>
      </w:pPr>
      <w:r w:rsidRPr="00296842">
        <w:rPr>
          <w:rFonts w:eastAsia="Calibri"/>
          <w:lang w:val="es-GT" w:eastAsia="en-US" w:bidi="en-US"/>
        </w:rPr>
        <w:t>11.</w:t>
      </w:r>
      <w:r w:rsidRPr="00296842">
        <w:rPr>
          <w:rFonts w:eastAsia="Calibri"/>
          <w:lang w:val="es-GT" w:eastAsia="en-US" w:bidi="en-US"/>
        </w:rPr>
        <w:tab/>
        <w:t>Capacitación y diagnóstico para la implementación del estándar de datos de contrataciones abiertas para infraestructura pública.</w:t>
      </w:r>
    </w:p>
    <w:p w:rsidR="005E475B" w:rsidRDefault="00296842" w:rsidP="00D5334A">
      <w:pPr>
        <w:ind w:left="709" w:hanging="709"/>
        <w:jc w:val="both"/>
        <w:rPr>
          <w:rFonts w:eastAsia="Calibri"/>
          <w:lang w:val="es-GT" w:eastAsia="en-US" w:bidi="en-US"/>
        </w:rPr>
      </w:pPr>
      <w:r w:rsidRPr="00296842">
        <w:rPr>
          <w:rFonts w:eastAsia="Calibri"/>
          <w:lang w:val="es-GT" w:eastAsia="en-US" w:bidi="en-US"/>
        </w:rPr>
        <w:t>12.</w:t>
      </w:r>
      <w:r w:rsidRPr="00296842">
        <w:rPr>
          <w:rFonts w:eastAsia="Calibri"/>
          <w:lang w:val="es-GT" w:eastAsia="en-US" w:bidi="en-US"/>
        </w:rPr>
        <w:tab/>
        <w:t>Mejorar los mecanismos de información hacia la divulgación sistemática de los datos de la Iniciativa de Transparencia en las Industrias Extractivas (EITI) en Guatemala.</w:t>
      </w:r>
    </w:p>
    <w:p w:rsidR="005E475B" w:rsidRDefault="005E475B" w:rsidP="00C620A4">
      <w:pPr>
        <w:jc w:val="both"/>
        <w:rPr>
          <w:rFonts w:eastAsia="Calibri"/>
          <w:lang w:val="es-GT" w:eastAsia="en-US" w:bidi="en-US"/>
        </w:rPr>
      </w:pPr>
    </w:p>
    <w:p w:rsidR="002C4C3D" w:rsidRPr="000205D6" w:rsidRDefault="002C4C3D" w:rsidP="00C620A4">
      <w:pPr>
        <w:jc w:val="both"/>
        <w:rPr>
          <w:rFonts w:eastAsia="Calibri"/>
          <w:sz w:val="40"/>
          <w:lang w:val="es-GT" w:eastAsia="en-US" w:bidi="en-US"/>
        </w:rPr>
      </w:pPr>
    </w:p>
    <w:p w:rsidR="00821DF9" w:rsidRPr="009F6AC2" w:rsidRDefault="00904D9E" w:rsidP="00821DF9">
      <w:pPr>
        <w:pStyle w:val="Ttulo2"/>
        <w:rPr>
          <w:rFonts w:ascii="Times New Roman" w:eastAsia="Calibri" w:hAnsi="Times New Roman"/>
          <w:color w:val="auto"/>
          <w:sz w:val="24"/>
          <w:szCs w:val="24"/>
          <w:lang w:val="es-GT" w:eastAsia="en-US" w:bidi="en-US"/>
        </w:rPr>
      </w:pPr>
      <w:bookmarkStart w:id="40" w:name="_Toc98924145"/>
      <w:r>
        <w:rPr>
          <w:rFonts w:ascii="Times New Roman" w:eastAsia="Calibri" w:hAnsi="Times New Roman"/>
          <w:color w:val="auto"/>
          <w:sz w:val="24"/>
          <w:szCs w:val="24"/>
          <w:lang w:val="es-GT" w:eastAsia="en-US" w:bidi="en-US"/>
        </w:rPr>
        <w:t>Realización</w:t>
      </w:r>
      <w:r w:rsidR="004E6B51">
        <w:rPr>
          <w:rFonts w:ascii="Times New Roman" w:eastAsia="Calibri" w:hAnsi="Times New Roman"/>
          <w:color w:val="auto"/>
          <w:sz w:val="24"/>
          <w:szCs w:val="24"/>
          <w:lang w:val="es-GT" w:eastAsia="en-US" w:bidi="en-US"/>
        </w:rPr>
        <w:t xml:space="preserve"> de </w:t>
      </w:r>
      <w:r w:rsidR="0021606F">
        <w:rPr>
          <w:rFonts w:ascii="Times New Roman" w:eastAsia="Calibri" w:hAnsi="Times New Roman"/>
          <w:color w:val="auto"/>
          <w:sz w:val="24"/>
          <w:szCs w:val="24"/>
          <w:lang w:val="es-GT" w:eastAsia="en-US" w:bidi="en-US"/>
        </w:rPr>
        <w:t xml:space="preserve">los </w:t>
      </w:r>
      <w:r w:rsidR="00821DF9">
        <w:rPr>
          <w:rFonts w:ascii="Times New Roman" w:eastAsia="Calibri" w:hAnsi="Times New Roman"/>
          <w:color w:val="auto"/>
          <w:sz w:val="24"/>
          <w:szCs w:val="24"/>
          <w:lang w:val="es-GT" w:eastAsia="en-US" w:bidi="en-US"/>
        </w:rPr>
        <w:t>Talleres de Presupuesto Abierto</w:t>
      </w:r>
      <w:r>
        <w:rPr>
          <w:rFonts w:ascii="Times New Roman" w:eastAsia="Calibri" w:hAnsi="Times New Roman"/>
          <w:color w:val="auto"/>
          <w:sz w:val="24"/>
          <w:szCs w:val="24"/>
          <w:lang w:val="es-GT" w:eastAsia="en-US" w:bidi="en-US"/>
        </w:rPr>
        <w:t xml:space="preserve"> 202</w:t>
      </w:r>
      <w:r w:rsidR="00205D69">
        <w:rPr>
          <w:rFonts w:ascii="Times New Roman" w:eastAsia="Calibri" w:hAnsi="Times New Roman"/>
          <w:color w:val="auto"/>
          <w:sz w:val="24"/>
          <w:szCs w:val="24"/>
          <w:lang w:val="es-GT" w:eastAsia="en-US" w:bidi="en-US"/>
        </w:rPr>
        <w:t>2</w:t>
      </w:r>
      <w:bookmarkEnd w:id="40"/>
    </w:p>
    <w:p w:rsidR="00821DF9" w:rsidRDefault="00821DF9" w:rsidP="00C620A4">
      <w:pPr>
        <w:jc w:val="both"/>
        <w:rPr>
          <w:rFonts w:eastAsia="Calibri"/>
          <w:lang w:val="es-GT" w:eastAsia="en-US" w:bidi="en-US"/>
        </w:rPr>
      </w:pPr>
    </w:p>
    <w:p w:rsidR="00205D69" w:rsidRPr="00205D69" w:rsidRDefault="00205D69" w:rsidP="00205D69">
      <w:pPr>
        <w:jc w:val="both"/>
        <w:rPr>
          <w:rFonts w:eastAsia="Calibri"/>
          <w:lang w:val="es-GT" w:eastAsia="en-US" w:bidi="en-US"/>
        </w:rPr>
      </w:pPr>
      <w:r w:rsidRPr="00205D69">
        <w:rPr>
          <w:rFonts w:eastAsia="Calibri"/>
          <w:lang w:val="es-GT" w:eastAsia="en-US" w:bidi="en-US"/>
        </w:rPr>
        <w:t>El Ministerio de Finanzas Públicas, consciente que la transparencia, el libre acceso a la información pública y la rendición de cuentas contribuyen de manera directa al combate de la corrupción, desde hace varios años ha venido realizando una serie de acciones que fomentan la participación ciudadana en la gestión pública, tomando como referencia las acciones descritas en los Principios Básicos y Principios Avanzados de Participación Pública en la Política Fiscal que promueve la Iniciativa Global para la Transparencia Fiscal (GIFT por sus siglas en inglés), de la cual el Ministerio forma parte desde enero de 2017, como miembro de su Comité de Consejeros Generales.</w:t>
      </w:r>
    </w:p>
    <w:p w:rsidR="00205D69" w:rsidRPr="00205D69" w:rsidRDefault="00205D69" w:rsidP="00205D69">
      <w:pPr>
        <w:jc w:val="both"/>
        <w:rPr>
          <w:rFonts w:eastAsia="Calibri"/>
          <w:lang w:val="es-GT" w:eastAsia="en-US" w:bidi="en-US"/>
        </w:rPr>
      </w:pPr>
    </w:p>
    <w:p w:rsidR="00205D69" w:rsidRPr="00205D69" w:rsidRDefault="00205D69" w:rsidP="00205D69">
      <w:pPr>
        <w:jc w:val="both"/>
        <w:rPr>
          <w:rFonts w:eastAsia="Calibri"/>
          <w:lang w:val="es-GT" w:eastAsia="en-US" w:bidi="en-US"/>
        </w:rPr>
      </w:pPr>
      <w:r w:rsidRPr="00205D69">
        <w:rPr>
          <w:rFonts w:eastAsia="Calibri"/>
          <w:lang w:val="es-GT" w:eastAsia="en-US" w:bidi="en-US"/>
        </w:rPr>
        <w:t>De esa cuenta, entre julio y agosto de 2021 se llevaron a cabo los denominados Talleres de Presupuesto Abierto, proceso en el cual las autoridades superiores de las entidades públicas expusieron sus planes de trabajo, programas y proyectos a ejecutar con el presupuesto asignado para 2022, con la participación de tanques de pensamiento, sector académico, periodistas, organismos internacionales y población en general. Este evento se llevó a cabo mediante el desarrollo de las siguientes etapas:</w:t>
      </w:r>
    </w:p>
    <w:p w:rsidR="00205D69" w:rsidRDefault="00205D69" w:rsidP="00205D69">
      <w:pPr>
        <w:jc w:val="both"/>
        <w:rPr>
          <w:rFonts w:eastAsia="Calibri"/>
          <w:lang w:val="es-GT" w:eastAsia="en-US" w:bidi="en-US"/>
        </w:rPr>
      </w:pPr>
    </w:p>
    <w:p w:rsidR="00742D67" w:rsidRPr="000205D6" w:rsidRDefault="00742D67" w:rsidP="00205D69">
      <w:pPr>
        <w:jc w:val="both"/>
        <w:rPr>
          <w:rFonts w:eastAsia="Calibri"/>
          <w:sz w:val="36"/>
          <w:lang w:val="es-GT" w:eastAsia="en-US" w:bidi="en-US"/>
        </w:rPr>
      </w:pPr>
    </w:p>
    <w:p w:rsidR="00205D69" w:rsidRPr="00205D69" w:rsidRDefault="00205D69" w:rsidP="00205D69">
      <w:pPr>
        <w:jc w:val="both"/>
        <w:rPr>
          <w:rFonts w:eastAsia="Calibri"/>
          <w:lang w:val="es-GT" w:eastAsia="en-US" w:bidi="en-US"/>
        </w:rPr>
      </w:pPr>
      <w:r w:rsidRPr="00855BD4">
        <w:rPr>
          <w:rFonts w:eastAsia="Calibri"/>
          <w:b/>
          <w:lang w:val="es-GT" w:eastAsia="en-US" w:bidi="en-US"/>
        </w:rPr>
        <w:t>Semana de Formación Fiscal.</w:t>
      </w:r>
      <w:r w:rsidRPr="00205D69">
        <w:rPr>
          <w:rFonts w:eastAsia="Calibri"/>
          <w:lang w:val="es-GT" w:eastAsia="en-US" w:bidi="en-US"/>
        </w:rPr>
        <w:t xml:space="preserve"> Se desarrollaron 5 temas del 12 al 16 de julio de 2021:</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Ciclo Presupuestario y sus Fases (107 participantes)</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Presupuesto por Resultados (86 participantes)</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Sistema de Compras Públicas -GUATECOMPRAS- (88 participantes)</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Financiamiento del Presupuesto (60 participantes)</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Portales de Transparencia Fiscal (76 participantes)</w:t>
      </w:r>
    </w:p>
    <w:p w:rsidR="00205D69" w:rsidRPr="00742D67" w:rsidRDefault="00205D69" w:rsidP="00205D69">
      <w:pPr>
        <w:jc w:val="both"/>
        <w:rPr>
          <w:rFonts w:eastAsia="Calibri"/>
          <w:sz w:val="28"/>
          <w:lang w:val="es-GT" w:eastAsia="en-US" w:bidi="en-US"/>
        </w:rPr>
      </w:pPr>
    </w:p>
    <w:p w:rsidR="00205D69" w:rsidRPr="00205D69" w:rsidRDefault="00205D69" w:rsidP="00205D69">
      <w:pPr>
        <w:jc w:val="both"/>
        <w:rPr>
          <w:rFonts w:eastAsia="Calibri"/>
          <w:lang w:val="es-GT" w:eastAsia="en-US" w:bidi="en-US"/>
        </w:rPr>
      </w:pPr>
      <w:r w:rsidRPr="00855BD4">
        <w:rPr>
          <w:rFonts w:eastAsia="Calibri"/>
          <w:b/>
          <w:lang w:val="es-GT" w:eastAsia="en-US" w:bidi="en-US"/>
        </w:rPr>
        <w:t>Talleres Temáticos.</w:t>
      </w:r>
      <w:r w:rsidRPr="00205D69">
        <w:rPr>
          <w:rFonts w:eastAsia="Calibri"/>
          <w:lang w:val="es-GT" w:eastAsia="en-US" w:bidi="en-US"/>
        </w:rPr>
        <w:t xml:space="preserve"> Se realizaron 7 talleres del 26 de julio al 3 de agosto de 2021:</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Generación de Empleo y Recuperación del Sector Turismo</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Inversión en Infraestructura Estratégica para el Desarrollo</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Fortalecimiento del Sistema de Salud Pública y Seguridad Social</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Cierre de Brechas Educativas</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Migración y Disminución de la Pobreza</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Seguridad Alimentaria y Nutricional</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Sector Justicia</w:t>
      </w:r>
    </w:p>
    <w:p w:rsidR="00205D69" w:rsidRPr="00742D67" w:rsidRDefault="00205D69" w:rsidP="00205D69">
      <w:pPr>
        <w:jc w:val="both"/>
        <w:rPr>
          <w:rFonts w:eastAsia="Calibri"/>
          <w:sz w:val="28"/>
          <w:lang w:val="es-GT" w:eastAsia="en-US" w:bidi="en-US"/>
        </w:rPr>
      </w:pPr>
    </w:p>
    <w:p w:rsidR="00205D69" w:rsidRPr="00205D69" w:rsidRDefault="00205D69" w:rsidP="00205D69">
      <w:pPr>
        <w:jc w:val="both"/>
        <w:rPr>
          <w:rFonts w:eastAsia="Calibri"/>
          <w:lang w:val="es-GT" w:eastAsia="en-US" w:bidi="en-US"/>
        </w:rPr>
      </w:pPr>
      <w:r w:rsidRPr="00855BD4">
        <w:rPr>
          <w:rFonts w:eastAsia="Calibri"/>
          <w:b/>
          <w:lang w:val="es-GT" w:eastAsia="en-US" w:bidi="en-US"/>
        </w:rPr>
        <w:t>Exposiciones.</w:t>
      </w:r>
      <w:r w:rsidRPr="00205D69">
        <w:rPr>
          <w:rFonts w:eastAsia="Calibri"/>
          <w:lang w:val="es-GT" w:eastAsia="en-US" w:bidi="en-US"/>
        </w:rPr>
        <w:t xml:space="preserve"> Del 9 al 16 de agosto de 2021, se realizaron 6 exposiciones para discutir sobre la situación, problemática y expectativas de los siguientes sectores económicos y sociales:</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Seguridad y Defensa</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Ambiental y Agroforestal</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Salud y Educación</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Infraestructura Estratégica y Vivienda</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Seguridad Alimentaria</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Energía para el Desarrollo</w:t>
      </w:r>
    </w:p>
    <w:p w:rsidR="00205D69" w:rsidRPr="00742D67" w:rsidRDefault="00205D69" w:rsidP="00205D69">
      <w:pPr>
        <w:jc w:val="both"/>
        <w:rPr>
          <w:rFonts w:eastAsia="Calibri"/>
          <w:sz w:val="28"/>
          <w:lang w:val="es-GT" w:eastAsia="en-US" w:bidi="en-US"/>
        </w:rPr>
      </w:pPr>
    </w:p>
    <w:p w:rsidR="00205D69" w:rsidRPr="00205D69" w:rsidRDefault="00205D69" w:rsidP="00205D69">
      <w:pPr>
        <w:jc w:val="both"/>
        <w:rPr>
          <w:rFonts w:eastAsia="Calibri"/>
          <w:lang w:val="es-GT" w:eastAsia="en-US" w:bidi="en-US"/>
        </w:rPr>
      </w:pPr>
      <w:r w:rsidRPr="00855BD4">
        <w:rPr>
          <w:rFonts w:eastAsia="Calibri"/>
          <w:b/>
          <w:lang w:val="es-GT" w:eastAsia="en-US" w:bidi="en-US"/>
        </w:rPr>
        <w:t>Foros Públicos.</w:t>
      </w:r>
      <w:r w:rsidRPr="00205D69">
        <w:rPr>
          <w:rFonts w:eastAsia="Calibri"/>
          <w:lang w:val="es-GT" w:eastAsia="en-US" w:bidi="en-US"/>
        </w:rPr>
        <w:t xml:space="preserve"> Se realizaron 4 foros públicos del 23 al 26 de agosto de 2021, para discutir con organizaciones de sociedad civil sobre los siguientes temas:</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Transparencia y Calidad del Gasto Público</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Riesgos Fiscales</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Variables Macroeconómicas y Fiscales</w:t>
      </w:r>
    </w:p>
    <w:p w:rsidR="00205D69" w:rsidRPr="00205D69" w:rsidRDefault="00205D69" w:rsidP="00205D69">
      <w:pPr>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t>Desempeño de la Infraestructura en Guatemala</w:t>
      </w:r>
    </w:p>
    <w:p w:rsidR="00205D69" w:rsidRPr="000205D6" w:rsidRDefault="00205D69" w:rsidP="00205D69">
      <w:pPr>
        <w:jc w:val="both"/>
        <w:rPr>
          <w:rFonts w:eastAsia="Calibri"/>
          <w:sz w:val="36"/>
          <w:lang w:val="es-GT" w:eastAsia="en-US" w:bidi="en-US"/>
        </w:rPr>
      </w:pPr>
    </w:p>
    <w:p w:rsidR="00247449" w:rsidRDefault="00205D69" w:rsidP="00205D69">
      <w:pPr>
        <w:jc w:val="both"/>
        <w:rPr>
          <w:rFonts w:eastAsia="Calibri"/>
          <w:lang w:val="es-GT" w:eastAsia="en-US" w:bidi="en-US"/>
        </w:rPr>
      </w:pPr>
      <w:r w:rsidRPr="00205D69">
        <w:rPr>
          <w:rFonts w:eastAsia="Calibri"/>
          <w:lang w:val="es-GT" w:eastAsia="en-US" w:bidi="en-US"/>
        </w:rPr>
        <w:t>En los Talleres de Presupuesto Abierto se contó con la participación de más de 300 personas inscritas en el proceso; se realizó una convocatoria pública y abierta para la participación de tanques de pensamiento, academia, prensa, organismos internacionales y ciudadanos en general; se han contabilizado más de 400,000 reproducciones de los videos de los talleres grabados y publicados en las redes sociales; y hubo más de 150 participaciones de comentarios y propuestas recibidas para mejorar el proceso de la formulación del Presupuesto General de Ingresos y Egresos para el Ejercicio Fiscal 2022 y Multianual 2022-2026. Para consultar más detalles y conocer las presentaciones, se puede consultar el siguiente link:</w:t>
      </w:r>
    </w:p>
    <w:p w:rsidR="00247449" w:rsidRDefault="00247449" w:rsidP="00205D69">
      <w:pPr>
        <w:jc w:val="both"/>
        <w:rPr>
          <w:rFonts w:eastAsia="Calibri"/>
          <w:lang w:val="es-GT" w:eastAsia="en-US" w:bidi="en-US"/>
        </w:rPr>
      </w:pPr>
    </w:p>
    <w:p w:rsidR="00205D69" w:rsidRPr="00205D69" w:rsidRDefault="00A11D3B" w:rsidP="00205D69">
      <w:pPr>
        <w:jc w:val="both"/>
        <w:rPr>
          <w:rFonts w:eastAsia="Calibri"/>
          <w:lang w:val="es-GT" w:eastAsia="en-US" w:bidi="en-US"/>
        </w:rPr>
      </w:pPr>
      <w:hyperlink r:id="rId55" w:history="1">
        <w:r w:rsidR="00855BD4" w:rsidRPr="00C65AB4">
          <w:rPr>
            <w:rStyle w:val="Hipervnculo"/>
            <w:rFonts w:eastAsia="Calibri"/>
            <w:lang w:val="es-GT" w:eastAsia="en-US" w:bidi="en-US"/>
          </w:rPr>
          <w:t>https://presupuestoabierto.minfin.gob.gt/foros/</w:t>
        </w:r>
      </w:hyperlink>
      <w:r w:rsidR="00205D69" w:rsidRPr="00205D69">
        <w:rPr>
          <w:rFonts w:eastAsia="Calibri"/>
          <w:lang w:val="es-GT" w:eastAsia="en-US" w:bidi="en-US"/>
        </w:rPr>
        <w:t>.</w:t>
      </w:r>
    </w:p>
    <w:p w:rsidR="00205D69" w:rsidRPr="00205D69" w:rsidRDefault="00205D69" w:rsidP="00205D69">
      <w:pPr>
        <w:jc w:val="both"/>
        <w:rPr>
          <w:rFonts w:eastAsia="Calibri"/>
          <w:lang w:val="es-GT" w:eastAsia="en-US" w:bidi="en-US"/>
        </w:rPr>
      </w:pPr>
    </w:p>
    <w:p w:rsidR="00CC3F10" w:rsidRDefault="00CC3F10" w:rsidP="00C620A4">
      <w:pPr>
        <w:ind w:left="709" w:hanging="709"/>
        <w:jc w:val="both"/>
        <w:rPr>
          <w:rFonts w:eastAsia="Calibri"/>
          <w:sz w:val="32"/>
          <w:lang w:val="es-GT" w:eastAsia="en-US" w:bidi="en-US"/>
        </w:rPr>
      </w:pPr>
    </w:p>
    <w:p w:rsidR="000205D6" w:rsidRPr="000205D6" w:rsidRDefault="000205D6" w:rsidP="00C620A4">
      <w:pPr>
        <w:ind w:left="709" w:hanging="709"/>
        <w:jc w:val="both"/>
        <w:rPr>
          <w:rFonts w:eastAsia="Calibri"/>
          <w:lang w:val="es-GT" w:eastAsia="en-US" w:bidi="en-US"/>
        </w:rPr>
      </w:pPr>
    </w:p>
    <w:p w:rsidR="00C620A4" w:rsidRPr="00737F7C" w:rsidRDefault="00C620A4" w:rsidP="00C620A4">
      <w:pPr>
        <w:pStyle w:val="Ttulo2"/>
        <w:rPr>
          <w:rFonts w:ascii="Times New Roman" w:eastAsia="Calibri" w:hAnsi="Times New Roman"/>
          <w:color w:val="auto"/>
          <w:sz w:val="24"/>
          <w:szCs w:val="24"/>
          <w:lang w:val="es-GT" w:eastAsia="en-US" w:bidi="en-US"/>
        </w:rPr>
      </w:pPr>
      <w:bookmarkStart w:id="41" w:name="_Toc417992546"/>
      <w:bookmarkStart w:id="42" w:name="_Toc443491864"/>
      <w:bookmarkStart w:id="43" w:name="_Toc482339314"/>
      <w:bookmarkStart w:id="44" w:name="_Toc98924146"/>
      <w:r w:rsidRPr="00737F7C">
        <w:rPr>
          <w:rFonts w:ascii="Times New Roman" w:eastAsia="Calibri" w:hAnsi="Times New Roman"/>
          <w:color w:val="auto"/>
          <w:sz w:val="24"/>
          <w:szCs w:val="24"/>
          <w:lang w:val="es-GT" w:eastAsia="en-US" w:bidi="en-US"/>
        </w:rPr>
        <w:t>Gestión de Riesgos Fiscales</w:t>
      </w:r>
      <w:bookmarkEnd w:id="41"/>
      <w:bookmarkEnd w:id="42"/>
      <w:bookmarkEnd w:id="43"/>
      <w:bookmarkEnd w:id="44"/>
    </w:p>
    <w:p w:rsidR="00C7403B" w:rsidRDefault="00C7403B" w:rsidP="00C7403B">
      <w:pPr>
        <w:rPr>
          <w:rFonts w:eastAsia="Calibri"/>
          <w:lang w:val="es-GT" w:eastAsia="en-US" w:bidi="en-US"/>
        </w:rPr>
      </w:pPr>
    </w:p>
    <w:p w:rsidR="00CA5B77" w:rsidRDefault="00CA5B77" w:rsidP="00CA5B77">
      <w:pPr>
        <w:jc w:val="both"/>
        <w:rPr>
          <w:rFonts w:eastAsia="Calibri"/>
          <w:lang w:val="es-GT" w:eastAsia="en-US" w:bidi="en-US"/>
        </w:rPr>
      </w:pPr>
      <w:r w:rsidRPr="00CA5B77">
        <w:rPr>
          <w:rFonts w:eastAsia="Calibri"/>
          <w:lang w:val="es-GT" w:eastAsia="en-US" w:bidi="en-US"/>
        </w:rPr>
        <w:t>Como parte de los avances en materia de transparencia fiscal</w:t>
      </w:r>
      <w:r>
        <w:rPr>
          <w:rFonts w:eastAsia="Calibri"/>
          <w:lang w:val="es-GT" w:eastAsia="en-US" w:bidi="en-US"/>
        </w:rPr>
        <w:t>,</w:t>
      </w:r>
      <w:r w:rsidRPr="00CA5B77">
        <w:rPr>
          <w:rFonts w:eastAsia="Calibri"/>
          <w:lang w:val="es-GT" w:eastAsia="en-US" w:bidi="en-US"/>
        </w:rPr>
        <w:t xml:space="preserve"> el Ministerio de Finanzas Públicas</w:t>
      </w:r>
      <w:r>
        <w:rPr>
          <w:rFonts w:eastAsia="Calibri"/>
          <w:lang w:val="es-GT" w:eastAsia="en-US" w:bidi="en-US"/>
        </w:rPr>
        <w:t xml:space="preserve"> </w:t>
      </w:r>
      <w:r w:rsidRPr="00CA5B77">
        <w:rPr>
          <w:rFonts w:eastAsia="Calibri"/>
          <w:lang w:val="es-GT" w:eastAsia="en-US" w:bidi="en-US"/>
        </w:rPr>
        <w:t>ha asumido el compromiso de atender las recomendaciones em</w:t>
      </w:r>
      <w:r>
        <w:rPr>
          <w:rFonts w:eastAsia="Calibri"/>
          <w:lang w:val="es-GT" w:eastAsia="en-US" w:bidi="en-US"/>
        </w:rPr>
        <w:t xml:space="preserve">itidas por </w:t>
      </w:r>
      <w:r w:rsidRPr="00CA5B77">
        <w:rPr>
          <w:rFonts w:eastAsia="Calibri"/>
          <w:lang w:val="es-GT" w:eastAsia="en-US" w:bidi="en-US"/>
        </w:rPr>
        <w:t>el Fondo Monetario</w:t>
      </w:r>
      <w:r>
        <w:rPr>
          <w:rFonts w:eastAsia="Calibri"/>
          <w:lang w:val="es-GT" w:eastAsia="en-US" w:bidi="en-US"/>
        </w:rPr>
        <w:t xml:space="preserve"> </w:t>
      </w:r>
      <w:r w:rsidRPr="00CA5B77">
        <w:rPr>
          <w:rFonts w:eastAsia="Calibri"/>
          <w:lang w:val="es-GT" w:eastAsia="en-US" w:bidi="en-US"/>
        </w:rPr>
        <w:t xml:space="preserve">Internacional </w:t>
      </w:r>
      <w:r>
        <w:rPr>
          <w:rFonts w:eastAsia="Calibri"/>
          <w:lang w:val="es-GT" w:eastAsia="en-US" w:bidi="en-US"/>
        </w:rPr>
        <w:t>(</w:t>
      </w:r>
      <w:r w:rsidRPr="00CA5B77">
        <w:rPr>
          <w:rFonts w:eastAsia="Calibri"/>
          <w:lang w:val="es-GT" w:eastAsia="en-US" w:bidi="en-US"/>
        </w:rPr>
        <w:t>FMI</w:t>
      </w:r>
      <w:r>
        <w:rPr>
          <w:rFonts w:eastAsia="Calibri"/>
          <w:lang w:val="es-GT" w:eastAsia="en-US" w:bidi="en-US"/>
        </w:rPr>
        <w:t>), las</w:t>
      </w:r>
      <w:r w:rsidRPr="00CA5B77">
        <w:rPr>
          <w:rFonts w:eastAsia="Calibri"/>
          <w:lang w:val="es-GT" w:eastAsia="en-US" w:bidi="en-US"/>
        </w:rPr>
        <w:t xml:space="preserve"> que se originaron </w:t>
      </w:r>
      <w:r>
        <w:rPr>
          <w:rFonts w:eastAsia="Calibri"/>
          <w:lang w:val="es-GT" w:eastAsia="en-US" w:bidi="en-US"/>
        </w:rPr>
        <w:t>de</w:t>
      </w:r>
      <w:r w:rsidRPr="00CA5B77">
        <w:rPr>
          <w:rFonts w:eastAsia="Calibri"/>
          <w:lang w:val="es-GT" w:eastAsia="en-US" w:bidi="en-US"/>
        </w:rPr>
        <w:t xml:space="preserve"> la evaluación que efectuara en 2016</w:t>
      </w:r>
      <w:r>
        <w:rPr>
          <w:rFonts w:eastAsia="Calibri"/>
          <w:lang w:val="es-GT" w:eastAsia="en-US" w:bidi="en-US"/>
        </w:rPr>
        <w:t>,</w:t>
      </w:r>
      <w:r w:rsidRPr="00CA5B77">
        <w:rPr>
          <w:rFonts w:eastAsia="Calibri"/>
          <w:lang w:val="es-GT" w:eastAsia="en-US" w:bidi="en-US"/>
        </w:rPr>
        <w:t xml:space="preserve"> sobre</w:t>
      </w:r>
      <w:r>
        <w:rPr>
          <w:rFonts w:eastAsia="Calibri"/>
          <w:lang w:val="es-GT" w:eastAsia="en-US" w:bidi="en-US"/>
        </w:rPr>
        <w:t xml:space="preserve"> la aplicación del Código y Manual de Transparencia Fiscal</w:t>
      </w:r>
      <w:r w:rsidRPr="00CA5B77">
        <w:rPr>
          <w:rFonts w:eastAsia="Calibri"/>
          <w:lang w:val="es-GT" w:eastAsia="en-US" w:bidi="en-US"/>
        </w:rPr>
        <w:t>. De esa cuenta, se incluy</w:t>
      </w:r>
      <w:r w:rsidR="00742D67">
        <w:rPr>
          <w:rFonts w:eastAsia="Calibri"/>
          <w:lang w:val="es-GT" w:eastAsia="en-US" w:bidi="en-US"/>
        </w:rPr>
        <w:t>ó</w:t>
      </w:r>
      <w:r w:rsidRPr="00CA5B77">
        <w:rPr>
          <w:rFonts w:eastAsia="Calibri"/>
          <w:lang w:val="es-GT" w:eastAsia="en-US" w:bidi="en-US"/>
        </w:rPr>
        <w:t xml:space="preserve"> dentro del Presupuesto General de Ingresos y</w:t>
      </w:r>
      <w:r>
        <w:rPr>
          <w:rFonts w:eastAsia="Calibri"/>
          <w:lang w:val="es-GT" w:eastAsia="en-US" w:bidi="en-US"/>
        </w:rPr>
        <w:t xml:space="preserve"> </w:t>
      </w:r>
      <w:r w:rsidRPr="00CA5B77">
        <w:rPr>
          <w:rFonts w:eastAsia="Calibri"/>
          <w:lang w:val="es-GT" w:eastAsia="en-US" w:bidi="en-US"/>
        </w:rPr>
        <w:t xml:space="preserve">Egresos del Estado para el </w:t>
      </w:r>
      <w:r>
        <w:rPr>
          <w:rFonts w:eastAsia="Calibri"/>
          <w:lang w:val="es-GT" w:eastAsia="en-US" w:bidi="en-US"/>
        </w:rPr>
        <w:t>E</w:t>
      </w:r>
      <w:r w:rsidRPr="00CA5B77">
        <w:rPr>
          <w:rFonts w:eastAsia="Calibri"/>
          <w:lang w:val="es-GT" w:eastAsia="en-US" w:bidi="en-US"/>
        </w:rPr>
        <w:t xml:space="preserve">jercicio </w:t>
      </w:r>
      <w:r>
        <w:rPr>
          <w:rFonts w:eastAsia="Calibri"/>
          <w:lang w:val="es-GT" w:eastAsia="en-US" w:bidi="en-US"/>
        </w:rPr>
        <w:t>F</w:t>
      </w:r>
      <w:r w:rsidRPr="00CA5B77">
        <w:rPr>
          <w:rFonts w:eastAsia="Calibri"/>
          <w:lang w:val="es-GT" w:eastAsia="en-US" w:bidi="en-US"/>
        </w:rPr>
        <w:t xml:space="preserve">iscal 2022, </w:t>
      </w:r>
      <w:r>
        <w:rPr>
          <w:rFonts w:eastAsia="Calibri"/>
          <w:lang w:val="es-GT" w:eastAsia="en-US" w:bidi="en-US"/>
        </w:rPr>
        <w:t>una</w:t>
      </w:r>
      <w:r w:rsidRPr="00CA5B77">
        <w:rPr>
          <w:rFonts w:eastAsia="Calibri"/>
          <w:lang w:val="es-GT" w:eastAsia="en-US" w:bidi="en-US"/>
        </w:rPr>
        <w:t xml:space="preserve"> separata que identifica, analiza y</w:t>
      </w:r>
      <w:r>
        <w:rPr>
          <w:rFonts w:eastAsia="Calibri"/>
          <w:lang w:val="es-GT" w:eastAsia="en-US" w:bidi="en-US"/>
        </w:rPr>
        <w:t xml:space="preserve"> </w:t>
      </w:r>
      <w:r w:rsidRPr="00CA5B77">
        <w:rPr>
          <w:rFonts w:eastAsia="Calibri"/>
          <w:lang w:val="es-GT" w:eastAsia="en-US" w:bidi="en-US"/>
        </w:rPr>
        <w:t>evalúa los principales riesgos fiscales que pueden tener un impacto en el comportamiento de las</w:t>
      </w:r>
      <w:r>
        <w:rPr>
          <w:rFonts w:eastAsia="Calibri"/>
          <w:lang w:val="es-GT" w:eastAsia="en-US" w:bidi="en-US"/>
        </w:rPr>
        <w:t xml:space="preserve"> </w:t>
      </w:r>
      <w:r w:rsidRPr="00CA5B77">
        <w:rPr>
          <w:rFonts w:eastAsia="Calibri"/>
          <w:lang w:val="es-GT" w:eastAsia="en-US" w:bidi="en-US"/>
        </w:rPr>
        <w:t>principales variables económicas y de las finanzas públicas en particular, así como en la</w:t>
      </w:r>
      <w:r>
        <w:rPr>
          <w:rFonts w:eastAsia="Calibri"/>
          <w:lang w:val="es-GT" w:eastAsia="en-US" w:bidi="en-US"/>
        </w:rPr>
        <w:t xml:space="preserve"> </w:t>
      </w:r>
      <w:r w:rsidRPr="00CA5B77">
        <w:rPr>
          <w:rFonts w:eastAsia="Calibri"/>
          <w:lang w:val="es-GT" w:eastAsia="en-US" w:bidi="en-US"/>
        </w:rPr>
        <w:t>sostenibilidad de la deuda pública y por ende en la estabilidad macroeconómica del país en el</w:t>
      </w:r>
      <w:r>
        <w:rPr>
          <w:rFonts w:eastAsia="Calibri"/>
          <w:lang w:val="es-GT" w:eastAsia="en-US" w:bidi="en-US"/>
        </w:rPr>
        <w:t xml:space="preserve"> </w:t>
      </w:r>
      <w:r w:rsidRPr="00CA5B77">
        <w:rPr>
          <w:rFonts w:eastAsia="Calibri"/>
          <w:lang w:val="es-GT" w:eastAsia="en-US" w:bidi="en-US"/>
        </w:rPr>
        <w:t>corto y mediano plazo.</w:t>
      </w:r>
    </w:p>
    <w:p w:rsidR="00CA5B77" w:rsidRPr="00CA5B77" w:rsidRDefault="00CA5B77" w:rsidP="00CA5B77">
      <w:pPr>
        <w:jc w:val="both"/>
        <w:rPr>
          <w:rFonts w:eastAsia="Calibri"/>
          <w:lang w:val="es-GT" w:eastAsia="en-US" w:bidi="en-US"/>
        </w:rPr>
      </w:pPr>
    </w:p>
    <w:p w:rsidR="00CA5B77" w:rsidRDefault="00CA5B77" w:rsidP="00CA5B77">
      <w:pPr>
        <w:jc w:val="both"/>
        <w:rPr>
          <w:rFonts w:eastAsia="Calibri"/>
          <w:lang w:val="es-GT" w:eastAsia="en-US" w:bidi="en-US"/>
        </w:rPr>
      </w:pPr>
      <w:r w:rsidRPr="00CA5B77">
        <w:rPr>
          <w:rFonts w:eastAsia="Calibri"/>
          <w:lang w:val="es-GT" w:eastAsia="en-US" w:bidi="en-US"/>
        </w:rPr>
        <w:t>El análisis de la gestión de riesgos fiscales es muy importante para un gobierno</w:t>
      </w:r>
      <w:r>
        <w:rPr>
          <w:rFonts w:eastAsia="Calibri"/>
          <w:lang w:val="es-GT" w:eastAsia="en-US" w:bidi="en-US"/>
        </w:rPr>
        <w:t>, con el propósito de</w:t>
      </w:r>
      <w:r w:rsidRPr="00CA5B77">
        <w:rPr>
          <w:rFonts w:eastAsia="Calibri"/>
          <w:lang w:val="es-GT" w:eastAsia="en-US" w:bidi="en-US"/>
        </w:rPr>
        <w:t xml:space="preserve"> determinar</w:t>
      </w:r>
      <w:r>
        <w:rPr>
          <w:rFonts w:eastAsia="Calibri"/>
          <w:lang w:val="es-GT" w:eastAsia="en-US" w:bidi="en-US"/>
        </w:rPr>
        <w:t xml:space="preserve"> </w:t>
      </w:r>
      <w:r w:rsidRPr="00CA5B77">
        <w:rPr>
          <w:rFonts w:eastAsia="Calibri"/>
          <w:lang w:val="es-GT" w:eastAsia="en-US" w:bidi="en-US"/>
        </w:rPr>
        <w:t>la vulnerabilidad que existe ante la ocurrencia de determinados eventos que podrían incidir en su</w:t>
      </w:r>
      <w:r>
        <w:rPr>
          <w:rFonts w:eastAsia="Calibri"/>
          <w:lang w:val="es-GT" w:eastAsia="en-US" w:bidi="en-US"/>
        </w:rPr>
        <w:t xml:space="preserve"> </w:t>
      </w:r>
      <w:r w:rsidRPr="00CA5B77">
        <w:rPr>
          <w:rFonts w:eastAsia="Calibri"/>
          <w:lang w:val="es-GT" w:eastAsia="en-US" w:bidi="en-US"/>
        </w:rPr>
        <w:t>desarrollo, los cuales normalmente son de naturaleza exógena como las incidencias en el</w:t>
      </w:r>
      <w:r>
        <w:rPr>
          <w:rFonts w:eastAsia="Calibri"/>
          <w:lang w:val="es-GT" w:eastAsia="en-US" w:bidi="en-US"/>
        </w:rPr>
        <w:t xml:space="preserve"> </w:t>
      </w:r>
      <w:r w:rsidRPr="00CA5B77">
        <w:rPr>
          <w:rFonts w:eastAsia="Calibri"/>
          <w:lang w:val="es-GT" w:eastAsia="en-US" w:bidi="en-US"/>
        </w:rPr>
        <w:t>comercio internacional, la volatilidad de los mercados financieros, la fragilidad de las economías</w:t>
      </w:r>
      <w:r>
        <w:rPr>
          <w:rFonts w:eastAsia="Calibri"/>
          <w:lang w:val="es-GT" w:eastAsia="en-US" w:bidi="en-US"/>
        </w:rPr>
        <w:t xml:space="preserve"> </w:t>
      </w:r>
      <w:r w:rsidRPr="00CA5B77">
        <w:rPr>
          <w:rFonts w:eastAsia="Calibri"/>
          <w:lang w:val="es-GT" w:eastAsia="en-US" w:bidi="en-US"/>
        </w:rPr>
        <w:t>ante desastres climatológicos, así como la posible materialización de algunos pasivos</w:t>
      </w:r>
      <w:r>
        <w:rPr>
          <w:rFonts w:eastAsia="Calibri"/>
          <w:lang w:val="es-GT" w:eastAsia="en-US" w:bidi="en-US"/>
        </w:rPr>
        <w:t xml:space="preserve"> </w:t>
      </w:r>
      <w:r w:rsidRPr="00CA5B77">
        <w:rPr>
          <w:rFonts w:eastAsia="Calibri"/>
          <w:lang w:val="es-GT" w:eastAsia="en-US" w:bidi="en-US"/>
        </w:rPr>
        <w:t xml:space="preserve">contingentes; </w:t>
      </w:r>
      <w:r w:rsidR="00737F7C">
        <w:rPr>
          <w:rFonts w:eastAsia="Calibri"/>
          <w:lang w:val="es-GT" w:eastAsia="en-US" w:bidi="en-US"/>
        </w:rPr>
        <w:t>e</w:t>
      </w:r>
      <w:r w:rsidRPr="00CA5B77">
        <w:rPr>
          <w:rFonts w:eastAsia="Calibri"/>
          <w:lang w:val="es-GT" w:eastAsia="en-US" w:bidi="en-US"/>
        </w:rPr>
        <w:t>stos son la muestra de una gama de sucesos que pueden incidir en la posición</w:t>
      </w:r>
      <w:r>
        <w:rPr>
          <w:rFonts w:eastAsia="Calibri"/>
          <w:lang w:val="es-GT" w:eastAsia="en-US" w:bidi="en-US"/>
        </w:rPr>
        <w:t xml:space="preserve"> </w:t>
      </w:r>
      <w:r w:rsidRPr="00CA5B77">
        <w:rPr>
          <w:rFonts w:eastAsia="Calibri"/>
          <w:lang w:val="es-GT" w:eastAsia="en-US" w:bidi="en-US"/>
        </w:rPr>
        <w:t>fiscal del gobierno en un momento determinado.</w:t>
      </w:r>
    </w:p>
    <w:p w:rsidR="00CA5B77" w:rsidRPr="00CA5B77" w:rsidRDefault="00CA5B77" w:rsidP="00CA5B77">
      <w:pPr>
        <w:jc w:val="both"/>
        <w:rPr>
          <w:rFonts w:eastAsia="Calibri"/>
          <w:lang w:val="es-GT" w:eastAsia="en-US" w:bidi="en-US"/>
        </w:rPr>
      </w:pPr>
    </w:p>
    <w:p w:rsidR="00DD7DBC" w:rsidRDefault="00CA5B77" w:rsidP="00CA5B77">
      <w:pPr>
        <w:jc w:val="both"/>
        <w:rPr>
          <w:rFonts w:eastAsia="Calibri"/>
          <w:lang w:val="es-GT" w:eastAsia="en-US" w:bidi="en-US"/>
        </w:rPr>
      </w:pPr>
      <w:r w:rsidRPr="00CA5B77">
        <w:rPr>
          <w:rFonts w:eastAsia="Calibri"/>
          <w:lang w:val="es-GT" w:eastAsia="en-US" w:bidi="en-US"/>
        </w:rPr>
        <w:t>En este sentido, el Ministerio de Finanzas Públicas ha avanzado durante los últimos años en la</w:t>
      </w:r>
      <w:r>
        <w:rPr>
          <w:rFonts w:eastAsia="Calibri"/>
          <w:lang w:val="es-GT" w:eastAsia="en-US" w:bidi="en-US"/>
        </w:rPr>
        <w:t xml:space="preserve"> </w:t>
      </w:r>
      <w:r w:rsidRPr="00CA5B77">
        <w:rPr>
          <w:rFonts w:eastAsia="Calibri"/>
          <w:lang w:val="es-GT" w:eastAsia="en-US" w:bidi="en-US"/>
        </w:rPr>
        <w:t>inclusión de este tipo de análisis</w:t>
      </w:r>
      <w:r>
        <w:rPr>
          <w:rFonts w:eastAsia="Calibri"/>
          <w:lang w:val="es-GT" w:eastAsia="en-US" w:bidi="en-US"/>
        </w:rPr>
        <w:t>,</w:t>
      </w:r>
      <w:r w:rsidRPr="00CA5B77">
        <w:rPr>
          <w:rFonts w:eastAsia="Calibri"/>
          <w:lang w:val="es-GT" w:eastAsia="en-US" w:bidi="en-US"/>
        </w:rPr>
        <w:t xml:space="preserve"> ya que se considera importante el adecuado manejo de la gestión</w:t>
      </w:r>
      <w:r>
        <w:rPr>
          <w:rFonts w:eastAsia="Calibri"/>
          <w:lang w:val="es-GT" w:eastAsia="en-US" w:bidi="en-US"/>
        </w:rPr>
        <w:t xml:space="preserve"> </w:t>
      </w:r>
      <w:r w:rsidRPr="00CA5B77">
        <w:rPr>
          <w:rFonts w:eastAsia="Calibri"/>
          <w:lang w:val="es-GT" w:eastAsia="en-US" w:bidi="en-US"/>
        </w:rPr>
        <w:t>de riesgos, desde la identificación de los riesgos fiscales, incluyendo el análisis y cuantificación</w:t>
      </w:r>
      <w:r>
        <w:rPr>
          <w:rFonts w:eastAsia="Calibri"/>
          <w:lang w:val="es-GT" w:eastAsia="en-US" w:bidi="en-US"/>
        </w:rPr>
        <w:t xml:space="preserve"> </w:t>
      </w:r>
      <w:r w:rsidRPr="00CA5B77">
        <w:rPr>
          <w:rFonts w:eastAsia="Calibri"/>
          <w:lang w:val="es-GT" w:eastAsia="en-US" w:bidi="en-US"/>
        </w:rPr>
        <w:t>de sus posibles impactos, así como la inclusión de medidas de política orientadas a la creación de</w:t>
      </w:r>
      <w:r>
        <w:rPr>
          <w:rFonts w:eastAsia="Calibri"/>
          <w:lang w:val="es-GT" w:eastAsia="en-US" w:bidi="en-US"/>
        </w:rPr>
        <w:t xml:space="preserve"> </w:t>
      </w:r>
      <w:r w:rsidRPr="00CA5B77">
        <w:rPr>
          <w:rFonts w:eastAsia="Calibri"/>
          <w:lang w:val="es-GT" w:eastAsia="en-US" w:bidi="en-US"/>
        </w:rPr>
        <w:t>instrumentos que permitan facilitar la toma de decisiones y administrar el riesgo de manera inter</w:t>
      </w:r>
      <w:r>
        <w:rPr>
          <w:rFonts w:eastAsia="Calibri"/>
          <w:lang w:val="es-GT" w:eastAsia="en-US" w:bidi="en-US"/>
        </w:rPr>
        <w:t xml:space="preserve"> </w:t>
      </w:r>
      <w:r w:rsidRPr="00CA5B77">
        <w:rPr>
          <w:rFonts w:eastAsia="Calibri"/>
          <w:lang w:val="es-GT" w:eastAsia="en-US" w:bidi="en-US"/>
        </w:rPr>
        <w:t>temporal</w:t>
      </w:r>
      <w:r>
        <w:rPr>
          <w:rFonts w:eastAsia="Calibri"/>
          <w:lang w:val="es-GT" w:eastAsia="en-US" w:bidi="en-US"/>
        </w:rPr>
        <w:t>,</w:t>
      </w:r>
      <w:r w:rsidRPr="00CA5B77">
        <w:rPr>
          <w:rFonts w:eastAsia="Calibri"/>
          <w:lang w:val="es-GT" w:eastAsia="en-US" w:bidi="en-US"/>
        </w:rPr>
        <w:t xml:space="preserve"> identificando las medidas de mitigación, tales como</w:t>
      </w:r>
      <w:r>
        <w:rPr>
          <w:rFonts w:eastAsia="Calibri"/>
          <w:lang w:val="es-GT" w:eastAsia="en-US" w:bidi="en-US"/>
        </w:rPr>
        <w:t>,</w:t>
      </w:r>
      <w:r w:rsidRPr="00CA5B77">
        <w:rPr>
          <w:rFonts w:eastAsia="Calibri"/>
          <w:lang w:val="es-GT" w:eastAsia="en-US" w:bidi="en-US"/>
        </w:rPr>
        <w:t xml:space="preserve"> controles directos </w:t>
      </w:r>
      <w:r w:rsidR="0083053F">
        <w:rPr>
          <w:rFonts w:eastAsia="Calibri"/>
          <w:lang w:val="es-GT" w:eastAsia="en-US" w:bidi="en-US"/>
        </w:rPr>
        <w:t>a</w:t>
      </w:r>
      <w:r w:rsidRPr="00CA5B77">
        <w:rPr>
          <w:rFonts w:eastAsia="Calibri"/>
          <w:lang w:val="es-GT" w:eastAsia="en-US" w:bidi="en-US"/>
        </w:rPr>
        <w:t xml:space="preserve"> los límites de</w:t>
      </w:r>
      <w:r>
        <w:rPr>
          <w:rFonts w:eastAsia="Calibri"/>
          <w:lang w:val="es-GT" w:eastAsia="en-US" w:bidi="en-US"/>
        </w:rPr>
        <w:t xml:space="preserve"> </w:t>
      </w:r>
      <w:r w:rsidRPr="00CA5B77">
        <w:rPr>
          <w:rFonts w:eastAsia="Calibri"/>
          <w:lang w:val="es-GT" w:eastAsia="en-US" w:bidi="en-US"/>
        </w:rPr>
        <w:t>exposición, elaboración de estrategias para la gestión de riesgos financieros, regulaciones y otras</w:t>
      </w:r>
      <w:r>
        <w:rPr>
          <w:rFonts w:eastAsia="Calibri"/>
          <w:lang w:val="es-GT" w:eastAsia="en-US" w:bidi="en-US"/>
        </w:rPr>
        <w:t xml:space="preserve"> </w:t>
      </w:r>
      <w:r w:rsidRPr="00CA5B77">
        <w:rPr>
          <w:rFonts w:eastAsia="Calibri"/>
          <w:lang w:val="es-GT" w:eastAsia="en-US" w:bidi="en-US"/>
        </w:rPr>
        <w:t>medidas y mecanismos para transferir o compartir el riesgo.</w:t>
      </w:r>
    </w:p>
    <w:p w:rsidR="00DD7DBC" w:rsidRPr="005E1672" w:rsidRDefault="00DD7DBC" w:rsidP="00CA5B77">
      <w:pPr>
        <w:jc w:val="both"/>
        <w:rPr>
          <w:rFonts w:eastAsia="Calibri"/>
          <w:sz w:val="32"/>
          <w:lang w:val="es-GT" w:eastAsia="en-US" w:bidi="en-US"/>
        </w:rPr>
      </w:pPr>
    </w:p>
    <w:p w:rsidR="00376DEE" w:rsidRPr="005E1672" w:rsidRDefault="00376DEE" w:rsidP="00C7403B">
      <w:pPr>
        <w:pStyle w:val="Sinespaciado"/>
        <w:jc w:val="both"/>
        <w:rPr>
          <w:rFonts w:ascii="Times New Roman" w:hAnsi="Times New Roman" w:cs="Times New Roman"/>
          <w:sz w:val="32"/>
          <w:lang w:val="es-GT"/>
        </w:rPr>
      </w:pPr>
    </w:p>
    <w:p w:rsidR="00545B40" w:rsidRPr="00282087" w:rsidRDefault="006A76FE" w:rsidP="00545B40">
      <w:pPr>
        <w:pStyle w:val="Ttulo2"/>
        <w:rPr>
          <w:rFonts w:ascii="Times New Roman" w:eastAsia="Calibri" w:hAnsi="Times New Roman"/>
          <w:color w:val="auto"/>
          <w:sz w:val="24"/>
          <w:szCs w:val="24"/>
          <w:lang w:val="es-GT" w:eastAsia="en-US" w:bidi="en-US"/>
        </w:rPr>
      </w:pPr>
      <w:bookmarkStart w:id="45" w:name="_Toc98924147"/>
      <w:r w:rsidRPr="00282087">
        <w:rPr>
          <w:rFonts w:ascii="Times New Roman" w:eastAsia="Calibri" w:hAnsi="Times New Roman"/>
          <w:color w:val="auto"/>
          <w:sz w:val="24"/>
          <w:szCs w:val="24"/>
          <w:lang w:val="es-GT" w:eastAsia="en-US" w:bidi="en-US"/>
        </w:rPr>
        <w:t xml:space="preserve">Otras </w:t>
      </w:r>
      <w:r w:rsidR="00943D8C">
        <w:rPr>
          <w:rFonts w:ascii="Times New Roman" w:eastAsia="Calibri" w:hAnsi="Times New Roman"/>
          <w:color w:val="auto"/>
          <w:sz w:val="24"/>
          <w:szCs w:val="24"/>
          <w:lang w:val="es-GT" w:eastAsia="en-US" w:bidi="en-US"/>
        </w:rPr>
        <w:t>A</w:t>
      </w:r>
      <w:r w:rsidRPr="00282087">
        <w:rPr>
          <w:rFonts w:ascii="Times New Roman" w:eastAsia="Calibri" w:hAnsi="Times New Roman"/>
          <w:color w:val="auto"/>
          <w:sz w:val="24"/>
          <w:szCs w:val="24"/>
          <w:lang w:val="es-GT" w:eastAsia="en-US" w:bidi="en-US"/>
        </w:rPr>
        <w:t xml:space="preserve">cciones que </w:t>
      </w:r>
      <w:r w:rsidR="00943D8C">
        <w:rPr>
          <w:rFonts w:ascii="Times New Roman" w:eastAsia="Calibri" w:hAnsi="Times New Roman"/>
          <w:color w:val="auto"/>
          <w:sz w:val="24"/>
          <w:szCs w:val="24"/>
          <w:lang w:val="es-GT" w:eastAsia="en-US" w:bidi="en-US"/>
        </w:rPr>
        <w:t>P</w:t>
      </w:r>
      <w:r w:rsidRPr="00282087">
        <w:rPr>
          <w:rFonts w:ascii="Times New Roman" w:eastAsia="Calibri" w:hAnsi="Times New Roman"/>
          <w:color w:val="auto"/>
          <w:sz w:val="24"/>
          <w:szCs w:val="24"/>
          <w:lang w:val="es-GT" w:eastAsia="en-US" w:bidi="en-US"/>
        </w:rPr>
        <w:t xml:space="preserve">romueven la </w:t>
      </w:r>
      <w:r w:rsidR="00943D8C">
        <w:rPr>
          <w:rFonts w:ascii="Times New Roman" w:eastAsia="Calibri" w:hAnsi="Times New Roman"/>
          <w:color w:val="auto"/>
          <w:sz w:val="24"/>
          <w:szCs w:val="24"/>
          <w:lang w:val="es-GT" w:eastAsia="en-US" w:bidi="en-US"/>
        </w:rPr>
        <w:t>T</w:t>
      </w:r>
      <w:r w:rsidRPr="00282087">
        <w:rPr>
          <w:rFonts w:ascii="Times New Roman" w:eastAsia="Calibri" w:hAnsi="Times New Roman"/>
          <w:color w:val="auto"/>
          <w:sz w:val="24"/>
          <w:szCs w:val="24"/>
          <w:lang w:val="es-GT" w:eastAsia="en-US" w:bidi="en-US"/>
        </w:rPr>
        <w:t xml:space="preserve">ransparencia </w:t>
      </w:r>
      <w:r w:rsidR="00943D8C">
        <w:rPr>
          <w:rFonts w:ascii="Times New Roman" w:eastAsia="Calibri" w:hAnsi="Times New Roman"/>
          <w:color w:val="auto"/>
          <w:sz w:val="24"/>
          <w:szCs w:val="24"/>
          <w:lang w:val="es-GT" w:eastAsia="en-US" w:bidi="en-US"/>
        </w:rPr>
        <w:t>F</w:t>
      </w:r>
      <w:r w:rsidRPr="00282087">
        <w:rPr>
          <w:rFonts w:ascii="Times New Roman" w:eastAsia="Calibri" w:hAnsi="Times New Roman"/>
          <w:color w:val="auto"/>
          <w:sz w:val="24"/>
          <w:szCs w:val="24"/>
          <w:lang w:val="es-GT" w:eastAsia="en-US" w:bidi="en-US"/>
        </w:rPr>
        <w:t>iscal</w:t>
      </w:r>
      <w:bookmarkEnd w:id="45"/>
    </w:p>
    <w:p w:rsidR="00545B40" w:rsidRDefault="00545B40" w:rsidP="00C7403B">
      <w:pPr>
        <w:pStyle w:val="Sinespaciado"/>
        <w:jc w:val="both"/>
        <w:rPr>
          <w:rFonts w:ascii="Times New Roman" w:hAnsi="Times New Roman" w:cs="Times New Roman"/>
          <w:lang w:val="es-GT"/>
        </w:rPr>
      </w:pPr>
    </w:p>
    <w:p w:rsidR="008C440C" w:rsidRDefault="00F50C59" w:rsidP="00F50C59">
      <w:pPr>
        <w:jc w:val="both"/>
        <w:rPr>
          <w:rFonts w:eastAsia="Calibri"/>
          <w:lang w:val="es-GT" w:eastAsia="en-US" w:bidi="en-US"/>
        </w:rPr>
      </w:pPr>
      <w:r w:rsidRPr="00205D69">
        <w:rPr>
          <w:rFonts w:eastAsia="Calibri"/>
          <w:lang w:val="es-GT" w:eastAsia="en-US" w:bidi="en-US"/>
        </w:rPr>
        <w:t>Por otra parte, y con el propósito de transparentar la ejecución y destino de los recursos públicos invertidos para la atención de la pandemia del Covid-19, el Congreso de la República de Guatemala</w:t>
      </w:r>
      <w:r w:rsidR="008C440C">
        <w:rPr>
          <w:rFonts w:eastAsia="Calibri"/>
          <w:lang w:val="es-GT" w:eastAsia="en-US" w:bidi="en-US"/>
        </w:rPr>
        <w:t>,</w:t>
      </w:r>
      <w:r w:rsidRPr="00205D69">
        <w:rPr>
          <w:rFonts w:eastAsia="Calibri"/>
          <w:lang w:val="es-GT" w:eastAsia="en-US" w:bidi="en-US"/>
        </w:rPr>
        <w:t xml:space="preserve"> por medio del Decreto No. 11-2021 publicado en el Diario de Centro América el 21 de septiembre de 2021, aprobó la Ley de Emergencia Nacional para la Atención de la Pandemia Covid-19, y su Reglamento contenido en el Acuerdo Gubernativo No. 197-2021 (</w:t>
      </w:r>
      <w:hyperlink r:id="rId56" w:history="1">
        <w:r w:rsidRPr="00C65AB4">
          <w:rPr>
            <w:rStyle w:val="Hipervnculo"/>
            <w:rFonts w:eastAsia="Calibri"/>
            <w:lang w:val="es-GT" w:eastAsia="en-US" w:bidi="en-US"/>
          </w:rPr>
          <w:t>https://www.minfin.gob.gt/images/covid19_acuerdo112021/documentos/Decreto_Numero_11-2021.pdf</w:t>
        </w:r>
      </w:hyperlink>
      <w:r w:rsidRPr="00205D69">
        <w:rPr>
          <w:rFonts w:eastAsia="Calibri"/>
          <w:lang w:val="es-GT" w:eastAsia="en-US" w:bidi="en-US"/>
        </w:rPr>
        <w:t xml:space="preserve">) que contienen las disposiciones legales para la adquisición en el mercado nacional e internacional de medicamentos, bienes, suministros, servicios, material médico-quirúrgico, obras de ampliación y acondicionamiento de los servicios públicos de salud, así como la contratación de servicios técnicos y profesionales temporales destinados para desarrollar acciones relacionadas al control de la pandemia y atención de los pacientes contagiados por el </w:t>
      </w:r>
      <w:r w:rsidR="008C440C">
        <w:rPr>
          <w:rFonts w:eastAsia="Calibri"/>
          <w:lang w:val="es-GT" w:eastAsia="en-US" w:bidi="en-US"/>
        </w:rPr>
        <w:t xml:space="preserve">coronavirus del </w:t>
      </w:r>
      <w:r w:rsidRPr="00205D69">
        <w:rPr>
          <w:rFonts w:eastAsia="Calibri"/>
          <w:lang w:val="es-GT" w:eastAsia="en-US" w:bidi="en-US"/>
        </w:rPr>
        <w:t>Covid-19.</w:t>
      </w:r>
    </w:p>
    <w:p w:rsidR="008C440C" w:rsidRDefault="008C440C" w:rsidP="00F50C59">
      <w:pPr>
        <w:jc w:val="both"/>
        <w:rPr>
          <w:rFonts w:eastAsia="Calibri"/>
          <w:lang w:val="es-GT" w:eastAsia="en-US" w:bidi="en-US"/>
        </w:rPr>
      </w:pPr>
    </w:p>
    <w:p w:rsidR="00E7696F" w:rsidRDefault="00F50C59" w:rsidP="00F50C59">
      <w:pPr>
        <w:jc w:val="both"/>
        <w:rPr>
          <w:rFonts w:eastAsia="Calibri"/>
          <w:lang w:val="es-GT" w:eastAsia="en-US" w:bidi="en-US"/>
        </w:rPr>
      </w:pPr>
      <w:r w:rsidRPr="00205D69">
        <w:rPr>
          <w:rFonts w:eastAsia="Calibri"/>
          <w:lang w:val="es-GT" w:eastAsia="en-US" w:bidi="en-US"/>
        </w:rPr>
        <w:t>Asimismo, como mecanismo de control y rendición de cuentas para la ejecución transparente de dichos recursos, el Ministerio de Finanzas Públicas desarrolló un Tablero de Control que tiene por objeto facilitar el seguimiento y auditoría social al gasto público, filtrando información de los sistemas financieros, contables y de compras. Para mayor detalle o búsquedas especializadas puede consultarse directamente en el siguiente link:</w:t>
      </w:r>
    </w:p>
    <w:p w:rsidR="00F50C59" w:rsidRPr="00205D69" w:rsidRDefault="00A11D3B" w:rsidP="00F50C59">
      <w:pPr>
        <w:jc w:val="both"/>
        <w:rPr>
          <w:rFonts w:eastAsia="Calibri"/>
          <w:lang w:val="es-GT" w:eastAsia="en-US" w:bidi="en-US"/>
        </w:rPr>
      </w:pPr>
      <w:hyperlink r:id="rId57" w:history="1">
        <w:r w:rsidR="00F50C59" w:rsidRPr="00C65AB4">
          <w:rPr>
            <w:rStyle w:val="Hipervnculo"/>
            <w:rFonts w:eastAsia="Calibri"/>
            <w:lang w:val="es-GT" w:eastAsia="en-US" w:bidi="en-US"/>
          </w:rPr>
          <w:t>https://www.minfin.gob.gt/index.php?option=com_content&amp;view=article&amp;id=7306&amp;catid=2</w:t>
        </w:r>
      </w:hyperlink>
      <w:r w:rsidR="00F50C59" w:rsidRPr="00205D69">
        <w:rPr>
          <w:rFonts w:eastAsia="Calibri"/>
          <w:lang w:val="es-GT" w:eastAsia="en-US" w:bidi="en-US"/>
        </w:rPr>
        <w:t>.</w:t>
      </w:r>
    </w:p>
    <w:p w:rsidR="00F50C59" w:rsidRPr="005E1672" w:rsidRDefault="00F50C59" w:rsidP="00F50C59">
      <w:pPr>
        <w:jc w:val="both"/>
        <w:rPr>
          <w:rFonts w:eastAsia="Calibri"/>
          <w:sz w:val="32"/>
          <w:lang w:val="es-GT" w:eastAsia="en-US" w:bidi="en-US"/>
        </w:rPr>
      </w:pPr>
    </w:p>
    <w:p w:rsidR="00E7696F" w:rsidRDefault="00F50C59" w:rsidP="00F50C59">
      <w:pPr>
        <w:jc w:val="both"/>
        <w:rPr>
          <w:rFonts w:eastAsia="Calibri"/>
          <w:lang w:val="es-GT" w:eastAsia="en-US" w:bidi="en-US"/>
        </w:rPr>
      </w:pPr>
      <w:r w:rsidRPr="00205D69">
        <w:rPr>
          <w:rFonts w:eastAsia="Calibri"/>
          <w:lang w:val="es-GT" w:eastAsia="en-US" w:bidi="en-US"/>
        </w:rPr>
        <w:t>Así también, en el 2021 el Ministerio de Finanzas Públicas con el propósito de implementar medidas de transparencia y calidad del gasto público en la ejecución de los recursos del Estado, gestionó la aprobación del Acuerdo Gubernativo No. 50-2021 que contiene las Medidas y Lineamientos de Control que Mejoren el Gasto Público y Transparencia del Presupuesto para el Ejercicio Fiscal 2021, con lineamientos de control obligatorio para la Presidencia de la República, Ministerios de Estado, Secretarías y Otras Dependencias del Ejecutivo, Procuraduría General de la Nación y Entidades Descentralizadas que reciben aportes de la Administración Central. Este Acuerdo puede ser consultado en el siguiente link:</w:t>
      </w:r>
    </w:p>
    <w:p w:rsidR="00F50C59" w:rsidRPr="00205D69" w:rsidRDefault="00A11D3B" w:rsidP="00F50C59">
      <w:pPr>
        <w:jc w:val="both"/>
        <w:rPr>
          <w:rFonts w:eastAsia="Calibri"/>
          <w:lang w:val="es-GT" w:eastAsia="en-US" w:bidi="en-US"/>
        </w:rPr>
      </w:pPr>
      <w:hyperlink r:id="rId58" w:history="1">
        <w:r w:rsidR="00F50C59" w:rsidRPr="00C65AB4">
          <w:rPr>
            <w:rStyle w:val="Hipervnculo"/>
            <w:rFonts w:eastAsia="Calibri"/>
            <w:lang w:val="es-GT" w:eastAsia="en-US" w:bidi="en-US"/>
          </w:rPr>
          <w:t>https://www.minfin.gob.gt/images/archivos/transparencia/ag-50-21.pdf</w:t>
        </w:r>
      </w:hyperlink>
      <w:r w:rsidR="00F50C59" w:rsidRPr="00205D69">
        <w:rPr>
          <w:rFonts w:eastAsia="Calibri"/>
          <w:lang w:val="es-GT" w:eastAsia="en-US" w:bidi="en-US"/>
        </w:rPr>
        <w:t>.</w:t>
      </w:r>
    </w:p>
    <w:p w:rsidR="00F50C59" w:rsidRPr="005E1672" w:rsidRDefault="00F50C59" w:rsidP="00F50C59">
      <w:pPr>
        <w:jc w:val="both"/>
        <w:rPr>
          <w:rFonts w:eastAsia="Calibri"/>
          <w:sz w:val="32"/>
          <w:lang w:val="es-GT" w:eastAsia="en-US" w:bidi="en-US"/>
        </w:rPr>
      </w:pPr>
    </w:p>
    <w:p w:rsidR="00F50C59" w:rsidRDefault="00F50C59" w:rsidP="00F50C59">
      <w:pPr>
        <w:jc w:val="both"/>
        <w:rPr>
          <w:rFonts w:eastAsia="Calibri"/>
          <w:lang w:val="es-GT" w:eastAsia="en-US" w:bidi="en-US"/>
        </w:rPr>
      </w:pPr>
      <w:r w:rsidRPr="00205D69">
        <w:rPr>
          <w:rFonts w:eastAsia="Calibri"/>
          <w:lang w:val="es-GT" w:eastAsia="en-US" w:bidi="en-US"/>
        </w:rPr>
        <w:t xml:space="preserve">Además, ya constituye una buena práctica del Ministerio de Finanzas Públicas, que anualmente se incluye un apartado sobre Transparencia y Calidad del Gasto en la elaboración del borrador de Decreto que aprueba el Presupuesto General de Ingresos y Egresos del Estado para el Ejercicio Fiscal que corresponda, cuyas normas son de observancia obligatoria para las entidades públicas. Para el presente año, el Congreso de la República de Guatemala mediante el Decreto No. 16-2021 aprobó la Ley del Presupuesto General de Ingresos y Egresos del Estado para el Ejercicio Fiscal 2022, el cual en su Capítulo III contiene una serie de artículos que contribuyen al fomento de la transparencia fiscal, mismo que puede consultarse en el siguiente link: </w:t>
      </w:r>
      <w:hyperlink r:id="rId59" w:history="1">
        <w:r w:rsidRPr="00C65AB4">
          <w:rPr>
            <w:rStyle w:val="Hipervnculo"/>
            <w:rFonts w:eastAsia="Calibri"/>
            <w:lang w:val="es-GT" w:eastAsia="en-US" w:bidi="en-US"/>
          </w:rPr>
          <w:t>https://www.minfin.gob.gt/images/archivos/presua2022/Inicio%201.htm</w:t>
        </w:r>
      </w:hyperlink>
      <w:r w:rsidRPr="00205D69">
        <w:rPr>
          <w:rFonts w:eastAsia="Calibri"/>
          <w:lang w:val="es-GT" w:eastAsia="en-US" w:bidi="en-US"/>
        </w:rPr>
        <w:t>.</w:t>
      </w:r>
    </w:p>
    <w:p w:rsidR="00F50C59" w:rsidRPr="006A3BEA" w:rsidRDefault="00F50C59" w:rsidP="00F50C59">
      <w:pPr>
        <w:jc w:val="both"/>
        <w:rPr>
          <w:rFonts w:eastAsia="Calibri"/>
          <w:sz w:val="32"/>
          <w:lang w:val="es-GT" w:eastAsia="en-US" w:bidi="en-US"/>
        </w:rPr>
      </w:pPr>
    </w:p>
    <w:p w:rsidR="00E7696F" w:rsidRDefault="00E7696F" w:rsidP="00E7696F">
      <w:pPr>
        <w:pStyle w:val="Sinespaciado"/>
        <w:jc w:val="both"/>
        <w:rPr>
          <w:rFonts w:ascii="Times New Roman" w:hAnsi="Times New Roman" w:cs="Times New Roman"/>
          <w:lang w:val="es-GT"/>
        </w:rPr>
      </w:pPr>
      <w:r w:rsidRPr="00E7696F">
        <w:rPr>
          <w:rFonts w:ascii="Times New Roman" w:hAnsi="Times New Roman" w:cs="Times New Roman"/>
          <w:lang w:val="es-GT"/>
        </w:rPr>
        <w:t>Por otra parte, el Ministerio de Finanzas Públicas también participa en diversas iniciativas internacionales para la prevención de la corrupción y la promoción y fomento de la transparencia fiscal, destacando entre ellas: Iniciativa para el Gobierno Abierto (OGP); Iniciativa Global para la Transparencia Fiscal (GIFT); Iniciativa de Transparencia en Infraestructura Pública (CoST); Iniciativa de Transparencia en Industrias Extractivas (EITI); Iniciativa de Contrataciones Abiertas (OCP).</w:t>
      </w:r>
    </w:p>
    <w:p w:rsidR="00E7696F" w:rsidRDefault="00E7696F" w:rsidP="00F50C59">
      <w:pPr>
        <w:jc w:val="both"/>
        <w:rPr>
          <w:rFonts w:eastAsia="Calibri"/>
          <w:lang w:val="es-GT" w:eastAsia="en-US" w:bidi="en-US"/>
        </w:rPr>
      </w:pPr>
    </w:p>
    <w:p w:rsidR="00E7696F" w:rsidRDefault="00E7696F" w:rsidP="00F50C59">
      <w:pPr>
        <w:jc w:val="both"/>
        <w:rPr>
          <w:rFonts w:eastAsia="Calibri"/>
          <w:lang w:val="es-GT" w:eastAsia="en-US" w:bidi="en-US"/>
        </w:rPr>
      </w:pPr>
    </w:p>
    <w:p w:rsidR="00F50C59" w:rsidRPr="00282087" w:rsidRDefault="002668CB" w:rsidP="002668CB">
      <w:pPr>
        <w:pStyle w:val="Ttulo2"/>
        <w:rPr>
          <w:rFonts w:ascii="Times New Roman" w:hAnsi="Times New Roman"/>
          <w:color w:val="auto"/>
          <w:sz w:val="24"/>
          <w:lang w:val="es-GT"/>
        </w:rPr>
      </w:pPr>
      <w:bookmarkStart w:id="46" w:name="_Toc98924148"/>
      <w:r w:rsidRPr="00282087">
        <w:rPr>
          <w:rFonts w:ascii="Times New Roman" w:hAnsi="Times New Roman"/>
          <w:color w:val="auto"/>
          <w:sz w:val="24"/>
          <w:lang w:val="es-GT"/>
        </w:rPr>
        <w:t xml:space="preserve">Desarrollos </w:t>
      </w:r>
      <w:r w:rsidR="00943D8C">
        <w:rPr>
          <w:rFonts w:ascii="Times New Roman" w:hAnsi="Times New Roman"/>
          <w:color w:val="auto"/>
          <w:sz w:val="24"/>
          <w:lang w:val="es-GT"/>
        </w:rPr>
        <w:t>T</w:t>
      </w:r>
      <w:r w:rsidRPr="00282087">
        <w:rPr>
          <w:rFonts w:ascii="Times New Roman" w:hAnsi="Times New Roman"/>
          <w:color w:val="auto"/>
          <w:sz w:val="24"/>
          <w:lang w:val="es-GT"/>
        </w:rPr>
        <w:t xml:space="preserve">ecnológicos en </w:t>
      </w:r>
      <w:r w:rsidR="00943D8C">
        <w:rPr>
          <w:rFonts w:ascii="Times New Roman" w:hAnsi="Times New Roman"/>
          <w:color w:val="auto"/>
          <w:sz w:val="24"/>
          <w:lang w:val="es-GT"/>
        </w:rPr>
        <w:t>A</w:t>
      </w:r>
      <w:r w:rsidRPr="00282087">
        <w:rPr>
          <w:rFonts w:ascii="Times New Roman" w:hAnsi="Times New Roman"/>
          <w:color w:val="auto"/>
          <w:sz w:val="24"/>
          <w:lang w:val="es-GT"/>
        </w:rPr>
        <w:t xml:space="preserve">poyo a la </w:t>
      </w:r>
      <w:r w:rsidR="00943D8C">
        <w:rPr>
          <w:rFonts w:ascii="Times New Roman" w:hAnsi="Times New Roman"/>
          <w:color w:val="auto"/>
          <w:sz w:val="24"/>
          <w:lang w:val="es-GT"/>
        </w:rPr>
        <w:t>T</w:t>
      </w:r>
      <w:r w:rsidRPr="00282087">
        <w:rPr>
          <w:rFonts w:ascii="Times New Roman" w:hAnsi="Times New Roman"/>
          <w:color w:val="auto"/>
          <w:sz w:val="24"/>
          <w:lang w:val="es-GT"/>
        </w:rPr>
        <w:t xml:space="preserve">ransparencia </w:t>
      </w:r>
      <w:r w:rsidR="00943D8C">
        <w:rPr>
          <w:rFonts w:ascii="Times New Roman" w:hAnsi="Times New Roman"/>
          <w:color w:val="auto"/>
          <w:sz w:val="24"/>
          <w:lang w:val="es-GT"/>
        </w:rPr>
        <w:t>F</w:t>
      </w:r>
      <w:r w:rsidRPr="00282087">
        <w:rPr>
          <w:rFonts w:ascii="Times New Roman" w:hAnsi="Times New Roman"/>
          <w:color w:val="auto"/>
          <w:sz w:val="24"/>
          <w:lang w:val="es-GT"/>
        </w:rPr>
        <w:t>iscal</w:t>
      </w:r>
      <w:bookmarkEnd w:id="46"/>
    </w:p>
    <w:p w:rsidR="002668CB" w:rsidRDefault="002668CB" w:rsidP="00C7403B">
      <w:pPr>
        <w:pStyle w:val="Sinespaciado"/>
        <w:jc w:val="both"/>
        <w:rPr>
          <w:rFonts w:ascii="Times New Roman" w:hAnsi="Times New Roman" w:cs="Times New Roman"/>
          <w:lang w:val="es-GT"/>
        </w:rPr>
      </w:pPr>
    </w:p>
    <w:p w:rsidR="002668CB" w:rsidRPr="002668CB" w:rsidRDefault="002668CB" w:rsidP="002668CB">
      <w:pPr>
        <w:pStyle w:val="Sinespaciado"/>
        <w:jc w:val="both"/>
        <w:rPr>
          <w:rFonts w:ascii="Times New Roman" w:hAnsi="Times New Roman" w:cs="Times New Roman"/>
          <w:lang w:val="es-GT"/>
        </w:rPr>
      </w:pPr>
      <w:r w:rsidRPr="002668CB">
        <w:rPr>
          <w:rFonts w:ascii="Times New Roman" w:hAnsi="Times New Roman" w:cs="Times New Roman"/>
          <w:lang w:val="es-GT"/>
        </w:rPr>
        <w:t xml:space="preserve">En cumplimiento de las disposiciones contenidas en el Decreto No. 57-2008 del Congreso de la República de Guatemala, Ley de Acceso a la Información Pública, el Ministerio de Finanzas Públicas creó un apartado especial dentro de su página web institucional, para divulgar la información pública de oficio que como unidad ejecutora y como sujeto obligado le corresponde dar a conocer, con base en lo que regulan los artículos 10 y 11 de la citada normativa (ver el siguiente link: </w:t>
      </w:r>
      <w:hyperlink r:id="rId60" w:history="1">
        <w:r w:rsidR="00354D94" w:rsidRPr="00C65AB4">
          <w:rPr>
            <w:rStyle w:val="Hipervnculo"/>
            <w:rFonts w:ascii="Times New Roman" w:hAnsi="Times New Roman" w:cs="Times New Roman"/>
            <w:lang w:val="es-GT"/>
          </w:rPr>
          <w:t>https://www.minfin.gob.gt/images/laip_mfp/index.php</w:t>
        </w:r>
      </w:hyperlink>
      <w:r w:rsidRPr="002668CB">
        <w:rPr>
          <w:rFonts w:ascii="Times New Roman" w:hAnsi="Times New Roman" w:cs="Times New Roman"/>
          <w:lang w:val="es-GT"/>
        </w:rPr>
        <w:t>).</w:t>
      </w:r>
    </w:p>
    <w:p w:rsidR="002668CB" w:rsidRDefault="002668CB" w:rsidP="002668CB">
      <w:pPr>
        <w:pStyle w:val="Sinespaciado"/>
        <w:jc w:val="both"/>
        <w:rPr>
          <w:rFonts w:ascii="Times New Roman" w:hAnsi="Times New Roman" w:cs="Times New Roman"/>
          <w:sz w:val="40"/>
          <w:lang w:val="es-GT"/>
        </w:rPr>
      </w:pPr>
    </w:p>
    <w:p w:rsidR="000205D6" w:rsidRPr="00A95C1E" w:rsidRDefault="000205D6" w:rsidP="002668CB">
      <w:pPr>
        <w:pStyle w:val="Sinespaciado"/>
        <w:jc w:val="both"/>
        <w:rPr>
          <w:rFonts w:ascii="Times New Roman" w:hAnsi="Times New Roman" w:cs="Times New Roman"/>
          <w:sz w:val="48"/>
          <w:lang w:val="es-GT"/>
        </w:rPr>
      </w:pPr>
    </w:p>
    <w:p w:rsidR="002668CB" w:rsidRPr="002668CB" w:rsidRDefault="002668CB" w:rsidP="002668CB">
      <w:pPr>
        <w:pStyle w:val="Sinespaciado"/>
        <w:jc w:val="both"/>
        <w:rPr>
          <w:rFonts w:ascii="Times New Roman" w:hAnsi="Times New Roman" w:cs="Times New Roman"/>
          <w:lang w:val="es-GT"/>
        </w:rPr>
      </w:pPr>
      <w:r w:rsidRPr="002668CB">
        <w:rPr>
          <w:rFonts w:ascii="Times New Roman" w:hAnsi="Times New Roman" w:cs="Times New Roman"/>
          <w:lang w:val="es-GT"/>
        </w:rPr>
        <w:t>Además, como entidad encargada de la administración de la hacienda pública, al amparo de lo que establece el artículo 35 de la Ley del Organismo Ejecutivo, Decreto No. 114-97 del Congreso de la República (</w:t>
      </w:r>
      <w:hyperlink r:id="rId61" w:history="1">
        <w:r w:rsidR="00354D94" w:rsidRPr="00C65AB4">
          <w:rPr>
            <w:rStyle w:val="Hipervnculo"/>
            <w:rFonts w:ascii="Times New Roman" w:hAnsi="Times New Roman" w:cs="Times New Roman"/>
            <w:lang w:val="es-GT"/>
          </w:rPr>
          <w:t>https://web.oas.org/mla/en/Countries_Intro/Guate_intro_textfun_esp_5.pdf</w:t>
        </w:r>
      </w:hyperlink>
      <w:r w:rsidRPr="002668CB">
        <w:rPr>
          <w:rFonts w:ascii="Times New Roman" w:hAnsi="Times New Roman" w:cs="Times New Roman"/>
          <w:lang w:val="es-GT"/>
        </w:rPr>
        <w:t>), el Ministerio de Finanzas Públicas ha diseñado e implementado en años recientes varios portales fiscales que contienen información actualizada sobre la ejecución presupuestaria de las entidades públicas, para todo aquel usuario que no es experto en el uso y manejo del Sistema de Contabilidad Integrada (SICOIN), entre los que pueden mencionarse, entre otros:</w:t>
      </w:r>
    </w:p>
    <w:p w:rsidR="002668CB" w:rsidRPr="00A95C1E" w:rsidRDefault="002668CB" w:rsidP="002668CB">
      <w:pPr>
        <w:pStyle w:val="Sinespaciado"/>
        <w:jc w:val="both"/>
        <w:rPr>
          <w:rFonts w:ascii="Times New Roman" w:hAnsi="Times New Roman" w:cs="Times New Roman"/>
          <w:sz w:val="40"/>
          <w:lang w:val="es-GT"/>
        </w:rPr>
      </w:pPr>
    </w:p>
    <w:p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Transparencia Presupuestaria.</w:t>
      </w:r>
      <w:r w:rsidRPr="002668CB">
        <w:rPr>
          <w:rFonts w:ascii="Times New Roman" w:hAnsi="Times New Roman" w:cs="Times New Roman"/>
          <w:lang w:val="es-GT"/>
        </w:rPr>
        <w:t xml:space="preserve"> Es el portal que busca ser un espacio de la ciudadanía para conocer el presupuesto público de forma amigable y sencilla. Es un instrumento de transparencia, rendición de cuentas y apoyo para la planificación estratégica nacional que facilita el acceso a la información de las finanzas públicas para cualquier ciudadano no experto en tecnicismos </w:t>
      </w:r>
      <w:r w:rsidR="00A63236">
        <w:rPr>
          <w:rFonts w:ascii="Times New Roman" w:hAnsi="Times New Roman" w:cs="Times New Roman"/>
          <w:lang w:val="es-GT"/>
        </w:rPr>
        <w:t>o</w:t>
      </w:r>
      <w:r w:rsidRPr="002668CB">
        <w:rPr>
          <w:rFonts w:ascii="Times New Roman" w:hAnsi="Times New Roman" w:cs="Times New Roman"/>
          <w:lang w:val="es-GT"/>
        </w:rPr>
        <w:t xml:space="preserve"> jerga presupuestaria. Permite entender, dar seguimiento y analizar el uso de los recursos públicos a través de documentos adaptados para la ciudadanía, herramientas de visualización (mapas, gráficas</w:t>
      </w:r>
      <w:r w:rsidR="00A63236">
        <w:rPr>
          <w:rFonts w:ascii="Times New Roman" w:hAnsi="Times New Roman" w:cs="Times New Roman"/>
          <w:lang w:val="es-GT"/>
        </w:rPr>
        <w:t>, infografías</w:t>
      </w:r>
      <w:r w:rsidRPr="002668CB">
        <w:rPr>
          <w:rFonts w:ascii="Times New Roman" w:hAnsi="Times New Roman" w:cs="Times New Roman"/>
          <w:lang w:val="es-GT"/>
        </w:rPr>
        <w:t>) y tablas dinámicas interactivas para consultas específicas (</w:t>
      </w:r>
      <w:hyperlink r:id="rId62" w:history="1">
        <w:r w:rsidR="00354D94" w:rsidRPr="00C65AB4">
          <w:rPr>
            <w:rStyle w:val="Hipervnculo"/>
            <w:rFonts w:ascii="Times New Roman" w:hAnsi="Times New Roman" w:cs="Times New Roman"/>
            <w:lang w:val="es-GT"/>
          </w:rPr>
          <w:t>https://transparenciapresupuestaria.minfin.gob.gt/</w:t>
        </w:r>
      </w:hyperlink>
      <w:r w:rsidRPr="002668CB">
        <w:rPr>
          <w:rFonts w:ascii="Times New Roman" w:hAnsi="Times New Roman" w:cs="Times New Roman"/>
          <w:lang w:val="es-GT"/>
        </w:rPr>
        <w:t>).</w:t>
      </w:r>
    </w:p>
    <w:p w:rsidR="002668CB" w:rsidRPr="00A95C1E" w:rsidRDefault="002668CB" w:rsidP="002668CB">
      <w:pPr>
        <w:pStyle w:val="Sinespaciado"/>
        <w:jc w:val="both"/>
        <w:rPr>
          <w:rFonts w:ascii="Times New Roman" w:hAnsi="Times New Roman" w:cs="Times New Roman"/>
          <w:sz w:val="40"/>
          <w:lang w:val="es-GT"/>
        </w:rPr>
      </w:pPr>
    </w:p>
    <w:p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Datos Abiertos.</w:t>
      </w:r>
      <w:r w:rsidRPr="002668CB">
        <w:rPr>
          <w:rFonts w:ascii="Times New Roman" w:hAnsi="Times New Roman" w:cs="Times New Roman"/>
          <w:lang w:val="es-GT"/>
        </w:rPr>
        <w:t xml:space="preserve"> Es un portal para usuarios intermedios y avanzados dedicado a promover el acceso a datos del gobierno e impulsar el desarrollo de herramientas creativas al servicio de la ciudadanía, en formatos editables y reutilizables que permitan transformar el dato en información pública de utilidad para estudios y análisis fiscales (</w:t>
      </w:r>
      <w:hyperlink r:id="rId63" w:history="1">
        <w:r w:rsidR="00354D94" w:rsidRPr="00C65AB4">
          <w:rPr>
            <w:rStyle w:val="Hipervnculo"/>
            <w:rFonts w:ascii="Times New Roman" w:hAnsi="Times New Roman" w:cs="Times New Roman"/>
            <w:lang w:val="es-GT"/>
          </w:rPr>
          <w:t>https://datos.minfin.gob.gt/</w:t>
        </w:r>
      </w:hyperlink>
      <w:r w:rsidRPr="002668CB">
        <w:rPr>
          <w:rFonts w:ascii="Times New Roman" w:hAnsi="Times New Roman" w:cs="Times New Roman"/>
          <w:lang w:val="es-GT"/>
        </w:rPr>
        <w:t>).</w:t>
      </w:r>
    </w:p>
    <w:p w:rsidR="002668CB" w:rsidRPr="00A95C1E" w:rsidRDefault="002668CB" w:rsidP="002668CB">
      <w:pPr>
        <w:pStyle w:val="Sinespaciado"/>
        <w:jc w:val="both"/>
        <w:rPr>
          <w:rFonts w:ascii="Times New Roman" w:hAnsi="Times New Roman" w:cs="Times New Roman"/>
          <w:sz w:val="40"/>
          <w:lang w:val="es-GT"/>
        </w:rPr>
      </w:pPr>
    </w:p>
    <w:p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Préstamos Externos.</w:t>
      </w:r>
      <w:r w:rsidRPr="002668CB">
        <w:rPr>
          <w:rFonts w:ascii="Times New Roman" w:hAnsi="Times New Roman" w:cs="Times New Roman"/>
          <w:lang w:val="es-GT"/>
        </w:rPr>
        <w:t xml:space="preserve"> Contiene información actualizada de los indicadores de avance financiero (montos otorgados, montos desembolsados); y, avance presupuestario (</w:t>
      </w:r>
      <w:r w:rsidR="00595C7F">
        <w:rPr>
          <w:rFonts w:ascii="Times New Roman" w:hAnsi="Times New Roman" w:cs="Times New Roman"/>
          <w:lang w:val="es-GT"/>
        </w:rPr>
        <w:t>f</w:t>
      </w:r>
      <w:r w:rsidRPr="002668CB">
        <w:rPr>
          <w:rFonts w:ascii="Times New Roman" w:hAnsi="Times New Roman" w:cs="Times New Roman"/>
          <w:lang w:val="es-GT"/>
        </w:rPr>
        <w:t>uente de Financiamiento 52 “Préstamos externos”, presupuesto aprobado, vigente y ejecutado a nivel agregado por cada préstamo y por cada entidad ejecutora); asimismo, hacer búsquedas de los préstamos externos suscritos que se encuentran en fase de desembolso y utilización de los recursos contratados, visualizando los datos por cada préstamo, según el organismo financiero internacional o la entidad ejecutora asignada (</w:t>
      </w:r>
      <w:hyperlink r:id="rId64" w:history="1">
        <w:r w:rsidR="00354D94" w:rsidRPr="00C65AB4">
          <w:rPr>
            <w:rStyle w:val="Hipervnculo"/>
            <w:rFonts w:ascii="Times New Roman" w:hAnsi="Times New Roman" w:cs="Times New Roman"/>
            <w:lang w:val="es-GT"/>
          </w:rPr>
          <w:t>https://prestamosexternos.minfin.gob.gt/</w:t>
        </w:r>
      </w:hyperlink>
      <w:r w:rsidRPr="002668CB">
        <w:rPr>
          <w:rFonts w:ascii="Times New Roman" w:hAnsi="Times New Roman" w:cs="Times New Roman"/>
          <w:lang w:val="es-GT"/>
        </w:rPr>
        <w:t>).</w:t>
      </w:r>
    </w:p>
    <w:p w:rsidR="002668CB" w:rsidRPr="00A95C1E" w:rsidRDefault="002668CB" w:rsidP="002668CB">
      <w:pPr>
        <w:pStyle w:val="Sinespaciado"/>
        <w:jc w:val="both"/>
        <w:rPr>
          <w:rFonts w:ascii="Times New Roman" w:hAnsi="Times New Roman" w:cs="Times New Roman"/>
          <w:sz w:val="40"/>
          <w:lang w:val="es-GT"/>
        </w:rPr>
      </w:pPr>
    </w:p>
    <w:p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ONG.</w:t>
      </w:r>
      <w:r w:rsidRPr="002668CB">
        <w:rPr>
          <w:rFonts w:ascii="Times New Roman" w:hAnsi="Times New Roman" w:cs="Times New Roman"/>
          <w:lang w:val="es-GT"/>
        </w:rPr>
        <w:t xml:space="preserve"> Contiene información actualizada sobre los indicadores de avance físico y financiero, montos otorgados, montos desembolsados y personal contratado por los entes receptores de transferencias o aportes que les trasladan los distintos Ministerios y Secretarías de Estado. Esta herramienta permite hacer búsquedas de los entes receptores de transferencias de fondos programados dentro del Presupuesto General de Ingresos y Egresos del Estado, así como visualizar los datos generales de cada entidad receptora que es beneficiaria de recursos públicos para coadyuvar en la ejecución de programas prioritarios del gobierno, de índole económica y social (</w:t>
      </w:r>
      <w:hyperlink r:id="rId65" w:history="1">
        <w:r w:rsidR="00354D94" w:rsidRPr="00C65AB4">
          <w:rPr>
            <w:rStyle w:val="Hipervnculo"/>
            <w:rFonts w:ascii="Times New Roman" w:hAnsi="Times New Roman" w:cs="Times New Roman"/>
            <w:lang w:val="es-GT"/>
          </w:rPr>
          <w:t>https://portalong.minfin.gob.gt/</w:t>
        </w:r>
      </w:hyperlink>
      <w:r w:rsidRPr="002668CB">
        <w:rPr>
          <w:rFonts w:ascii="Times New Roman" w:hAnsi="Times New Roman" w:cs="Times New Roman"/>
          <w:lang w:val="es-GT"/>
        </w:rPr>
        <w:t>).</w:t>
      </w:r>
    </w:p>
    <w:p w:rsidR="002668CB" w:rsidRDefault="002668CB" w:rsidP="002668CB">
      <w:pPr>
        <w:pStyle w:val="Sinespaciado"/>
        <w:jc w:val="both"/>
        <w:rPr>
          <w:rFonts w:ascii="Times New Roman" w:hAnsi="Times New Roman" w:cs="Times New Roman"/>
          <w:lang w:val="es-GT"/>
        </w:rPr>
      </w:pPr>
    </w:p>
    <w:p w:rsidR="005E1672" w:rsidRDefault="005E1672" w:rsidP="002668CB">
      <w:pPr>
        <w:pStyle w:val="Sinespaciado"/>
        <w:jc w:val="both"/>
        <w:rPr>
          <w:rFonts w:ascii="Times New Roman" w:hAnsi="Times New Roman" w:cs="Times New Roman"/>
          <w:lang w:val="es-GT"/>
        </w:rPr>
      </w:pPr>
    </w:p>
    <w:p w:rsidR="005E1672" w:rsidRDefault="005E1672" w:rsidP="002668CB">
      <w:pPr>
        <w:pStyle w:val="Sinespaciado"/>
        <w:jc w:val="both"/>
        <w:rPr>
          <w:rFonts w:ascii="Times New Roman" w:hAnsi="Times New Roman" w:cs="Times New Roman"/>
          <w:lang w:val="es-GT"/>
        </w:rPr>
      </w:pPr>
    </w:p>
    <w:p w:rsidR="000205D6" w:rsidRPr="000205D6" w:rsidRDefault="000205D6" w:rsidP="002668CB">
      <w:pPr>
        <w:pStyle w:val="Sinespaciado"/>
        <w:jc w:val="both"/>
        <w:rPr>
          <w:rFonts w:ascii="Times New Roman" w:hAnsi="Times New Roman" w:cs="Times New Roman"/>
          <w:sz w:val="40"/>
          <w:lang w:val="es-GT"/>
        </w:rPr>
      </w:pPr>
    </w:p>
    <w:p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Fideicomisos.</w:t>
      </w:r>
      <w:r w:rsidRPr="002668CB">
        <w:rPr>
          <w:rFonts w:ascii="Times New Roman" w:hAnsi="Times New Roman" w:cs="Times New Roman"/>
          <w:lang w:val="es-GT"/>
        </w:rPr>
        <w:t xml:space="preserve"> Es una herramienta con información de la ejecución presupuestaria de los fideicomisos constituidos por entidades de la Administración Central, así como información de ejecución física y financiera proveniente de los informes cuatrimestrales que por Ley deben rendir las entidades responsables. Permite hacer búsquedas de información sobre los fideicomisos constituidos por entidades de la Administración Central, por nombre del fideicomiso, entidad responsable, fiduciario y estado contractual; permite visualizar los anticipos otorgados y tener acceso a la ficha técnica de cada contrato de fideicomiso suscrito entre las partes (</w:t>
      </w:r>
      <w:hyperlink r:id="rId66" w:history="1">
        <w:r w:rsidR="00354D94" w:rsidRPr="00C65AB4">
          <w:rPr>
            <w:rStyle w:val="Hipervnculo"/>
            <w:rFonts w:ascii="Times New Roman" w:hAnsi="Times New Roman" w:cs="Times New Roman"/>
            <w:lang w:val="es-GT"/>
          </w:rPr>
          <w:t>https://portalfideicomisos.minfin.gob.gt/</w:t>
        </w:r>
      </w:hyperlink>
      <w:r w:rsidRPr="002668CB">
        <w:rPr>
          <w:rFonts w:ascii="Times New Roman" w:hAnsi="Times New Roman" w:cs="Times New Roman"/>
          <w:lang w:val="es-GT"/>
        </w:rPr>
        <w:t>).</w:t>
      </w:r>
    </w:p>
    <w:p w:rsidR="002668CB" w:rsidRPr="000205D6" w:rsidRDefault="002668CB" w:rsidP="002668CB">
      <w:pPr>
        <w:pStyle w:val="Sinespaciado"/>
        <w:jc w:val="both"/>
        <w:rPr>
          <w:rFonts w:ascii="Times New Roman" w:hAnsi="Times New Roman" w:cs="Times New Roman"/>
          <w:sz w:val="28"/>
          <w:lang w:val="es-GT"/>
        </w:rPr>
      </w:pPr>
    </w:p>
    <w:p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Gobiernos Locales.</w:t>
      </w:r>
      <w:r w:rsidRPr="002668CB">
        <w:rPr>
          <w:rFonts w:ascii="Times New Roman" w:hAnsi="Times New Roman" w:cs="Times New Roman"/>
          <w:lang w:val="es-GT"/>
        </w:rPr>
        <w:t xml:space="preserve"> Es una plataforma que permite obtener información actualizada sobre la ejecución del presupuesto de ingresos y egresos de las Municipalidades del país, los cuales provienen mayoritariamente del aporte que según el artículo 257 de la Constitución Política de la República de Guatemala y otras leyes con destino específico, se traslada a los gobiernos subnacionales </w:t>
      </w:r>
      <w:r w:rsidR="00412454">
        <w:rPr>
          <w:rFonts w:ascii="Times New Roman" w:hAnsi="Times New Roman" w:cs="Times New Roman"/>
          <w:lang w:val="es-GT"/>
        </w:rPr>
        <w:t xml:space="preserve">para el financiamiento de sus atribuciones </w:t>
      </w:r>
      <w:r w:rsidRPr="002668CB">
        <w:rPr>
          <w:rFonts w:ascii="Times New Roman" w:hAnsi="Times New Roman" w:cs="Times New Roman"/>
          <w:lang w:val="es-GT"/>
        </w:rPr>
        <w:t xml:space="preserve">( </w:t>
      </w:r>
      <w:hyperlink r:id="rId67" w:history="1">
        <w:r w:rsidR="00354D94" w:rsidRPr="00C65AB4">
          <w:rPr>
            <w:rStyle w:val="Hipervnculo"/>
            <w:rFonts w:ascii="Times New Roman" w:hAnsi="Times New Roman" w:cs="Times New Roman"/>
            <w:lang w:val="es-GT"/>
          </w:rPr>
          <w:t>https://portalgl.minfin.gob.gt/</w:t>
        </w:r>
      </w:hyperlink>
      <w:r w:rsidRPr="002668CB">
        <w:rPr>
          <w:rFonts w:ascii="Times New Roman" w:hAnsi="Times New Roman" w:cs="Times New Roman"/>
          <w:lang w:val="es-GT"/>
        </w:rPr>
        <w:t>).</w:t>
      </w:r>
    </w:p>
    <w:p w:rsidR="002668CB" w:rsidRPr="000205D6" w:rsidRDefault="002668CB" w:rsidP="002668CB">
      <w:pPr>
        <w:pStyle w:val="Sinespaciado"/>
        <w:jc w:val="both"/>
        <w:rPr>
          <w:rFonts w:ascii="Times New Roman" w:hAnsi="Times New Roman" w:cs="Times New Roman"/>
          <w:sz w:val="28"/>
          <w:lang w:val="es-GT"/>
        </w:rPr>
      </w:pPr>
    </w:p>
    <w:p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Registro General de Adquisiciones del Estado (RGAE).</w:t>
      </w:r>
      <w:r w:rsidRPr="002668CB">
        <w:rPr>
          <w:rFonts w:ascii="Times New Roman" w:hAnsi="Times New Roman" w:cs="Times New Roman"/>
          <w:lang w:val="es-GT"/>
        </w:rPr>
        <w:t xml:space="preserve"> En el marco de la Ley de Contrataciones del Estado, Decreto No. 57-92 del Congreso de la República de Guatemala y sus Reformas contenidas en el Decreto No. 9-2015, artículos del 71 al 79, se establece la creación del Registro General de Adquisiciones del Estado, entidad adscrita al Ministerio de Finanzas Públicas, que tiene por objeto registrar a las personas individuales o jurídicas, nacionales o extranjeras, para que puedan participar en cualquiera de las modalidades de adquisiciones y contrataciones del Estado establecidas en la Ley (</w:t>
      </w:r>
      <w:hyperlink r:id="rId68" w:history="1">
        <w:r w:rsidR="00354D94" w:rsidRPr="00C65AB4">
          <w:rPr>
            <w:rStyle w:val="Hipervnculo"/>
            <w:rFonts w:ascii="Times New Roman" w:hAnsi="Times New Roman" w:cs="Times New Roman"/>
            <w:lang w:val="es-GT"/>
          </w:rPr>
          <w:t>https://www.rgae.gob.gt/quienes-somos/</w:t>
        </w:r>
      </w:hyperlink>
      <w:r w:rsidRPr="002668CB">
        <w:rPr>
          <w:rFonts w:ascii="Times New Roman" w:hAnsi="Times New Roman" w:cs="Times New Roman"/>
          <w:lang w:val="es-GT"/>
        </w:rPr>
        <w:t>). Este Registro funciona electrónicamente mediante una plataforma informática que tiene como finalidad gestionar las operaciones registrales de forma sistemática, con estándares de calidad, control, seguridad, certeza jurídica y publicidad. Su fin primordial es habilitar a las personas individuales o jurídicas, nacionales o extranjeras como proveedores o contratistas del Estado, a través de un proceso de inscripción y precalificación de los aspectos relacionados a su capacidad financiera, técnica, especialidad y experiencia.</w:t>
      </w:r>
    </w:p>
    <w:p w:rsidR="002668CB" w:rsidRPr="002668CB" w:rsidRDefault="002668CB" w:rsidP="002668CB">
      <w:pPr>
        <w:pStyle w:val="Sinespaciado"/>
        <w:jc w:val="both"/>
        <w:rPr>
          <w:rFonts w:ascii="Times New Roman" w:hAnsi="Times New Roman" w:cs="Times New Roman"/>
          <w:lang w:val="es-GT"/>
        </w:rPr>
      </w:pPr>
    </w:p>
    <w:p w:rsidR="002668CB" w:rsidRPr="000205D6" w:rsidRDefault="002668CB" w:rsidP="00C7403B">
      <w:pPr>
        <w:pStyle w:val="Sinespaciado"/>
        <w:jc w:val="both"/>
        <w:rPr>
          <w:rFonts w:ascii="Times New Roman" w:hAnsi="Times New Roman" w:cs="Times New Roman"/>
          <w:sz w:val="32"/>
          <w:lang w:val="es-GT"/>
        </w:rPr>
      </w:pPr>
    </w:p>
    <w:p w:rsidR="00462CDB" w:rsidRPr="00282087" w:rsidRDefault="00462CDB" w:rsidP="00462CDB">
      <w:pPr>
        <w:pStyle w:val="Ttulo2"/>
        <w:rPr>
          <w:rFonts w:ascii="Times New Roman" w:hAnsi="Times New Roman"/>
          <w:color w:val="auto"/>
          <w:sz w:val="24"/>
          <w:lang w:val="es-GT"/>
        </w:rPr>
      </w:pPr>
      <w:bookmarkStart w:id="47" w:name="_Toc98924149"/>
      <w:r w:rsidRPr="00282087">
        <w:rPr>
          <w:rFonts w:ascii="Times New Roman" w:hAnsi="Times New Roman"/>
          <w:color w:val="auto"/>
          <w:sz w:val="24"/>
          <w:lang w:val="es-GT"/>
        </w:rPr>
        <w:t xml:space="preserve">Mejoras en los </w:t>
      </w:r>
      <w:r w:rsidR="00943D8C">
        <w:rPr>
          <w:rFonts w:ascii="Times New Roman" w:hAnsi="Times New Roman"/>
          <w:color w:val="auto"/>
          <w:sz w:val="24"/>
          <w:lang w:val="es-GT"/>
        </w:rPr>
        <w:t>P</w:t>
      </w:r>
      <w:r w:rsidRPr="00282087">
        <w:rPr>
          <w:rFonts w:ascii="Times New Roman" w:hAnsi="Times New Roman"/>
          <w:color w:val="auto"/>
          <w:sz w:val="24"/>
          <w:lang w:val="es-GT"/>
        </w:rPr>
        <w:t xml:space="preserve">rocesos y </w:t>
      </w:r>
      <w:r w:rsidR="00943D8C">
        <w:rPr>
          <w:rFonts w:ascii="Times New Roman" w:hAnsi="Times New Roman"/>
          <w:color w:val="auto"/>
          <w:sz w:val="24"/>
          <w:lang w:val="es-GT"/>
        </w:rPr>
        <w:t>S</w:t>
      </w:r>
      <w:r w:rsidRPr="00282087">
        <w:rPr>
          <w:rFonts w:ascii="Times New Roman" w:hAnsi="Times New Roman"/>
          <w:color w:val="auto"/>
          <w:sz w:val="24"/>
          <w:lang w:val="es-GT"/>
        </w:rPr>
        <w:t xml:space="preserve">istemas para las </w:t>
      </w:r>
      <w:r w:rsidR="00943D8C">
        <w:rPr>
          <w:rFonts w:ascii="Times New Roman" w:hAnsi="Times New Roman"/>
          <w:color w:val="auto"/>
          <w:sz w:val="24"/>
          <w:lang w:val="es-GT"/>
        </w:rPr>
        <w:t>A</w:t>
      </w:r>
      <w:r w:rsidRPr="00282087">
        <w:rPr>
          <w:rFonts w:ascii="Times New Roman" w:hAnsi="Times New Roman"/>
          <w:color w:val="auto"/>
          <w:sz w:val="24"/>
          <w:lang w:val="es-GT"/>
        </w:rPr>
        <w:t>dquisiciones del Estado</w:t>
      </w:r>
      <w:bookmarkEnd w:id="47"/>
    </w:p>
    <w:p w:rsidR="00462CDB" w:rsidRDefault="00462CDB" w:rsidP="00C7403B">
      <w:pPr>
        <w:pStyle w:val="Sinespaciado"/>
        <w:jc w:val="both"/>
        <w:rPr>
          <w:rFonts w:ascii="Times New Roman" w:hAnsi="Times New Roman" w:cs="Times New Roman"/>
          <w:lang w:val="es-GT"/>
        </w:rPr>
      </w:pPr>
    </w:p>
    <w:p w:rsidR="005C7372" w:rsidRPr="0024575F" w:rsidRDefault="00EE2612" w:rsidP="00576EA1">
      <w:pPr>
        <w:jc w:val="both"/>
        <w:rPr>
          <w:rFonts w:eastAsiaTheme="minorEastAsia"/>
          <w:lang w:val="es-GT" w:eastAsia="ja-JP"/>
        </w:rPr>
      </w:pPr>
      <w:r w:rsidRPr="0024575F">
        <w:rPr>
          <w:rFonts w:eastAsiaTheme="minorEastAsia"/>
          <w:lang w:val="es-GT" w:eastAsia="ja-JP"/>
        </w:rPr>
        <w:t xml:space="preserve">El Ministerio de Finanzas Públicas </w:t>
      </w:r>
      <w:r w:rsidR="005C7372" w:rsidRPr="0024575F">
        <w:rPr>
          <w:rFonts w:eastAsiaTheme="minorEastAsia"/>
          <w:lang w:val="es-GT" w:eastAsia="ja-JP"/>
        </w:rPr>
        <w:t xml:space="preserve">incorporó dentro del Sistema GUATECOMPRAS la funcionalidad que obliga a todas las entidades compradoras a responder las inconformidades, previo a finalizar un proceso, así como la incorporación de un boletín de seguimiento de aquellas inconformidades pendientes de responder. Adicionalmente, el referido Sistema tiene a disposición un módulo de consulta que presenta 7 diferentes </w:t>
      </w:r>
      <w:r w:rsidR="000A3C20">
        <w:rPr>
          <w:rFonts w:eastAsiaTheme="minorEastAsia"/>
          <w:lang w:val="es-GT" w:eastAsia="ja-JP"/>
        </w:rPr>
        <w:t xml:space="preserve">tipos de </w:t>
      </w:r>
      <w:r w:rsidR="005C7372" w:rsidRPr="0024575F">
        <w:rPr>
          <w:rFonts w:eastAsiaTheme="minorEastAsia"/>
          <w:lang w:val="es-GT" w:eastAsia="ja-JP"/>
        </w:rPr>
        <w:t>bú</w:t>
      </w:r>
      <w:r w:rsidR="00576EA1">
        <w:rPr>
          <w:rFonts w:eastAsiaTheme="minorEastAsia"/>
          <w:lang w:val="es-GT" w:eastAsia="ja-JP"/>
        </w:rPr>
        <w:t>s</w:t>
      </w:r>
      <w:r w:rsidR="005C7372" w:rsidRPr="0024575F">
        <w:rPr>
          <w:rFonts w:eastAsiaTheme="minorEastAsia"/>
          <w:lang w:val="es-GT" w:eastAsia="ja-JP"/>
        </w:rPr>
        <w:t xml:space="preserve">queda, por medio de: Número de inconformidad, </w:t>
      </w:r>
      <w:r w:rsidR="00576EA1">
        <w:rPr>
          <w:rFonts w:eastAsiaTheme="minorEastAsia"/>
          <w:lang w:val="es-GT" w:eastAsia="ja-JP"/>
        </w:rPr>
        <w:t xml:space="preserve">número </w:t>
      </w:r>
      <w:r w:rsidR="005C7372" w:rsidRPr="0024575F">
        <w:rPr>
          <w:rFonts w:eastAsiaTheme="minorEastAsia"/>
          <w:lang w:val="es-GT" w:eastAsia="ja-JP"/>
        </w:rPr>
        <w:t>de concurso, nombre de la entidad compradora, por el</w:t>
      </w:r>
      <w:r w:rsidR="00576EA1">
        <w:rPr>
          <w:rFonts w:eastAsiaTheme="minorEastAsia"/>
          <w:lang w:val="es-GT" w:eastAsia="ja-JP"/>
        </w:rPr>
        <w:t xml:space="preserve"> nombre del</w:t>
      </w:r>
      <w:r w:rsidR="005C7372" w:rsidRPr="0024575F">
        <w:rPr>
          <w:rFonts w:eastAsiaTheme="minorEastAsia"/>
          <w:lang w:val="es-GT" w:eastAsia="ja-JP"/>
        </w:rPr>
        <w:t xml:space="preserve"> interesado que presenta la inconformidad, entre otros.</w:t>
      </w:r>
    </w:p>
    <w:p w:rsidR="005C7372" w:rsidRPr="005C7372" w:rsidRDefault="005C7372" w:rsidP="00576EA1">
      <w:pPr>
        <w:jc w:val="both"/>
        <w:rPr>
          <w:highlight w:val="yellow"/>
        </w:rPr>
      </w:pPr>
    </w:p>
    <w:p w:rsidR="005C7372" w:rsidRPr="00576EA1" w:rsidRDefault="005C7372" w:rsidP="00576EA1">
      <w:pPr>
        <w:jc w:val="both"/>
      </w:pPr>
      <w:r w:rsidRPr="00576EA1">
        <w:t>Búsqueda disponible en:</w:t>
      </w:r>
    </w:p>
    <w:p w:rsidR="005C7372" w:rsidRPr="00576EA1" w:rsidRDefault="00A11D3B" w:rsidP="00576EA1">
      <w:pPr>
        <w:jc w:val="both"/>
      </w:pPr>
      <w:hyperlink r:id="rId69" w:history="1">
        <w:r w:rsidR="005C7372" w:rsidRPr="00576EA1">
          <w:rPr>
            <w:rStyle w:val="Hipervnculo"/>
          </w:rPr>
          <w:t>https://www.guatecompras.gt/Inconformidad/consultaAvInc.aspx?opt=Search</w:t>
        </w:r>
      </w:hyperlink>
      <w:r w:rsidR="005C7372" w:rsidRPr="00576EA1">
        <w:t>.</w:t>
      </w:r>
    </w:p>
    <w:p w:rsidR="005E1672" w:rsidRPr="009D687C" w:rsidRDefault="005E1672" w:rsidP="00576EA1">
      <w:pPr>
        <w:jc w:val="both"/>
        <w:rPr>
          <w:sz w:val="32"/>
          <w:highlight w:val="yellow"/>
        </w:rPr>
      </w:pPr>
    </w:p>
    <w:p w:rsidR="005E1672" w:rsidRPr="005C7372" w:rsidRDefault="005E1672" w:rsidP="00576EA1">
      <w:pPr>
        <w:jc w:val="both"/>
        <w:rPr>
          <w:highlight w:val="yellow"/>
        </w:rPr>
      </w:pPr>
    </w:p>
    <w:p w:rsidR="005C7372" w:rsidRPr="00576EA1" w:rsidRDefault="00576EA1" w:rsidP="00576EA1">
      <w:pPr>
        <w:jc w:val="both"/>
      </w:pPr>
      <w:r w:rsidRPr="00576EA1">
        <w:rPr>
          <w:lang w:val="es-CO"/>
        </w:rPr>
        <w:t>Asimismo, e</w:t>
      </w:r>
      <w:r w:rsidR="005C7372" w:rsidRPr="00576EA1">
        <w:rPr>
          <w:lang w:val="es-CO"/>
        </w:rPr>
        <w:t xml:space="preserve">l Sistema GUATECOMPRAS, </w:t>
      </w:r>
      <w:r w:rsidR="005C7372" w:rsidRPr="00576EA1">
        <w:t>a través del módulo de inco</w:t>
      </w:r>
      <w:r>
        <w:t>n</w:t>
      </w:r>
      <w:r w:rsidR="005C7372" w:rsidRPr="00576EA1">
        <w:t>formidades, dispone de información con respecto al estatus de las mismas, siendo preciso indicar que de conformidad con el artículo 35 de la Ley de Contrataciones del Estado, las inco</w:t>
      </w:r>
      <w:r>
        <w:t>n</w:t>
      </w:r>
      <w:r w:rsidR="005C7372" w:rsidRPr="00576EA1">
        <w:t>formidades relacionadas con la adjudicación deben responderse en un plazo no mayor de 5 días calendario</w:t>
      </w:r>
      <w:r>
        <w:t>,</w:t>
      </w:r>
      <w:r w:rsidR="005C7372" w:rsidRPr="00576EA1">
        <w:t xml:space="preserve"> a partir de su presentación en el Sistema. Complementariamente, la Resolución No. 001-2022</w:t>
      </w:r>
      <w:r>
        <w:t>,</w:t>
      </w:r>
      <w:r w:rsidR="005C7372" w:rsidRPr="00576EA1">
        <w:t xml:space="preserve"> Normas para el Uso del Sistema de Información de Contrataciones y Adquisiciones del Estado </w:t>
      </w:r>
      <w:r>
        <w:t>(</w:t>
      </w:r>
      <w:r w:rsidR="005C7372" w:rsidRPr="00576EA1">
        <w:t>G</w:t>
      </w:r>
      <w:r>
        <w:t>UATECOMPRAS)</w:t>
      </w:r>
      <w:r w:rsidR="005C7372" w:rsidRPr="00576EA1">
        <w:t xml:space="preserve">, en su artículo 27 establece que para todo proceso se tendrá disponible en el citado Sistema, </w:t>
      </w:r>
      <w:r>
        <w:t>un</w:t>
      </w:r>
      <w:r w:rsidR="005C7372" w:rsidRPr="00576EA1">
        <w:t xml:space="preserve"> apartado para presentar y responder las inconformidades, creándose un expediente electrónico de acceso libre al público por cada inconformidad presentada, las cuales son notificadas automáticamente al usuario comprador correspondiente, las que deberán responderse obligatoriamente</w:t>
      </w:r>
      <w:r>
        <w:t>;</w:t>
      </w:r>
      <w:r w:rsidR="005C7372" w:rsidRPr="00576EA1">
        <w:t xml:space="preserve"> de lo contrario el proceso no podrá continuar en la fase siguiente hasta que se </w:t>
      </w:r>
      <w:r w:rsidR="000A3C20">
        <w:t>brinde</w:t>
      </w:r>
      <w:r w:rsidR="005C7372" w:rsidRPr="00576EA1">
        <w:t xml:space="preserve"> respuesta a las mismas, control que a la fecha se encuentra en </w:t>
      </w:r>
      <w:r>
        <w:t>fase de d</w:t>
      </w:r>
      <w:r w:rsidR="005C7372" w:rsidRPr="00576EA1">
        <w:t>esarrollo, siendo preciso indicar que en caso de incumplimiento al plazo referido, concierne a la Contraloría General de Cuentas imponer las sanciones administrativas correspondientes</w:t>
      </w:r>
      <w:r>
        <w:t>,</w:t>
      </w:r>
      <w:r w:rsidR="005C7372" w:rsidRPr="00576EA1">
        <w:t xml:space="preserve"> a los funcionarios o empleados públicos responsables de responderlas.</w:t>
      </w:r>
    </w:p>
    <w:p w:rsidR="005C7372" w:rsidRPr="009D687C" w:rsidRDefault="005C7372" w:rsidP="005C7372">
      <w:pPr>
        <w:ind w:left="360"/>
        <w:jc w:val="both"/>
        <w:rPr>
          <w:sz w:val="32"/>
          <w:highlight w:val="yellow"/>
        </w:rPr>
      </w:pPr>
    </w:p>
    <w:p w:rsidR="005E1672" w:rsidRDefault="005E1672" w:rsidP="005C7372">
      <w:pPr>
        <w:ind w:left="360"/>
        <w:jc w:val="both"/>
        <w:rPr>
          <w:highlight w:val="yellow"/>
        </w:rPr>
      </w:pPr>
    </w:p>
    <w:p w:rsidR="005E1672" w:rsidRPr="005E1672" w:rsidRDefault="005E1672" w:rsidP="005E1672">
      <w:pPr>
        <w:ind w:left="360"/>
        <w:jc w:val="center"/>
        <w:rPr>
          <w:b/>
        </w:rPr>
      </w:pPr>
      <w:r w:rsidRPr="005E1672">
        <w:rPr>
          <w:b/>
        </w:rPr>
        <w:t>Cuadro 2</w:t>
      </w:r>
      <w:r w:rsidR="009D687C">
        <w:rPr>
          <w:b/>
        </w:rPr>
        <w:t>4</w:t>
      </w:r>
    </w:p>
    <w:p w:rsidR="00576EA1" w:rsidRPr="00576EA1" w:rsidRDefault="00576EA1" w:rsidP="00576EA1">
      <w:pPr>
        <w:ind w:left="360"/>
        <w:jc w:val="center"/>
        <w:rPr>
          <w:b/>
        </w:rPr>
      </w:pPr>
      <w:r w:rsidRPr="00576EA1">
        <w:rPr>
          <w:b/>
        </w:rPr>
        <w:t>Número y Estatus de Inconformidades</w:t>
      </w:r>
    </w:p>
    <w:p w:rsidR="00576EA1" w:rsidRPr="006243EF" w:rsidRDefault="006243EF" w:rsidP="006243EF">
      <w:pPr>
        <w:ind w:left="360"/>
        <w:jc w:val="center"/>
        <w:rPr>
          <w:b/>
        </w:rPr>
      </w:pPr>
      <w:r w:rsidRPr="006243EF">
        <w:rPr>
          <w:b/>
        </w:rPr>
        <w:t>Ejercicio Fiscal de 2015 a 2021</w:t>
      </w:r>
    </w:p>
    <w:tbl>
      <w:tblPr>
        <w:tblW w:w="13992" w:type="dxa"/>
        <w:tblInd w:w="-5" w:type="dxa"/>
        <w:tblLayout w:type="fixed"/>
        <w:tblLook w:val="04A0" w:firstRow="1" w:lastRow="0" w:firstColumn="1" w:lastColumn="0" w:noHBand="0" w:noVBand="1"/>
      </w:tblPr>
      <w:tblGrid>
        <w:gridCol w:w="1701"/>
        <w:gridCol w:w="1843"/>
        <w:gridCol w:w="2126"/>
        <w:gridCol w:w="1985"/>
        <w:gridCol w:w="1701"/>
        <w:gridCol w:w="1319"/>
        <w:gridCol w:w="1658"/>
        <w:gridCol w:w="1659"/>
      </w:tblGrid>
      <w:tr w:rsidR="005C7372" w:rsidRPr="00141927" w:rsidTr="004232E3">
        <w:trPr>
          <w:trHeight w:val="472"/>
        </w:trPr>
        <w:tc>
          <w:tcPr>
            <w:tcW w:w="9356"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rsidR="005C7372" w:rsidRPr="00141927" w:rsidRDefault="005C7372" w:rsidP="00242CE7">
            <w:pPr>
              <w:jc w:val="center"/>
              <w:rPr>
                <w:b/>
                <w:bCs/>
                <w:color w:val="3F4B75"/>
                <w:sz w:val="22"/>
                <w:szCs w:val="22"/>
                <w:lang w:eastAsia="en-US"/>
              </w:rPr>
            </w:pPr>
            <w:r w:rsidRPr="004232E3">
              <w:rPr>
                <w:b/>
                <w:bCs/>
                <w:color w:val="3F4B75"/>
                <w:szCs w:val="22"/>
                <w:lang w:eastAsia="en-US"/>
              </w:rPr>
              <w:t>Inconformidades</w:t>
            </w:r>
          </w:p>
        </w:tc>
        <w:tc>
          <w:tcPr>
            <w:tcW w:w="1319" w:type="dxa"/>
            <w:tcBorders>
              <w:top w:val="nil"/>
              <w:left w:val="nil"/>
              <w:bottom w:val="nil"/>
              <w:right w:val="nil"/>
            </w:tcBorders>
            <w:shd w:val="clear" w:color="auto" w:fill="auto"/>
            <w:noWrap/>
            <w:vAlign w:val="bottom"/>
          </w:tcPr>
          <w:p w:rsidR="005C7372" w:rsidRPr="00141927" w:rsidRDefault="005C7372" w:rsidP="00242CE7">
            <w:pPr>
              <w:rPr>
                <w:color w:val="000000"/>
                <w:sz w:val="22"/>
                <w:szCs w:val="22"/>
                <w:lang w:eastAsia="en-US"/>
              </w:rPr>
            </w:pPr>
          </w:p>
        </w:tc>
        <w:tc>
          <w:tcPr>
            <w:tcW w:w="1658" w:type="dxa"/>
            <w:tcBorders>
              <w:top w:val="nil"/>
              <w:left w:val="nil"/>
              <w:bottom w:val="nil"/>
              <w:right w:val="nil"/>
            </w:tcBorders>
            <w:shd w:val="clear" w:color="auto" w:fill="auto"/>
            <w:noWrap/>
            <w:vAlign w:val="bottom"/>
          </w:tcPr>
          <w:p w:rsidR="005C7372" w:rsidRPr="00141927" w:rsidRDefault="005C7372" w:rsidP="00242CE7">
            <w:pPr>
              <w:rPr>
                <w:color w:val="000000"/>
                <w:sz w:val="22"/>
                <w:szCs w:val="22"/>
                <w:lang w:eastAsia="en-US"/>
              </w:rPr>
            </w:pPr>
          </w:p>
        </w:tc>
        <w:tc>
          <w:tcPr>
            <w:tcW w:w="1659" w:type="dxa"/>
            <w:tcBorders>
              <w:top w:val="nil"/>
              <w:left w:val="nil"/>
              <w:bottom w:val="nil"/>
              <w:right w:val="nil"/>
            </w:tcBorders>
            <w:shd w:val="clear" w:color="auto" w:fill="auto"/>
            <w:noWrap/>
            <w:vAlign w:val="bottom"/>
          </w:tcPr>
          <w:p w:rsidR="005C7372" w:rsidRPr="00141927" w:rsidRDefault="005C7372" w:rsidP="00242CE7">
            <w:pPr>
              <w:rPr>
                <w:color w:val="000000"/>
                <w:sz w:val="22"/>
                <w:szCs w:val="22"/>
                <w:lang w:eastAsia="en-US"/>
              </w:rPr>
            </w:pPr>
          </w:p>
        </w:tc>
      </w:tr>
      <w:tr w:rsidR="005C7372" w:rsidRPr="00141927" w:rsidTr="005E1672">
        <w:trPr>
          <w:trHeight w:val="522"/>
        </w:trPr>
        <w:tc>
          <w:tcPr>
            <w:tcW w:w="1701" w:type="dxa"/>
            <w:vMerge w:val="restart"/>
            <w:tcBorders>
              <w:top w:val="single" w:sz="4" w:space="0" w:color="auto"/>
              <w:left w:val="single" w:sz="4" w:space="0" w:color="auto"/>
              <w:bottom w:val="single" w:sz="4" w:space="0" w:color="auto"/>
              <w:right w:val="single" w:sz="4" w:space="0" w:color="auto"/>
            </w:tcBorders>
            <w:shd w:val="clear" w:color="auto" w:fill="8DB4E2"/>
            <w:vAlign w:val="center"/>
            <w:hideMark/>
          </w:tcPr>
          <w:p w:rsidR="005C7372" w:rsidRPr="00141927" w:rsidRDefault="005C7372" w:rsidP="00242CE7">
            <w:pPr>
              <w:jc w:val="center"/>
              <w:rPr>
                <w:b/>
                <w:bCs/>
                <w:color w:val="3F4B75"/>
                <w:sz w:val="22"/>
                <w:szCs w:val="22"/>
                <w:lang w:eastAsia="en-US"/>
              </w:rPr>
            </w:pPr>
            <w:r w:rsidRPr="00141927">
              <w:rPr>
                <w:b/>
                <w:bCs/>
                <w:color w:val="3F4B75"/>
                <w:sz w:val="22"/>
                <w:szCs w:val="22"/>
                <w:lang w:eastAsia="en-US"/>
              </w:rPr>
              <w:t>Año de presentación</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8DB4E2"/>
            <w:vAlign w:val="center"/>
            <w:hideMark/>
          </w:tcPr>
          <w:p w:rsidR="005C7372" w:rsidRPr="00141927" w:rsidRDefault="005C7372" w:rsidP="00242CE7">
            <w:pPr>
              <w:jc w:val="center"/>
              <w:rPr>
                <w:b/>
                <w:bCs/>
                <w:color w:val="3F4B75"/>
                <w:sz w:val="22"/>
                <w:szCs w:val="22"/>
                <w:lang w:eastAsia="en-US"/>
              </w:rPr>
            </w:pPr>
            <w:r w:rsidRPr="00141927">
              <w:rPr>
                <w:b/>
                <w:bCs/>
                <w:color w:val="3F4B75"/>
                <w:sz w:val="22"/>
                <w:szCs w:val="22"/>
                <w:lang w:eastAsia="en-US"/>
              </w:rPr>
              <w:t>Bajo análisis</w:t>
            </w:r>
          </w:p>
        </w:tc>
        <w:tc>
          <w:tcPr>
            <w:tcW w:w="2126" w:type="dxa"/>
            <w:tcBorders>
              <w:top w:val="single" w:sz="4" w:space="0" w:color="auto"/>
              <w:left w:val="nil"/>
              <w:bottom w:val="single" w:sz="4" w:space="0" w:color="auto"/>
              <w:right w:val="single" w:sz="4" w:space="0" w:color="auto"/>
            </w:tcBorders>
            <w:shd w:val="clear" w:color="auto" w:fill="8DB4E2"/>
            <w:vAlign w:val="center"/>
            <w:hideMark/>
          </w:tcPr>
          <w:p w:rsidR="005C7372" w:rsidRPr="00141927" w:rsidRDefault="005C7372" w:rsidP="00242CE7">
            <w:pPr>
              <w:jc w:val="center"/>
              <w:rPr>
                <w:b/>
                <w:bCs/>
                <w:color w:val="3F4B75"/>
                <w:sz w:val="22"/>
                <w:szCs w:val="22"/>
                <w:lang w:eastAsia="en-US"/>
              </w:rPr>
            </w:pPr>
            <w:r w:rsidRPr="00141927">
              <w:rPr>
                <w:b/>
                <w:bCs/>
                <w:color w:val="3F4B75"/>
                <w:sz w:val="22"/>
                <w:szCs w:val="22"/>
                <w:lang w:eastAsia="en-US"/>
              </w:rPr>
              <w:t>Aceptadas </w:t>
            </w:r>
          </w:p>
        </w:tc>
        <w:tc>
          <w:tcPr>
            <w:tcW w:w="1985" w:type="dxa"/>
            <w:tcBorders>
              <w:top w:val="single" w:sz="4" w:space="0" w:color="auto"/>
              <w:left w:val="nil"/>
              <w:bottom w:val="single" w:sz="4" w:space="0" w:color="auto"/>
              <w:right w:val="single" w:sz="4" w:space="0" w:color="auto"/>
            </w:tcBorders>
            <w:shd w:val="clear" w:color="auto" w:fill="8DB4E2"/>
            <w:vAlign w:val="center"/>
            <w:hideMark/>
          </w:tcPr>
          <w:p w:rsidR="005C7372" w:rsidRPr="00141927" w:rsidRDefault="005C7372" w:rsidP="00242CE7">
            <w:pPr>
              <w:jc w:val="center"/>
              <w:rPr>
                <w:b/>
                <w:bCs/>
                <w:color w:val="3F4B75"/>
                <w:sz w:val="22"/>
                <w:szCs w:val="22"/>
                <w:lang w:eastAsia="en-US"/>
              </w:rPr>
            </w:pPr>
            <w:r w:rsidRPr="00141927">
              <w:rPr>
                <w:b/>
                <w:bCs/>
                <w:color w:val="3F4B75"/>
                <w:sz w:val="22"/>
                <w:szCs w:val="22"/>
                <w:lang w:eastAsia="en-US"/>
              </w:rPr>
              <w:t>Rechazadas</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8DB4E2"/>
            <w:vAlign w:val="center"/>
            <w:hideMark/>
          </w:tcPr>
          <w:p w:rsidR="005C7372" w:rsidRPr="00141927" w:rsidRDefault="005C7372" w:rsidP="00242CE7">
            <w:pPr>
              <w:jc w:val="center"/>
              <w:rPr>
                <w:b/>
                <w:bCs/>
                <w:color w:val="3F4B75"/>
                <w:sz w:val="22"/>
                <w:szCs w:val="22"/>
                <w:lang w:eastAsia="en-US"/>
              </w:rPr>
            </w:pPr>
            <w:r w:rsidRPr="00141927">
              <w:rPr>
                <w:b/>
                <w:bCs/>
                <w:color w:val="3F4B75"/>
                <w:sz w:val="22"/>
                <w:szCs w:val="22"/>
                <w:lang w:eastAsia="en-US"/>
              </w:rPr>
              <w:t>Total</w:t>
            </w:r>
          </w:p>
        </w:tc>
        <w:tc>
          <w:tcPr>
            <w:tcW w:w="131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8"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r>
      <w:tr w:rsidR="005C7372" w:rsidRPr="00141927" w:rsidTr="009D687C">
        <w:trPr>
          <w:trHeight w:val="767"/>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5C7372" w:rsidRPr="00141927" w:rsidRDefault="005C7372" w:rsidP="00242CE7">
            <w:pPr>
              <w:rPr>
                <w:b/>
                <w:bCs/>
                <w:color w:val="3F4B75"/>
                <w:sz w:val="22"/>
                <w:szCs w:val="22"/>
                <w:lang w:eastAsia="en-U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5C7372" w:rsidRPr="00141927" w:rsidRDefault="005C7372" w:rsidP="00242CE7">
            <w:pPr>
              <w:rPr>
                <w:b/>
                <w:bCs/>
                <w:color w:val="3F4B75"/>
                <w:sz w:val="22"/>
                <w:szCs w:val="22"/>
                <w:lang w:eastAsia="en-US"/>
              </w:rPr>
            </w:pPr>
          </w:p>
        </w:tc>
        <w:tc>
          <w:tcPr>
            <w:tcW w:w="2126" w:type="dxa"/>
            <w:tcBorders>
              <w:top w:val="nil"/>
              <w:left w:val="nil"/>
              <w:bottom w:val="single" w:sz="4" w:space="0" w:color="auto"/>
              <w:right w:val="single" w:sz="4" w:space="0" w:color="auto"/>
            </w:tcBorders>
            <w:shd w:val="clear" w:color="auto" w:fill="8DB4E2"/>
            <w:vAlign w:val="center"/>
            <w:hideMark/>
          </w:tcPr>
          <w:p w:rsidR="005C7372" w:rsidRPr="00141927" w:rsidRDefault="005C7372" w:rsidP="00242CE7">
            <w:pPr>
              <w:jc w:val="center"/>
              <w:rPr>
                <w:b/>
                <w:bCs/>
                <w:color w:val="3F4B75"/>
                <w:sz w:val="22"/>
                <w:szCs w:val="22"/>
                <w:lang w:eastAsia="en-US"/>
              </w:rPr>
            </w:pPr>
            <w:r w:rsidRPr="00141927">
              <w:rPr>
                <w:b/>
                <w:bCs/>
                <w:color w:val="3F4B75"/>
                <w:sz w:val="22"/>
                <w:szCs w:val="22"/>
                <w:lang w:eastAsia="en-US"/>
              </w:rPr>
              <w:t>(proceden total o parcialmente)</w:t>
            </w:r>
          </w:p>
        </w:tc>
        <w:tc>
          <w:tcPr>
            <w:tcW w:w="1985" w:type="dxa"/>
            <w:tcBorders>
              <w:top w:val="nil"/>
              <w:left w:val="nil"/>
              <w:bottom w:val="single" w:sz="4" w:space="0" w:color="auto"/>
              <w:right w:val="single" w:sz="4" w:space="0" w:color="auto"/>
            </w:tcBorders>
            <w:shd w:val="clear" w:color="auto" w:fill="8DB4E2"/>
            <w:vAlign w:val="center"/>
            <w:hideMark/>
          </w:tcPr>
          <w:p w:rsidR="005C7372" w:rsidRPr="00141927" w:rsidRDefault="005C7372" w:rsidP="00242CE7">
            <w:pPr>
              <w:jc w:val="center"/>
              <w:rPr>
                <w:b/>
                <w:bCs/>
                <w:color w:val="3F4B75"/>
                <w:sz w:val="22"/>
                <w:szCs w:val="22"/>
                <w:lang w:eastAsia="en-US"/>
              </w:rPr>
            </w:pPr>
            <w:r w:rsidRPr="00141927">
              <w:rPr>
                <w:b/>
                <w:bCs/>
                <w:color w:val="3F4B75"/>
                <w:sz w:val="22"/>
                <w:szCs w:val="22"/>
                <w:lang w:eastAsia="en-US"/>
              </w:rPr>
              <w:t>(improcedentes)</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5C7372" w:rsidRPr="00141927" w:rsidRDefault="005C7372" w:rsidP="00242CE7">
            <w:pPr>
              <w:rPr>
                <w:b/>
                <w:bCs/>
                <w:color w:val="3F4B75"/>
                <w:sz w:val="22"/>
                <w:szCs w:val="22"/>
                <w:lang w:eastAsia="en-US"/>
              </w:rPr>
            </w:pPr>
          </w:p>
        </w:tc>
        <w:tc>
          <w:tcPr>
            <w:tcW w:w="131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8"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r>
      <w:tr w:rsidR="005C7372" w:rsidRPr="00141927" w:rsidTr="00576EA1">
        <w:trPr>
          <w:trHeight w:val="300"/>
        </w:trPr>
        <w:tc>
          <w:tcPr>
            <w:tcW w:w="1701" w:type="dxa"/>
            <w:tcBorders>
              <w:top w:val="nil"/>
              <w:left w:val="single" w:sz="4" w:space="0" w:color="auto"/>
              <w:bottom w:val="single" w:sz="4" w:space="0" w:color="auto"/>
              <w:right w:val="single" w:sz="4" w:space="0" w:color="auto"/>
            </w:tcBorders>
            <w:shd w:val="clear" w:color="000000" w:fill="E2EAF1"/>
            <w:vAlign w:val="center"/>
          </w:tcPr>
          <w:p w:rsidR="005C7372" w:rsidRPr="00141927" w:rsidRDefault="005C7372" w:rsidP="00242CE7">
            <w:pPr>
              <w:jc w:val="center"/>
              <w:rPr>
                <w:color w:val="000000"/>
                <w:sz w:val="22"/>
                <w:szCs w:val="22"/>
                <w:lang w:eastAsia="en-US"/>
              </w:rPr>
            </w:pPr>
            <w:r w:rsidRPr="00141927">
              <w:rPr>
                <w:color w:val="000000"/>
                <w:sz w:val="22"/>
                <w:szCs w:val="22"/>
                <w:lang w:eastAsia="en-US"/>
              </w:rPr>
              <w:t>2021</w:t>
            </w:r>
          </w:p>
        </w:tc>
        <w:tc>
          <w:tcPr>
            <w:tcW w:w="1843" w:type="dxa"/>
            <w:tcBorders>
              <w:top w:val="nil"/>
              <w:left w:val="nil"/>
              <w:bottom w:val="single" w:sz="4" w:space="0" w:color="auto"/>
              <w:right w:val="single" w:sz="4" w:space="0" w:color="auto"/>
            </w:tcBorders>
            <w:shd w:val="clear" w:color="auto" w:fill="auto"/>
            <w:noWrap/>
            <w:vAlign w:val="bottom"/>
          </w:tcPr>
          <w:p w:rsidR="005C7372" w:rsidRPr="00141927" w:rsidRDefault="005C7372" w:rsidP="00242CE7">
            <w:pPr>
              <w:jc w:val="center"/>
              <w:rPr>
                <w:color w:val="000000"/>
                <w:sz w:val="22"/>
                <w:szCs w:val="22"/>
                <w:lang w:eastAsia="en-US"/>
              </w:rPr>
            </w:pPr>
            <w:r w:rsidRPr="00141927">
              <w:rPr>
                <w:color w:val="000000"/>
                <w:sz w:val="22"/>
                <w:szCs w:val="22"/>
                <w:lang w:eastAsia="en-US"/>
              </w:rPr>
              <w:t>104</w:t>
            </w:r>
          </w:p>
        </w:tc>
        <w:tc>
          <w:tcPr>
            <w:tcW w:w="2126" w:type="dxa"/>
            <w:tcBorders>
              <w:top w:val="nil"/>
              <w:left w:val="nil"/>
              <w:bottom w:val="single" w:sz="4" w:space="0" w:color="auto"/>
              <w:right w:val="single" w:sz="4" w:space="0" w:color="auto"/>
            </w:tcBorders>
            <w:shd w:val="clear" w:color="auto" w:fill="auto"/>
            <w:noWrap/>
            <w:vAlign w:val="bottom"/>
          </w:tcPr>
          <w:p w:rsidR="005C7372" w:rsidRPr="00141927" w:rsidRDefault="005C7372" w:rsidP="00242CE7">
            <w:pPr>
              <w:jc w:val="center"/>
              <w:rPr>
                <w:color w:val="000000"/>
                <w:sz w:val="22"/>
                <w:szCs w:val="22"/>
                <w:lang w:eastAsia="en-US"/>
              </w:rPr>
            </w:pPr>
            <w:r w:rsidRPr="00141927">
              <w:rPr>
                <w:color w:val="000000"/>
                <w:sz w:val="22"/>
                <w:szCs w:val="22"/>
                <w:lang w:eastAsia="en-US"/>
              </w:rPr>
              <w:t>1</w:t>
            </w:r>
            <w:r w:rsidR="00BB697C">
              <w:rPr>
                <w:color w:val="000000"/>
                <w:sz w:val="22"/>
                <w:szCs w:val="22"/>
                <w:lang w:eastAsia="en-US"/>
              </w:rPr>
              <w:t>,</w:t>
            </w:r>
            <w:r w:rsidRPr="00141927">
              <w:rPr>
                <w:color w:val="000000"/>
                <w:sz w:val="22"/>
                <w:szCs w:val="22"/>
                <w:lang w:eastAsia="en-US"/>
              </w:rPr>
              <w:t>461</w:t>
            </w:r>
          </w:p>
        </w:tc>
        <w:tc>
          <w:tcPr>
            <w:tcW w:w="1985" w:type="dxa"/>
            <w:tcBorders>
              <w:top w:val="nil"/>
              <w:left w:val="nil"/>
              <w:bottom w:val="single" w:sz="4" w:space="0" w:color="auto"/>
              <w:right w:val="single" w:sz="4" w:space="0" w:color="auto"/>
            </w:tcBorders>
            <w:shd w:val="clear" w:color="auto" w:fill="auto"/>
            <w:noWrap/>
            <w:vAlign w:val="bottom"/>
          </w:tcPr>
          <w:p w:rsidR="005C7372" w:rsidRPr="00141927" w:rsidRDefault="005C7372" w:rsidP="00242CE7">
            <w:pPr>
              <w:jc w:val="center"/>
              <w:rPr>
                <w:color w:val="000000"/>
                <w:sz w:val="22"/>
                <w:szCs w:val="22"/>
                <w:lang w:eastAsia="en-US"/>
              </w:rPr>
            </w:pPr>
            <w:r w:rsidRPr="00141927">
              <w:rPr>
                <w:color w:val="000000"/>
                <w:sz w:val="22"/>
                <w:szCs w:val="22"/>
                <w:lang w:eastAsia="en-US"/>
              </w:rPr>
              <w:t>6125</w:t>
            </w:r>
          </w:p>
        </w:tc>
        <w:tc>
          <w:tcPr>
            <w:tcW w:w="1701" w:type="dxa"/>
            <w:tcBorders>
              <w:top w:val="nil"/>
              <w:left w:val="nil"/>
              <w:bottom w:val="single" w:sz="4" w:space="0" w:color="auto"/>
              <w:right w:val="single" w:sz="4" w:space="0" w:color="auto"/>
            </w:tcBorders>
            <w:shd w:val="clear" w:color="auto" w:fill="auto"/>
            <w:noWrap/>
            <w:vAlign w:val="bottom"/>
          </w:tcPr>
          <w:p w:rsidR="005C7372" w:rsidRPr="00141927" w:rsidRDefault="005C7372" w:rsidP="00242CE7">
            <w:pPr>
              <w:jc w:val="center"/>
              <w:rPr>
                <w:color w:val="000000"/>
                <w:sz w:val="22"/>
                <w:szCs w:val="22"/>
                <w:lang w:eastAsia="en-US"/>
              </w:rPr>
            </w:pPr>
            <w:r w:rsidRPr="00141927">
              <w:rPr>
                <w:color w:val="000000"/>
                <w:sz w:val="22"/>
                <w:szCs w:val="22"/>
                <w:lang w:eastAsia="en-US"/>
              </w:rPr>
              <w:t>7</w:t>
            </w:r>
            <w:r w:rsidR="00BB697C">
              <w:rPr>
                <w:color w:val="000000"/>
                <w:sz w:val="22"/>
                <w:szCs w:val="22"/>
                <w:lang w:eastAsia="en-US"/>
              </w:rPr>
              <w:t>,</w:t>
            </w:r>
            <w:r w:rsidRPr="00141927">
              <w:rPr>
                <w:color w:val="000000"/>
                <w:sz w:val="22"/>
                <w:szCs w:val="22"/>
                <w:lang w:eastAsia="en-US"/>
              </w:rPr>
              <w:t>690</w:t>
            </w:r>
          </w:p>
        </w:tc>
        <w:tc>
          <w:tcPr>
            <w:tcW w:w="1319" w:type="dxa"/>
            <w:tcBorders>
              <w:top w:val="nil"/>
              <w:left w:val="nil"/>
              <w:bottom w:val="nil"/>
              <w:right w:val="nil"/>
            </w:tcBorders>
            <w:shd w:val="clear" w:color="auto" w:fill="auto"/>
            <w:noWrap/>
            <w:vAlign w:val="bottom"/>
          </w:tcPr>
          <w:p w:rsidR="005C7372" w:rsidRPr="00141927" w:rsidRDefault="005C7372" w:rsidP="00242CE7">
            <w:pPr>
              <w:rPr>
                <w:color w:val="000000"/>
                <w:sz w:val="22"/>
                <w:szCs w:val="22"/>
                <w:lang w:eastAsia="en-US"/>
              </w:rPr>
            </w:pPr>
          </w:p>
        </w:tc>
        <w:tc>
          <w:tcPr>
            <w:tcW w:w="1658" w:type="dxa"/>
            <w:tcBorders>
              <w:top w:val="nil"/>
              <w:left w:val="nil"/>
              <w:bottom w:val="nil"/>
              <w:right w:val="nil"/>
            </w:tcBorders>
            <w:shd w:val="clear" w:color="auto" w:fill="auto"/>
            <w:noWrap/>
            <w:vAlign w:val="bottom"/>
          </w:tcPr>
          <w:p w:rsidR="005C7372" w:rsidRPr="00141927" w:rsidRDefault="005C7372" w:rsidP="00242CE7">
            <w:pPr>
              <w:rPr>
                <w:color w:val="000000"/>
                <w:sz w:val="22"/>
                <w:szCs w:val="22"/>
                <w:lang w:eastAsia="en-US"/>
              </w:rPr>
            </w:pPr>
          </w:p>
        </w:tc>
        <w:tc>
          <w:tcPr>
            <w:tcW w:w="1659" w:type="dxa"/>
            <w:tcBorders>
              <w:top w:val="nil"/>
              <w:left w:val="nil"/>
              <w:bottom w:val="nil"/>
              <w:right w:val="nil"/>
            </w:tcBorders>
            <w:shd w:val="clear" w:color="auto" w:fill="auto"/>
            <w:noWrap/>
            <w:vAlign w:val="bottom"/>
          </w:tcPr>
          <w:p w:rsidR="005C7372" w:rsidRPr="00141927" w:rsidRDefault="005C7372" w:rsidP="00242CE7">
            <w:pPr>
              <w:rPr>
                <w:color w:val="000000"/>
                <w:sz w:val="22"/>
                <w:szCs w:val="22"/>
                <w:lang w:eastAsia="en-US"/>
              </w:rPr>
            </w:pPr>
          </w:p>
        </w:tc>
      </w:tr>
      <w:tr w:rsidR="005C7372" w:rsidRPr="00141927" w:rsidTr="00576EA1">
        <w:trPr>
          <w:trHeight w:val="300"/>
        </w:trPr>
        <w:tc>
          <w:tcPr>
            <w:tcW w:w="1701" w:type="dxa"/>
            <w:tcBorders>
              <w:top w:val="nil"/>
              <w:left w:val="single" w:sz="4" w:space="0" w:color="auto"/>
              <w:bottom w:val="single" w:sz="4" w:space="0" w:color="auto"/>
              <w:right w:val="single" w:sz="4" w:space="0" w:color="auto"/>
            </w:tcBorders>
            <w:shd w:val="clear" w:color="000000" w:fill="E2EAF1"/>
            <w:vAlign w:val="center"/>
          </w:tcPr>
          <w:p w:rsidR="005C7372" w:rsidRPr="00141927" w:rsidRDefault="005C7372" w:rsidP="00242CE7">
            <w:pPr>
              <w:jc w:val="center"/>
              <w:rPr>
                <w:color w:val="000000"/>
                <w:sz w:val="22"/>
                <w:szCs w:val="22"/>
                <w:lang w:eastAsia="en-US"/>
              </w:rPr>
            </w:pPr>
            <w:r w:rsidRPr="00141927">
              <w:rPr>
                <w:color w:val="000000"/>
                <w:sz w:val="22"/>
                <w:szCs w:val="22"/>
                <w:lang w:eastAsia="en-US"/>
              </w:rPr>
              <w:t>2020</w:t>
            </w:r>
          </w:p>
        </w:tc>
        <w:tc>
          <w:tcPr>
            <w:tcW w:w="1843" w:type="dxa"/>
            <w:tcBorders>
              <w:top w:val="nil"/>
              <w:left w:val="nil"/>
              <w:bottom w:val="single" w:sz="4" w:space="0" w:color="auto"/>
              <w:right w:val="single" w:sz="4" w:space="0" w:color="auto"/>
            </w:tcBorders>
            <w:shd w:val="clear" w:color="auto" w:fill="auto"/>
            <w:noWrap/>
            <w:vAlign w:val="bottom"/>
          </w:tcPr>
          <w:p w:rsidR="005C7372" w:rsidRPr="00141927" w:rsidRDefault="005C7372" w:rsidP="00242CE7">
            <w:pPr>
              <w:jc w:val="center"/>
              <w:rPr>
                <w:color w:val="000000"/>
                <w:sz w:val="22"/>
                <w:szCs w:val="22"/>
                <w:lang w:eastAsia="en-US"/>
              </w:rPr>
            </w:pPr>
            <w:r w:rsidRPr="00141927">
              <w:rPr>
                <w:color w:val="000000"/>
                <w:sz w:val="22"/>
                <w:szCs w:val="22"/>
                <w:lang w:eastAsia="en-US"/>
              </w:rPr>
              <w:t>193</w:t>
            </w:r>
          </w:p>
        </w:tc>
        <w:tc>
          <w:tcPr>
            <w:tcW w:w="2126" w:type="dxa"/>
            <w:tcBorders>
              <w:top w:val="nil"/>
              <w:left w:val="nil"/>
              <w:bottom w:val="single" w:sz="4" w:space="0" w:color="auto"/>
              <w:right w:val="single" w:sz="4" w:space="0" w:color="auto"/>
            </w:tcBorders>
            <w:shd w:val="clear" w:color="auto" w:fill="auto"/>
            <w:noWrap/>
            <w:vAlign w:val="bottom"/>
          </w:tcPr>
          <w:p w:rsidR="005C7372" w:rsidRPr="00141927" w:rsidRDefault="005C7372" w:rsidP="00242CE7">
            <w:pPr>
              <w:jc w:val="center"/>
              <w:rPr>
                <w:color w:val="000000"/>
                <w:sz w:val="22"/>
                <w:szCs w:val="22"/>
                <w:lang w:eastAsia="en-US"/>
              </w:rPr>
            </w:pPr>
            <w:r w:rsidRPr="00141927">
              <w:rPr>
                <w:color w:val="000000"/>
                <w:sz w:val="22"/>
                <w:szCs w:val="22"/>
                <w:lang w:eastAsia="en-US"/>
              </w:rPr>
              <w:t>2</w:t>
            </w:r>
            <w:r w:rsidR="00BB697C">
              <w:rPr>
                <w:color w:val="000000"/>
                <w:sz w:val="22"/>
                <w:szCs w:val="22"/>
                <w:lang w:eastAsia="en-US"/>
              </w:rPr>
              <w:t>,</w:t>
            </w:r>
            <w:r w:rsidRPr="00141927">
              <w:rPr>
                <w:color w:val="000000"/>
                <w:sz w:val="22"/>
                <w:szCs w:val="22"/>
                <w:lang w:eastAsia="en-US"/>
              </w:rPr>
              <w:t>352</w:t>
            </w:r>
          </w:p>
        </w:tc>
        <w:tc>
          <w:tcPr>
            <w:tcW w:w="1985" w:type="dxa"/>
            <w:tcBorders>
              <w:top w:val="nil"/>
              <w:left w:val="nil"/>
              <w:bottom w:val="single" w:sz="4" w:space="0" w:color="auto"/>
              <w:right w:val="single" w:sz="4" w:space="0" w:color="auto"/>
            </w:tcBorders>
            <w:shd w:val="clear" w:color="auto" w:fill="auto"/>
            <w:noWrap/>
            <w:vAlign w:val="bottom"/>
          </w:tcPr>
          <w:p w:rsidR="005C7372" w:rsidRPr="00141927" w:rsidRDefault="005C7372" w:rsidP="00242CE7">
            <w:pPr>
              <w:jc w:val="center"/>
              <w:rPr>
                <w:color w:val="000000"/>
                <w:sz w:val="22"/>
                <w:szCs w:val="22"/>
                <w:lang w:eastAsia="en-US"/>
              </w:rPr>
            </w:pPr>
            <w:r w:rsidRPr="00141927">
              <w:rPr>
                <w:color w:val="000000"/>
                <w:sz w:val="22"/>
                <w:szCs w:val="22"/>
                <w:lang w:eastAsia="en-US"/>
              </w:rPr>
              <w:t>7</w:t>
            </w:r>
            <w:r w:rsidR="00BB697C">
              <w:rPr>
                <w:color w:val="000000"/>
                <w:sz w:val="22"/>
                <w:szCs w:val="22"/>
                <w:lang w:eastAsia="en-US"/>
              </w:rPr>
              <w:t>,</w:t>
            </w:r>
            <w:r w:rsidRPr="00141927">
              <w:rPr>
                <w:color w:val="000000"/>
                <w:sz w:val="22"/>
                <w:szCs w:val="22"/>
                <w:lang w:eastAsia="en-US"/>
              </w:rPr>
              <w:t>171</w:t>
            </w:r>
          </w:p>
        </w:tc>
        <w:tc>
          <w:tcPr>
            <w:tcW w:w="1701" w:type="dxa"/>
            <w:tcBorders>
              <w:top w:val="nil"/>
              <w:left w:val="nil"/>
              <w:bottom w:val="single" w:sz="4" w:space="0" w:color="auto"/>
              <w:right w:val="single" w:sz="4" w:space="0" w:color="auto"/>
            </w:tcBorders>
            <w:shd w:val="clear" w:color="auto" w:fill="auto"/>
            <w:noWrap/>
            <w:vAlign w:val="bottom"/>
          </w:tcPr>
          <w:p w:rsidR="005C7372" w:rsidRPr="00141927" w:rsidRDefault="005C7372" w:rsidP="00242CE7">
            <w:pPr>
              <w:jc w:val="center"/>
              <w:rPr>
                <w:color w:val="000000"/>
                <w:sz w:val="22"/>
                <w:szCs w:val="22"/>
                <w:lang w:eastAsia="en-US"/>
              </w:rPr>
            </w:pPr>
            <w:r w:rsidRPr="00141927">
              <w:rPr>
                <w:color w:val="000000"/>
                <w:sz w:val="22"/>
                <w:szCs w:val="22"/>
                <w:lang w:eastAsia="en-US"/>
              </w:rPr>
              <w:t>9</w:t>
            </w:r>
            <w:r w:rsidR="00BB697C">
              <w:rPr>
                <w:color w:val="000000"/>
                <w:sz w:val="22"/>
                <w:szCs w:val="22"/>
                <w:lang w:eastAsia="en-US"/>
              </w:rPr>
              <w:t>,</w:t>
            </w:r>
            <w:r w:rsidRPr="00141927">
              <w:rPr>
                <w:color w:val="000000"/>
                <w:sz w:val="22"/>
                <w:szCs w:val="22"/>
                <w:lang w:eastAsia="en-US"/>
              </w:rPr>
              <w:t>716</w:t>
            </w:r>
          </w:p>
        </w:tc>
        <w:tc>
          <w:tcPr>
            <w:tcW w:w="1319" w:type="dxa"/>
            <w:tcBorders>
              <w:top w:val="nil"/>
              <w:left w:val="nil"/>
              <w:bottom w:val="nil"/>
              <w:right w:val="nil"/>
            </w:tcBorders>
            <w:shd w:val="clear" w:color="auto" w:fill="auto"/>
            <w:noWrap/>
            <w:vAlign w:val="bottom"/>
          </w:tcPr>
          <w:p w:rsidR="005C7372" w:rsidRPr="00141927" w:rsidRDefault="005C7372" w:rsidP="00242CE7">
            <w:pPr>
              <w:rPr>
                <w:color w:val="000000"/>
                <w:sz w:val="22"/>
                <w:szCs w:val="22"/>
                <w:lang w:eastAsia="en-US"/>
              </w:rPr>
            </w:pPr>
          </w:p>
        </w:tc>
        <w:tc>
          <w:tcPr>
            <w:tcW w:w="1658" w:type="dxa"/>
            <w:tcBorders>
              <w:top w:val="nil"/>
              <w:left w:val="nil"/>
              <w:bottom w:val="nil"/>
              <w:right w:val="nil"/>
            </w:tcBorders>
            <w:shd w:val="clear" w:color="auto" w:fill="auto"/>
            <w:noWrap/>
            <w:vAlign w:val="bottom"/>
          </w:tcPr>
          <w:p w:rsidR="005C7372" w:rsidRPr="00141927" w:rsidRDefault="005C7372" w:rsidP="00242CE7">
            <w:pPr>
              <w:rPr>
                <w:color w:val="000000"/>
                <w:sz w:val="22"/>
                <w:szCs w:val="22"/>
                <w:lang w:eastAsia="en-US"/>
              </w:rPr>
            </w:pPr>
          </w:p>
        </w:tc>
        <w:tc>
          <w:tcPr>
            <w:tcW w:w="1659" w:type="dxa"/>
            <w:tcBorders>
              <w:top w:val="nil"/>
              <w:left w:val="nil"/>
              <w:bottom w:val="nil"/>
              <w:right w:val="nil"/>
            </w:tcBorders>
            <w:shd w:val="clear" w:color="auto" w:fill="auto"/>
            <w:noWrap/>
            <w:vAlign w:val="bottom"/>
          </w:tcPr>
          <w:p w:rsidR="005C7372" w:rsidRPr="00141927" w:rsidRDefault="005C7372" w:rsidP="00242CE7">
            <w:pPr>
              <w:rPr>
                <w:color w:val="000000"/>
                <w:sz w:val="22"/>
                <w:szCs w:val="22"/>
                <w:lang w:eastAsia="en-US"/>
              </w:rPr>
            </w:pPr>
          </w:p>
        </w:tc>
      </w:tr>
      <w:tr w:rsidR="005C7372" w:rsidRPr="00141927" w:rsidTr="00576EA1">
        <w:trPr>
          <w:trHeight w:val="300"/>
        </w:trPr>
        <w:tc>
          <w:tcPr>
            <w:tcW w:w="1701" w:type="dxa"/>
            <w:tcBorders>
              <w:top w:val="nil"/>
              <w:left w:val="single" w:sz="4" w:space="0" w:color="auto"/>
              <w:bottom w:val="single" w:sz="4" w:space="0" w:color="auto"/>
              <w:right w:val="single" w:sz="4" w:space="0" w:color="auto"/>
            </w:tcBorders>
            <w:shd w:val="clear" w:color="000000" w:fill="E2EAF1"/>
            <w:vAlign w:val="center"/>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2019</w:t>
            </w:r>
          </w:p>
        </w:tc>
        <w:tc>
          <w:tcPr>
            <w:tcW w:w="1843"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245</w:t>
            </w:r>
          </w:p>
        </w:tc>
        <w:tc>
          <w:tcPr>
            <w:tcW w:w="2126"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914</w:t>
            </w:r>
          </w:p>
        </w:tc>
        <w:tc>
          <w:tcPr>
            <w:tcW w:w="1985"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1</w:t>
            </w:r>
            <w:r w:rsidR="00BB697C">
              <w:rPr>
                <w:color w:val="000000"/>
                <w:sz w:val="22"/>
                <w:szCs w:val="22"/>
                <w:lang w:eastAsia="en-US"/>
              </w:rPr>
              <w:t>,</w:t>
            </w:r>
            <w:r w:rsidRPr="00141927">
              <w:rPr>
                <w:color w:val="000000"/>
                <w:sz w:val="22"/>
                <w:szCs w:val="22"/>
                <w:lang w:eastAsia="en-US"/>
              </w:rPr>
              <w:t>836</w:t>
            </w:r>
          </w:p>
        </w:tc>
        <w:tc>
          <w:tcPr>
            <w:tcW w:w="1701"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2</w:t>
            </w:r>
            <w:r w:rsidR="00BB697C">
              <w:rPr>
                <w:color w:val="000000"/>
                <w:sz w:val="22"/>
                <w:szCs w:val="22"/>
                <w:lang w:eastAsia="en-US"/>
              </w:rPr>
              <w:t>,</w:t>
            </w:r>
            <w:r w:rsidRPr="00141927">
              <w:rPr>
                <w:color w:val="000000"/>
                <w:sz w:val="22"/>
                <w:szCs w:val="22"/>
                <w:lang w:eastAsia="en-US"/>
              </w:rPr>
              <w:t>995</w:t>
            </w:r>
          </w:p>
        </w:tc>
        <w:tc>
          <w:tcPr>
            <w:tcW w:w="131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8"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r>
      <w:tr w:rsidR="005C7372" w:rsidRPr="00141927" w:rsidTr="00576EA1">
        <w:trPr>
          <w:trHeight w:val="300"/>
        </w:trPr>
        <w:tc>
          <w:tcPr>
            <w:tcW w:w="1701" w:type="dxa"/>
            <w:tcBorders>
              <w:top w:val="nil"/>
              <w:left w:val="single" w:sz="4" w:space="0" w:color="auto"/>
              <w:bottom w:val="single" w:sz="4" w:space="0" w:color="auto"/>
              <w:right w:val="single" w:sz="4" w:space="0" w:color="auto"/>
            </w:tcBorders>
            <w:shd w:val="clear" w:color="000000" w:fill="E2EAF1"/>
            <w:vAlign w:val="center"/>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2018</w:t>
            </w:r>
          </w:p>
        </w:tc>
        <w:tc>
          <w:tcPr>
            <w:tcW w:w="1843"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302</w:t>
            </w:r>
          </w:p>
        </w:tc>
        <w:tc>
          <w:tcPr>
            <w:tcW w:w="2126"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2</w:t>
            </w:r>
            <w:r w:rsidR="00BB697C">
              <w:rPr>
                <w:color w:val="000000"/>
                <w:sz w:val="22"/>
                <w:szCs w:val="22"/>
                <w:lang w:eastAsia="en-US"/>
              </w:rPr>
              <w:t>,</w:t>
            </w:r>
            <w:r w:rsidRPr="00141927">
              <w:rPr>
                <w:color w:val="000000"/>
                <w:sz w:val="22"/>
                <w:szCs w:val="22"/>
                <w:lang w:eastAsia="en-US"/>
              </w:rPr>
              <w:t>539</w:t>
            </w:r>
          </w:p>
        </w:tc>
        <w:tc>
          <w:tcPr>
            <w:tcW w:w="1985"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7</w:t>
            </w:r>
            <w:r w:rsidR="00BB697C">
              <w:rPr>
                <w:color w:val="000000"/>
                <w:sz w:val="22"/>
                <w:szCs w:val="22"/>
                <w:lang w:eastAsia="en-US"/>
              </w:rPr>
              <w:t>,</w:t>
            </w:r>
            <w:r w:rsidRPr="00141927">
              <w:rPr>
                <w:color w:val="000000"/>
                <w:sz w:val="22"/>
                <w:szCs w:val="22"/>
                <w:lang w:eastAsia="en-US"/>
              </w:rPr>
              <w:t>841</w:t>
            </w:r>
          </w:p>
        </w:tc>
        <w:tc>
          <w:tcPr>
            <w:tcW w:w="1701"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10</w:t>
            </w:r>
            <w:r w:rsidR="00BB697C">
              <w:rPr>
                <w:color w:val="000000"/>
                <w:sz w:val="22"/>
                <w:szCs w:val="22"/>
                <w:lang w:eastAsia="en-US"/>
              </w:rPr>
              <w:t>,</w:t>
            </w:r>
            <w:r w:rsidRPr="00141927">
              <w:rPr>
                <w:color w:val="000000"/>
                <w:sz w:val="22"/>
                <w:szCs w:val="22"/>
                <w:lang w:eastAsia="en-US"/>
              </w:rPr>
              <w:t>682</w:t>
            </w:r>
          </w:p>
        </w:tc>
        <w:tc>
          <w:tcPr>
            <w:tcW w:w="131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8"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r>
      <w:tr w:rsidR="005C7372" w:rsidRPr="00141927" w:rsidTr="00576EA1">
        <w:trPr>
          <w:trHeight w:val="300"/>
        </w:trPr>
        <w:tc>
          <w:tcPr>
            <w:tcW w:w="1701" w:type="dxa"/>
            <w:tcBorders>
              <w:top w:val="nil"/>
              <w:left w:val="single" w:sz="4" w:space="0" w:color="auto"/>
              <w:bottom w:val="single" w:sz="4" w:space="0" w:color="auto"/>
              <w:right w:val="single" w:sz="4" w:space="0" w:color="auto"/>
            </w:tcBorders>
            <w:shd w:val="clear" w:color="000000" w:fill="E2EAF1"/>
            <w:vAlign w:val="center"/>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2017</w:t>
            </w:r>
          </w:p>
        </w:tc>
        <w:tc>
          <w:tcPr>
            <w:tcW w:w="1843"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163</w:t>
            </w:r>
          </w:p>
        </w:tc>
        <w:tc>
          <w:tcPr>
            <w:tcW w:w="2126"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2</w:t>
            </w:r>
            <w:r w:rsidR="00BB697C">
              <w:rPr>
                <w:color w:val="000000"/>
                <w:sz w:val="22"/>
                <w:szCs w:val="22"/>
                <w:lang w:eastAsia="en-US"/>
              </w:rPr>
              <w:t>,</w:t>
            </w:r>
            <w:r w:rsidRPr="00141927">
              <w:rPr>
                <w:color w:val="000000"/>
                <w:sz w:val="22"/>
                <w:szCs w:val="22"/>
                <w:lang w:eastAsia="en-US"/>
              </w:rPr>
              <w:t>340</w:t>
            </w:r>
          </w:p>
        </w:tc>
        <w:tc>
          <w:tcPr>
            <w:tcW w:w="1985"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6</w:t>
            </w:r>
            <w:r w:rsidR="00BB697C">
              <w:rPr>
                <w:color w:val="000000"/>
                <w:sz w:val="22"/>
                <w:szCs w:val="22"/>
                <w:lang w:eastAsia="en-US"/>
              </w:rPr>
              <w:t>,</w:t>
            </w:r>
            <w:r w:rsidRPr="00141927">
              <w:rPr>
                <w:color w:val="000000"/>
                <w:sz w:val="22"/>
                <w:szCs w:val="22"/>
                <w:lang w:eastAsia="en-US"/>
              </w:rPr>
              <w:t>684</w:t>
            </w:r>
          </w:p>
        </w:tc>
        <w:tc>
          <w:tcPr>
            <w:tcW w:w="1701"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9</w:t>
            </w:r>
            <w:r w:rsidR="00BB697C">
              <w:rPr>
                <w:color w:val="000000"/>
                <w:sz w:val="22"/>
                <w:szCs w:val="22"/>
                <w:lang w:eastAsia="en-US"/>
              </w:rPr>
              <w:t>,</w:t>
            </w:r>
            <w:r w:rsidRPr="00141927">
              <w:rPr>
                <w:color w:val="000000"/>
                <w:sz w:val="22"/>
                <w:szCs w:val="22"/>
                <w:lang w:eastAsia="en-US"/>
              </w:rPr>
              <w:t>187</w:t>
            </w:r>
          </w:p>
        </w:tc>
        <w:tc>
          <w:tcPr>
            <w:tcW w:w="131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8"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r>
      <w:tr w:rsidR="005C7372" w:rsidRPr="00141927" w:rsidTr="00576EA1">
        <w:trPr>
          <w:trHeight w:val="300"/>
        </w:trPr>
        <w:tc>
          <w:tcPr>
            <w:tcW w:w="1701" w:type="dxa"/>
            <w:tcBorders>
              <w:top w:val="nil"/>
              <w:left w:val="single" w:sz="4" w:space="0" w:color="auto"/>
              <w:bottom w:val="single" w:sz="4" w:space="0" w:color="auto"/>
              <w:right w:val="single" w:sz="4" w:space="0" w:color="auto"/>
            </w:tcBorders>
            <w:shd w:val="clear" w:color="000000" w:fill="E2EAF1"/>
            <w:vAlign w:val="center"/>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2016</w:t>
            </w:r>
          </w:p>
        </w:tc>
        <w:tc>
          <w:tcPr>
            <w:tcW w:w="1843"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178</w:t>
            </w:r>
          </w:p>
        </w:tc>
        <w:tc>
          <w:tcPr>
            <w:tcW w:w="2126"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1</w:t>
            </w:r>
            <w:r w:rsidR="00BB697C">
              <w:rPr>
                <w:color w:val="000000"/>
                <w:sz w:val="22"/>
                <w:szCs w:val="22"/>
                <w:lang w:eastAsia="en-US"/>
              </w:rPr>
              <w:t>,</w:t>
            </w:r>
            <w:r w:rsidRPr="00141927">
              <w:rPr>
                <w:color w:val="000000"/>
                <w:sz w:val="22"/>
                <w:szCs w:val="22"/>
                <w:lang w:eastAsia="en-US"/>
              </w:rPr>
              <w:t>853</w:t>
            </w:r>
          </w:p>
        </w:tc>
        <w:tc>
          <w:tcPr>
            <w:tcW w:w="1985"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5</w:t>
            </w:r>
            <w:r w:rsidR="00BB697C">
              <w:rPr>
                <w:color w:val="000000"/>
                <w:sz w:val="22"/>
                <w:szCs w:val="22"/>
                <w:lang w:eastAsia="en-US"/>
              </w:rPr>
              <w:t>,</w:t>
            </w:r>
            <w:r w:rsidRPr="00141927">
              <w:rPr>
                <w:color w:val="000000"/>
                <w:sz w:val="22"/>
                <w:szCs w:val="22"/>
                <w:lang w:eastAsia="en-US"/>
              </w:rPr>
              <w:t>547</w:t>
            </w:r>
          </w:p>
        </w:tc>
        <w:tc>
          <w:tcPr>
            <w:tcW w:w="1701"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7</w:t>
            </w:r>
            <w:r w:rsidR="00BB697C">
              <w:rPr>
                <w:color w:val="000000"/>
                <w:sz w:val="22"/>
                <w:szCs w:val="22"/>
                <w:lang w:eastAsia="en-US"/>
              </w:rPr>
              <w:t>,</w:t>
            </w:r>
            <w:r w:rsidRPr="00141927">
              <w:rPr>
                <w:color w:val="000000"/>
                <w:sz w:val="22"/>
                <w:szCs w:val="22"/>
                <w:lang w:eastAsia="en-US"/>
              </w:rPr>
              <w:t>578</w:t>
            </w:r>
          </w:p>
        </w:tc>
        <w:tc>
          <w:tcPr>
            <w:tcW w:w="131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8"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r>
      <w:tr w:rsidR="005C7372" w:rsidRPr="00141927" w:rsidTr="00576EA1">
        <w:trPr>
          <w:trHeight w:val="300"/>
        </w:trPr>
        <w:tc>
          <w:tcPr>
            <w:tcW w:w="1701" w:type="dxa"/>
            <w:tcBorders>
              <w:top w:val="nil"/>
              <w:left w:val="single" w:sz="4" w:space="0" w:color="auto"/>
              <w:bottom w:val="single" w:sz="4" w:space="0" w:color="auto"/>
              <w:right w:val="single" w:sz="4" w:space="0" w:color="auto"/>
            </w:tcBorders>
            <w:shd w:val="clear" w:color="000000" w:fill="E2EAF1"/>
            <w:vAlign w:val="center"/>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2015</w:t>
            </w:r>
          </w:p>
        </w:tc>
        <w:tc>
          <w:tcPr>
            <w:tcW w:w="1843"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69</w:t>
            </w:r>
          </w:p>
        </w:tc>
        <w:tc>
          <w:tcPr>
            <w:tcW w:w="2126"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1</w:t>
            </w:r>
            <w:r w:rsidR="00BB697C">
              <w:rPr>
                <w:color w:val="000000"/>
                <w:sz w:val="22"/>
                <w:szCs w:val="22"/>
                <w:lang w:eastAsia="en-US"/>
              </w:rPr>
              <w:t>,</w:t>
            </w:r>
            <w:r w:rsidRPr="00141927">
              <w:rPr>
                <w:color w:val="000000"/>
                <w:sz w:val="22"/>
                <w:szCs w:val="22"/>
                <w:lang w:eastAsia="en-US"/>
              </w:rPr>
              <w:t>098</w:t>
            </w:r>
          </w:p>
        </w:tc>
        <w:tc>
          <w:tcPr>
            <w:tcW w:w="1985"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2</w:t>
            </w:r>
            <w:r w:rsidR="00BB697C">
              <w:rPr>
                <w:color w:val="000000"/>
                <w:sz w:val="22"/>
                <w:szCs w:val="22"/>
                <w:lang w:eastAsia="en-US"/>
              </w:rPr>
              <w:t>,</w:t>
            </w:r>
            <w:r w:rsidRPr="00141927">
              <w:rPr>
                <w:color w:val="000000"/>
                <w:sz w:val="22"/>
                <w:szCs w:val="22"/>
                <w:lang w:eastAsia="en-US"/>
              </w:rPr>
              <w:t>748</w:t>
            </w:r>
          </w:p>
        </w:tc>
        <w:tc>
          <w:tcPr>
            <w:tcW w:w="1701" w:type="dxa"/>
            <w:tcBorders>
              <w:top w:val="nil"/>
              <w:left w:val="nil"/>
              <w:bottom w:val="single" w:sz="4" w:space="0" w:color="auto"/>
              <w:right w:val="single" w:sz="4" w:space="0" w:color="auto"/>
            </w:tcBorders>
            <w:shd w:val="clear" w:color="auto" w:fill="auto"/>
            <w:noWrap/>
            <w:vAlign w:val="bottom"/>
            <w:hideMark/>
          </w:tcPr>
          <w:p w:rsidR="005C7372" w:rsidRPr="00141927" w:rsidRDefault="005C7372" w:rsidP="00242CE7">
            <w:pPr>
              <w:jc w:val="center"/>
              <w:rPr>
                <w:color w:val="000000"/>
                <w:sz w:val="22"/>
                <w:szCs w:val="22"/>
                <w:lang w:eastAsia="en-US"/>
              </w:rPr>
            </w:pPr>
            <w:r w:rsidRPr="00141927">
              <w:rPr>
                <w:color w:val="000000"/>
                <w:sz w:val="22"/>
                <w:szCs w:val="22"/>
                <w:lang w:eastAsia="en-US"/>
              </w:rPr>
              <w:t>3</w:t>
            </w:r>
            <w:r w:rsidR="00BB697C">
              <w:rPr>
                <w:color w:val="000000"/>
                <w:sz w:val="22"/>
                <w:szCs w:val="22"/>
                <w:lang w:eastAsia="en-US"/>
              </w:rPr>
              <w:t>,</w:t>
            </w:r>
            <w:r w:rsidRPr="00141927">
              <w:rPr>
                <w:color w:val="000000"/>
                <w:sz w:val="22"/>
                <w:szCs w:val="22"/>
                <w:lang w:eastAsia="en-US"/>
              </w:rPr>
              <w:t>915</w:t>
            </w:r>
          </w:p>
        </w:tc>
        <w:tc>
          <w:tcPr>
            <w:tcW w:w="131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8"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r>
      <w:tr w:rsidR="005C7372" w:rsidRPr="00141927" w:rsidTr="009D687C">
        <w:trPr>
          <w:trHeight w:val="512"/>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5C7372" w:rsidRPr="005E1672" w:rsidRDefault="005C7372" w:rsidP="009D687C">
            <w:pPr>
              <w:jc w:val="center"/>
              <w:rPr>
                <w:b/>
                <w:color w:val="000000"/>
                <w:sz w:val="22"/>
                <w:szCs w:val="22"/>
                <w:lang w:eastAsia="en-US"/>
              </w:rPr>
            </w:pPr>
            <w:r w:rsidRPr="005E1672">
              <w:rPr>
                <w:b/>
                <w:color w:val="000000"/>
                <w:sz w:val="22"/>
                <w:szCs w:val="22"/>
                <w:lang w:eastAsia="en-US"/>
              </w:rPr>
              <w:t>Total</w:t>
            </w:r>
          </w:p>
        </w:tc>
        <w:tc>
          <w:tcPr>
            <w:tcW w:w="1843" w:type="dxa"/>
            <w:tcBorders>
              <w:top w:val="nil"/>
              <w:left w:val="nil"/>
              <w:bottom w:val="single" w:sz="4" w:space="0" w:color="auto"/>
              <w:right w:val="single" w:sz="4" w:space="0" w:color="auto"/>
            </w:tcBorders>
            <w:shd w:val="clear" w:color="auto" w:fill="auto"/>
            <w:noWrap/>
            <w:vAlign w:val="center"/>
            <w:hideMark/>
          </w:tcPr>
          <w:p w:rsidR="005C7372" w:rsidRPr="005E1672" w:rsidRDefault="00877363" w:rsidP="009D687C">
            <w:pPr>
              <w:jc w:val="center"/>
              <w:rPr>
                <w:b/>
                <w:color w:val="000000"/>
                <w:sz w:val="22"/>
                <w:szCs w:val="22"/>
                <w:lang w:eastAsia="en-US"/>
              </w:rPr>
            </w:pPr>
            <w:r w:rsidRPr="005E1672">
              <w:rPr>
                <w:b/>
                <w:color w:val="000000"/>
                <w:sz w:val="22"/>
                <w:szCs w:val="22"/>
                <w:lang w:eastAsia="en-US"/>
              </w:rPr>
              <w:t>1,254</w:t>
            </w:r>
          </w:p>
        </w:tc>
        <w:tc>
          <w:tcPr>
            <w:tcW w:w="2126" w:type="dxa"/>
            <w:tcBorders>
              <w:top w:val="nil"/>
              <w:left w:val="nil"/>
              <w:bottom w:val="single" w:sz="4" w:space="0" w:color="auto"/>
              <w:right w:val="single" w:sz="4" w:space="0" w:color="auto"/>
            </w:tcBorders>
            <w:shd w:val="clear" w:color="auto" w:fill="auto"/>
            <w:noWrap/>
            <w:vAlign w:val="center"/>
            <w:hideMark/>
          </w:tcPr>
          <w:p w:rsidR="005C7372" w:rsidRPr="005E1672" w:rsidRDefault="00877363" w:rsidP="009D687C">
            <w:pPr>
              <w:jc w:val="center"/>
              <w:rPr>
                <w:b/>
                <w:color w:val="000000"/>
                <w:sz w:val="22"/>
                <w:szCs w:val="22"/>
                <w:lang w:eastAsia="en-US"/>
              </w:rPr>
            </w:pPr>
            <w:r w:rsidRPr="005E1672">
              <w:rPr>
                <w:b/>
                <w:color w:val="000000"/>
                <w:sz w:val="22"/>
                <w:szCs w:val="22"/>
                <w:lang w:eastAsia="en-US"/>
              </w:rPr>
              <w:t>12,557</w:t>
            </w:r>
          </w:p>
        </w:tc>
        <w:tc>
          <w:tcPr>
            <w:tcW w:w="1985" w:type="dxa"/>
            <w:tcBorders>
              <w:top w:val="nil"/>
              <w:left w:val="nil"/>
              <w:bottom w:val="single" w:sz="4" w:space="0" w:color="auto"/>
              <w:right w:val="single" w:sz="4" w:space="0" w:color="auto"/>
            </w:tcBorders>
            <w:shd w:val="clear" w:color="auto" w:fill="auto"/>
            <w:noWrap/>
            <w:vAlign w:val="center"/>
            <w:hideMark/>
          </w:tcPr>
          <w:p w:rsidR="005C7372" w:rsidRPr="005E1672" w:rsidRDefault="00877363" w:rsidP="009D687C">
            <w:pPr>
              <w:jc w:val="center"/>
              <w:rPr>
                <w:b/>
                <w:color w:val="000000"/>
                <w:sz w:val="22"/>
                <w:szCs w:val="22"/>
                <w:lang w:eastAsia="en-US"/>
              </w:rPr>
            </w:pPr>
            <w:r w:rsidRPr="005E1672">
              <w:rPr>
                <w:b/>
                <w:color w:val="000000"/>
                <w:sz w:val="22"/>
                <w:szCs w:val="22"/>
                <w:lang w:eastAsia="en-US"/>
              </w:rPr>
              <w:t>37,952</w:t>
            </w:r>
          </w:p>
        </w:tc>
        <w:tc>
          <w:tcPr>
            <w:tcW w:w="1701" w:type="dxa"/>
            <w:tcBorders>
              <w:top w:val="nil"/>
              <w:left w:val="nil"/>
              <w:bottom w:val="single" w:sz="4" w:space="0" w:color="auto"/>
              <w:right w:val="single" w:sz="4" w:space="0" w:color="auto"/>
            </w:tcBorders>
            <w:shd w:val="clear" w:color="auto" w:fill="auto"/>
            <w:noWrap/>
            <w:vAlign w:val="center"/>
            <w:hideMark/>
          </w:tcPr>
          <w:p w:rsidR="005C7372" w:rsidRPr="005E1672" w:rsidRDefault="00877363" w:rsidP="009D687C">
            <w:pPr>
              <w:jc w:val="center"/>
              <w:rPr>
                <w:b/>
                <w:color w:val="000000"/>
                <w:sz w:val="22"/>
                <w:szCs w:val="22"/>
                <w:lang w:eastAsia="en-US"/>
              </w:rPr>
            </w:pPr>
            <w:r w:rsidRPr="005E1672">
              <w:rPr>
                <w:b/>
                <w:color w:val="000000"/>
                <w:sz w:val="22"/>
                <w:szCs w:val="22"/>
                <w:lang w:eastAsia="en-US"/>
              </w:rPr>
              <w:t>51,763</w:t>
            </w:r>
          </w:p>
        </w:tc>
        <w:tc>
          <w:tcPr>
            <w:tcW w:w="131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8"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r>
      <w:tr w:rsidR="005C7372" w:rsidRPr="00141927" w:rsidTr="009D687C">
        <w:trPr>
          <w:trHeight w:val="703"/>
        </w:trPr>
        <w:tc>
          <w:tcPr>
            <w:tcW w:w="1701" w:type="dxa"/>
            <w:tcBorders>
              <w:top w:val="nil"/>
              <w:left w:val="single" w:sz="4" w:space="0" w:color="auto"/>
              <w:bottom w:val="single" w:sz="4" w:space="0" w:color="auto"/>
              <w:right w:val="single" w:sz="4" w:space="0" w:color="auto"/>
            </w:tcBorders>
            <w:shd w:val="clear" w:color="auto" w:fill="auto"/>
            <w:noWrap/>
            <w:vAlign w:val="center"/>
          </w:tcPr>
          <w:p w:rsidR="005C7372" w:rsidRPr="00141927" w:rsidRDefault="005C7372" w:rsidP="005E1672">
            <w:pPr>
              <w:jc w:val="center"/>
              <w:rPr>
                <w:color w:val="000000"/>
                <w:sz w:val="22"/>
                <w:szCs w:val="22"/>
                <w:lang w:eastAsia="en-US"/>
              </w:rPr>
            </w:pPr>
            <w:r w:rsidRPr="00141927">
              <w:rPr>
                <w:color w:val="000000"/>
                <w:sz w:val="22"/>
                <w:szCs w:val="22"/>
                <w:lang w:eastAsia="en-US"/>
              </w:rPr>
              <w:t>Medio de verificación:</w:t>
            </w:r>
          </w:p>
        </w:tc>
        <w:tc>
          <w:tcPr>
            <w:tcW w:w="7655" w:type="dxa"/>
            <w:gridSpan w:val="4"/>
            <w:tcBorders>
              <w:top w:val="nil"/>
              <w:left w:val="nil"/>
              <w:bottom w:val="single" w:sz="4" w:space="0" w:color="auto"/>
              <w:right w:val="single" w:sz="4" w:space="0" w:color="auto"/>
            </w:tcBorders>
            <w:shd w:val="clear" w:color="auto" w:fill="auto"/>
            <w:noWrap/>
            <w:vAlign w:val="center"/>
          </w:tcPr>
          <w:p w:rsidR="005C7372" w:rsidRPr="00141927" w:rsidRDefault="00A11D3B" w:rsidP="00A6060F">
            <w:pPr>
              <w:jc w:val="center"/>
              <w:rPr>
                <w:color w:val="000000"/>
                <w:sz w:val="22"/>
                <w:szCs w:val="22"/>
                <w:lang w:eastAsia="en-US"/>
              </w:rPr>
            </w:pPr>
            <w:hyperlink r:id="rId70" w:history="1">
              <w:r w:rsidR="005C7372" w:rsidRPr="00141927">
                <w:rPr>
                  <w:color w:val="0000FF"/>
                  <w:sz w:val="22"/>
                  <w:szCs w:val="22"/>
                  <w:u w:val="single"/>
                  <w:lang w:eastAsia="en-US"/>
                </w:rPr>
                <w:t>http://www.guatecompras.gt/Inconformidad/consultaAvInc.aspx?opt=Home</w:t>
              </w:r>
            </w:hyperlink>
          </w:p>
        </w:tc>
        <w:tc>
          <w:tcPr>
            <w:tcW w:w="1319" w:type="dxa"/>
            <w:tcBorders>
              <w:top w:val="nil"/>
              <w:left w:val="nil"/>
              <w:bottom w:val="nil"/>
              <w:right w:val="nil"/>
            </w:tcBorders>
            <w:shd w:val="clear" w:color="auto" w:fill="auto"/>
            <w:noWrap/>
            <w:vAlign w:val="bottom"/>
          </w:tcPr>
          <w:p w:rsidR="005C7372" w:rsidRPr="00141927" w:rsidRDefault="005C7372" w:rsidP="00242CE7">
            <w:pPr>
              <w:rPr>
                <w:color w:val="000000"/>
                <w:sz w:val="22"/>
                <w:szCs w:val="22"/>
                <w:lang w:eastAsia="en-US"/>
              </w:rPr>
            </w:pPr>
          </w:p>
        </w:tc>
        <w:tc>
          <w:tcPr>
            <w:tcW w:w="1658" w:type="dxa"/>
            <w:tcBorders>
              <w:top w:val="nil"/>
              <w:left w:val="nil"/>
              <w:bottom w:val="nil"/>
              <w:right w:val="nil"/>
            </w:tcBorders>
            <w:shd w:val="clear" w:color="auto" w:fill="auto"/>
            <w:noWrap/>
            <w:vAlign w:val="bottom"/>
          </w:tcPr>
          <w:p w:rsidR="005C7372" w:rsidRPr="00141927" w:rsidRDefault="005C7372" w:rsidP="00242CE7">
            <w:pPr>
              <w:rPr>
                <w:color w:val="000000"/>
                <w:sz w:val="22"/>
                <w:szCs w:val="22"/>
                <w:lang w:eastAsia="en-US"/>
              </w:rPr>
            </w:pPr>
          </w:p>
        </w:tc>
        <w:tc>
          <w:tcPr>
            <w:tcW w:w="1659" w:type="dxa"/>
            <w:tcBorders>
              <w:top w:val="nil"/>
              <w:left w:val="nil"/>
              <w:bottom w:val="nil"/>
              <w:right w:val="nil"/>
            </w:tcBorders>
            <w:shd w:val="clear" w:color="auto" w:fill="auto"/>
            <w:noWrap/>
            <w:vAlign w:val="bottom"/>
          </w:tcPr>
          <w:p w:rsidR="005C7372" w:rsidRPr="00141927" w:rsidRDefault="005C7372" w:rsidP="00242CE7">
            <w:pPr>
              <w:rPr>
                <w:color w:val="000000"/>
                <w:sz w:val="22"/>
                <w:szCs w:val="22"/>
                <w:lang w:eastAsia="en-US"/>
              </w:rPr>
            </w:pPr>
          </w:p>
        </w:tc>
      </w:tr>
      <w:tr w:rsidR="005C7372" w:rsidRPr="00141927" w:rsidTr="00576EA1">
        <w:trPr>
          <w:trHeight w:val="300"/>
        </w:trPr>
        <w:tc>
          <w:tcPr>
            <w:tcW w:w="1701"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843"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2126"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985"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701"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31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8"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c>
          <w:tcPr>
            <w:tcW w:w="1659" w:type="dxa"/>
            <w:tcBorders>
              <w:top w:val="nil"/>
              <w:left w:val="nil"/>
              <w:bottom w:val="nil"/>
              <w:right w:val="nil"/>
            </w:tcBorders>
            <w:shd w:val="clear" w:color="auto" w:fill="auto"/>
            <w:noWrap/>
            <w:vAlign w:val="bottom"/>
            <w:hideMark/>
          </w:tcPr>
          <w:p w:rsidR="005C7372" w:rsidRPr="00141927" w:rsidRDefault="005C7372" w:rsidP="00242CE7">
            <w:pPr>
              <w:rPr>
                <w:color w:val="000000"/>
                <w:sz w:val="22"/>
                <w:szCs w:val="22"/>
                <w:lang w:eastAsia="en-US"/>
              </w:rPr>
            </w:pPr>
          </w:p>
        </w:tc>
      </w:tr>
    </w:tbl>
    <w:p w:rsidR="005C7372" w:rsidRPr="005C7372" w:rsidRDefault="005C7372" w:rsidP="005C7372">
      <w:pPr>
        <w:jc w:val="both"/>
        <w:rPr>
          <w:highlight w:val="yellow"/>
        </w:rPr>
      </w:pPr>
    </w:p>
    <w:p w:rsidR="005C7372" w:rsidRPr="003A6FEB" w:rsidRDefault="00510B18" w:rsidP="005C7372">
      <w:pPr>
        <w:jc w:val="both"/>
      </w:pPr>
      <w:r w:rsidRPr="003A6FEB">
        <w:rPr>
          <w:lang w:val="es-GT"/>
        </w:rPr>
        <w:t>Para la</w:t>
      </w:r>
      <w:r w:rsidR="005C7372" w:rsidRPr="003A6FEB">
        <w:rPr>
          <w:lang w:val="es-GT"/>
        </w:rPr>
        <w:t xml:space="preserve"> implementación y puesta en funcionamiento del Registro General de Adquisiciones del Estado (RGAE), se realizaron las gestiones correspondientes para la migración de información desde el Sistema de Adquisiciones y Contrataciones del Estado (GUATECOMPRAS), al Sistema </w:t>
      </w:r>
      <w:r w:rsidR="005C7372" w:rsidRPr="003A6FEB">
        <w:rPr>
          <w:lang w:val="es-GT"/>
        </w:rPr>
        <w:lastRenderedPageBreak/>
        <w:t>del Registro General de Adquisiciones del Estado (SRGAE); asimismo, por parte del SRGAE se realizó la creación de un servicio web que permite las notificaciones de las inhabilitaciones registradas en GUATECOMPRAS por los usuarios de las entidades contratantes, así como también, el Sistema GUATECOMPRAS consulta el estado del proveedor en 3 momentos diferentes dentro del proceso de adquisición, siendo éstos: 1) en la presentación de la oferta, 2) al momento de adjudicar y 3) en la etapa de suscripción del contrato. De igual manera, por parte del Sistema GUATECOMPRAS se implementó un servicio que permite al SRGAE obtener información relacionada al Registro de Contratos y Adjudicaciones de GUATECOMPRAS.</w:t>
      </w:r>
    </w:p>
    <w:p w:rsidR="005C7372" w:rsidRPr="008E6318" w:rsidRDefault="005C7372" w:rsidP="005C7372">
      <w:pPr>
        <w:jc w:val="both"/>
      </w:pPr>
    </w:p>
    <w:p w:rsidR="005C7372" w:rsidRPr="003A6FEB" w:rsidRDefault="005C7372" w:rsidP="005C7372">
      <w:pPr>
        <w:jc w:val="both"/>
        <w:rPr>
          <w:lang w:val="es-GT"/>
        </w:rPr>
      </w:pPr>
      <w:r w:rsidRPr="003A6FEB">
        <w:rPr>
          <w:lang w:val="es-GT"/>
        </w:rPr>
        <w:t xml:space="preserve">No </w:t>
      </w:r>
      <w:r w:rsidR="00437653" w:rsidRPr="003A6FEB">
        <w:rPr>
          <w:lang w:val="es-GT"/>
        </w:rPr>
        <w:t>obstante</w:t>
      </w:r>
      <w:r w:rsidR="003A6FEB">
        <w:rPr>
          <w:lang w:val="es-GT"/>
        </w:rPr>
        <w:t xml:space="preserve"> </w:t>
      </w:r>
      <w:r w:rsidRPr="003A6FEB">
        <w:rPr>
          <w:lang w:val="es-GT"/>
        </w:rPr>
        <w:t>lo anterior, durante el año 2021 ambos sistemas continua</w:t>
      </w:r>
      <w:r w:rsidR="00510B18" w:rsidRPr="003A6FEB">
        <w:rPr>
          <w:lang w:val="es-GT"/>
        </w:rPr>
        <w:t>ron</w:t>
      </w:r>
      <w:r w:rsidRPr="003A6FEB">
        <w:rPr>
          <w:lang w:val="es-GT"/>
        </w:rPr>
        <w:t xml:space="preserve"> evolucionando</w:t>
      </w:r>
      <w:r w:rsidR="00510B18" w:rsidRPr="003A6FEB">
        <w:rPr>
          <w:lang w:val="es-GT"/>
        </w:rPr>
        <w:t>, siendo necesario</w:t>
      </w:r>
      <w:r w:rsidRPr="003A6FEB">
        <w:rPr>
          <w:lang w:val="es-GT"/>
        </w:rPr>
        <w:t xml:space="preserve"> resaltar la homologación existente del Catálogo de Especialidades CIIU que utiliza el SRGAE</w:t>
      </w:r>
      <w:r w:rsidR="00510B18" w:rsidRPr="003A6FEB">
        <w:rPr>
          <w:lang w:val="es-GT"/>
        </w:rPr>
        <w:t>,</w:t>
      </w:r>
      <w:r w:rsidRPr="003A6FEB">
        <w:rPr>
          <w:lang w:val="es-GT"/>
        </w:rPr>
        <w:t xml:space="preserve"> con el catálogo de categorías que utiliza el Sistema GUATECOMPRAS.</w:t>
      </w:r>
      <w:bookmarkStart w:id="48" w:name="_Hlk96953775"/>
    </w:p>
    <w:p w:rsidR="005C7372" w:rsidRPr="008E6318" w:rsidRDefault="005C7372" w:rsidP="005C7372">
      <w:pPr>
        <w:jc w:val="both"/>
      </w:pPr>
    </w:p>
    <w:bookmarkEnd w:id="48"/>
    <w:p w:rsidR="005C7372" w:rsidRDefault="005C7372" w:rsidP="00890315">
      <w:pPr>
        <w:jc w:val="both"/>
        <w:rPr>
          <w:bCs/>
          <w:lang w:val="es-GT"/>
        </w:rPr>
      </w:pPr>
      <w:r w:rsidRPr="003A6FEB">
        <w:t>A</w:t>
      </w:r>
      <w:r w:rsidR="00890315" w:rsidRPr="003A6FEB">
        <w:t xml:space="preserve">demás, </w:t>
      </w:r>
      <w:r w:rsidRPr="003A6FEB">
        <w:t xml:space="preserve">durante el año 2021 en el Sistema GUATECOMPRAS se realizaron desarrollos para que la gestión y </w:t>
      </w:r>
      <w:r w:rsidRPr="003A6FEB">
        <w:rPr>
          <w:lang w:val="es-DO"/>
        </w:rPr>
        <w:t xml:space="preserve">notificación de las resoluciones por sanciones derivadas por incumplimientos en las entregas, se </w:t>
      </w:r>
      <w:r w:rsidR="000A3C20">
        <w:rPr>
          <w:lang w:val="es-DO"/>
        </w:rPr>
        <w:t>puedan r</w:t>
      </w:r>
      <w:r w:rsidRPr="003A6FEB">
        <w:rPr>
          <w:lang w:val="es-DO"/>
        </w:rPr>
        <w:t>ealizar de forma electrónica a través del referido Sistema. Para el efecto, el sistema realiza la notificación de la sanción al proveedor por dos medios</w:t>
      </w:r>
      <w:r w:rsidR="00890315" w:rsidRPr="003A6FEB">
        <w:rPr>
          <w:lang w:val="es-DO"/>
        </w:rPr>
        <w:t xml:space="preserve"> 1) </w:t>
      </w:r>
      <w:r w:rsidRPr="00742D67">
        <w:rPr>
          <w:bCs/>
          <w:lang w:val="es-DO"/>
        </w:rPr>
        <w:t>Ventana Emergente de Notificación al Acceder al Sistema</w:t>
      </w:r>
      <w:r w:rsidR="00890315" w:rsidRPr="00742D67">
        <w:rPr>
          <w:bCs/>
          <w:lang w:val="es-DO"/>
        </w:rPr>
        <w:t xml:space="preserve">, y 2) </w:t>
      </w:r>
      <w:r w:rsidRPr="00742D67">
        <w:rPr>
          <w:bCs/>
          <w:lang w:val="es-GT"/>
        </w:rPr>
        <w:t>Correo Electrónico de Notificación al Proveedor</w:t>
      </w:r>
      <w:r w:rsidR="00890315" w:rsidRPr="00742D67">
        <w:rPr>
          <w:bCs/>
          <w:lang w:val="es-GT"/>
        </w:rPr>
        <w:t>.</w:t>
      </w:r>
    </w:p>
    <w:p w:rsidR="008E6318" w:rsidRPr="008E6318" w:rsidRDefault="008E6318" w:rsidP="00890315">
      <w:pPr>
        <w:jc w:val="both"/>
        <w:rPr>
          <w:bCs/>
          <w:lang w:val="es-GT"/>
        </w:rPr>
      </w:pPr>
    </w:p>
    <w:p w:rsidR="008E6318" w:rsidRPr="008E6318" w:rsidRDefault="008E6318" w:rsidP="008E6318">
      <w:pPr>
        <w:jc w:val="both"/>
      </w:pPr>
      <w:r>
        <w:t>El</w:t>
      </w:r>
      <w:r w:rsidRPr="008E6318">
        <w:t xml:space="preserve"> Registro General de Adquisiciones del Estado (</w:t>
      </w:r>
      <w:r>
        <w:t>RGAE</w:t>
      </w:r>
      <w:r w:rsidRPr="008E6318">
        <w:t xml:space="preserve">) cruza electrónicamente </w:t>
      </w:r>
      <w:r>
        <w:t xml:space="preserve">la información declarada por el proveedor interesado, con otras bases de datos </w:t>
      </w:r>
      <w:r w:rsidRPr="008E6318">
        <w:t xml:space="preserve">para </w:t>
      </w:r>
      <w:r>
        <w:t>verificar su autenticidad, entre las cuales se pueden mencionar</w:t>
      </w:r>
      <w:r w:rsidRPr="008E6318">
        <w:t>:</w:t>
      </w:r>
    </w:p>
    <w:p w:rsidR="008E6318" w:rsidRPr="008E6318" w:rsidRDefault="008E6318" w:rsidP="008E6318">
      <w:pPr>
        <w:jc w:val="both"/>
      </w:pPr>
    </w:p>
    <w:p w:rsidR="008E6318" w:rsidRPr="008E6318" w:rsidRDefault="008E6318" w:rsidP="0064631C">
      <w:pPr>
        <w:pStyle w:val="Prrafodelista"/>
        <w:numPr>
          <w:ilvl w:val="0"/>
          <w:numId w:val="42"/>
        </w:numPr>
        <w:ind w:left="426"/>
        <w:jc w:val="both"/>
      </w:pPr>
      <w:r w:rsidRPr="008E6318">
        <w:t>Registro General de la Propiedad,</w:t>
      </w:r>
    </w:p>
    <w:p w:rsidR="008E6318" w:rsidRPr="008E6318" w:rsidRDefault="008E6318" w:rsidP="0064631C">
      <w:pPr>
        <w:pStyle w:val="Prrafodelista"/>
        <w:numPr>
          <w:ilvl w:val="0"/>
          <w:numId w:val="42"/>
        </w:numPr>
        <w:ind w:left="426"/>
        <w:jc w:val="both"/>
      </w:pPr>
      <w:r w:rsidRPr="008E6318">
        <w:t>Registro Mercantil General de la República,</w:t>
      </w:r>
    </w:p>
    <w:p w:rsidR="008E6318" w:rsidRPr="008E6318" w:rsidRDefault="008E6318" w:rsidP="0064631C">
      <w:pPr>
        <w:pStyle w:val="Prrafodelista"/>
        <w:numPr>
          <w:ilvl w:val="0"/>
          <w:numId w:val="42"/>
        </w:numPr>
        <w:ind w:left="426"/>
        <w:jc w:val="both"/>
      </w:pPr>
      <w:r w:rsidRPr="008E6318">
        <w:t>Registro de la Propiedad Intelectual,</w:t>
      </w:r>
    </w:p>
    <w:p w:rsidR="008E6318" w:rsidRPr="008E6318" w:rsidRDefault="008E6318" w:rsidP="0064631C">
      <w:pPr>
        <w:pStyle w:val="Prrafodelista"/>
        <w:numPr>
          <w:ilvl w:val="0"/>
          <w:numId w:val="42"/>
        </w:numPr>
        <w:ind w:left="426"/>
        <w:jc w:val="both"/>
      </w:pPr>
      <w:r w:rsidRPr="008E6318">
        <w:t>Registro Nacional de las Personas,</w:t>
      </w:r>
    </w:p>
    <w:p w:rsidR="008E6318" w:rsidRPr="008E6318" w:rsidRDefault="008E6318" w:rsidP="0064631C">
      <w:pPr>
        <w:pStyle w:val="Prrafodelista"/>
        <w:numPr>
          <w:ilvl w:val="0"/>
          <w:numId w:val="42"/>
        </w:numPr>
        <w:ind w:left="426"/>
        <w:jc w:val="both"/>
      </w:pPr>
      <w:r w:rsidRPr="008E6318">
        <w:t>Registro Tributario Unificado,</w:t>
      </w:r>
    </w:p>
    <w:p w:rsidR="008E6318" w:rsidRPr="008E6318" w:rsidRDefault="008E6318" w:rsidP="0064631C">
      <w:pPr>
        <w:pStyle w:val="Prrafodelista"/>
        <w:numPr>
          <w:ilvl w:val="0"/>
          <w:numId w:val="42"/>
        </w:numPr>
        <w:ind w:left="426"/>
        <w:jc w:val="both"/>
      </w:pPr>
      <w:r w:rsidRPr="008E6318">
        <w:t>Registro de Personas Jurídicas,</w:t>
      </w:r>
    </w:p>
    <w:p w:rsidR="008E6318" w:rsidRPr="008E6318" w:rsidRDefault="008E6318" w:rsidP="0064631C">
      <w:pPr>
        <w:pStyle w:val="Prrafodelista"/>
        <w:numPr>
          <w:ilvl w:val="0"/>
          <w:numId w:val="42"/>
        </w:numPr>
        <w:ind w:left="426"/>
        <w:jc w:val="both"/>
      </w:pPr>
      <w:r w:rsidRPr="008E6318">
        <w:t>Organismo Judicial,</w:t>
      </w:r>
    </w:p>
    <w:p w:rsidR="008E6318" w:rsidRPr="008E6318" w:rsidRDefault="008E6318" w:rsidP="0064631C">
      <w:pPr>
        <w:pStyle w:val="Prrafodelista"/>
        <w:numPr>
          <w:ilvl w:val="0"/>
          <w:numId w:val="42"/>
        </w:numPr>
        <w:ind w:left="426"/>
        <w:jc w:val="both"/>
      </w:pPr>
      <w:r w:rsidRPr="008E6318">
        <w:t>Instituto Nacional de Estadística,</w:t>
      </w:r>
    </w:p>
    <w:p w:rsidR="008E6318" w:rsidRPr="008E6318" w:rsidRDefault="008E6318" w:rsidP="0064631C">
      <w:pPr>
        <w:pStyle w:val="Prrafodelista"/>
        <w:numPr>
          <w:ilvl w:val="0"/>
          <w:numId w:val="42"/>
        </w:numPr>
        <w:ind w:left="426"/>
        <w:jc w:val="both"/>
      </w:pPr>
      <w:r w:rsidRPr="008E6318">
        <w:t>Instituto Guatemalteco de Seguridad Social,</w:t>
      </w:r>
    </w:p>
    <w:p w:rsidR="008E6318" w:rsidRPr="008E6318" w:rsidRDefault="008E6318" w:rsidP="0064631C">
      <w:pPr>
        <w:pStyle w:val="Prrafodelista"/>
        <w:numPr>
          <w:ilvl w:val="0"/>
          <w:numId w:val="42"/>
        </w:numPr>
        <w:ind w:left="426"/>
        <w:jc w:val="both"/>
      </w:pPr>
      <w:r w:rsidRPr="008E6318">
        <w:t>Tribunal Supremo Electoral,</w:t>
      </w:r>
    </w:p>
    <w:p w:rsidR="008E6318" w:rsidRPr="008E6318" w:rsidRDefault="008E6318" w:rsidP="0064631C">
      <w:pPr>
        <w:pStyle w:val="Prrafodelista"/>
        <w:numPr>
          <w:ilvl w:val="0"/>
          <w:numId w:val="42"/>
        </w:numPr>
        <w:ind w:left="426"/>
        <w:jc w:val="both"/>
      </w:pPr>
      <w:r w:rsidRPr="008E6318">
        <w:t>Contraloría General de Cuentas,</w:t>
      </w:r>
    </w:p>
    <w:p w:rsidR="008E6318" w:rsidRPr="008E6318" w:rsidRDefault="008E6318" w:rsidP="0064631C">
      <w:pPr>
        <w:pStyle w:val="Prrafodelista"/>
        <w:numPr>
          <w:ilvl w:val="0"/>
          <w:numId w:val="42"/>
        </w:numPr>
        <w:ind w:left="426"/>
        <w:jc w:val="both"/>
      </w:pPr>
      <w:r w:rsidRPr="008E6318">
        <w:t>Sistema de Información de Contrataciones y Adquisiciones del Estado (GUATECOMPRAS)</w:t>
      </w:r>
      <w:r w:rsidR="0064631C">
        <w:t>.</w:t>
      </w:r>
    </w:p>
    <w:p w:rsidR="008E6318" w:rsidRPr="003A6FEB" w:rsidRDefault="008E6318" w:rsidP="00890315">
      <w:pPr>
        <w:jc w:val="both"/>
        <w:rPr>
          <w:b/>
          <w:bCs/>
          <w:lang w:val="es-GT"/>
        </w:rPr>
      </w:pPr>
    </w:p>
    <w:p w:rsidR="00F02BD7" w:rsidRDefault="008E6318" w:rsidP="008E6318">
      <w:pPr>
        <w:jc w:val="both"/>
      </w:pPr>
      <w:r>
        <w:t>Asimismo, l</w:t>
      </w:r>
      <w:r w:rsidR="00F02BD7" w:rsidRPr="008E6318">
        <w:t>a Ley de Contrataciones del Estado, Decreto No. 57-92 del Congreso de la República de Guatemala, contiene prohibiciones y disposiciones para prevenir los conflictos de interés entre servidores públicos y contratistas del Estado, incluyendo financistas de campañas políticas y condenados por delitos contra la administración pública, incluyendo a los directivos, gerentes y representantes legales (artículos 25 Bis y 80 de la Ley). De igual forma, determina las causas de potenciales conflictos de interés por parte del servidor público que adjudica la negociación y los mecanismos para que los mismos sean declarados, incluyendo mecanismos para excusarse o ser recusados (artículos 12 al 14).</w:t>
      </w:r>
    </w:p>
    <w:p w:rsidR="00287FE2" w:rsidRPr="008E6318" w:rsidRDefault="00287FE2" w:rsidP="008E6318">
      <w:pPr>
        <w:jc w:val="both"/>
      </w:pPr>
    </w:p>
    <w:p w:rsidR="00EC6694" w:rsidRDefault="00EC6694" w:rsidP="00462CDB">
      <w:pPr>
        <w:pStyle w:val="Ttulo2"/>
        <w:rPr>
          <w:rFonts w:eastAsiaTheme="minorEastAsia"/>
          <w:lang w:val="es-MX" w:eastAsia="ja-JP"/>
        </w:rPr>
      </w:pPr>
      <w:r>
        <w:rPr>
          <w:lang w:val="es-MX"/>
        </w:rPr>
        <w:br w:type="page"/>
      </w: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Default="00EC6694" w:rsidP="00EC6694">
      <w:pPr>
        <w:jc w:val="center"/>
        <w:rPr>
          <w:b/>
        </w:rPr>
      </w:pPr>
    </w:p>
    <w:p w:rsidR="00EC6694"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Default="00EC6694" w:rsidP="00EC6694">
      <w:pPr>
        <w:jc w:val="center"/>
        <w:rPr>
          <w:b/>
        </w:rPr>
      </w:pPr>
    </w:p>
    <w:p w:rsidR="00E10912" w:rsidRDefault="00E10912" w:rsidP="00EC6694">
      <w:pPr>
        <w:jc w:val="center"/>
        <w:rPr>
          <w:b/>
        </w:rPr>
      </w:pPr>
    </w:p>
    <w:p w:rsidR="00EA0FBB" w:rsidRPr="00124AD6" w:rsidRDefault="00EA0FBB"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4C0853" w:rsidRDefault="00EC6694" w:rsidP="00EC6694">
      <w:pPr>
        <w:jc w:val="center"/>
        <w:rPr>
          <w:b/>
          <w:sz w:val="36"/>
        </w:rPr>
      </w:pPr>
      <w:r w:rsidRPr="00EC6694">
        <w:rPr>
          <w:b/>
          <w:sz w:val="72"/>
        </w:rPr>
        <w:t>ANEXOS</w:t>
      </w:r>
    </w:p>
    <w:p w:rsidR="00EC6694" w:rsidRPr="004C0853" w:rsidRDefault="00EC6694" w:rsidP="00EC6694">
      <w:pPr>
        <w:jc w:val="center"/>
        <w:rPr>
          <w:b/>
          <w:sz w:val="36"/>
        </w:rPr>
      </w:pPr>
    </w:p>
    <w:p w:rsidR="00EC6694" w:rsidRPr="00124AD6" w:rsidRDefault="00EC6694" w:rsidP="00EC6694">
      <w:pPr>
        <w:tabs>
          <w:tab w:val="left" w:pos="142"/>
        </w:tabs>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Default="00EC6694" w:rsidP="00EC6694">
      <w:pPr>
        <w:jc w:val="center"/>
        <w:rPr>
          <w:b/>
        </w:rPr>
      </w:pPr>
    </w:p>
    <w:p w:rsidR="00EC6694" w:rsidRDefault="00EC6694" w:rsidP="00EC6694">
      <w:pPr>
        <w:jc w:val="center"/>
        <w:rPr>
          <w:b/>
        </w:rPr>
      </w:pPr>
    </w:p>
    <w:p w:rsidR="00EC6694" w:rsidRDefault="00EC6694" w:rsidP="00EC6694">
      <w:pPr>
        <w:jc w:val="center"/>
        <w:rPr>
          <w:b/>
        </w:rPr>
      </w:pPr>
    </w:p>
    <w:p w:rsidR="00EC6694"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Default="00EC6694" w:rsidP="00EC6694">
      <w:pPr>
        <w:jc w:val="center"/>
        <w:rPr>
          <w:b/>
        </w:rPr>
      </w:pPr>
    </w:p>
    <w:p w:rsidR="00EC6694" w:rsidRPr="00124AD6" w:rsidRDefault="00EC6694" w:rsidP="00EC6694">
      <w:pPr>
        <w:jc w:val="center"/>
        <w:rPr>
          <w:b/>
        </w:rPr>
      </w:pPr>
    </w:p>
    <w:p w:rsidR="00EC6694" w:rsidRPr="00124AD6" w:rsidRDefault="00EC6694" w:rsidP="00EC6694">
      <w:pPr>
        <w:rPr>
          <w:b/>
        </w:rPr>
      </w:pPr>
    </w:p>
    <w:p w:rsidR="00EC6694" w:rsidRPr="00124AD6" w:rsidRDefault="00EC6694" w:rsidP="00EC6694">
      <w:pPr>
        <w:jc w:val="center"/>
        <w:rPr>
          <w:b/>
        </w:rPr>
      </w:pPr>
    </w:p>
    <w:p w:rsidR="00EC6694" w:rsidRPr="00124AD6" w:rsidRDefault="00EC6694" w:rsidP="00EC6694">
      <w:pPr>
        <w:rPr>
          <w:b/>
        </w:rPr>
      </w:pPr>
    </w:p>
    <w:p w:rsidR="00EC6694" w:rsidRPr="00124AD6" w:rsidRDefault="00EC6694" w:rsidP="00EC6694">
      <w:pPr>
        <w:rPr>
          <w:b/>
        </w:rPr>
      </w:pPr>
    </w:p>
    <w:p w:rsidR="00EC6694" w:rsidRPr="00124AD6" w:rsidRDefault="00EC6694" w:rsidP="00EC6694">
      <w:pPr>
        <w:jc w:val="center"/>
        <w:rPr>
          <w:b/>
        </w:rPr>
      </w:pPr>
      <w:r w:rsidRPr="00124AD6">
        <w:rPr>
          <w:b/>
        </w:rPr>
        <w:t>MINISTERIO DE FINANZAS PÚBLICAS</w:t>
      </w:r>
    </w:p>
    <w:p w:rsidR="00EC6694" w:rsidRPr="00124AD6" w:rsidRDefault="00EC6694" w:rsidP="00EC6694">
      <w:pPr>
        <w:jc w:val="center"/>
        <w:rPr>
          <w:b/>
        </w:rPr>
      </w:pPr>
    </w:p>
    <w:p w:rsidR="00EC6694" w:rsidRPr="00124AD6" w:rsidRDefault="00EC6694" w:rsidP="00EC6694">
      <w:pPr>
        <w:jc w:val="center"/>
        <w:rPr>
          <w:b/>
        </w:rPr>
      </w:pPr>
      <w:r w:rsidRPr="00124AD6">
        <w:rPr>
          <w:b/>
        </w:rPr>
        <w:t xml:space="preserve">Guatemala, </w:t>
      </w:r>
      <w:r w:rsidR="00006FBB">
        <w:rPr>
          <w:b/>
        </w:rPr>
        <w:t>marzo</w:t>
      </w:r>
      <w:r>
        <w:rPr>
          <w:b/>
        </w:rPr>
        <w:t xml:space="preserve"> de 20</w:t>
      </w:r>
      <w:r w:rsidR="007D6A00">
        <w:rPr>
          <w:b/>
        </w:rPr>
        <w:t>2</w:t>
      </w:r>
      <w:r w:rsidR="00EA0FBB">
        <w:rPr>
          <w:b/>
        </w:rPr>
        <w:t>2</w:t>
      </w:r>
      <w:r>
        <w:rPr>
          <w:b/>
        </w:rPr>
        <w:t>.</w:t>
      </w:r>
    </w:p>
    <w:p w:rsidR="00EC6694" w:rsidRDefault="00EC6694" w:rsidP="00EC6694">
      <w:pPr>
        <w:jc w:val="center"/>
        <w:rPr>
          <w:b/>
        </w:rPr>
      </w:pPr>
    </w:p>
    <w:p w:rsidR="00AD5632" w:rsidRDefault="00AD5632" w:rsidP="00AD5632">
      <w:pPr>
        <w:jc w:val="center"/>
        <w:rPr>
          <w:b/>
        </w:rPr>
      </w:pPr>
      <w:r w:rsidRPr="00D108FD">
        <w:rPr>
          <w:b/>
        </w:rPr>
        <w:lastRenderedPageBreak/>
        <w:t xml:space="preserve">Ejecución Presupuestaria por </w:t>
      </w:r>
      <w:r>
        <w:rPr>
          <w:b/>
        </w:rPr>
        <w:t xml:space="preserve">Entidad y </w:t>
      </w:r>
      <w:r w:rsidRPr="00D108FD">
        <w:rPr>
          <w:b/>
        </w:rPr>
        <w:t>Programa</w:t>
      </w:r>
      <w:r>
        <w:rPr>
          <w:b/>
        </w:rPr>
        <w:t>s Institucionales</w:t>
      </w:r>
    </w:p>
    <w:p w:rsidR="00AD5632" w:rsidRDefault="00AD5632" w:rsidP="00AD5632">
      <w:pPr>
        <w:jc w:val="center"/>
        <w:rPr>
          <w:b/>
        </w:rPr>
      </w:pPr>
      <w:r w:rsidRPr="00D108FD">
        <w:rPr>
          <w:b/>
        </w:rPr>
        <w:t>Ejercicio Fiscal 20</w:t>
      </w:r>
      <w:r>
        <w:rPr>
          <w:b/>
        </w:rPr>
        <w:t>2</w:t>
      </w:r>
      <w:r w:rsidR="00943D8C">
        <w:rPr>
          <w:b/>
        </w:rPr>
        <w:t>1</w:t>
      </w:r>
    </w:p>
    <w:p w:rsidR="00AD5632" w:rsidRDefault="00AD5632" w:rsidP="00AD5632">
      <w:pPr>
        <w:jc w:val="center"/>
        <w:rPr>
          <w:b/>
        </w:rPr>
      </w:pPr>
    </w:p>
    <w:p w:rsidR="00AD5632" w:rsidRDefault="00AD5632" w:rsidP="00AD5632">
      <w:pPr>
        <w:jc w:val="both"/>
        <w:rPr>
          <w:b/>
        </w:rPr>
      </w:pPr>
      <w:r w:rsidRPr="00D108FD">
        <w:rPr>
          <w:b/>
        </w:rPr>
        <w:t>Presidencia de la República</w:t>
      </w:r>
      <w:r>
        <w:rPr>
          <w:b/>
        </w:rPr>
        <w:t>:</w:t>
      </w:r>
    </w:p>
    <w:p w:rsidR="00AD5632" w:rsidRPr="00D108FD" w:rsidRDefault="00AD5632" w:rsidP="00AD5632">
      <w:pPr>
        <w:jc w:val="both"/>
        <w:rPr>
          <w:b/>
        </w:rPr>
      </w:pPr>
    </w:p>
    <w:p w:rsidR="00AD5632" w:rsidRDefault="00AD5632" w:rsidP="00AD5632">
      <w:pPr>
        <w:jc w:val="both"/>
      </w:pPr>
      <w:r>
        <w:t>Al cierre preliminar, e</w:t>
      </w:r>
      <w:r w:rsidRPr="00D108FD">
        <w:t xml:space="preserve">sta entidad tuvo un porcentaje de ejecución total del </w:t>
      </w:r>
      <w:r>
        <w:t>83.1</w:t>
      </w:r>
      <w:r w:rsidRPr="00D108FD">
        <w:t>%</w:t>
      </w:r>
      <w:r>
        <w:t xml:space="preserve"> </w:t>
      </w:r>
      <w:r w:rsidR="00111011">
        <w:t>sobre el</w:t>
      </w:r>
      <w:r>
        <w:t xml:space="preserve"> presupuesto aprobado al inicio de 2021.</w:t>
      </w:r>
    </w:p>
    <w:p w:rsidR="00AD5632" w:rsidRPr="00D108FD" w:rsidRDefault="00AD5632" w:rsidP="00AD5632">
      <w:pPr>
        <w:jc w:val="both"/>
      </w:pPr>
    </w:p>
    <w:p w:rsidR="00AD5632" w:rsidRDefault="00AD5632" w:rsidP="00AD5632">
      <w:pPr>
        <w:jc w:val="both"/>
      </w:pPr>
      <w:r w:rsidRPr="00D108FD">
        <w:t xml:space="preserve">El programa que </w:t>
      </w:r>
      <w:r>
        <w:t>mostró</w:t>
      </w:r>
      <w:r w:rsidRPr="00D108FD">
        <w:t xml:space="preserve"> </w:t>
      </w:r>
      <w:r>
        <w:t>el mayor gasto</w:t>
      </w:r>
      <w:r w:rsidRPr="00D108FD">
        <w:t xml:space="preserve"> fue el de “</w:t>
      </w:r>
      <w:r w:rsidR="009C27E8">
        <w:t>Seguridad Presidencial y Vicepresidencial</w:t>
      </w:r>
      <w:r w:rsidRPr="00D108FD">
        <w:t xml:space="preserve">” con </w:t>
      </w:r>
      <w:r>
        <w:t>Q.1</w:t>
      </w:r>
      <w:r w:rsidR="00E90319">
        <w:t>51.1</w:t>
      </w:r>
      <w:r w:rsidRPr="00D108FD">
        <w:t xml:space="preserve"> millones</w:t>
      </w:r>
      <w:r>
        <w:t xml:space="preserve"> equivalentes al </w:t>
      </w:r>
      <w:r w:rsidR="00E90319">
        <w:t>86.0</w:t>
      </w:r>
      <w:r w:rsidRPr="00D108FD">
        <w:t>%</w:t>
      </w:r>
      <w:r>
        <w:t>, con relación al presupuesto aprobado</w:t>
      </w:r>
      <w:r w:rsidRPr="00D108FD">
        <w:t xml:space="preserve">. </w:t>
      </w:r>
      <w:r>
        <w:t>La mayor parte de los programas de esta entidad experimentaron una ejecución por debajo de lo plasmado en el presupuesto al inicio del año</w:t>
      </w:r>
      <w:r w:rsidRPr="00D108FD">
        <w:t>.</w:t>
      </w:r>
    </w:p>
    <w:p w:rsidR="00AD5632" w:rsidRPr="00D108FD" w:rsidRDefault="00AD5632" w:rsidP="00AD5632">
      <w:pPr>
        <w:jc w:val="both"/>
      </w:pPr>
    </w:p>
    <w:p w:rsidR="00AD5632" w:rsidRDefault="00AD5632" w:rsidP="00AD5632">
      <w:pPr>
        <w:jc w:val="both"/>
      </w:pPr>
      <w:r>
        <w:t>E</w:t>
      </w:r>
      <w:r w:rsidRPr="00D108FD">
        <w:t xml:space="preserve">l programa denominado “Partidas no asignables a Programas” tuvo una ejecución de </w:t>
      </w:r>
      <w:r>
        <w:t>Q.</w:t>
      </w:r>
      <w:r w:rsidRPr="00D108FD">
        <w:t xml:space="preserve">2.4 millones, </w:t>
      </w:r>
      <w:r>
        <w:t xml:space="preserve">superior en Q.1.1 millones a lo estipulado en el presupuesto aprobado </w:t>
      </w:r>
      <w:r w:rsidRPr="00D108FD">
        <w:t>con</w:t>
      </w:r>
      <w:r>
        <w:t xml:space="preserve"> un porcentaje de 187.5%.</w:t>
      </w:r>
    </w:p>
    <w:p w:rsidR="00AD5632" w:rsidRDefault="00AD5632" w:rsidP="00AD5632">
      <w:pPr>
        <w:jc w:val="both"/>
        <w:rPr>
          <w:rFonts w:ascii="Calibri" w:eastAsia="Calibri" w:hAnsi="Calibri"/>
          <w:sz w:val="20"/>
          <w:szCs w:val="20"/>
          <w:lang w:val="es-GT" w:eastAsia="es-GT"/>
        </w:rPr>
      </w:pPr>
      <w:r>
        <w:fldChar w:fldCharType="begin"/>
      </w:r>
      <w:r>
        <w:instrText xml:space="preserve"> LINK Excel.Sheet.12 "C:\\Users\\deefoper12\\Documents\\Mis Documentos\\2022\\DTF 2022\\Informe fin de año 2021\\Cuadros para Informe de Fin de Año 2021..xlsx" "Entidad Programa!F7C2:F13C6" \a \f 4 \h </w:instrText>
      </w:r>
      <w:r>
        <w:fldChar w:fldCharType="separate"/>
      </w:r>
    </w:p>
    <w:p w:rsidR="00AD5632" w:rsidRDefault="00AD5632" w:rsidP="00AD5632">
      <w:pPr>
        <w:jc w:val="both"/>
        <w:rPr>
          <w:rFonts w:ascii="Calibri" w:eastAsia="Calibri" w:hAnsi="Calibri"/>
          <w:sz w:val="20"/>
          <w:szCs w:val="20"/>
          <w:lang w:val="es-GT" w:eastAsia="es-GT"/>
        </w:rPr>
      </w:pPr>
      <w:r>
        <w:rPr>
          <w:sz w:val="18"/>
        </w:rPr>
        <w:fldChar w:fldCharType="end"/>
      </w:r>
      <w:r>
        <w:rPr>
          <w:sz w:val="18"/>
        </w:rPr>
        <w:fldChar w:fldCharType="begin"/>
      </w:r>
      <w:r>
        <w:rPr>
          <w:sz w:val="18"/>
        </w:rPr>
        <w:instrText xml:space="preserve"> LINK Excel.Sheet.12 "C:\\Users\\deefoper12\\Documents\\Mis Documentos\\2022\\DTF 2022\\Informe fin de año 2021\\Cuadros para Informe de Fin de Año 2021..xlsx" "Entidad Programa!F7C2:F13C6" \a \f 4 \h  \* MERGEFORMAT </w:instrText>
      </w:r>
      <w:r>
        <w:rPr>
          <w:sz w:val="18"/>
        </w:rPr>
        <w:fldChar w:fldCharType="separate"/>
      </w:r>
    </w:p>
    <w:tbl>
      <w:tblPr>
        <w:tblW w:w="9204" w:type="dxa"/>
        <w:jc w:val="center"/>
        <w:tblCellMar>
          <w:left w:w="70" w:type="dxa"/>
          <w:right w:w="70" w:type="dxa"/>
        </w:tblCellMar>
        <w:tblLook w:val="04A0" w:firstRow="1" w:lastRow="0" w:firstColumn="1" w:lastColumn="0" w:noHBand="0" w:noVBand="1"/>
      </w:tblPr>
      <w:tblGrid>
        <w:gridCol w:w="4668"/>
        <w:gridCol w:w="1134"/>
        <w:gridCol w:w="1134"/>
        <w:gridCol w:w="1134"/>
        <w:gridCol w:w="1134"/>
      </w:tblGrid>
      <w:tr w:rsidR="00AD5632" w:rsidRPr="00A25C6A" w:rsidTr="00E90319">
        <w:trPr>
          <w:trHeight w:val="280"/>
          <w:jc w:val="center"/>
        </w:trPr>
        <w:tc>
          <w:tcPr>
            <w:tcW w:w="4668" w:type="dxa"/>
            <w:tcBorders>
              <w:top w:val="single" w:sz="8" w:space="0" w:color="auto"/>
              <w:left w:val="single" w:sz="8" w:space="0" w:color="auto"/>
              <w:bottom w:val="single" w:sz="4" w:space="0" w:color="auto"/>
              <w:right w:val="single" w:sz="4" w:space="0" w:color="auto"/>
            </w:tcBorders>
            <w:shd w:val="clear" w:color="auto" w:fill="8DB4E2"/>
            <w:noWrap/>
            <w:vAlign w:val="center"/>
            <w:hideMark/>
          </w:tcPr>
          <w:p w:rsidR="00AD5632" w:rsidRPr="00A25C6A" w:rsidRDefault="00AD5632" w:rsidP="00E90319">
            <w:pPr>
              <w:jc w:val="center"/>
              <w:rPr>
                <w:b/>
                <w:bCs/>
                <w:color w:val="000000"/>
                <w:sz w:val="14"/>
                <w:szCs w:val="16"/>
                <w:lang w:val="es-GT" w:eastAsia="es-GT"/>
              </w:rPr>
            </w:pPr>
            <w:r w:rsidRPr="00A25C6A">
              <w:rPr>
                <w:b/>
                <w:bCs/>
                <w:color w:val="000000"/>
                <w:sz w:val="14"/>
                <w:szCs w:val="16"/>
                <w:lang w:val="es-GT" w:eastAsia="es-GT"/>
              </w:rPr>
              <w:t>DESCRIPCI</w:t>
            </w:r>
            <w:r w:rsidR="00437653">
              <w:rPr>
                <w:b/>
                <w:bCs/>
                <w:color w:val="000000"/>
                <w:sz w:val="14"/>
                <w:szCs w:val="16"/>
                <w:lang w:val="es-GT" w:eastAsia="es-GT"/>
              </w:rPr>
              <w:t>Ó</w:t>
            </w:r>
            <w:r w:rsidRPr="00A25C6A">
              <w:rPr>
                <w:b/>
                <w:bCs/>
                <w:color w:val="000000"/>
                <w:sz w:val="14"/>
                <w:szCs w:val="16"/>
                <w:lang w:val="es-GT" w:eastAsia="es-GT"/>
              </w:rPr>
              <w:t>N</w:t>
            </w:r>
          </w:p>
        </w:tc>
        <w:tc>
          <w:tcPr>
            <w:tcW w:w="1134" w:type="dxa"/>
            <w:tcBorders>
              <w:top w:val="single" w:sz="8" w:space="0" w:color="auto"/>
              <w:left w:val="nil"/>
              <w:bottom w:val="single" w:sz="4" w:space="0" w:color="auto"/>
              <w:right w:val="single" w:sz="4" w:space="0" w:color="auto"/>
            </w:tcBorders>
            <w:shd w:val="clear" w:color="auto" w:fill="8DB4E2"/>
            <w:noWrap/>
            <w:vAlign w:val="center"/>
            <w:hideMark/>
          </w:tcPr>
          <w:p w:rsidR="00AD5632" w:rsidRPr="00A25C6A" w:rsidRDefault="00AD5632" w:rsidP="00E90319">
            <w:pPr>
              <w:jc w:val="center"/>
              <w:rPr>
                <w:b/>
                <w:bCs/>
                <w:color w:val="000000"/>
                <w:sz w:val="14"/>
                <w:szCs w:val="16"/>
                <w:lang w:val="es-GT" w:eastAsia="es-GT"/>
              </w:rPr>
            </w:pPr>
            <w:r w:rsidRPr="00A25C6A">
              <w:rPr>
                <w:b/>
                <w:bCs/>
                <w:color w:val="000000"/>
                <w:sz w:val="14"/>
                <w:szCs w:val="16"/>
                <w:lang w:val="es-GT" w:eastAsia="es-GT"/>
              </w:rPr>
              <w:t>Asignado</w:t>
            </w:r>
          </w:p>
        </w:tc>
        <w:tc>
          <w:tcPr>
            <w:tcW w:w="1134" w:type="dxa"/>
            <w:tcBorders>
              <w:top w:val="single" w:sz="8" w:space="0" w:color="auto"/>
              <w:left w:val="nil"/>
              <w:bottom w:val="single" w:sz="4" w:space="0" w:color="auto"/>
              <w:right w:val="single" w:sz="4" w:space="0" w:color="auto"/>
            </w:tcBorders>
            <w:shd w:val="clear" w:color="auto" w:fill="8DB4E2"/>
            <w:noWrap/>
            <w:vAlign w:val="center"/>
            <w:hideMark/>
          </w:tcPr>
          <w:p w:rsidR="00AD5632" w:rsidRPr="00A25C6A" w:rsidRDefault="00AD5632" w:rsidP="00E90319">
            <w:pPr>
              <w:jc w:val="center"/>
              <w:rPr>
                <w:b/>
                <w:bCs/>
                <w:color w:val="000000"/>
                <w:sz w:val="14"/>
                <w:szCs w:val="16"/>
                <w:lang w:val="es-GT" w:eastAsia="es-GT"/>
              </w:rPr>
            </w:pPr>
            <w:r w:rsidRPr="00A25C6A">
              <w:rPr>
                <w:b/>
                <w:bCs/>
                <w:color w:val="000000"/>
                <w:sz w:val="14"/>
                <w:szCs w:val="16"/>
                <w:lang w:val="es-GT" w:eastAsia="es-GT"/>
              </w:rPr>
              <w:t>Ejecu</w:t>
            </w:r>
            <w:r w:rsidR="00EA0FBB">
              <w:rPr>
                <w:b/>
                <w:bCs/>
                <w:color w:val="000000"/>
                <w:sz w:val="14"/>
                <w:szCs w:val="16"/>
                <w:lang w:val="es-GT" w:eastAsia="es-GT"/>
              </w:rPr>
              <w:t>tado</w:t>
            </w:r>
          </w:p>
        </w:tc>
        <w:tc>
          <w:tcPr>
            <w:tcW w:w="1134" w:type="dxa"/>
            <w:tcBorders>
              <w:top w:val="single" w:sz="8" w:space="0" w:color="auto"/>
              <w:left w:val="nil"/>
              <w:bottom w:val="single" w:sz="4" w:space="0" w:color="auto"/>
              <w:right w:val="single" w:sz="4" w:space="0" w:color="auto"/>
            </w:tcBorders>
            <w:shd w:val="clear" w:color="auto" w:fill="8DB4E2"/>
            <w:noWrap/>
            <w:vAlign w:val="center"/>
            <w:hideMark/>
          </w:tcPr>
          <w:p w:rsidR="00AD5632" w:rsidRPr="00A25C6A" w:rsidRDefault="00AD5632" w:rsidP="00E90319">
            <w:pPr>
              <w:jc w:val="center"/>
              <w:rPr>
                <w:b/>
                <w:bCs/>
                <w:color w:val="000000"/>
                <w:sz w:val="14"/>
                <w:szCs w:val="16"/>
                <w:lang w:val="es-GT" w:eastAsia="es-GT"/>
              </w:rPr>
            </w:pPr>
            <w:r w:rsidRPr="00A25C6A">
              <w:rPr>
                <w:b/>
                <w:bCs/>
                <w:color w:val="000000"/>
                <w:sz w:val="14"/>
                <w:szCs w:val="16"/>
                <w:lang w:val="es-GT" w:eastAsia="es-GT"/>
              </w:rPr>
              <w:t>Diferencias</w:t>
            </w:r>
          </w:p>
        </w:tc>
        <w:tc>
          <w:tcPr>
            <w:tcW w:w="1134" w:type="dxa"/>
            <w:tcBorders>
              <w:top w:val="single" w:sz="8" w:space="0" w:color="auto"/>
              <w:left w:val="nil"/>
              <w:bottom w:val="single" w:sz="4" w:space="0" w:color="auto"/>
              <w:right w:val="single" w:sz="8" w:space="0" w:color="auto"/>
            </w:tcBorders>
            <w:shd w:val="clear" w:color="auto" w:fill="8DB4E2"/>
            <w:noWrap/>
            <w:vAlign w:val="center"/>
            <w:hideMark/>
          </w:tcPr>
          <w:p w:rsidR="00AD5632" w:rsidRPr="00A25C6A" w:rsidRDefault="00AD5632" w:rsidP="00E90319">
            <w:pPr>
              <w:jc w:val="center"/>
              <w:rPr>
                <w:b/>
                <w:bCs/>
                <w:color w:val="000000"/>
                <w:sz w:val="14"/>
                <w:szCs w:val="16"/>
                <w:lang w:val="es-GT" w:eastAsia="es-GT"/>
              </w:rPr>
            </w:pPr>
            <w:r w:rsidRPr="00A25C6A">
              <w:rPr>
                <w:b/>
                <w:bCs/>
                <w:color w:val="000000"/>
                <w:sz w:val="14"/>
                <w:szCs w:val="16"/>
                <w:lang w:val="es-GT" w:eastAsia="es-GT"/>
              </w:rPr>
              <w:t>% Ejec</w:t>
            </w:r>
          </w:p>
        </w:tc>
      </w:tr>
      <w:tr w:rsidR="00AD5632" w:rsidRPr="00A25C6A" w:rsidTr="00BA68EF">
        <w:trPr>
          <w:trHeight w:val="280"/>
          <w:jc w:val="center"/>
        </w:trPr>
        <w:tc>
          <w:tcPr>
            <w:tcW w:w="4668" w:type="dxa"/>
            <w:tcBorders>
              <w:top w:val="nil"/>
              <w:left w:val="single" w:sz="8" w:space="0" w:color="auto"/>
              <w:bottom w:val="nil"/>
              <w:right w:val="single" w:sz="4" w:space="0" w:color="auto"/>
            </w:tcBorders>
            <w:shd w:val="clear" w:color="FFFFFF" w:fill="FFFFFF"/>
            <w:noWrap/>
            <w:vAlign w:val="bottom"/>
            <w:hideMark/>
          </w:tcPr>
          <w:p w:rsidR="00AD5632" w:rsidRPr="00A25C6A" w:rsidRDefault="00AD5632" w:rsidP="00BA0B4B">
            <w:pPr>
              <w:rPr>
                <w:b/>
                <w:bCs/>
                <w:color w:val="333333"/>
                <w:sz w:val="14"/>
                <w:szCs w:val="16"/>
                <w:lang w:val="es-GT" w:eastAsia="es-GT"/>
              </w:rPr>
            </w:pPr>
            <w:r w:rsidRPr="00A25C6A">
              <w:rPr>
                <w:b/>
                <w:bCs/>
                <w:color w:val="333333"/>
                <w:sz w:val="14"/>
                <w:szCs w:val="16"/>
                <w:lang w:val="es-GT" w:eastAsia="es-GT"/>
              </w:rPr>
              <w:t>PRESIDENCIA DE LA REP</w:t>
            </w:r>
            <w:r w:rsidR="00437653">
              <w:rPr>
                <w:b/>
                <w:bCs/>
                <w:color w:val="333333"/>
                <w:sz w:val="14"/>
                <w:szCs w:val="16"/>
                <w:lang w:val="es-GT" w:eastAsia="es-GT"/>
              </w:rPr>
              <w:t>Ú</w:t>
            </w:r>
            <w:r w:rsidRPr="00A25C6A">
              <w:rPr>
                <w:b/>
                <w:bCs/>
                <w:color w:val="333333"/>
                <w:sz w:val="14"/>
                <w:szCs w:val="16"/>
                <w:lang w:val="es-GT" w:eastAsia="es-GT"/>
              </w:rPr>
              <w:t>BLICA</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b/>
                <w:bCs/>
                <w:color w:val="333333"/>
                <w:sz w:val="14"/>
                <w:szCs w:val="16"/>
                <w:lang w:val="es-GT" w:eastAsia="es-GT"/>
              </w:rPr>
            </w:pPr>
            <w:r w:rsidRPr="00A25C6A">
              <w:rPr>
                <w:b/>
                <w:bCs/>
                <w:color w:val="333333"/>
                <w:sz w:val="14"/>
                <w:szCs w:val="16"/>
                <w:lang w:val="es-GT" w:eastAsia="es-GT"/>
              </w:rPr>
              <w:t>231.0</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b/>
                <w:bCs/>
                <w:color w:val="333333"/>
                <w:sz w:val="14"/>
                <w:szCs w:val="16"/>
                <w:lang w:val="es-GT" w:eastAsia="es-GT"/>
              </w:rPr>
            </w:pPr>
            <w:r w:rsidRPr="00A25C6A">
              <w:rPr>
                <w:b/>
                <w:bCs/>
                <w:color w:val="333333"/>
                <w:sz w:val="14"/>
                <w:szCs w:val="16"/>
                <w:lang w:val="es-GT" w:eastAsia="es-GT"/>
              </w:rPr>
              <w:t>191.9</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b/>
                <w:bCs/>
                <w:color w:val="333333"/>
                <w:sz w:val="14"/>
                <w:szCs w:val="16"/>
                <w:lang w:val="es-GT" w:eastAsia="es-GT"/>
              </w:rPr>
            </w:pPr>
            <w:r w:rsidRPr="00A25C6A">
              <w:rPr>
                <w:b/>
                <w:bCs/>
                <w:color w:val="333333"/>
                <w:sz w:val="14"/>
                <w:szCs w:val="16"/>
                <w:lang w:val="es-GT" w:eastAsia="es-GT"/>
              </w:rPr>
              <w:t>39.1</w:t>
            </w:r>
          </w:p>
        </w:tc>
        <w:tc>
          <w:tcPr>
            <w:tcW w:w="1134" w:type="dxa"/>
            <w:tcBorders>
              <w:top w:val="nil"/>
              <w:left w:val="nil"/>
              <w:bottom w:val="nil"/>
              <w:right w:val="single" w:sz="8" w:space="0" w:color="auto"/>
            </w:tcBorders>
            <w:shd w:val="clear" w:color="FFFFFF" w:fill="FFFFFF"/>
            <w:noWrap/>
            <w:vAlign w:val="bottom"/>
            <w:hideMark/>
          </w:tcPr>
          <w:p w:rsidR="00AD5632" w:rsidRPr="00A25C6A" w:rsidRDefault="00AD5632" w:rsidP="00BA0B4B">
            <w:pPr>
              <w:jc w:val="right"/>
              <w:rPr>
                <w:b/>
                <w:bCs/>
                <w:color w:val="333333"/>
                <w:sz w:val="14"/>
                <w:szCs w:val="16"/>
                <w:lang w:val="es-GT" w:eastAsia="es-GT"/>
              </w:rPr>
            </w:pPr>
            <w:r w:rsidRPr="00A25C6A">
              <w:rPr>
                <w:b/>
                <w:bCs/>
                <w:color w:val="333333"/>
                <w:sz w:val="14"/>
                <w:szCs w:val="16"/>
                <w:lang w:val="es-GT" w:eastAsia="es-GT"/>
              </w:rPr>
              <w:t>83.1%</w:t>
            </w:r>
          </w:p>
        </w:tc>
      </w:tr>
      <w:tr w:rsidR="00AD5632" w:rsidRPr="00A25C6A" w:rsidTr="00BA68EF">
        <w:trPr>
          <w:trHeight w:val="280"/>
          <w:jc w:val="center"/>
        </w:trPr>
        <w:tc>
          <w:tcPr>
            <w:tcW w:w="4668" w:type="dxa"/>
            <w:tcBorders>
              <w:top w:val="nil"/>
              <w:left w:val="single" w:sz="8" w:space="0" w:color="auto"/>
              <w:bottom w:val="nil"/>
              <w:right w:val="single" w:sz="4" w:space="0" w:color="auto"/>
            </w:tcBorders>
            <w:shd w:val="clear" w:color="FFFFFF" w:fill="FFFFFF"/>
            <w:noWrap/>
            <w:vAlign w:val="bottom"/>
            <w:hideMark/>
          </w:tcPr>
          <w:p w:rsidR="00AD5632" w:rsidRPr="00A25C6A" w:rsidRDefault="002C7590" w:rsidP="00BA0B4B">
            <w:pPr>
              <w:ind w:firstLineChars="200" w:firstLine="280"/>
              <w:rPr>
                <w:color w:val="333333"/>
                <w:sz w:val="14"/>
                <w:szCs w:val="16"/>
                <w:lang w:val="es-GT" w:eastAsia="es-GT"/>
              </w:rPr>
            </w:pPr>
            <w:r w:rsidRPr="00A25C6A">
              <w:rPr>
                <w:color w:val="333333"/>
                <w:sz w:val="14"/>
                <w:szCs w:val="16"/>
                <w:lang w:val="es-GT" w:eastAsia="es-GT"/>
              </w:rPr>
              <w:t>SEGURIDAD PRESIDENCIAL Y VICEPRESIDENCIAL</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175.6</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151.1</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24.5</w:t>
            </w:r>
          </w:p>
        </w:tc>
        <w:tc>
          <w:tcPr>
            <w:tcW w:w="1134" w:type="dxa"/>
            <w:tcBorders>
              <w:top w:val="nil"/>
              <w:left w:val="nil"/>
              <w:bottom w:val="nil"/>
              <w:right w:val="single" w:sz="8"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86.0%</w:t>
            </w:r>
          </w:p>
        </w:tc>
      </w:tr>
      <w:tr w:rsidR="00AD5632" w:rsidRPr="00A25C6A" w:rsidTr="00BA68EF">
        <w:trPr>
          <w:trHeight w:val="280"/>
          <w:jc w:val="center"/>
        </w:trPr>
        <w:tc>
          <w:tcPr>
            <w:tcW w:w="4668" w:type="dxa"/>
            <w:tcBorders>
              <w:top w:val="nil"/>
              <w:left w:val="single" w:sz="8" w:space="0" w:color="auto"/>
              <w:bottom w:val="nil"/>
              <w:right w:val="single" w:sz="4" w:space="0" w:color="auto"/>
            </w:tcBorders>
            <w:shd w:val="clear" w:color="FFFFFF" w:fill="FFFFFF"/>
            <w:noWrap/>
            <w:vAlign w:val="bottom"/>
            <w:hideMark/>
          </w:tcPr>
          <w:p w:rsidR="00AD5632" w:rsidRPr="00CE3879" w:rsidRDefault="002C7590" w:rsidP="00BA0B4B">
            <w:pPr>
              <w:ind w:firstLineChars="200" w:firstLine="280"/>
              <w:rPr>
                <w:color w:val="333333"/>
                <w:sz w:val="14"/>
                <w:szCs w:val="16"/>
                <w:lang w:val="es-GT" w:eastAsia="es-GT"/>
              </w:rPr>
            </w:pPr>
            <w:r w:rsidRPr="00CE3879">
              <w:rPr>
                <w:color w:val="333333"/>
                <w:sz w:val="14"/>
                <w:szCs w:val="16"/>
                <w:lang w:val="es-GT" w:eastAsia="es-GT"/>
              </w:rPr>
              <w:t>DIRECCIÓN Y COORDINACIÓN EJECUTIVA</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33.1</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22.4</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10.6</w:t>
            </w:r>
          </w:p>
        </w:tc>
        <w:tc>
          <w:tcPr>
            <w:tcW w:w="1134" w:type="dxa"/>
            <w:tcBorders>
              <w:top w:val="nil"/>
              <w:left w:val="nil"/>
              <w:bottom w:val="nil"/>
              <w:right w:val="single" w:sz="8"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67.8%</w:t>
            </w:r>
          </w:p>
        </w:tc>
      </w:tr>
      <w:tr w:rsidR="00AD5632" w:rsidRPr="00A25C6A" w:rsidTr="00BA68EF">
        <w:trPr>
          <w:trHeight w:val="280"/>
          <w:jc w:val="center"/>
        </w:trPr>
        <w:tc>
          <w:tcPr>
            <w:tcW w:w="4668" w:type="dxa"/>
            <w:tcBorders>
              <w:top w:val="nil"/>
              <w:left w:val="single" w:sz="8" w:space="0" w:color="auto"/>
              <w:bottom w:val="nil"/>
              <w:right w:val="single" w:sz="4" w:space="0" w:color="auto"/>
            </w:tcBorders>
            <w:shd w:val="clear" w:color="FFFFFF" w:fill="FFFFFF"/>
            <w:noWrap/>
            <w:vAlign w:val="bottom"/>
            <w:hideMark/>
          </w:tcPr>
          <w:p w:rsidR="00AD5632" w:rsidRPr="00A25C6A" w:rsidRDefault="00AD5632" w:rsidP="00BA0B4B">
            <w:pPr>
              <w:ind w:firstLineChars="200" w:firstLine="280"/>
              <w:rPr>
                <w:color w:val="333333"/>
                <w:sz w:val="14"/>
                <w:szCs w:val="16"/>
                <w:lang w:val="es-GT" w:eastAsia="es-GT"/>
              </w:rPr>
            </w:pPr>
            <w:r w:rsidRPr="00A25C6A">
              <w:rPr>
                <w:color w:val="333333"/>
                <w:sz w:val="14"/>
                <w:szCs w:val="16"/>
                <w:lang w:val="es-GT" w:eastAsia="es-GT"/>
              </w:rPr>
              <w:t>SERVICIOS DE TRANSPARENCIA Y GOBIERNO ELECTRÓNICO</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10.5</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9.7</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0.8</w:t>
            </w:r>
          </w:p>
        </w:tc>
        <w:tc>
          <w:tcPr>
            <w:tcW w:w="1134" w:type="dxa"/>
            <w:tcBorders>
              <w:top w:val="nil"/>
              <w:left w:val="nil"/>
              <w:bottom w:val="nil"/>
              <w:right w:val="single" w:sz="8"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92.0%</w:t>
            </w:r>
          </w:p>
        </w:tc>
      </w:tr>
      <w:tr w:rsidR="00AD5632" w:rsidRPr="00A25C6A" w:rsidTr="00BA68EF">
        <w:trPr>
          <w:trHeight w:val="280"/>
          <w:jc w:val="center"/>
        </w:trPr>
        <w:tc>
          <w:tcPr>
            <w:tcW w:w="4668" w:type="dxa"/>
            <w:tcBorders>
              <w:top w:val="nil"/>
              <w:left w:val="single" w:sz="8" w:space="0" w:color="auto"/>
              <w:bottom w:val="nil"/>
              <w:right w:val="single" w:sz="4" w:space="0" w:color="auto"/>
            </w:tcBorders>
            <w:shd w:val="clear" w:color="FFFFFF" w:fill="FFFFFF"/>
            <w:noWrap/>
            <w:vAlign w:val="bottom"/>
            <w:hideMark/>
          </w:tcPr>
          <w:p w:rsidR="00AD5632" w:rsidRPr="00A25C6A" w:rsidRDefault="00AD5632" w:rsidP="00BA0B4B">
            <w:pPr>
              <w:ind w:firstLineChars="200" w:firstLine="280"/>
              <w:rPr>
                <w:color w:val="333333"/>
                <w:sz w:val="14"/>
                <w:szCs w:val="16"/>
                <w:lang w:val="es-GT" w:eastAsia="es-GT"/>
              </w:rPr>
            </w:pPr>
            <w:r w:rsidRPr="00A25C6A">
              <w:rPr>
                <w:color w:val="333333"/>
                <w:sz w:val="14"/>
                <w:szCs w:val="16"/>
                <w:lang w:val="es-GT" w:eastAsia="es-GT"/>
              </w:rPr>
              <w:t>ATENCIÓN A LA CONFLICTIVIDAD SOCIAL</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10.5</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6.3</w:t>
            </w:r>
          </w:p>
        </w:tc>
        <w:tc>
          <w:tcPr>
            <w:tcW w:w="1134" w:type="dxa"/>
            <w:tcBorders>
              <w:top w:val="nil"/>
              <w:left w:val="nil"/>
              <w:bottom w:val="nil"/>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4.2</w:t>
            </w:r>
          </w:p>
        </w:tc>
        <w:tc>
          <w:tcPr>
            <w:tcW w:w="1134" w:type="dxa"/>
            <w:tcBorders>
              <w:top w:val="nil"/>
              <w:left w:val="nil"/>
              <w:bottom w:val="nil"/>
              <w:right w:val="single" w:sz="8"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59.5%</w:t>
            </w:r>
          </w:p>
        </w:tc>
      </w:tr>
      <w:tr w:rsidR="00AD5632" w:rsidRPr="00A25C6A" w:rsidTr="00BA68EF">
        <w:trPr>
          <w:trHeight w:val="294"/>
          <w:jc w:val="center"/>
        </w:trPr>
        <w:tc>
          <w:tcPr>
            <w:tcW w:w="4668" w:type="dxa"/>
            <w:tcBorders>
              <w:top w:val="nil"/>
              <w:left w:val="single" w:sz="8" w:space="0" w:color="auto"/>
              <w:bottom w:val="single" w:sz="8" w:space="0" w:color="auto"/>
              <w:right w:val="single" w:sz="4" w:space="0" w:color="auto"/>
            </w:tcBorders>
            <w:shd w:val="clear" w:color="FFFFFF" w:fill="FFFFFF"/>
            <w:noWrap/>
            <w:vAlign w:val="bottom"/>
            <w:hideMark/>
          </w:tcPr>
          <w:p w:rsidR="00AD5632" w:rsidRPr="00A25C6A" w:rsidRDefault="00AD5632" w:rsidP="00BA0B4B">
            <w:pPr>
              <w:ind w:firstLineChars="200" w:firstLine="280"/>
              <w:rPr>
                <w:color w:val="333333"/>
                <w:sz w:val="14"/>
                <w:szCs w:val="16"/>
                <w:lang w:val="es-GT" w:eastAsia="es-GT"/>
              </w:rPr>
            </w:pPr>
            <w:r w:rsidRPr="00A25C6A">
              <w:rPr>
                <w:color w:val="333333"/>
                <w:sz w:val="14"/>
                <w:szCs w:val="16"/>
                <w:lang w:val="es-GT" w:eastAsia="es-GT"/>
              </w:rPr>
              <w:t>PARTIDAS NO ASIGNABLES A PROGRAMAS</w:t>
            </w:r>
          </w:p>
        </w:tc>
        <w:tc>
          <w:tcPr>
            <w:tcW w:w="1134" w:type="dxa"/>
            <w:tcBorders>
              <w:top w:val="nil"/>
              <w:left w:val="single" w:sz="4" w:space="0" w:color="auto"/>
              <w:bottom w:val="single" w:sz="8" w:space="0" w:color="auto"/>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1.3</w:t>
            </w:r>
          </w:p>
        </w:tc>
        <w:tc>
          <w:tcPr>
            <w:tcW w:w="1134" w:type="dxa"/>
            <w:tcBorders>
              <w:top w:val="nil"/>
              <w:left w:val="nil"/>
              <w:bottom w:val="single" w:sz="8" w:space="0" w:color="auto"/>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2.4</w:t>
            </w:r>
          </w:p>
        </w:tc>
        <w:tc>
          <w:tcPr>
            <w:tcW w:w="1134" w:type="dxa"/>
            <w:tcBorders>
              <w:top w:val="nil"/>
              <w:left w:val="nil"/>
              <w:bottom w:val="single" w:sz="8" w:space="0" w:color="auto"/>
              <w:right w:val="single" w:sz="4"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-1.1</w:t>
            </w:r>
          </w:p>
        </w:tc>
        <w:tc>
          <w:tcPr>
            <w:tcW w:w="1134" w:type="dxa"/>
            <w:tcBorders>
              <w:top w:val="nil"/>
              <w:left w:val="nil"/>
              <w:bottom w:val="single" w:sz="8" w:space="0" w:color="auto"/>
              <w:right w:val="single" w:sz="8" w:space="0" w:color="auto"/>
            </w:tcBorders>
            <w:shd w:val="clear" w:color="FFFFFF" w:fill="FFFFFF"/>
            <w:noWrap/>
            <w:vAlign w:val="bottom"/>
            <w:hideMark/>
          </w:tcPr>
          <w:p w:rsidR="00AD5632" w:rsidRPr="00A25C6A" w:rsidRDefault="00AD5632" w:rsidP="00BA0B4B">
            <w:pPr>
              <w:jc w:val="right"/>
              <w:rPr>
                <w:color w:val="333333"/>
                <w:sz w:val="14"/>
                <w:szCs w:val="16"/>
                <w:lang w:val="es-GT" w:eastAsia="es-GT"/>
              </w:rPr>
            </w:pPr>
            <w:r w:rsidRPr="00A25C6A">
              <w:rPr>
                <w:color w:val="333333"/>
                <w:sz w:val="14"/>
                <w:szCs w:val="16"/>
                <w:lang w:val="es-GT" w:eastAsia="es-GT"/>
              </w:rPr>
              <w:t>187.5%</w:t>
            </w:r>
          </w:p>
        </w:tc>
      </w:tr>
    </w:tbl>
    <w:p w:rsidR="00AD5632" w:rsidRPr="004E678D" w:rsidRDefault="00AD5632" w:rsidP="00AD5632">
      <w:pPr>
        <w:jc w:val="both"/>
        <w:rPr>
          <w:sz w:val="18"/>
        </w:rPr>
      </w:pPr>
      <w:r>
        <w:rPr>
          <w:sz w:val="18"/>
        </w:rPr>
        <w:fldChar w:fldCharType="end"/>
      </w:r>
      <w:r>
        <w:rPr>
          <w:sz w:val="18"/>
        </w:rPr>
        <w:t xml:space="preserve"> </w:t>
      </w:r>
      <w:r w:rsidR="00EA0FBB">
        <w:rPr>
          <w:sz w:val="18"/>
        </w:rPr>
        <w:t xml:space="preserve"> </w:t>
      </w:r>
      <w:r w:rsidRPr="004E678D">
        <w:rPr>
          <w:sz w:val="18"/>
        </w:rPr>
        <w:t>Fuente: Ministerio de Finanzas Públicas</w:t>
      </w:r>
      <w:r>
        <w:rPr>
          <w:sz w:val="18"/>
        </w:rPr>
        <w:t>.</w:t>
      </w:r>
    </w:p>
    <w:p w:rsidR="00AD5632" w:rsidRPr="00D108FD" w:rsidRDefault="00AD5632" w:rsidP="00AD5632">
      <w:pPr>
        <w:jc w:val="both"/>
      </w:pPr>
    </w:p>
    <w:p w:rsidR="00AD5632" w:rsidRDefault="00AD5632" w:rsidP="00AD5632">
      <w:pPr>
        <w:jc w:val="both"/>
        <w:rPr>
          <w:b/>
        </w:rPr>
      </w:pPr>
    </w:p>
    <w:p w:rsidR="00AD5632" w:rsidRDefault="00AD5632" w:rsidP="00AD5632">
      <w:pPr>
        <w:jc w:val="both"/>
        <w:rPr>
          <w:b/>
        </w:rPr>
      </w:pPr>
      <w:r w:rsidRPr="00D108FD">
        <w:rPr>
          <w:b/>
        </w:rPr>
        <w:t>Ministerio de Relaciones Exteriores</w:t>
      </w:r>
      <w:r>
        <w:rPr>
          <w:b/>
        </w:rPr>
        <w:t>:</w:t>
      </w:r>
    </w:p>
    <w:p w:rsidR="00AD5632" w:rsidRPr="00D108FD" w:rsidRDefault="00AD5632" w:rsidP="00AD5632">
      <w:pPr>
        <w:jc w:val="both"/>
        <w:rPr>
          <w:b/>
        </w:rPr>
      </w:pPr>
    </w:p>
    <w:p w:rsidR="00AD5632" w:rsidRDefault="00AD5632" w:rsidP="00AD5632">
      <w:pPr>
        <w:jc w:val="both"/>
      </w:pPr>
      <w:r w:rsidRPr="00D108FD">
        <w:t>El Min</w:t>
      </w:r>
      <w:r>
        <w:t xml:space="preserve">isterio de Relaciones Exteriores </w:t>
      </w:r>
      <w:r w:rsidRPr="00D108FD">
        <w:t xml:space="preserve">tuvo un presupuesto </w:t>
      </w:r>
      <w:r>
        <w:t>aprobado de</w:t>
      </w:r>
      <w:r w:rsidRPr="00D108FD">
        <w:t xml:space="preserve"> </w:t>
      </w:r>
      <w:r>
        <w:t>Q.577.7</w:t>
      </w:r>
      <w:r w:rsidRPr="00D108FD">
        <w:t xml:space="preserve"> millones y una ejecución al cierre </w:t>
      </w:r>
      <w:r>
        <w:t xml:space="preserve">preliminar </w:t>
      </w:r>
      <w:r w:rsidRPr="00D108FD">
        <w:t xml:space="preserve">de </w:t>
      </w:r>
      <w:r>
        <w:t>Q.573.6 m</w:t>
      </w:r>
      <w:r w:rsidRPr="00D108FD">
        <w:t>illones equivalentes al 9</w:t>
      </w:r>
      <w:r>
        <w:t>9.3</w:t>
      </w:r>
      <w:r w:rsidRPr="00D108FD">
        <w:t>%</w:t>
      </w:r>
      <w:r>
        <w:t>, queda</w:t>
      </w:r>
      <w:r w:rsidR="007345CF">
        <w:t>ndo</w:t>
      </w:r>
      <w:r>
        <w:t xml:space="preserve"> pendientes de ejecutar Q.4.1</w:t>
      </w:r>
      <w:r w:rsidR="007345CF">
        <w:t xml:space="preserve"> </w:t>
      </w:r>
      <w:r>
        <w:t>millones</w:t>
      </w:r>
      <w:r w:rsidRPr="00D108FD">
        <w:t>.</w:t>
      </w:r>
    </w:p>
    <w:p w:rsidR="00AD5632" w:rsidRPr="00D108FD" w:rsidRDefault="00AD5632" w:rsidP="00AD5632">
      <w:pPr>
        <w:jc w:val="both"/>
      </w:pPr>
    </w:p>
    <w:p w:rsidR="00AD5632" w:rsidRDefault="00AD5632" w:rsidP="00AD5632">
      <w:pPr>
        <w:jc w:val="both"/>
      </w:pPr>
      <w:r>
        <w:t>Dentro de sus actividades, l</w:t>
      </w:r>
      <w:r w:rsidRPr="00D108FD">
        <w:t xml:space="preserve">os programas </w:t>
      </w:r>
      <w:r>
        <w:t>que tuvieron la mayor ejecución</w:t>
      </w:r>
      <w:r w:rsidRPr="00D108FD">
        <w:t xml:space="preserve"> fueron: “Servicios de Política Exterior”</w:t>
      </w:r>
      <w:r>
        <w:t xml:space="preserve"> con un presupuesto aprobado de Q.210.9 millones, con una ejecución de Q.228.6 millones, los cuales se ubicaron por arriba del presupuesto asignado en Q</w:t>
      </w:r>
      <w:r w:rsidR="007345CF">
        <w:t>.</w:t>
      </w:r>
      <w:r>
        <w:t>17.7 millones equivalentes, en su totalidad al 108.4%; el programa</w:t>
      </w:r>
      <w:r w:rsidRPr="00D108FD">
        <w:t xml:space="preserve"> “Servicios Consulares y de Atención al Migrante” con presupuesto</w:t>
      </w:r>
      <w:r>
        <w:t xml:space="preserve"> aprobado de Q.225.9 millones, con una ejecución de Q.209.4 millones, equivalentes al 92.7</w:t>
      </w:r>
      <w:r w:rsidRPr="00D108FD">
        <w:t>%</w:t>
      </w:r>
      <w:r>
        <w:t xml:space="preserve"> y el</w:t>
      </w:r>
      <w:r w:rsidRPr="00D108FD">
        <w:t xml:space="preserve"> programa “</w:t>
      </w:r>
      <w:r>
        <w:t>Actividades Centrales</w:t>
      </w:r>
      <w:r w:rsidRPr="00D108FD">
        <w:t>”</w:t>
      </w:r>
      <w:r>
        <w:t>, que</w:t>
      </w:r>
      <w:r w:rsidRPr="00D108FD">
        <w:t xml:space="preserve"> </w:t>
      </w:r>
      <w:r>
        <w:t>tuvo una ejecución de Q.67.8 millones, equivalentes al 95.6% del presupuesto aprobado, que fue de Q</w:t>
      </w:r>
      <w:r w:rsidR="000E1F91">
        <w:t>.</w:t>
      </w:r>
      <w:r>
        <w:t>70.9 millones</w:t>
      </w:r>
      <w:r w:rsidRPr="00D108FD">
        <w:t>.</w:t>
      </w:r>
    </w:p>
    <w:p w:rsidR="00AD5632" w:rsidRPr="00D108FD" w:rsidRDefault="00AD5632" w:rsidP="00AD5632">
      <w:pPr>
        <w:jc w:val="both"/>
      </w:pPr>
    </w:p>
    <w:p w:rsidR="00AD5632" w:rsidRPr="004E678D" w:rsidRDefault="00AD5632" w:rsidP="00AD5632">
      <w:pPr>
        <w:jc w:val="both"/>
        <w:rPr>
          <w:sz w:val="18"/>
        </w:rPr>
      </w:pPr>
      <w:r>
        <w:t xml:space="preserve">Los restantes 2 programas tuvieron una ejecución </w:t>
      </w:r>
      <w:r w:rsidR="000E1F91">
        <w:t xml:space="preserve">total de </w:t>
      </w:r>
      <w:r>
        <w:t>Q.</w:t>
      </w:r>
      <w:r w:rsidR="000E1F91">
        <w:t>67.8</w:t>
      </w:r>
      <w:r>
        <w:t xml:space="preserve"> millones, ejecutados por </w:t>
      </w:r>
      <w:r w:rsidRPr="00D108FD">
        <w:t xml:space="preserve">el programa de “Partidas no Asignables a Programas” </w:t>
      </w:r>
      <w:r>
        <w:t xml:space="preserve">que </w:t>
      </w:r>
      <w:r w:rsidRPr="00D108FD">
        <w:t>tuvo un presupuesto</w:t>
      </w:r>
      <w:r>
        <w:t xml:space="preserve"> aprobado</w:t>
      </w:r>
      <w:r w:rsidRPr="00D108FD">
        <w:t xml:space="preserve"> de </w:t>
      </w:r>
      <w:r>
        <w:t>Q.</w:t>
      </w:r>
      <w:r w:rsidRPr="00D108FD">
        <w:t>4</w:t>
      </w:r>
      <w:r>
        <w:t>9</w:t>
      </w:r>
      <w:r w:rsidRPr="00D108FD">
        <w:t>.2 millones</w:t>
      </w:r>
      <w:r>
        <w:t>, que incluye los aportes a organismos internacionales, quedando con una ejecución por arriba del presupuesto inicial, de Q</w:t>
      </w:r>
      <w:r w:rsidR="000E1F91">
        <w:t>.</w:t>
      </w:r>
      <w:r>
        <w:t>4.5 millones.</w:t>
      </w:r>
    </w:p>
    <w:p w:rsidR="006941A5" w:rsidRDefault="006941A5" w:rsidP="00AD5632">
      <w:pPr>
        <w:jc w:val="both"/>
      </w:pPr>
    </w:p>
    <w:p w:rsidR="00AD5632" w:rsidRDefault="00AD5632" w:rsidP="00AD5632">
      <w:pPr>
        <w:jc w:val="both"/>
        <w:rPr>
          <w:rFonts w:ascii="Calibri" w:eastAsia="Calibri" w:hAnsi="Calibri"/>
          <w:sz w:val="20"/>
          <w:szCs w:val="20"/>
          <w:lang w:val="es-GT" w:eastAsia="es-GT"/>
        </w:rPr>
      </w:pPr>
      <w:r>
        <w:lastRenderedPageBreak/>
        <w:fldChar w:fldCharType="begin"/>
      </w:r>
      <w:r>
        <w:instrText xml:space="preserve"> LINK Excel.Sheet.12 "C:\\Users\\deefoper12\\Documents\\Mis Documentos\\2022\\DTF 2022\\Informe fin de año 2021\\Cuadros para Informe de Fin de Año 2021..xlsx" "Entidad Programa!F15C2:F21C6" \a \f 4 \h  \* MERGEFORMAT </w:instrText>
      </w:r>
      <w:r>
        <w:fldChar w:fldCharType="separate"/>
      </w:r>
    </w:p>
    <w:p w:rsidR="00AD5632" w:rsidRDefault="00AD5632" w:rsidP="00AD5632">
      <w:pPr>
        <w:jc w:val="both"/>
        <w:rPr>
          <w:rFonts w:ascii="Calibri" w:eastAsia="Calibri" w:hAnsi="Calibri"/>
          <w:sz w:val="20"/>
          <w:szCs w:val="20"/>
          <w:lang w:val="es-GT" w:eastAsia="es-GT"/>
        </w:rPr>
      </w:pPr>
      <w:r>
        <w:rPr>
          <w:sz w:val="18"/>
        </w:rPr>
        <w:fldChar w:fldCharType="end"/>
      </w:r>
      <w:r>
        <w:rPr>
          <w:sz w:val="18"/>
        </w:rPr>
        <w:fldChar w:fldCharType="begin"/>
      </w:r>
      <w:r>
        <w:rPr>
          <w:sz w:val="18"/>
        </w:rPr>
        <w:instrText xml:space="preserve"> LINK Excel.Sheet.12 "C:\\Users\\deefoper12\\Documents\\Mis Documentos\\2022\\DTF 2022\\Informe fin de año 2021\\Cuadros para Informe de Fin de Año 2021..xlsx" "Entidad Programa!F15C2:F21C6" \a \f 4 \h  \* MERGEFORMAT </w:instrText>
      </w:r>
      <w:r>
        <w:rPr>
          <w:sz w:val="18"/>
        </w:rPr>
        <w:fldChar w:fldCharType="separate"/>
      </w:r>
    </w:p>
    <w:tbl>
      <w:tblPr>
        <w:tblW w:w="9204" w:type="dxa"/>
        <w:jc w:val="center"/>
        <w:tblCellMar>
          <w:left w:w="70" w:type="dxa"/>
          <w:right w:w="70" w:type="dxa"/>
        </w:tblCellMar>
        <w:tblLook w:val="04A0" w:firstRow="1" w:lastRow="0" w:firstColumn="1" w:lastColumn="0" w:noHBand="0" w:noVBand="1"/>
      </w:tblPr>
      <w:tblGrid>
        <w:gridCol w:w="4668"/>
        <w:gridCol w:w="1134"/>
        <w:gridCol w:w="1159"/>
        <w:gridCol w:w="1109"/>
        <w:gridCol w:w="1134"/>
      </w:tblGrid>
      <w:tr w:rsidR="00AD5632" w:rsidRPr="00711D7E" w:rsidTr="007A4A97">
        <w:trPr>
          <w:trHeight w:val="314"/>
          <w:jc w:val="center"/>
        </w:trPr>
        <w:tc>
          <w:tcPr>
            <w:tcW w:w="4668" w:type="dxa"/>
            <w:tcBorders>
              <w:top w:val="single" w:sz="8" w:space="0" w:color="auto"/>
              <w:left w:val="single" w:sz="8" w:space="0" w:color="auto"/>
              <w:bottom w:val="single" w:sz="4" w:space="0" w:color="auto"/>
              <w:right w:val="single" w:sz="4" w:space="0" w:color="auto"/>
            </w:tcBorders>
            <w:shd w:val="clear" w:color="auto" w:fill="8DB4E2"/>
            <w:noWrap/>
            <w:vAlign w:val="center"/>
            <w:hideMark/>
          </w:tcPr>
          <w:p w:rsidR="00AD5632" w:rsidRPr="00711D7E" w:rsidRDefault="00AD5632" w:rsidP="007A4A97">
            <w:pPr>
              <w:jc w:val="center"/>
              <w:rPr>
                <w:b/>
                <w:bCs/>
                <w:color w:val="000000"/>
                <w:sz w:val="14"/>
                <w:szCs w:val="16"/>
                <w:lang w:val="es-GT" w:eastAsia="es-GT"/>
              </w:rPr>
            </w:pPr>
            <w:r w:rsidRPr="00711D7E">
              <w:rPr>
                <w:b/>
                <w:bCs/>
                <w:color w:val="000000"/>
                <w:sz w:val="14"/>
                <w:szCs w:val="16"/>
                <w:lang w:val="es-GT" w:eastAsia="es-GT"/>
              </w:rPr>
              <w:t>DESCRIPCI</w:t>
            </w:r>
            <w:r w:rsidR="00437653">
              <w:rPr>
                <w:b/>
                <w:bCs/>
                <w:color w:val="000000"/>
                <w:sz w:val="14"/>
                <w:szCs w:val="16"/>
                <w:lang w:val="es-GT" w:eastAsia="es-GT"/>
              </w:rPr>
              <w:t>Ó</w:t>
            </w:r>
            <w:r w:rsidRPr="00711D7E">
              <w:rPr>
                <w:b/>
                <w:bCs/>
                <w:color w:val="000000"/>
                <w:sz w:val="14"/>
                <w:szCs w:val="16"/>
                <w:lang w:val="es-GT" w:eastAsia="es-GT"/>
              </w:rPr>
              <w:t>N</w:t>
            </w:r>
          </w:p>
        </w:tc>
        <w:tc>
          <w:tcPr>
            <w:tcW w:w="1134" w:type="dxa"/>
            <w:tcBorders>
              <w:top w:val="single" w:sz="8" w:space="0" w:color="auto"/>
              <w:left w:val="nil"/>
              <w:bottom w:val="single" w:sz="4" w:space="0" w:color="auto"/>
              <w:right w:val="single" w:sz="4" w:space="0" w:color="auto"/>
            </w:tcBorders>
            <w:shd w:val="clear" w:color="auto" w:fill="8DB4E2"/>
            <w:noWrap/>
            <w:vAlign w:val="center"/>
            <w:hideMark/>
          </w:tcPr>
          <w:p w:rsidR="00AD5632" w:rsidRPr="00711D7E" w:rsidRDefault="00AD5632" w:rsidP="007A4A97">
            <w:pPr>
              <w:jc w:val="center"/>
              <w:rPr>
                <w:b/>
                <w:bCs/>
                <w:color w:val="000000"/>
                <w:sz w:val="14"/>
                <w:szCs w:val="16"/>
                <w:lang w:val="es-GT" w:eastAsia="es-GT"/>
              </w:rPr>
            </w:pPr>
            <w:r w:rsidRPr="00711D7E">
              <w:rPr>
                <w:b/>
                <w:bCs/>
                <w:color w:val="000000"/>
                <w:sz w:val="14"/>
                <w:szCs w:val="16"/>
                <w:lang w:val="es-GT" w:eastAsia="es-GT"/>
              </w:rPr>
              <w:t>Asignado</w:t>
            </w:r>
          </w:p>
        </w:tc>
        <w:tc>
          <w:tcPr>
            <w:tcW w:w="1159" w:type="dxa"/>
            <w:tcBorders>
              <w:top w:val="single" w:sz="8" w:space="0" w:color="auto"/>
              <w:left w:val="nil"/>
              <w:bottom w:val="single" w:sz="4" w:space="0" w:color="auto"/>
              <w:right w:val="single" w:sz="4" w:space="0" w:color="auto"/>
            </w:tcBorders>
            <w:shd w:val="clear" w:color="auto" w:fill="8DB4E2"/>
            <w:noWrap/>
            <w:vAlign w:val="center"/>
            <w:hideMark/>
          </w:tcPr>
          <w:p w:rsidR="00AD5632" w:rsidRPr="00711D7E" w:rsidRDefault="00AD5632" w:rsidP="007A4A97">
            <w:pPr>
              <w:jc w:val="center"/>
              <w:rPr>
                <w:b/>
                <w:bCs/>
                <w:color w:val="000000"/>
                <w:sz w:val="14"/>
                <w:szCs w:val="16"/>
                <w:lang w:val="es-GT" w:eastAsia="es-GT"/>
              </w:rPr>
            </w:pPr>
            <w:r w:rsidRPr="00711D7E">
              <w:rPr>
                <w:b/>
                <w:bCs/>
                <w:color w:val="000000"/>
                <w:sz w:val="14"/>
                <w:szCs w:val="16"/>
                <w:lang w:val="es-GT" w:eastAsia="es-GT"/>
              </w:rPr>
              <w:t>Ejecu</w:t>
            </w:r>
            <w:r w:rsidR="00CE3879">
              <w:rPr>
                <w:b/>
                <w:bCs/>
                <w:color w:val="000000"/>
                <w:sz w:val="14"/>
                <w:szCs w:val="16"/>
                <w:lang w:val="es-GT" w:eastAsia="es-GT"/>
              </w:rPr>
              <w:t>tado</w:t>
            </w:r>
          </w:p>
        </w:tc>
        <w:tc>
          <w:tcPr>
            <w:tcW w:w="1109" w:type="dxa"/>
            <w:tcBorders>
              <w:top w:val="single" w:sz="8" w:space="0" w:color="auto"/>
              <w:left w:val="nil"/>
              <w:bottom w:val="single" w:sz="4" w:space="0" w:color="auto"/>
              <w:right w:val="single" w:sz="4" w:space="0" w:color="auto"/>
            </w:tcBorders>
            <w:shd w:val="clear" w:color="auto" w:fill="8DB4E2"/>
            <w:noWrap/>
            <w:vAlign w:val="center"/>
            <w:hideMark/>
          </w:tcPr>
          <w:p w:rsidR="00AD5632" w:rsidRPr="00711D7E" w:rsidRDefault="00AD5632" w:rsidP="007A4A97">
            <w:pPr>
              <w:jc w:val="center"/>
              <w:rPr>
                <w:b/>
                <w:bCs/>
                <w:color w:val="000000"/>
                <w:sz w:val="14"/>
                <w:szCs w:val="16"/>
                <w:lang w:val="es-GT" w:eastAsia="es-GT"/>
              </w:rPr>
            </w:pPr>
            <w:r w:rsidRPr="00711D7E">
              <w:rPr>
                <w:b/>
                <w:bCs/>
                <w:color w:val="000000"/>
                <w:sz w:val="14"/>
                <w:szCs w:val="16"/>
                <w:lang w:val="es-GT" w:eastAsia="es-GT"/>
              </w:rPr>
              <w:t>Diferencias</w:t>
            </w:r>
          </w:p>
        </w:tc>
        <w:tc>
          <w:tcPr>
            <w:tcW w:w="1134" w:type="dxa"/>
            <w:tcBorders>
              <w:top w:val="single" w:sz="8" w:space="0" w:color="auto"/>
              <w:left w:val="nil"/>
              <w:bottom w:val="single" w:sz="4" w:space="0" w:color="auto"/>
              <w:right w:val="single" w:sz="8" w:space="0" w:color="auto"/>
            </w:tcBorders>
            <w:shd w:val="clear" w:color="auto" w:fill="8DB4E2"/>
            <w:noWrap/>
            <w:vAlign w:val="center"/>
            <w:hideMark/>
          </w:tcPr>
          <w:p w:rsidR="00AD5632" w:rsidRPr="00711D7E" w:rsidRDefault="00AD5632" w:rsidP="007A4A97">
            <w:pPr>
              <w:jc w:val="center"/>
              <w:rPr>
                <w:b/>
                <w:bCs/>
                <w:color w:val="000000"/>
                <w:sz w:val="14"/>
                <w:szCs w:val="16"/>
                <w:lang w:val="es-GT" w:eastAsia="es-GT"/>
              </w:rPr>
            </w:pPr>
            <w:r w:rsidRPr="00711D7E">
              <w:rPr>
                <w:b/>
                <w:bCs/>
                <w:color w:val="000000"/>
                <w:sz w:val="14"/>
                <w:szCs w:val="16"/>
                <w:lang w:val="es-GT" w:eastAsia="es-GT"/>
              </w:rPr>
              <w:t>% Ejec</w:t>
            </w:r>
          </w:p>
        </w:tc>
      </w:tr>
      <w:tr w:rsidR="00AD5632" w:rsidRPr="00711D7E" w:rsidTr="00BA68EF">
        <w:trPr>
          <w:trHeight w:val="314"/>
          <w:jc w:val="center"/>
        </w:trPr>
        <w:tc>
          <w:tcPr>
            <w:tcW w:w="4668" w:type="dxa"/>
            <w:tcBorders>
              <w:top w:val="nil"/>
              <w:left w:val="single" w:sz="8" w:space="0" w:color="auto"/>
              <w:bottom w:val="nil"/>
              <w:right w:val="single" w:sz="4" w:space="0" w:color="auto"/>
            </w:tcBorders>
            <w:shd w:val="clear" w:color="FFFFFF" w:fill="FFFFFF"/>
            <w:noWrap/>
            <w:vAlign w:val="bottom"/>
            <w:hideMark/>
          </w:tcPr>
          <w:p w:rsidR="00AD5632" w:rsidRPr="00711D7E" w:rsidRDefault="00AD5632" w:rsidP="00BA0B4B">
            <w:pPr>
              <w:rPr>
                <w:b/>
                <w:bCs/>
                <w:color w:val="333333"/>
                <w:sz w:val="14"/>
                <w:szCs w:val="16"/>
                <w:lang w:val="es-GT" w:eastAsia="es-GT"/>
              </w:rPr>
            </w:pPr>
            <w:r w:rsidRPr="00711D7E">
              <w:rPr>
                <w:b/>
                <w:bCs/>
                <w:color w:val="333333"/>
                <w:sz w:val="14"/>
                <w:szCs w:val="16"/>
                <w:lang w:val="es-GT" w:eastAsia="es-GT"/>
              </w:rPr>
              <w:t>MINISTERIO DE RELACIONES EXTERIORES</w:t>
            </w:r>
          </w:p>
        </w:tc>
        <w:tc>
          <w:tcPr>
            <w:tcW w:w="1134" w:type="dxa"/>
            <w:tcBorders>
              <w:top w:val="nil"/>
              <w:left w:val="nil"/>
              <w:bottom w:val="nil"/>
              <w:right w:val="single" w:sz="4" w:space="0" w:color="auto"/>
            </w:tcBorders>
            <w:shd w:val="clear" w:color="FFFFFF" w:fill="FFFFFF"/>
            <w:noWrap/>
            <w:vAlign w:val="bottom"/>
            <w:hideMark/>
          </w:tcPr>
          <w:p w:rsidR="00AD5632" w:rsidRPr="00711D7E" w:rsidRDefault="00AD5632" w:rsidP="00BA0B4B">
            <w:pPr>
              <w:jc w:val="right"/>
              <w:rPr>
                <w:b/>
                <w:bCs/>
                <w:color w:val="333333"/>
                <w:sz w:val="14"/>
                <w:szCs w:val="16"/>
                <w:lang w:val="es-GT" w:eastAsia="es-GT"/>
              </w:rPr>
            </w:pPr>
            <w:r w:rsidRPr="00711D7E">
              <w:rPr>
                <w:b/>
                <w:bCs/>
                <w:color w:val="333333"/>
                <w:sz w:val="14"/>
                <w:szCs w:val="16"/>
                <w:lang w:val="es-GT" w:eastAsia="es-GT"/>
              </w:rPr>
              <w:t>577.7</w:t>
            </w:r>
          </w:p>
        </w:tc>
        <w:tc>
          <w:tcPr>
            <w:tcW w:w="1159" w:type="dxa"/>
            <w:tcBorders>
              <w:top w:val="nil"/>
              <w:left w:val="nil"/>
              <w:bottom w:val="nil"/>
              <w:right w:val="single" w:sz="4" w:space="0" w:color="auto"/>
            </w:tcBorders>
            <w:shd w:val="clear" w:color="FFFFFF" w:fill="FFFFFF"/>
            <w:noWrap/>
            <w:vAlign w:val="bottom"/>
            <w:hideMark/>
          </w:tcPr>
          <w:p w:rsidR="00AD5632" w:rsidRPr="00711D7E" w:rsidRDefault="00AD5632" w:rsidP="00BA0B4B">
            <w:pPr>
              <w:jc w:val="right"/>
              <w:rPr>
                <w:b/>
                <w:bCs/>
                <w:color w:val="333333"/>
                <w:sz w:val="14"/>
                <w:szCs w:val="16"/>
                <w:lang w:val="es-GT" w:eastAsia="es-GT"/>
              </w:rPr>
            </w:pPr>
            <w:r w:rsidRPr="00711D7E">
              <w:rPr>
                <w:b/>
                <w:bCs/>
                <w:color w:val="333333"/>
                <w:sz w:val="14"/>
                <w:szCs w:val="16"/>
                <w:lang w:val="es-GT" w:eastAsia="es-GT"/>
              </w:rPr>
              <w:t>573.6</w:t>
            </w:r>
          </w:p>
        </w:tc>
        <w:tc>
          <w:tcPr>
            <w:tcW w:w="1109" w:type="dxa"/>
            <w:tcBorders>
              <w:top w:val="nil"/>
              <w:left w:val="nil"/>
              <w:bottom w:val="nil"/>
              <w:right w:val="single" w:sz="4" w:space="0" w:color="auto"/>
            </w:tcBorders>
            <w:shd w:val="clear" w:color="FFFFFF" w:fill="FFFFFF"/>
            <w:noWrap/>
            <w:vAlign w:val="bottom"/>
            <w:hideMark/>
          </w:tcPr>
          <w:p w:rsidR="00AD5632" w:rsidRPr="00711D7E" w:rsidRDefault="00AD5632" w:rsidP="00BA0B4B">
            <w:pPr>
              <w:jc w:val="right"/>
              <w:rPr>
                <w:b/>
                <w:bCs/>
                <w:color w:val="333333"/>
                <w:sz w:val="14"/>
                <w:szCs w:val="16"/>
                <w:lang w:val="es-GT" w:eastAsia="es-GT"/>
              </w:rPr>
            </w:pPr>
            <w:r w:rsidRPr="00711D7E">
              <w:rPr>
                <w:b/>
                <w:bCs/>
                <w:color w:val="333333"/>
                <w:sz w:val="14"/>
                <w:szCs w:val="16"/>
                <w:lang w:val="es-GT" w:eastAsia="es-GT"/>
              </w:rPr>
              <w:t>4.1</w:t>
            </w:r>
          </w:p>
        </w:tc>
        <w:tc>
          <w:tcPr>
            <w:tcW w:w="1134" w:type="dxa"/>
            <w:tcBorders>
              <w:top w:val="nil"/>
              <w:left w:val="nil"/>
              <w:bottom w:val="nil"/>
              <w:right w:val="single" w:sz="8" w:space="0" w:color="auto"/>
            </w:tcBorders>
            <w:shd w:val="clear" w:color="FFFFFF" w:fill="FFFFFF"/>
            <w:noWrap/>
            <w:vAlign w:val="bottom"/>
            <w:hideMark/>
          </w:tcPr>
          <w:p w:rsidR="00AD5632" w:rsidRPr="00711D7E" w:rsidRDefault="00AD5632" w:rsidP="00BA0B4B">
            <w:pPr>
              <w:jc w:val="right"/>
              <w:rPr>
                <w:b/>
                <w:bCs/>
                <w:color w:val="333333"/>
                <w:sz w:val="14"/>
                <w:szCs w:val="16"/>
                <w:lang w:val="es-GT" w:eastAsia="es-GT"/>
              </w:rPr>
            </w:pPr>
            <w:r w:rsidRPr="00711D7E">
              <w:rPr>
                <w:b/>
                <w:bCs/>
                <w:color w:val="333333"/>
                <w:sz w:val="14"/>
                <w:szCs w:val="16"/>
                <w:lang w:val="es-GT" w:eastAsia="es-GT"/>
              </w:rPr>
              <w:t>99.3%</w:t>
            </w:r>
          </w:p>
        </w:tc>
      </w:tr>
      <w:tr w:rsidR="00AD5632" w:rsidRPr="00711D7E" w:rsidTr="00BA68EF">
        <w:trPr>
          <w:trHeight w:val="314"/>
          <w:jc w:val="center"/>
        </w:trPr>
        <w:tc>
          <w:tcPr>
            <w:tcW w:w="4668" w:type="dxa"/>
            <w:tcBorders>
              <w:top w:val="nil"/>
              <w:left w:val="single" w:sz="8" w:space="0" w:color="auto"/>
              <w:bottom w:val="nil"/>
              <w:right w:val="single" w:sz="4" w:space="0" w:color="auto"/>
            </w:tcBorders>
            <w:shd w:val="clear" w:color="FFFFFF" w:fill="FFFFFF"/>
            <w:noWrap/>
            <w:vAlign w:val="bottom"/>
            <w:hideMark/>
          </w:tcPr>
          <w:p w:rsidR="00AD5632" w:rsidRPr="00711D7E" w:rsidRDefault="00AD5632" w:rsidP="00BA0B4B">
            <w:pPr>
              <w:ind w:firstLineChars="200" w:firstLine="280"/>
              <w:rPr>
                <w:color w:val="333333"/>
                <w:sz w:val="14"/>
                <w:szCs w:val="16"/>
                <w:lang w:val="es-GT" w:eastAsia="es-GT"/>
              </w:rPr>
            </w:pPr>
            <w:r w:rsidRPr="00711D7E">
              <w:rPr>
                <w:color w:val="333333"/>
                <w:sz w:val="14"/>
                <w:szCs w:val="16"/>
                <w:lang w:val="es-GT" w:eastAsia="es-GT"/>
              </w:rPr>
              <w:t>SERVICIOS DE POLÍTICA EXTERIOR</w:t>
            </w:r>
          </w:p>
        </w:tc>
        <w:tc>
          <w:tcPr>
            <w:tcW w:w="1134" w:type="dxa"/>
            <w:tcBorders>
              <w:top w:val="nil"/>
              <w:left w:val="nil"/>
              <w:bottom w:val="nil"/>
              <w:right w:val="single" w:sz="4" w:space="0" w:color="auto"/>
            </w:tcBorders>
            <w:shd w:val="clear" w:color="FFFFFF" w:fill="FFFFFF"/>
            <w:noWrap/>
            <w:vAlign w:val="bottom"/>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210.9</w:t>
            </w:r>
          </w:p>
        </w:tc>
        <w:tc>
          <w:tcPr>
            <w:tcW w:w="1159" w:type="dxa"/>
            <w:tcBorders>
              <w:top w:val="nil"/>
              <w:left w:val="nil"/>
              <w:bottom w:val="nil"/>
              <w:right w:val="single" w:sz="4" w:space="0" w:color="auto"/>
            </w:tcBorders>
            <w:shd w:val="clear" w:color="FFFFFF" w:fill="FFFFFF"/>
            <w:noWrap/>
            <w:vAlign w:val="bottom"/>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228.6</w:t>
            </w:r>
          </w:p>
        </w:tc>
        <w:tc>
          <w:tcPr>
            <w:tcW w:w="1109" w:type="dxa"/>
            <w:tcBorders>
              <w:top w:val="nil"/>
              <w:left w:val="nil"/>
              <w:bottom w:val="nil"/>
              <w:right w:val="single" w:sz="4" w:space="0" w:color="auto"/>
            </w:tcBorders>
            <w:shd w:val="clear" w:color="FFFFFF" w:fill="FFFFFF"/>
            <w:noWrap/>
            <w:vAlign w:val="bottom"/>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-17.7</w:t>
            </w:r>
          </w:p>
        </w:tc>
        <w:tc>
          <w:tcPr>
            <w:tcW w:w="1134" w:type="dxa"/>
            <w:tcBorders>
              <w:top w:val="nil"/>
              <w:left w:val="nil"/>
              <w:bottom w:val="nil"/>
              <w:right w:val="single" w:sz="8" w:space="0" w:color="auto"/>
            </w:tcBorders>
            <w:shd w:val="clear" w:color="FFFFFF" w:fill="FFFFFF"/>
            <w:noWrap/>
            <w:vAlign w:val="bottom"/>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108.4%</w:t>
            </w:r>
          </w:p>
        </w:tc>
      </w:tr>
      <w:tr w:rsidR="00AD5632" w:rsidRPr="00711D7E" w:rsidTr="00BA68EF">
        <w:trPr>
          <w:trHeight w:val="314"/>
          <w:jc w:val="center"/>
        </w:trPr>
        <w:tc>
          <w:tcPr>
            <w:tcW w:w="4668" w:type="dxa"/>
            <w:tcBorders>
              <w:top w:val="nil"/>
              <w:left w:val="single" w:sz="8" w:space="0" w:color="auto"/>
              <w:bottom w:val="nil"/>
              <w:right w:val="single" w:sz="4" w:space="0" w:color="auto"/>
            </w:tcBorders>
            <w:shd w:val="clear" w:color="FFFFFF" w:fill="FFFFFF"/>
            <w:noWrap/>
            <w:vAlign w:val="bottom"/>
            <w:hideMark/>
          </w:tcPr>
          <w:p w:rsidR="00AD5632" w:rsidRPr="00711D7E" w:rsidRDefault="00AD5632" w:rsidP="00BA0B4B">
            <w:pPr>
              <w:ind w:firstLineChars="200" w:firstLine="280"/>
              <w:rPr>
                <w:color w:val="333333"/>
                <w:sz w:val="14"/>
                <w:szCs w:val="16"/>
                <w:lang w:val="es-GT" w:eastAsia="es-GT"/>
              </w:rPr>
            </w:pPr>
            <w:r w:rsidRPr="00711D7E">
              <w:rPr>
                <w:color w:val="333333"/>
                <w:sz w:val="14"/>
                <w:szCs w:val="16"/>
                <w:lang w:val="es-GT" w:eastAsia="es-GT"/>
              </w:rPr>
              <w:t>SERVICIOS CONSULARES Y DE ATENCIÓN AL MIGRANTE</w:t>
            </w:r>
          </w:p>
        </w:tc>
        <w:tc>
          <w:tcPr>
            <w:tcW w:w="1134" w:type="dxa"/>
            <w:tcBorders>
              <w:top w:val="nil"/>
              <w:left w:val="nil"/>
              <w:bottom w:val="nil"/>
              <w:right w:val="single" w:sz="4" w:space="0" w:color="auto"/>
            </w:tcBorders>
            <w:shd w:val="clear" w:color="FFFFFF" w:fill="FFFFFF"/>
            <w:noWrap/>
            <w:vAlign w:val="bottom"/>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225.9</w:t>
            </w:r>
          </w:p>
        </w:tc>
        <w:tc>
          <w:tcPr>
            <w:tcW w:w="1159" w:type="dxa"/>
            <w:tcBorders>
              <w:top w:val="nil"/>
              <w:left w:val="nil"/>
              <w:bottom w:val="nil"/>
              <w:right w:val="single" w:sz="4" w:space="0" w:color="auto"/>
            </w:tcBorders>
            <w:shd w:val="clear" w:color="FFFFFF" w:fill="FFFFFF"/>
            <w:noWrap/>
            <w:vAlign w:val="bottom"/>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209.4</w:t>
            </w:r>
          </w:p>
        </w:tc>
        <w:tc>
          <w:tcPr>
            <w:tcW w:w="1109" w:type="dxa"/>
            <w:tcBorders>
              <w:top w:val="nil"/>
              <w:left w:val="nil"/>
              <w:bottom w:val="nil"/>
              <w:right w:val="single" w:sz="4" w:space="0" w:color="auto"/>
            </w:tcBorders>
            <w:shd w:val="clear" w:color="FFFFFF" w:fill="FFFFFF"/>
            <w:noWrap/>
            <w:vAlign w:val="bottom"/>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16.5</w:t>
            </w:r>
          </w:p>
        </w:tc>
        <w:tc>
          <w:tcPr>
            <w:tcW w:w="1134" w:type="dxa"/>
            <w:tcBorders>
              <w:top w:val="nil"/>
              <w:left w:val="nil"/>
              <w:bottom w:val="nil"/>
              <w:right w:val="single" w:sz="8" w:space="0" w:color="auto"/>
            </w:tcBorders>
            <w:shd w:val="clear" w:color="FFFFFF" w:fill="FFFFFF"/>
            <w:noWrap/>
            <w:vAlign w:val="bottom"/>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92.7%</w:t>
            </w:r>
          </w:p>
        </w:tc>
      </w:tr>
      <w:tr w:rsidR="00AD5632" w:rsidRPr="00711D7E" w:rsidTr="00BA68EF">
        <w:trPr>
          <w:trHeight w:val="314"/>
          <w:jc w:val="center"/>
        </w:trPr>
        <w:tc>
          <w:tcPr>
            <w:tcW w:w="4668" w:type="dxa"/>
            <w:tcBorders>
              <w:top w:val="nil"/>
              <w:left w:val="single" w:sz="8" w:space="0" w:color="auto"/>
              <w:bottom w:val="nil"/>
              <w:right w:val="single" w:sz="4" w:space="0" w:color="auto"/>
            </w:tcBorders>
            <w:shd w:val="clear" w:color="FFFFFF" w:fill="FFFFFF"/>
            <w:noWrap/>
            <w:vAlign w:val="bottom"/>
            <w:hideMark/>
          </w:tcPr>
          <w:p w:rsidR="00AD5632" w:rsidRPr="00711D7E" w:rsidRDefault="00AD5632" w:rsidP="00BA0B4B">
            <w:pPr>
              <w:ind w:firstLineChars="200" w:firstLine="280"/>
              <w:rPr>
                <w:color w:val="333333"/>
                <w:sz w:val="14"/>
                <w:szCs w:val="16"/>
                <w:lang w:val="es-GT" w:eastAsia="es-GT"/>
              </w:rPr>
            </w:pPr>
            <w:r w:rsidRPr="00711D7E">
              <w:rPr>
                <w:color w:val="333333"/>
                <w:sz w:val="14"/>
                <w:szCs w:val="16"/>
                <w:lang w:val="es-GT" w:eastAsia="es-GT"/>
              </w:rPr>
              <w:t>ACTIVIDADES CENTRALES</w:t>
            </w:r>
          </w:p>
        </w:tc>
        <w:tc>
          <w:tcPr>
            <w:tcW w:w="1134" w:type="dxa"/>
            <w:tcBorders>
              <w:top w:val="nil"/>
              <w:left w:val="nil"/>
              <w:bottom w:val="nil"/>
              <w:right w:val="single" w:sz="4" w:space="0" w:color="auto"/>
            </w:tcBorders>
            <w:shd w:val="clear" w:color="FFFFFF" w:fill="FFFFFF"/>
            <w:noWrap/>
            <w:vAlign w:val="bottom"/>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70.9</w:t>
            </w:r>
          </w:p>
        </w:tc>
        <w:tc>
          <w:tcPr>
            <w:tcW w:w="1159" w:type="dxa"/>
            <w:tcBorders>
              <w:top w:val="nil"/>
              <w:left w:val="nil"/>
              <w:bottom w:val="nil"/>
              <w:right w:val="single" w:sz="4" w:space="0" w:color="auto"/>
            </w:tcBorders>
            <w:shd w:val="clear" w:color="FFFFFF" w:fill="FFFFFF"/>
            <w:noWrap/>
            <w:vAlign w:val="bottom"/>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67.8</w:t>
            </w:r>
          </w:p>
        </w:tc>
        <w:tc>
          <w:tcPr>
            <w:tcW w:w="1109" w:type="dxa"/>
            <w:tcBorders>
              <w:top w:val="nil"/>
              <w:left w:val="nil"/>
              <w:bottom w:val="nil"/>
              <w:right w:val="single" w:sz="4" w:space="0" w:color="auto"/>
            </w:tcBorders>
            <w:shd w:val="clear" w:color="FFFFFF" w:fill="FFFFFF"/>
            <w:noWrap/>
            <w:vAlign w:val="bottom"/>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3.1</w:t>
            </w:r>
          </w:p>
        </w:tc>
        <w:tc>
          <w:tcPr>
            <w:tcW w:w="1134" w:type="dxa"/>
            <w:tcBorders>
              <w:top w:val="nil"/>
              <w:left w:val="nil"/>
              <w:bottom w:val="nil"/>
              <w:right w:val="single" w:sz="8" w:space="0" w:color="auto"/>
            </w:tcBorders>
            <w:shd w:val="clear" w:color="FFFFFF" w:fill="FFFFFF"/>
            <w:noWrap/>
            <w:vAlign w:val="bottom"/>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95.6%</w:t>
            </w:r>
          </w:p>
        </w:tc>
      </w:tr>
      <w:tr w:rsidR="00AD5632" w:rsidRPr="00711D7E" w:rsidTr="00BA68EF">
        <w:trPr>
          <w:trHeight w:val="314"/>
          <w:jc w:val="center"/>
        </w:trPr>
        <w:tc>
          <w:tcPr>
            <w:tcW w:w="4668" w:type="dxa"/>
            <w:tcBorders>
              <w:top w:val="nil"/>
              <w:left w:val="single" w:sz="8" w:space="0" w:color="auto"/>
              <w:bottom w:val="nil"/>
              <w:right w:val="single" w:sz="4" w:space="0" w:color="auto"/>
            </w:tcBorders>
            <w:shd w:val="clear" w:color="FFFFFF" w:fill="FFFFFF"/>
            <w:vAlign w:val="bottom"/>
            <w:hideMark/>
          </w:tcPr>
          <w:p w:rsidR="00AD5632" w:rsidRPr="00711D7E" w:rsidRDefault="00AD5632" w:rsidP="00BA0B4B">
            <w:pPr>
              <w:ind w:firstLineChars="200" w:firstLine="280"/>
              <w:rPr>
                <w:color w:val="333333"/>
                <w:sz w:val="14"/>
                <w:szCs w:val="16"/>
                <w:lang w:val="es-GT" w:eastAsia="es-GT"/>
              </w:rPr>
            </w:pPr>
            <w:r w:rsidRPr="00711D7E">
              <w:rPr>
                <w:color w:val="333333"/>
                <w:sz w:val="14"/>
                <w:szCs w:val="16"/>
                <w:lang w:val="es-GT" w:eastAsia="es-GT"/>
              </w:rPr>
              <w:t>PARTIDAS NO ASIGNABLES A PROGRAMAS</w:t>
            </w:r>
          </w:p>
        </w:tc>
        <w:tc>
          <w:tcPr>
            <w:tcW w:w="1134" w:type="dxa"/>
            <w:tcBorders>
              <w:top w:val="nil"/>
              <w:left w:val="nil"/>
              <w:bottom w:val="nil"/>
              <w:right w:val="single" w:sz="4" w:space="0" w:color="auto"/>
            </w:tcBorders>
            <w:shd w:val="clear" w:color="FFFFFF" w:fill="FFFFFF"/>
            <w:noWrap/>
            <w:vAlign w:val="center"/>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49.2</w:t>
            </w:r>
          </w:p>
        </w:tc>
        <w:tc>
          <w:tcPr>
            <w:tcW w:w="1159" w:type="dxa"/>
            <w:tcBorders>
              <w:top w:val="nil"/>
              <w:left w:val="nil"/>
              <w:bottom w:val="nil"/>
              <w:right w:val="single" w:sz="4" w:space="0" w:color="auto"/>
            </w:tcBorders>
            <w:shd w:val="clear" w:color="FFFFFF" w:fill="FFFFFF"/>
            <w:noWrap/>
            <w:vAlign w:val="center"/>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53.7</w:t>
            </w:r>
          </w:p>
        </w:tc>
        <w:tc>
          <w:tcPr>
            <w:tcW w:w="1109" w:type="dxa"/>
            <w:tcBorders>
              <w:top w:val="nil"/>
              <w:left w:val="nil"/>
              <w:bottom w:val="nil"/>
              <w:right w:val="single" w:sz="4" w:space="0" w:color="auto"/>
            </w:tcBorders>
            <w:shd w:val="clear" w:color="FFFFFF" w:fill="FFFFFF"/>
            <w:noWrap/>
            <w:vAlign w:val="center"/>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-4.5</w:t>
            </w:r>
          </w:p>
        </w:tc>
        <w:tc>
          <w:tcPr>
            <w:tcW w:w="1134" w:type="dxa"/>
            <w:tcBorders>
              <w:top w:val="nil"/>
              <w:left w:val="nil"/>
              <w:bottom w:val="nil"/>
              <w:right w:val="single" w:sz="8" w:space="0" w:color="auto"/>
            </w:tcBorders>
            <w:shd w:val="clear" w:color="FFFFFF" w:fill="FFFFFF"/>
            <w:noWrap/>
            <w:vAlign w:val="center"/>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109.1%</w:t>
            </w:r>
          </w:p>
        </w:tc>
      </w:tr>
      <w:tr w:rsidR="00AD5632" w:rsidRPr="00711D7E" w:rsidTr="00BA68EF">
        <w:trPr>
          <w:trHeight w:val="503"/>
          <w:jc w:val="center"/>
        </w:trPr>
        <w:tc>
          <w:tcPr>
            <w:tcW w:w="4668" w:type="dxa"/>
            <w:tcBorders>
              <w:top w:val="nil"/>
              <w:left w:val="single" w:sz="8" w:space="0" w:color="auto"/>
              <w:bottom w:val="single" w:sz="8" w:space="0" w:color="auto"/>
              <w:right w:val="single" w:sz="4" w:space="0" w:color="auto"/>
            </w:tcBorders>
            <w:shd w:val="clear" w:color="FFFFFF" w:fill="FFFFFF"/>
            <w:vAlign w:val="bottom"/>
            <w:hideMark/>
          </w:tcPr>
          <w:p w:rsidR="00AD5632" w:rsidRPr="00711D7E" w:rsidRDefault="00AD5632" w:rsidP="00BA0B4B">
            <w:pPr>
              <w:ind w:firstLineChars="200" w:firstLine="280"/>
              <w:rPr>
                <w:color w:val="333333"/>
                <w:sz w:val="14"/>
                <w:szCs w:val="16"/>
                <w:lang w:val="es-GT" w:eastAsia="es-GT"/>
              </w:rPr>
            </w:pPr>
            <w:r w:rsidRPr="00711D7E">
              <w:rPr>
                <w:color w:val="333333"/>
                <w:sz w:val="14"/>
                <w:szCs w:val="16"/>
                <w:lang w:val="es-GT" w:eastAsia="es-GT"/>
              </w:rPr>
              <w:t>CONSERVACIÓN Y DEMARCACIÓN DE LÍMITES INTERNACIONALES DEL TERRITORIO NACIONAL</w:t>
            </w:r>
          </w:p>
        </w:tc>
        <w:tc>
          <w:tcPr>
            <w:tcW w:w="1134" w:type="dxa"/>
            <w:tcBorders>
              <w:top w:val="nil"/>
              <w:left w:val="single" w:sz="4" w:space="0" w:color="auto"/>
              <w:bottom w:val="single" w:sz="8" w:space="0" w:color="auto"/>
              <w:right w:val="single" w:sz="4" w:space="0" w:color="auto"/>
            </w:tcBorders>
            <w:shd w:val="clear" w:color="FFFFFF" w:fill="FFFFFF"/>
            <w:noWrap/>
            <w:vAlign w:val="center"/>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20.9</w:t>
            </w:r>
          </w:p>
        </w:tc>
        <w:tc>
          <w:tcPr>
            <w:tcW w:w="1159" w:type="dxa"/>
            <w:tcBorders>
              <w:top w:val="nil"/>
              <w:left w:val="nil"/>
              <w:bottom w:val="single" w:sz="8" w:space="0" w:color="auto"/>
              <w:right w:val="single" w:sz="4" w:space="0" w:color="auto"/>
            </w:tcBorders>
            <w:shd w:val="clear" w:color="FFFFFF" w:fill="FFFFFF"/>
            <w:noWrap/>
            <w:vAlign w:val="center"/>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14.1</w:t>
            </w:r>
          </w:p>
        </w:tc>
        <w:tc>
          <w:tcPr>
            <w:tcW w:w="1109" w:type="dxa"/>
            <w:tcBorders>
              <w:top w:val="nil"/>
              <w:left w:val="nil"/>
              <w:bottom w:val="single" w:sz="8" w:space="0" w:color="auto"/>
              <w:right w:val="single" w:sz="4" w:space="0" w:color="auto"/>
            </w:tcBorders>
            <w:shd w:val="clear" w:color="FFFFFF" w:fill="FFFFFF"/>
            <w:noWrap/>
            <w:vAlign w:val="center"/>
            <w:hideMark/>
          </w:tcPr>
          <w:p w:rsidR="00AD5632" w:rsidRPr="00711D7E" w:rsidRDefault="00AD5632" w:rsidP="00BA0B4B">
            <w:pPr>
              <w:jc w:val="right"/>
              <w:rPr>
                <w:color w:val="333333"/>
                <w:sz w:val="14"/>
                <w:szCs w:val="16"/>
                <w:lang w:val="es-GT" w:eastAsia="es-GT"/>
              </w:rPr>
            </w:pPr>
            <w:r w:rsidRPr="00711D7E">
              <w:rPr>
                <w:color w:val="333333"/>
                <w:sz w:val="14"/>
                <w:szCs w:val="16"/>
                <w:lang w:val="es-GT" w:eastAsia="es-GT"/>
              </w:rPr>
              <w:t>6.8</w:t>
            </w:r>
          </w:p>
        </w:tc>
        <w:tc>
          <w:tcPr>
            <w:tcW w:w="1134" w:type="dxa"/>
            <w:tcBorders>
              <w:top w:val="nil"/>
              <w:left w:val="nil"/>
              <w:bottom w:val="single" w:sz="8" w:space="0" w:color="auto"/>
              <w:right w:val="single" w:sz="8" w:space="0" w:color="auto"/>
            </w:tcBorders>
            <w:shd w:val="clear" w:color="FFFFFF" w:fill="FFFFFF"/>
            <w:noWrap/>
            <w:vAlign w:val="center"/>
            <w:hideMark/>
          </w:tcPr>
          <w:p w:rsidR="00AD5632" w:rsidRPr="00711D7E" w:rsidRDefault="00AD5632" w:rsidP="00BA0B4B">
            <w:pPr>
              <w:jc w:val="right"/>
              <w:rPr>
                <w:sz w:val="14"/>
                <w:szCs w:val="16"/>
                <w:lang w:val="es-GT" w:eastAsia="es-GT"/>
              </w:rPr>
            </w:pPr>
            <w:r w:rsidRPr="00711D7E">
              <w:rPr>
                <w:sz w:val="14"/>
                <w:szCs w:val="16"/>
                <w:lang w:val="es-GT" w:eastAsia="es-GT"/>
              </w:rPr>
              <w:t>67.6%</w:t>
            </w:r>
          </w:p>
        </w:tc>
      </w:tr>
    </w:tbl>
    <w:p w:rsidR="00AD5632" w:rsidRPr="004E678D" w:rsidRDefault="00AD5632" w:rsidP="00AD5632">
      <w:pPr>
        <w:jc w:val="both"/>
        <w:rPr>
          <w:sz w:val="18"/>
        </w:rPr>
      </w:pPr>
      <w:r>
        <w:rPr>
          <w:sz w:val="18"/>
        </w:rPr>
        <w:fldChar w:fldCharType="end"/>
      </w:r>
      <w:r>
        <w:rPr>
          <w:sz w:val="18"/>
        </w:rPr>
        <w:t xml:space="preserve">  </w:t>
      </w:r>
      <w:r w:rsidRPr="004E678D">
        <w:rPr>
          <w:sz w:val="18"/>
        </w:rPr>
        <w:t>Fuente: Ministerio de Finanzas Públicas</w:t>
      </w:r>
      <w:r>
        <w:rPr>
          <w:sz w:val="18"/>
        </w:rPr>
        <w:t>.</w:t>
      </w:r>
    </w:p>
    <w:p w:rsidR="00AD5632" w:rsidRPr="00D108FD" w:rsidRDefault="00AD5632" w:rsidP="00AD5632">
      <w:pPr>
        <w:jc w:val="both"/>
      </w:pPr>
    </w:p>
    <w:p w:rsidR="00AD5632" w:rsidRPr="006941A5" w:rsidRDefault="00AD5632" w:rsidP="00AD5632">
      <w:pPr>
        <w:jc w:val="both"/>
        <w:rPr>
          <w:b/>
          <w:sz w:val="36"/>
        </w:rPr>
      </w:pPr>
    </w:p>
    <w:p w:rsidR="00AD5632" w:rsidRDefault="00AD5632" w:rsidP="00AD5632">
      <w:pPr>
        <w:jc w:val="both"/>
        <w:rPr>
          <w:b/>
        </w:rPr>
      </w:pPr>
      <w:r>
        <w:rPr>
          <w:b/>
        </w:rPr>
        <w:t>Ministerio de Gobernación:</w:t>
      </w:r>
    </w:p>
    <w:p w:rsidR="00AD5632" w:rsidRPr="00006FBB" w:rsidRDefault="00AD5632" w:rsidP="00AD5632">
      <w:pPr>
        <w:jc w:val="both"/>
        <w:rPr>
          <w:b/>
          <w:sz w:val="28"/>
        </w:rPr>
      </w:pPr>
    </w:p>
    <w:p w:rsidR="00AD5632" w:rsidRDefault="00AD5632" w:rsidP="00AD5632">
      <w:pPr>
        <w:jc w:val="both"/>
      </w:pPr>
      <w:r w:rsidRPr="00D108FD">
        <w:t>El Min</w:t>
      </w:r>
      <w:r>
        <w:t>isterio de Gobernación</w:t>
      </w:r>
      <w:r w:rsidRPr="00D108FD">
        <w:t xml:space="preserve"> tuvo un presupuesto </w:t>
      </w:r>
      <w:r>
        <w:t>aprobado</w:t>
      </w:r>
      <w:r w:rsidRPr="00D108FD">
        <w:t xml:space="preserve"> de </w:t>
      </w:r>
      <w:r>
        <w:t>Q.</w:t>
      </w:r>
      <w:r w:rsidRPr="00D108FD">
        <w:t>5,</w:t>
      </w:r>
      <w:r>
        <w:t>944.8</w:t>
      </w:r>
      <w:r w:rsidRPr="00D108FD">
        <w:t xml:space="preserve"> millones, con una ejecución de </w:t>
      </w:r>
      <w:r>
        <w:t>Q.5</w:t>
      </w:r>
      <w:r w:rsidRPr="00D108FD">
        <w:t>,</w:t>
      </w:r>
      <w:r>
        <w:t>700.</w:t>
      </w:r>
      <w:r w:rsidR="007B18B4">
        <w:t>0</w:t>
      </w:r>
      <w:r w:rsidRPr="00D108FD">
        <w:t xml:space="preserve"> millones equivalente</w:t>
      </w:r>
      <w:r>
        <w:t xml:space="preserve">s </w:t>
      </w:r>
      <w:r w:rsidRPr="00D108FD">
        <w:t xml:space="preserve">al </w:t>
      </w:r>
      <w:r>
        <w:t>95.9</w:t>
      </w:r>
      <w:r w:rsidRPr="00D108FD">
        <w:t>%</w:t>
      </w:r>
      <w:r>
        <w:t>, quedaron pendientes de ejecutar Q</w:t>
      </w:r>
      <w:r w:rsidR="000E1F91">
        <w:t>.</w:t>
      </w:r>
      <w:r>
        <w:t>244.8 millones</w:t>
      </w:r>
      <w:r w:rsidRPr="00D108FD">
        <w:t>.</w:t>
      </w:r>
    </w:p>
    <w:p w:rsidR="00AD5632" w:rsidRPr="00006FBB" w:rsidRDefault="00AD5632" w:rsidP="00AD5632">
      <w:pPr>
        <w:jc w:val="both"/>
        <w:rPr>
          <w:sz w:val="28"/>
        </w:rPr>
      </w:pPr>
    </w:p>
    <w:p w:rsidR="00AD5632" w:rsidRDefault="00AD5632" w:rsidP="00AD5632">
      <w:pPr>
        <w:jc w:val="both"/>
      </w:pPr>
      <w:r w:rsidRPr="00D108FD">
        <w:t xml:space="preserve">El principal programa dentro de su ejecución fue “Servicios de Seguridad a las Personas y su Patrimonio” con </w:t>
      </w:r>
      <w:r>
        <w:t xml:space="preserve">un </w:t>
      </w:r>
      <w:r w:rsidRPr="00D108FD">
        <w:t xml:space="preserve">presupuesto </w:t>
      </w:r>
      <w:r>
        <w:t>aprobado</w:t>
      </w:r>
      <w:r w:rsidRPr="00D108FD">
        <w:t xml:space="preserve"> de </w:t>
      </w:r>
      <w:r>
        <w:t>Q.4</w:t>
      </w:r>
      <w:r w:rsidRPr="00D108FD">
        <w:t>,</w:t>
      </w:r>
      <w:r>
        <w:t>776.6</w:t>
      </w:r>
      <w:r w:rsidRPr="00D108FD">
        <w:t xml:space="preserve"> millones y una ejecución de </w:t>
      </w:r>
      <w:r>
        <w:t>Q.4</w:t>
      </w:r>
      <w:r w:rsidRPr="00D108FD">
        <w:t>,</w:t>
      </w:r>
      <w:r>
        <w:t xml:space="preserve">491.7 millones, </w:t>
      </w:r>
      <w:r w:rsidRPr="00D108FD">
        <w:t>equivalentes a 9</w:t>
      </w:r>
      <w:r>
        <w:t>4.0</w:t>
      </w:r>
      <w:r w:rsidRPr="00D108FD">
        <w:t xml:space="preserve">% respecto </w:t>
      </w:r>
      <w:r>
        <w:t>del</w:t>
      </w:r>
      <w:r w:rsidRPr="00D108FD">
        <w:t xml:space="preserve"> presupuesto </w:t>
      </w:r>
      <w:r>
        <w:t>aprobado</w:t>
      </w:r>
      <w:r w:rsidRPr="00D108FD">
        <w:t>.</w:t>
      </w:r>
    </w:p>
    <w:p w:rsidR="00AD5632" w:rsidRPr="00006FBB" w:rsidRDefault="00AD5632" w:rsidP="00AD5632">
      <w:pPr>
        <w:jc w:val="both"/>
        <w:rPr>
          <w:sz w:val="28"/>
        </w:rPr>
      </w:pPr>
    </w:p>
    <w:p w:rsidR="00AD5632" w:rsidRDefault="00AD5632" w:rsidP="00AD5632">
      <w:pPr>
        <w:jc w:val="both"/>
      </w:pPr>
      <w:r w:rsidRPr="00D108FD">
        <w:t xml:space="preserve">Seguidamente en importancia se ubica el programa “Servicios de Custodia y Rehabilitación de Privados de Libertad”, </w:t>
      </w:r>
      <w:r>
        <w:t>con un presupuesto de</w:t>
      </w:r>
      <w:r w:rsidRPr="00D108FD">
        <w:t xml:space="preserve"> </w:t>
      </w:r>
      <w:r>
        <w:t>Q.</w:t>
      </w:r>
      <w:r w:rsidRPr="00D108FD">
        <w:t>5</w:t>
      </w:r>
      <w:r>
        <w:t>77.1</w:t>
      </w:r>
      <w:r w:rsidRPr="00D108FD">
        <w:t xml:space="preserve"> millones y </w:t>
      </w:r>
      <w:r>
        <w:t>una</w:t>
      </w:r>
      <w:r w:rsidRPr="00D108FD">
        <w:t xml:space="preserve"> ejecución de </w:t>
      </w:r>
      <w:r>
        <w:t>Q.582.0</w:t>
      </w:r>
      <w:r w:rsidRPr="00D108FD">
        <w:t xml:space="preserve"> millones equivalente</w:t>
      </w:r>
      <w:r>
        <w:t>s</w:t>
      </w:r>
      <w:r w:rsidRPr="00D108FD">
        <w:t xml:space="preserve"> al </w:t>
      </w:r>
      <w:r>
        <w:t>100.8</w:t>
      </w:r>
      <w:r w:rsidRPr="00D108FD">
        <w:t>%</w:t>
      </w:r>
      <w:r>
        <w:t>. Es importante aclarar que el programa</w:t>
      </w:r>
      <w:r w:rsidRPr="00D108FD">
        <w:t xml:space="preserve"> “Servicios Migratorios y de Extranjería”</w:t>
      </w:r>
      <w:r>
        <w:t xml:space="preserve"> tuvo un presupuesto asignado de Q.205</w:t>
      </w:r>
      <w:r w:rsidRPr="00D108FD">
        <w:t>.0 millones y</w:t>
      </w:r>
      <w:r>
        <w:t xml:space="preserve"> que durante el período no tuvo </w:t>
      </w:r>
      <w:r w:rsidRPr="00D108FD">
        <w:t>ejecución</w:t>
      </w:r>
      <w:r w:rsidR="000E1F91">
        <w:t xml:space="preserve"> alguna</w:t>
      </w:r>
      <w:r>
        <w:t>.</w:t>
      </w:r>
    </w:p>
    <w:p w:rsidR="00AD5632" w:rsidRPr="00006FBB" w:rsidRDefault="00AD5632" w:rsidP="00AD5632">
      <w:pPr>
        <w:jc w:val="both"/>
        <w:rPr>
          <w:sz w:val="28"/>
        </w:rPr>
      </w:pPr>
    </w:p>
    <w:p w:rsidR="00AD5632" w:rsidRDefault="00AD5632" w:rsidP="00AD5632">
      <w:pPr>
        <w:jc w:val="both"/>
      </w:pPr>
      <w:r w:rsidRPr="00D108FD">
        <w:t xml:space="preserve">Las “Actividades Centrales” tuvieron un presupuesto de </w:t>
      </w:r>
      <w:r>
        <w:t>Q.</w:t>
      </w:r>
      <w:r w:rsidRPr="00D108FD">
        <w:t>1</w:t>
      </w:r>
      <w:r>
        <w:t>30.6</w:t>
      </w:r>
      <w:r w:rsidRPr="00D108FD">
        <w:t xml:space="preserve"> millones, la ejecución presupuestaria se ubicó en </w:t>
      </w:r>
      <w:r>
        <w:t>Q.102.8</w:t>
      </w:r>
      <w:r w:rsidRPr="00D108FD">
        <w:t xml:space="preserve"> millones</w:t>
      </w:r>
      <w:r w:rsidR="007B18B4">
        <w:t>,</w:t>
      </w:r>
      <w:r w:rsidRPr="00D108FD">
        <w:t xml:space="preserve"> equivalentes al </w:t>
      </w:r>
      <w:r>
        <w:t>78.7</w:t>
      </w:r>
      <w:r w:rsidRPr="00D108FD">
        <w:t>%</w:t>
      </w:r>
      <w:r>
        <w:t>.</w:t>
      </w:r>
    </w:p>
    <w:p w:rsidR="00AD5632" w:rsidRPr="00006FBB" w:rsidRDefault="00AD5632" w:rsidP="00AD5632">
      <w:pPr>
        <w:jc w:val="both"/>
        <w:rPr>
          <w:sz w:val="28"/>
        </w:rPr>
      </w:pPr>
    </w:p>
    <w:p w:rsidR="00AD5632" w:rsidRDefault="00AD5632" w:rsidP="00AD5632">
      <w:pPr>
        <w:jc w:val="both"/>
      </w:pPr>
      <w:r w:rsidRPr="00D108FD">
        <w:t xml:space="preserve">El programa de “Servicios de Inteligencia Civil” tuvo un presupuesto de </w:t>
      </w:r>
      <w:r>
        <w:t>Q.</w:t>
      </w:r>
      <w:r w:rsidRPr="00D108FD">
        <w:t>87.</w:t>
      </w:r>
      <w:r>
        <w:t>1</w:t>
      </w:r>
      <w:r w:rsidRPr="00D108FD">
        <w:t xml:space="preserve"> millones</w:t>
      </w:r>
      <w:r>
        <w:t xml:space="preserve"> </w:t>
      </w:r>
      <w:r w:rsidRPr="00D108FD">
        <w:t xml:space="preserve">y una ejecución de </w:t>
      </w:r>
      <w:r>
        <w:t>Q.69.5</w:t>
      </w:r>
      <w:r w:rsidRPr="00D108FD">
        <w:t xml:space="preserve"> millones</w:t>
      </w:r>
      <w:r w:rsidR="007B18B4">
        <w:t>,</w:t>
      </w:r>
      <w:r w:rsidRPr="00D108FD">
        <w:t xml:space="preserve"> equivalentes al </w:t>
      </w:r>
      <w:r>
        <w:t>79.8</w:t>
      </w:r>
      <w:r w:rsidRPr="00D108FD">
        <w:t>%</w:t>
      </w:r>
      <w:r>
        <w:t>.</w:t>
      </w:r>
    </w:p>
    <w:p w:rsidR="00AD5632" w:rsidRPr="00006FBB" w:rsidRDefault="00AD5632" w:rsidP="00AD5632">
      <w:pPr>
        <w:jc w:val="both"/>
        <w:rPr>
          <w:sz w:val="28"/>
        </w:rPr>
      </w:pPr>
    </w:p>
    <w:p w:rsidR="00AD5632" w:rsidRDefault="00AD5632" w:rsidP="00AD5632">
      <w:pPr>
        <w:jc w:val="both"/>
      </w:pPr>
      <w:r>
        <w:t>Seguidamente</w:t>
      </w:r>
      <w:r w:rsidRPr="00D108FD">
        <w:t xml:space="preserve"> se ubica el programa “Servicios de Gobierno Departamental y Registro de Personas Jurídicas”, </w:t>
      </w:r>
      <w:r>
        <w:t>con un presupuesto</w:t>
      </w:r>
      <w:r w:rsidRPr="00D108FD">
        <w:t xml:space="preserve"> de </w:t>
      </w:r>
      <w:r>
        <w:t>Q.</w:t>
      </w:r>
      <w:r w:rsidRPr="00D108FD">
        <w:t>8</w:t>
      </w:r>
      <w:r>
        <w:t>2.0</w:t>
      </w:r>
      <w:r w:rsidRPr="00D108FD">
        <w:t xml:space="preserve"> millones</w:t>
      </w:r>
      <w:r>
        <w:t xml:space="preserve"> y</w:t>
      </w:r>
      <w:r w:rsidRPr="00D108FD">
        <w:t xml:space="preserve"> </w:t>
      </w:r>
      <w:r>
        <w:t>una</w:t>
      </w:r>
      <w:r w:rsidRPr="00D108FD">
        <w:t xml:space="preserve"> ejecución presupuestaria de </w:t>
      </w:r>
      <w:r>
        <w:t>Q.67.2</w:t>
      </w:r>
      <w:r w:rsidRPr="00D108FD">
        <w:t xml:space="preserve"> millones</w:t>
      </w:r>
      <w:r w:rsidR="007B18B4">
        <w:t>,</w:t>
      </w:r>
      <w:r w:rsidRPr="00D108FD">
        <w:t xml:space="preserve"> equivalente</w:t>
      </w:r>
      <w:r>
        <w:t>s</w:t>
      </w:r>
      <w:r w:rsidRPr="00D108FD">
        <w:t xml:space="preserve"> al </w:t>
      </w:r>
      <w:r>
        <w:t>82.0</w:t>
      </w:r>
      <w:r w:rsidRPr="00D108FD">
        <w:t>%.</w:t>
      </w:r>
    </w:p>
    <w:p w:rsidR="00AD5632" w:rsidRPr="00006FBB" w:rsidRDefault="00AD5632" w:rsidP="00AD5632">
      <w:pPr>
        <w:jc w:val="both"/>
        <w:rPr>
          <w:sz w:val="28"/>
        </w:rPr>
      </w:pPr>
    </w:p>
    <w:p w:rsidR="00AD5632" w:rsidRDefault="00AD5632" w:rsidP="00AD5632">
      <w:pPr>
        <w:jc w:val="both"/>
        <w:rPr>
          <w:rFonts w:ascii="Calibri" w:eastAsia="Calibri" w:hAnsi="Calibri"/>
          <w:sz w:val="20"/>
          <w:szCs w:val="20"/>
          <w:lang w:val="es-GT" w:eastAsia="es-GT"/>
        </w:rPr>
      </w:pPr>
      <w:r>
        <w:t>Finalmente, se encuentra el programa “Servicios de Divulgación Oficial”, el cual, con un presupuesto asignado de Q</w:t>
      </w:r>
      <w:r w:rsidR="000E1F91">
        <w:t>.</w:t>
      </w:r>
      <w:r>
        <w:t>69.8 millones, alcanzó una ejecución de Q</w:t>
      </w:r>
      <w:r w:rsidR="000E1F91">
        <w:t>.</w:t>
      </w:r>
      <w:r>
        <w:t>49.8 millones, equivalentes al 71.3%</w:t>
      </w:r>
      <w:r w:rsidRPr="00D108FD">
        <w:t>.</w:t>
      </w: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Programa!F23C2:F34C6" \a \f 4 \h  \* MERGEFORMAT </w:instrText>
      </w:r>
      <w:r>
        <w:rPr>
          <w:noProof/>
          <w:lang w:val="es-GT" w:eastAsia="es-GT"/>
        </w:rPr>
        <w:fldChar w:fldCharType="separate"/>
      </w:r>
    </w:p>
    <w:p w:rsidR="006941A5" w:rsidRDefault="00AD5632" w:rsidP="00AD5632">
      <w:pPr>
        <w:jc w:val="both"/>
        <w:rPr>
          <w:noProof/>
          <w:lang w:val="es-GT" w:eastAsia="es-GT"/>
        </w:rPr>
      </w:pPr>
      <w:r>
        <w:rPr>
          <w:noProof/>
          <w:lang w:val="es-GT" w:eastAsia="es-GT"/>
        </w:rPr>
        <w:fldChar w:fldCharType="end"/>
      </w:r>
    </w:p>
    <w:p w:rsidR="006941A5" w:rsidRDefault="006941A5" w:rsidP="00AD5632">
      <w:pPr>
        <w:jc w:val="both"/>
      </w:pPr>
    </w:p>
    <w:p w:rsidR="006941A5" w:rsidRDefault="006941A5" w:rsidP="00AD5632">
      <w:pPr>
        <w:jc w:val="both"/>
      </w:pPr>
    </w:p>
    <w:p w:rsidR="00AD5632" w:rsidRDefault="00AD5632" w:rsidP="00AD5632">
      <w:pPr>
        <w:jc w:val="both"/>
        <w:rPr>
          <w:rFonts w:ascii="Calibri" w:eastAsia="Calibri" w:hAnsi="Calibri"/>
          <w:sz w:val="20"/>
          <w:szCs w:val="20"/>
          <w:lang w:val="es-GT" w:eastAsia="es-GT"/>
        </w:rPr>
      </w:pPr>
      <w:r>
        <w:fldChar w:fldCharType="begin"/>
      </w:r>
      <w:r>
        <w:instrText xml:space="preserve"> LINK Excel.Sheet.12 "C:\\Users\\deefoper12\\Documents\\Mis Documentos\\2022\\DTF 2022\\Informe fin de año 2021\\Cuadros para Informe de Fin de Año 2021..xlsx" "Entidad Programa!F23C2:F32C6" \a \f 4 \h  \* MERGEFORMAT </w:instrText>
      </w:r>
      <w:r>
        <w:fldChar w:fldCharType="separate"/>
      </w:r>
    </w:p>
    <w:tbl>
      <w:tblPr>
        <w:tblW w:w="9488" w:type="dxa"/>
        <w:jc w:val="center"/>
        <w:tblCellMar>
          <w:left w:w="70" w:type="dxa"/>
          <w:right w:w="70" w:type="dxa"/>
        </w:tblCellMar>
        <w:tblLook w:val="04A0" w:firstRow="1" w:lastRow="0" w:firstColumn="1" w:lastColumn="0" w:noHBand="0" w:noVBand="1"/>
      </w:tblPr>
      <w:tblGrid>
        <w:gridCol w:w="5925"/>
        <w:gridCol w:w="1011"/>
        <w:gridCol w:w="851"/>
        <w:gridCol w:w="992"/>
        <w:gridCol w:w="709"/>
      </w:tblGrid>
      <w:tr w:rsidR="00AD5632" w:rsidRPr="00366D4C" w:rsidTr="007B18B4">
        <w:trPr>
          <w:trHeight w:val="275"/>
          <w:jc w:val="center"/>
        </w:trPr>
        <w:tc>
          <w:tcPr>
            <w:tcW w:w="5925"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AD5632" w:rsidRPr="00366D4C" w:rsidRDefault="00AD5632" w:rsidP="007B18B4">
            <w:pPr>
              <w:jc w:val="center"/>
              <w:rPr>
                <w:b/>
                <w:bCs/>
                <w:color w:val="000000"/>
                <w:sz w:val="14"/>
                <w:szCs w:val="16"/>
                <w:lang w:val="es-GT" w:eastAsia="es-GT"/>
              </w:rPr>
            </w:pPr>
            <w:r w:rsidRPr="00366D4C">
              <w:rPr>
                <w:b/>
                <w:bCs/>
                <w:color w:val="000000"/>
                <w:sz w:val="14"/>
                <w:szCs w:val="16"/>
                <w:lang w:val="es-GT" w:eastAsia="es-GT"/>
              </w:rPr>
              <w:t>DESCRIPCI</w:t>
            </w:r>
            <w:r w:rsidR="00437653">
              <w:rPr>
                <w:b/>
                <w:bCs/>
                <w:color w:val="000000"/>
                <w:sz w:val="14"/>
                <w:szCs w:val="16"/>
                <w:lang w:val="es-GT" w:eastAsia="es-GT"/>
              </w:rPr>
              <w:t>Ó</w:t>
            </w:r>
            <w:r w:rsidRPr="00366D4C">
              <w:rPr>
                <w:b/>
                <w:bCs/>
                <w:color w:val="000000"/>
                <w:sz w:val="14"/>
                <w:szCs w:val="16"/>
                <w:lang w:val="es-GT" w:eastAsia="es-GT"/>
              </w:rPr>
              <w:t>N</w:t>
            </w:r>
          </w:p>
        </w:tc>
        <w:tc>
          <w:tcPr>
            <w:tcW w:w="1011" w:type="dxa"/>
            <w:tcBorders>
              <w:top w:val="single" w:sz="8" w:space="0" w:color="auto"/>
              <w:left w:val="nil"/>
              <w:bottom w:val="single" w:sz="4" w:space="0" w:color="auto"/>
              <w:right w:val="single" w:sz="4" w:space="0" w:color="auto"/>
            </w:tcBorders>
            <w:shd w:val="clear" w:color="auto" w:fill="8DB4E2"/>
            <w:noWrap/>
            <w:vAlign w:val="center"/>
            <w:hideMark/>
          </w:tcPr>
          <w:p w:rsidR="00AD5632" w:rsidRPr="00366D4C" w:rsidRDefault="00AD5632" w:rsidP="007B18B4">
            <w:pPr>
              <w:jc w:val="center"/>
              <w:rPr>
                <w:b/>
                <w:bCs/>
                <w:color w:val="000000"/>
                <w:sz w:val="14"/>
                <w:szCs w:val="16"/>
                <w:lang w:val="es-GT" w:eastAsia="es-GT"/>
              </w:rPr>
            </w:pPr>
            <w:r w:rsidRPr="00366D4C">
              <w:rPr>
                <w:b/>
                <w:bCs/>
                <w:color w:val="000000"/>
                <w:sz w:val="14"/>
                <w:szCs w:val="16"/>
                <w:lang w:val="es-GT" w:eastAsia="es-GT"/>
              </w:rPr>
              <w:t>Asignado</w:t>
            </w:r>
          </w:p>
        </w:tc>
        <w:tc>
          <w:tcPr>
            <w:tcW w:w="851" w:type="dxa"/>
            <w:tcBorders>
              <w:top w:val="single" w:sz="8" w:space="0" w:color="auto"/>
              <w:left w:val="nil"/>
              <w:bottom w:val="single" w:sz="4" w:space="0" w:color="auto"/>
              <w:right w:val="single" w:sz="4" w:space="0" w:color="auto"/>
            </w:tcBorders>
            <w:shd w:val="clear" w:color="auto" w:fill="8DB4E2"/>
            <w:noWrap/>
            <w:vAlign w:val="center"/>
            <w:hideMark/>
          </w:tcPr>
          <w:p w:rsidR="00AD5632" w:rsidRPr="00366D4C" w:rsidRDefault="00AD5632" w:rsidP="007B18B4">
            <w:pPr>
              <w:jc w:val="center"/>
              <w:rPr>
                <w:b/>
                <w:bCs/>
                <w:color w:val="000000"/>
                <w:sz w:val="14"/>
                <w:szCs w:val="16"/>
                <w:lang w:val="es-GT" w:eastAsia="es-GT"/>
              </w:rPr>
            </w:pPr>
            <w:r w:rsidRPr="00366D4C">
              <w:rPr>
                <w:b/>
                <w:bCs/>
                <w:color w:val="000000"/>
                <w:sz w:val="14"/>
                <w:szCs w:val="16"/>
                <w:lang w:val="es-GT" w:eastAsia="es-GT"/>
              </w:rPr>
              <w:t>Ejecu</w:t>
            </w:r>
            <w:r w:rsidR="00CE3879">
              <w:rPr>
                <w:b/>
                <w:bCs/>
                <w:color w:val="000000"/>
                <w:sz w:val="14"/>
                <w:szCs w:val="16"/>
                <w:lang w:val="es-GT" w:eastAsia="es-GT"/>
              </w:rPr>
              <w:t>tado</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366D4C" w:rsidRDefault="00AD5632" w:rsidP="007B18B4">
            <w:pPr>
              <w:jc w:val="center"/>
              <w:rPr>
                <w:b/>
                <w:bCs/>
                <w:color w:val="000000"/>
                <w:sz w:val="14"/>
                <w:szCs w:val="16"/>
                <w:lang w:val="es-GT" w:eastAsia="es-GT"/>
              </w:rPr>
            </w:pPr>
            <w:r w:rsidRPr="00366D4C">
              <w:rPr>
                <w:b/>
                <w:bCs/>
                <w:color w:val="000000"/>
                <w:sz w:val="14"/>
                <w:szCs w:val="16"/>
                <w:lang w:val="es-GT" w:eastAsia="es-GT"/>
              </w:rPr>
              <w:t>Diferencias</w:t>
            </w:r>
          </w:p>
        </w:tc>
        <w:tc>
          <w:tcPr>
            <w:tcW w:w="709" w:type="dxa"/>
            <w:tcBorders>
              <w:top w:val="single" w:sz="8" w:space="0" w:color="auto"/>
              <w:left w:val="nil"/>
              <w:bottom w:val="single" w:sz="4" w:space="0" w:color="auto"/>
              <w:right w:val="single" w:sz="8" w:space="0" w:color="auto"/>
            </w:tcBorders>
            <w:shd w:val="clear" w:color="000000" w:fill="8DB4E2"/>
            <w:noWrap/>
            <w:vAlign w:val="center"/>
            <w:hideMark/>
          </w:tcPr>
          <w:p w:rsidR="00AD5632" w:rsidRPr="00366D4C" w:rsidRDefault="00AD5632" w:rsidP="007B18B4">
            <w:pPr>
              <w:jc w:val="center"/>
              <w:rPr>
                <w:b/>
                <w:bCs/>
                <w:color w:val="000000"/>
                <w:sz w:val="14"/>
                <w:szCs w:val="16"/>
                <w:lang w:val="es-GT" w:eastAsia="es-GT"/>
              </w:rPr>
            </w:pPr>
            <w:r w:rsidRPr="00366D4C">
              <w:rPr>
                <w:b/>
                <w:bCs/>
                <w:color w:val="000000"/>
                <w:sz w:val="14"/>
                <w:szCs w:val="16"/>
                <w:lang w:val="es-GT" w:eastAsia="es-GT"/>
              </w:rPr>
              <w:t>% Ejec</w:t>
            </w:r>
          </w:p>
        </w:tc>
      </w:tr>
      <w:tr w:rsidR="00AD5632" w:rsidRPr="00366D4C" w:rsidTr="00CE3879">
        <w:trPr>
          <w:trHeight w:val="275"/>
          <w:jc w:val="center"/>
        </w:trPr>
        <w:tc>
          <w:tcPr>
            <w:tcW w:w="5925" w:type="dxa"/>
            <w:tcBorders>
              <w:top w:val="nil"/>
              <w:left w:val="single" w:sz="8" w:space="0" w:color="auto"/>
              <w:bottom w:val="nil"/>
              <w:right w:val="single" w:sz="4" w:space="0" w:color="auto"/>
            </w:tcBorders>
            <w:shd w:val="clear" w:color="FFFFFF" w:fill="FFFFFF"/>
            <w:noWrap/>
            <w:vAlign w:val="bottom"/>
            <w:hideMark/>
          </w:tcPr>
          <w:p w:rsidR="00AD5632" w:rsidRPr="00366D4C" w:rsidRDefault="00AD5632" w:rsidP="00BA0B4B">
            <w:pPr>
              <w:rPr>
                <w:b/>
                <w:bCs/>
                <w:color w:val="333333"/>
                <w:sz w:val="14"/>
                <w:szCs w:val="16"/>
                <w:lang w:val="es-GT" w:eastAsia="es-GT"/>
              </w:rPr>
            </w:pPr>
            <w:r w:rsidRPr="00366D4C">
              <w:rPr>
                <w:b/>
                <w:bCs/>
                <w:color w:val="333333"/>
                <w:sz w:val="14"/>
                <w:szCs w:val="16"/>
                <w:lang w:val="es-GT" w:eastAsia="es-GT"/>
              </w:rPr>
              <w:t>MINISTERIO DE GOBERNACIÓN</w:t>
            </w:r>
          </w:p>
        </w:tc>
        <w:tc>
          <w:tcPr>
            <w:tcW w:w="101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b/>
                <w:bCs/>
                <w:color w:val="333333"/>
                <w:sz w:val="14"/>
                <w:szCs w:val="16"/>
                <w:lang w:val="es-GT" w:eastAsia="es-GT"/>
              </w:rPr>
            </w:pPr>
            <w:r w:rsidRPr="00366D4C">
              <w:rPr>
                <w:b/>
                <w:bCs/>
                <w:color w:val="333333"/>
                <w:sz w:val="14"/>
                <w:szCs w:val="16"/>
                <w:lang w:val="es-GT" w:eastAsia="es-GT"/>
              </w:rPr>
              <w:t>5,944.8</w:t>
            </w:r>
          </w:p>
        </w:tc>
        <w:tc>
          <w:tcPr>
            <w:tcW w:w="85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b/>
                <w:bCs/>
                <w:color w:val="333333"/>
                <w:sz w:val="14"/>
                <w:szCs w:val="16"/>
                <w:lang w:val="es-GT" w:eastAsia="es-GT"/>
              </w:rPr>
            </w:pPr>
            <w:r w:rsidRPr="00366D4C">
              <w:rPr>
                <w:b/>
                <w:bCs/>
                <w:color w:val="333333"/>
                <w:sz w:val="14"/>
                <w:szCs w:val="16"/>
                <w:lang w:val="es-GT" w:eastAsia="es-GT"/>
              </w:rPr>
              <w:t>5,700.0</w:t>
            </w:r>
          </w:p>
        </w:tc>
        <w:tc>
          <w:tcPr>
            <w:tcW w:w="992"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b/>
                <w:bCs/>
                <w:color w:val="333333"/>
                <w:sz w:val="14"/>
                <w:szCs w:val="16"/>
                <w:lang w:val="es-GT" w:eastAsia="es-GT"/>
              </w:rPr>
            </w:pPr>
            <w:r w:rsidRPr="00366D4C">
              <w:rPr>
                <w:b/>
                <w:bCs/>
                <w:color w:val="333333"/>
                <w:sz w:val="14"/>
                <w:szCs w:val="16"/>
                <w:lang w:val="es-GT" w:eastAsia="es-GT"/>
              </w:rPr>
              <w:t>244.8</w:t>
            </w:r>
          </w:p>
        </w:tc>
        <w:tc>
          <w:tcPr>
            <w:tcW w:w="709" w:type="dxa"/>
            <w:tcBorders>
              <w:top w:val="nil"/>
              <w:left w:val="nil"/>
              <w:bottom w:val="nil"/>
              <w:right w:val="single" w:sz="8" w:space="0" w:color="auto"/>
            </w:tcBorders>
            <w:shd w:val="clear" w:color="FFFFFF" w:fill="FFFFFF"/>
            <w:noWrap/>
            <w:vAlign w:val="center"/>
            <w:hideMark/>
          </w:tcPr>
          <w:p w:rsidR="00AD5632" w:rsidRPr="00366D4C" w:rsidRDefault="00AD5632" w:rsidP="00BA0B4B">
            <w:pPr>
              <w:jc w:val="right"/>
              <w:rPr>
                <w:b/>
                <w:bCs/>
                <w:color w:val="333333"/>
                <w:sz w:val="14"/>
                <w:szCs w:val="16"/>
                <w:lang w:val="es-GT" w:eastAsia="es-GT"/>
              </w:rPr>
            </w:pPr>
            <w:r w:rsidRPr="00366D4C">
              <w:rPr>
                <w:b/>
                <w:bCs/>
                <w:color w:val="333333"/>
                <w:sz w:val="14"/>
                <w:szCs w:val="16"/>
                <w:lang w:val="es-GT" w:eastAsia="es-GT"/>
              </w:rPr>
              <w:t>95.9%</w:t>
            </w:r>
          </w:p>
        </w:tc>
      </w:tr>
      <w:tr w:rsidR="00AD5632" w:rsidRPr="00366D4C" w:rsidTr="00CE3879">
        <w:trPr>
          <w:trHeight w:val="275"/>
          <w:jc w:val="center"/>
        </w:trPr>
        <w:tc>
          <w:tcPr>
            <w:tcW w:w="5925" w:type="dxa"/>
            <w:tcBorders>
              <w:top w:val="nil"/>
              <w:left w:val="single" w:sz="8" w:space="0" w:color="auto"/>
              <w:bottom w:val="nil"/>
              <w:right w:val="single" w:sz="4" w:space="0" w:color="auto"/>
            </w:tcBorders>
            <w:shd w:val="clear" w:color="FFFFFF" w:fill="FFFFFF"/>
            <w:noWrap/>
            <w:vAlign w:val="bottom"/>
            <w:hideMark/>
          </w:tcPr>
          <w:p w:rsidR="00AD5632" w:rsidRPr="00366D4C" w:rsidRDefault="00AD5632" w:rsidP="00BA0B4B">
            <w:pPr>
              <w:ind w:firstLineChars="200" w:firstLine="280"/>
              <w:rPr>
                <w:color w:val="333333"/>
                <w:sz w:val="14"/>
                <w:szCs w:val="16"/>
                <w:lang w:val="es-GT" w:eastAsia="es-GT"/>
              </w:rPr>
            </w:pPr>
            <w:r w:rsidRPr="00366D4C">
              <w:rPr>
                <w:color w:val="333333"/>
                <w:sz w:val="14"/>
                <w:szCs w:val="16"/>
                <w:lang w:val="es-GT" w:eastAsia="es-GT"/>
              </w:rPr>
              <w:t>SERVICIOS DE SEGURIDAD A LAS PERSONAS Y SU PATRIMONIO</w:t>
            </w:r>
          </w:p>
        </w:tc>
        <w:tc>
          <w:tcPr>
            <w:tcW w:w="101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4,776.6</w:t>
            </w:r>
          </w:p>
        </w:tc>
        <w:tc>
          <w:tcPr>
            <w:tcW w:w="85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4,491.7</w:t>
            </w:r>
          </w:p>
        </w:tc>
        <w:tc>
          <w:tcPr>
            <w:tcW w:w="992"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284.9</w:t>
            </w:r>
          </w:p>
        </w:tc>
        <w:tc>
          <w:tcPr>
            <w:tcW w:w="709" w:type="dxa"/>
            <w:tcBorders>
              <w:top w:val="nil"/>
              <w:left w:val="nil"/>
              <w:bottom w:val="nil"/>
              <w:right w:val="single" w:sz="8"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94.0%</w:t>
            </w:r>
          </w:p>
        </w:tc>
      </w:tr>
      <w:tr w:rsidR="00AD5632" w:rsidRPr="00366D4C" w:rsidTr="00CE3879">
        <w:trPr>
          <w:trHeight w:val="275"/>
          <w:jc w:val="center"/>
        </w:trPr>
        <w:tc>
          <w:tcPr>
            <w:tcW w:w="5925" w:type="dxa"/>
            <w:tcBorders>
              <w:top w:val="nil"/>
              <w:left w:val="single" w:sz="8" w:space="0" w:color="auto"/>
              <w:bottom w:val="nil"/>
              <w:right w:val="single" w:sz="4" w:space="0" w:color="auto"/>
            </w:tcBorders>
            <w:shd w:val="clear" w:color="FFFFFF" w:fill="FFFFFF"/>
            <w:noWrap/>
            <w:vAlign w:val="bottom"/>
            <w:hideMark/>
          </w:tcPr>
          <w:p w:rsidR="00AD5632" w:rsidRPr="00366D4C" w:rsidRDefault="00AD5632" w:rsidP="00BA0B4B">
            <w:pPr>
              <w:ind w:firstLineChars="200" w:firstLine="280"/>
              <w:rPr>
                <w:color w:val="333333"/>
                <w:sz w:val="14"/>
                <w:szCs w:val="16"/>
                <w:lang w:val="es-GT" w:eastAsia="es-GT"/>
              </w:rPr>
            </w:pPr>
            <w:r w:rsidRPr="00366D4C">
              <w:rPr>
                <w:color w:val="333333"/>
                <w:sz w:val="14"/>
                <w:szCs w:val="16"/>
                <w:lang w:val="es-GT" w:eastAsia="es-GT"/>
              </w:rPr>
              <w:t>SERVICIOS DE CUSTODIA Y REHABILITACIÓN DE PRIVADOS DE LIBERTAD</w:t>
            </w:r>
          </w:p>
        </w:tc>
        <w:tc>
          <w:tcPr>
            <w:tcW w:w="101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577.1</w:t>
            </w:r>
          </w:p>
        </w:tc>
        <w:tc>
          <w:tcPr>
            <w:tcW w:w="85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582.0</w:t>
            </w:r>
          </w:p>
        </w:tc>
        <w:tc>
          <w:tcPr>
            <w:tcW w:w="992"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-4.8</w:t>
            </w:r>
          </w:p>
        </w:tc>
        <w:tc>
          <w:tcPr>
            <w:tcW w:w="709" w:type="dxa"/>
            <w:tcBorders>
              <w:top w:val="nil"/>
              <w:left w:val="nil"/>
              <w:bottom w:val="nil"/>
              <w:right w:val="single" w:sz="8"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100.8%</w:t>
            </w:r>
          </w:p>
        </w:tc>
      </w:tr>
      <w:tr w:rsidR="00AD5632" w:rsidRPr="00366D4C" w:rsidTr="00CE3879">
        <w:trPr>
          <w:trHeight w:val="275"/>
          <w:jc w:val="center"/>
        </w:trPr>
        <w:tc>
          <w:tcPr>
            <w:tcW w:w="5925" w:type="dxa"/>
            <w:tcBorders>
              <w:top w:val="nil"/>
              <w:left w:val="single" w:sz="8" w:space="0" w:color="auto"/>
              <w:bottom w:val="nil"/>
              <w:right w:val="single" w:sz="4" w:space="0" w:color="auto"/>
            </w:tcBorders>
            <w:shd w:val="clear" w:color="FFFFFF" w:fill="FFFFFF"/>
            <w:noWrap/>
            <w:vAlign w:val="bottom"/>
            <w:hideMark/>
          </w:tcPr>
          <w:p w:rsidR="00AD5632" w:rsidRPr="00366D4C" w:rsidRDefault="00AD5632" w:rsidP="00BA0B4B">
            <w:pPr>
              <w:ind w:firstLineChars="200" w:firstLine="280"/>
              <w:rPr>
                <w:color w:val="333333"/>
                <w:sz w:val="14"/>
                <w:szCs w:val="16"/>
                <w:lang w:val="es-GT" w:eastAsia="es-GT"/>
              </w:rPr>
            </w:pPr>
            <w:r w:rsidRPr="00366D4C">
              <w:rPr>
                <w:color w:val="333333"/>
                <w:sz w:val="14"/>
                <w:szCs w:val="16"/>
                <w:lang w:val="es-GT" w:eastAsia="es-GT"/>
              </w:rPr>
              <w:t>PARTIDAS NO ASIGNABLES A PROGRAMAS</w:t>
            </w:r>
          </w:p>
        </w:tc>
        <w:tc>
          <w:tcPr>
            <w:tcW w:w="101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16.7</w:t>
            </w:r>
          </w:p>
        </w:tc>
        <w:tc>
          <w:tcPr>
            <w:tcW w:w="85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337.0</w:t>
            </w:r>
          </w:p>
        </w:tc>
        <w:tc>
          <w:tcPr>
            <w:tcW w:w="992"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-320.4</w:t>
            </w:r>
          </w:p>
        </w:tc>
        <w:tc>
          <w:tcPr>
            <w:tcW w:w="709" w:type="dxa"/>
            <w:tcBorders>
              <w:top w:val="nil"/>
              <w:left w:val="nil"/>
              <w:bottom w:val="nil"/>
              <w:right w:val="single" w:sz="8"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2024.1%</w:t>
            </w:r>
          </w:p>
        </w:tc>
      </w:tr>
      <w:tr w:rsidR="00AD5632" w:rsidRPr="00366D4C" w:rsidTr="00CE3879">
        <w:trPr>
          <w:trHeight w:val="275"/>
          <w:jc w:val="center"/>
        </w:trPr>
        <w:tc>
          <w:tcPr>
            <w:tcW w:w="5925" w:type="dxa"/>
            <w:tcBorders>
              <w:top w:val="nil"/>
              <w:left w:val="single" w:sz="8" w:space="0" w:color="auto"/>
              <w:bottom w:val="nil"/>
              <w:right w:val="single" w:sz="4" w:space="0" w:color="auto"/>
            </w:tcBorders>
            <w:shd w:val="clear" w:color="FFFFFF" w:fill="FFFFFF"/>
            <w:noWrap/>
            <w:vAlign w:val="bottom"/>
            <w:hideMark/>
          </w:tcPr>
          <w:p w:rsidR="00AD5632" w:rsidRPr="00366D4C" w:rsidRDefault="00AD5632" w:rsidP="00BA0B4B">
            <w:pPr>
              <w:ind w:firstLineChars="200" w:firstLine="280"/>
              <w:rPr>
                <w:color w:val="333333"/>
                <w:sz w:val="14"/>
                <w:szCs w:val="16"/>
                <w:lang w:val="es-GT" w:eastAsia="es-GT"/>
              </w:rPr>
            </w:pPr>
            <w:r w:rsidRPr="00366D4C">
              <w:rPr>
                <w:color w:val="333333"/>
                <w:sz w:val="14"/>
                <w:szCs w:val="16"/>
                <w:lang w:val="es-GT" w:eastAsia="es-GT"/>
              </w:rPr>
              <w:t>ACTIVIDADES CENTRALES</w:t>
            </w:r>
          </w:p>
        </w:tc>
        <w:tc>
          <w:tcPr>
            <w:tcW w:w="101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130.6</w:t>
            </w:r>
          </w:p>
        </w:tc>
        <w:tc>
          <w:tcPr>
            <w:tcW w:w="85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102.8</w:t>
            </w:r>
          </w:p>
        </w:tc>
        <w:tc>
          <w:tcPr>
            <w:tcW w:w="992"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27.8</w:t>
            </w:r>
          </w:p>
        </w:tc>
        <w:tc>
          <w:tcPr>
            <w:tcW w:w="709" w:type="dxa"/>
            <w:tcBorders>
              <w:top w:val="nil"/>
              <w:left w:val="nil"/>
              <w:bottom w:val="nil"/>
              <w:right w:val="single" w:sz="8"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78.7%</w:t>
            </w:r>
          </w:p>
        </w:tc>
      </w:tr>
      <w:tr w:rsidR="00AD5632" w:rsidRPr="00366D4C" w:rsidTr="00CE3879">
        <w:trPr>
          <w:trHeight w:val="275"/>
          <w:jc w:val="center"/>
        </w:trPr>
        <w:tc>
          <w:tcPr>
            <w:tcW w:w="5925" w:type="dxa"/>
            <w:tcBorders>
              <w:top w:val="nil"/>
              <w:left w:val="single" w:sz="8" w:space="0" w:color="auto"/>
              <w:bottom w:val="nil"/>
              <w:right w:val="single" w:sz="4" w:space="0" w:color="auto"/>
            </w:tcBorders>
            <w:shd w:val="clear" w:color="FFFFFF" w:fill="FFFFFF"/>
            <w:noWrap/>
            <w:vAlign w:val="bottom"/>
            <w:hideMark/>
          </w:tcPr>
          <w:p w:rsidR="00AD5632" w:rsidRPr="00366D4C" w:rsidRDefault="00AD5632" w:rsidP="00BA0B4B">
            <w:pPr>
              <w:ind w:firstLineChars="200" w:firstLine="280"/>
              <w:rPr>
                <w:color w:val="333333"/>
                <w:sz w:val="14"/>
                <w:szCs w:val="16"/>
                <w:lang w:val="es-GT" w:eastAsia="es-GT"/>
              </w:rPr>
            </w:pPr>
            <w:r w:rsidRPr="00366D4C">
              <w:rPr>
                <w:color w:val="333333"/>
                <w:sz w:val="14"/>
                <w:szCs w:val="16"/>
                <w:lang w:val="es-GT" w:eastAsia="es-GT"/>
              </w:rPr>
              <w:t>SERVICIOS DE INTELIGENCIA CIVIL (ACTIVIDAD COMÚN A LOS PROGS 11, 12 Y 13)</w:t>
            </w:r>
          </w:p>
        </w:tc>
        <w:tc>
          <w:tcPr>
            <w:tcW w:w="101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87.1</w:t>
            </w:r>
          </w:p>
        </w:tc>
        <w:tc>
          <w:tcPr>
            <w:tcW w:w="85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69.5</w:t>
            </w:r>
          </w:p>
        </w:tc>
        <w:tc>
          <w:tcPr>
            <w:tcW w:w="992"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17.6</w:t>
            </w:r>
          </w:p>
        </w:tc>
        <w:tc>
          <w:tcPr>
            <w:tcW w:w="709" w:type="dxa"/>
            <w:tcBorders>
              <w:top w:val="nil"/>
              <w:left w:val="nil"/>
              <w:bottom w:val="nil"/>
              <w:right w:val="single" w:sz="8"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79.8%</w:t>
            </w:r>
          </w:p>
        </w:tc>
      </w:tr>
      <w:tr w:rsidR="00AD5632" w:rsidRPr="00366D4C" w:rsidTr="00CE3879">
        <w:trPr>
          <w:trHeight w:val="275"/>
          <w:jc w:val="center"/>
        </w:trPr>
        <w:tc>
          <w:tcPr>
            <w:tcW w:w="5925" w:type="dxa"/>
            <w:tcBorders>
              <w:top w:val="nil"/>
              <w:left w:val="single" w:sz="8" w:space="0" w:color="auto"/>
              <w:bottom w:val="nil"/>
              <w:right w:val="single" w:sz="4" w:space="0" w:color="auto"/>
            </w:tcBorders>
            <w:shd w:val="clear" w:color="FFFFFF" w:fill="FFFFFF"/>
            <w:noWrap/>
            <w:vAlign w:val="bottom"/>
            <w:hideMark/>
          </w:tcPr>
          <w:p w:rsidR="00AD5632" w:rsidRPr="00366D4C" w:rsidRDefault="00AD5632" w:rsidP="00BA0B4B">
            <w:pPr>
              <w:ind w:firstLineChars="200" w:firstLine="280"/>
              <w:rPr>
                <w:color w:val="333333"/>
                <w:sz w:val="14"/>
                <w:szCs w:val="16"/>
                <w:lang w:val="es-GT" w:eastAsia="es-GT"/>
              </w:rPr>
            </w:pPr>
            <w:r w:rsidRPr="00366D4C">
              <w:rPr>
                <w:color w:val="333333"/>
                <w:sz w:val="14"/>
                <w:szCs w:val="16"/>
                <w:lang w:val="es-GT" w:eastAsia="es-GT"/>
              </w:rPr>
              <w:t>SERVS DE GOBIERNO DEPARTAMENTAL Y REGISTRO DE PERSONAS JURÍDICAS</w:t>
            </w:r>
          </w:p>
        </w:tc>
        <w:tc>
          <w:tcPr>
            <w:tcW w:w="101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82.0</w:t>
            </w:r>
          </w:p>
        </w:tc>
        <w:tc>
          <w:tcPr>
            <w:tcW w:w="85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67.2</w:t>
            </w:r>
          </w:p>
        </w:tc>
        <w:tc>
          <w:tcPr>
            <w:tcW w:w="992"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14.8</w:t>
            </w:r>
          </w:p>
        </w:tc>
        <w:tc>
          <w:tcPr>
            <w:tcW w:w="709" w:type="dxa"/>
            <w:tcBorders>
              <w:top w:val="nil"/>
              <w:left w:val="nil"/>
              <w:bottom w:val="nil"/>
              <w:right w:val="single" w:sz="8"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82.0%</w:t>
            </w:r>
          </w:p>
        </w:tc>
      </w:tr>
      <w:tr w:rsidR="00AD5632" w:rsidRPr="00366D4C" w:rsidTr="00CE3879">
        <w:trPr>
          <w:trHeight w:val="275"/>
          <w:jc w:val="center"/>
        </w:trPr>
        <w:tc>
          <w:tcPr>
            <w:tcW w:w="5925" w:type="dxa"/>
            <w:tcBorders>
              <w:top w:val="nil"/>
              <w:left w:val="single" w:sz="8" w:space="0" w:color="auto"/>
              <w:bottom w:val="nil"/>
              <w:right w:val="single" w:sz="4" w:space="0" w:color="auto"/>
            </w:tcBorders>
            <w:shd w:val="clear" w:color="FFFFFF" w:fill="FFFFFF"/>
            <w:noWrap/>
            <w:vAlign w:val="bottom"/>
            <w:hideMark/>
          </w:tcPr>
          <w:p w:rsidR="00AD5632" w:rsidRPr="00366D4C" w:rsidRDefault="00AD5632" w:rsidP="00BA0B4B">
            <w:pPr>
              <w:ind w:firstLineChars="200" w:firstLine="280"/>
              <w:rPr>
                <w:color w:val="333333"/>
                <w:sz w:val="14"/>
                <w:szCs w:val="16"/>
                <w:lang w:val="es-GT" w:eastAsia="es-GT"/>
              </w:rPr>
            </w:pPr>
            <w:r w:rsidRPr="00366D4C">
              <w:rPr>
                <w:color w:val="333333"/>
                <w:sz w:val="14"/>
                <w:szCs w:val="16"/>
                <w:lang w:val="es-GT" w:eastAsia="es-GT"/>
              </w:rPr>
              <w:t>SERVICIOS DE DIVULGACIÓN OFICIAL</w:t>
            </w:r>
          </w:p>
        </w:tc>
        <w:tc>
          <w:tcPr>
            <w:tcW w:w="101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69.8</w:t>
            </w:r>
          </w:p>
        </w:tc>
        <w:tc>
          <w:tcPr>
            <w:tcW w:w="851"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49.8</w:t>
            </w:r>
          </w:p>
        </w:tc>
        <w:tc>
          <w:tcPr>
            <w:tcW w:w="992" w:type="dxa"/>
            <w:tcBorders>
              <w:top w:val="nil"/>
              <w:left w:val="nil"/>
              <w:bottom w:val="nil"/>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20.0</w:t>
            </w:r>
          </w:p>
        </w:tc>
        <w:tc>
          <w:tcPr>
            <w:tcW w:w="709" w:type="dxa"/>
            <w:tcBorders>
              <w:top w:val="nil"/>
              <w:left w:val="nil"/>
              <w:bottom w:val="nil"/>
              <w:right w:val="single" w:sz="8"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71.3%</w:t>
            </w:r>
          </w:p>
        </w:tc>
      </w:tr>
      <w:tr w:rsidR="00AD5632" w:rsidRPr="00366D4C" w:rsidTr="00CE3879">
        <w:trPr>
          <w:trHeight w:val="289"/>
          <w:jc w:val="center"/>
        </w:trPr>
        <w:tc>
          <w:tcPr>
            <w:tcW w:w="5925" w:type="dxa"/>
            <w:tcBorders>
              <w:top w:val="nil"/>
              <w:left w:val="single" w:sz="8" w:space="0" w:color="auto"/>
              <w:bottom w:val="single" w:sz="8" w:space="0" w:color="auto"/>
              <w:right w:val="single" w:sz="4" w:space="0" w:color="auto"/>
            </w:tcBorders>
            <w:shd w:val="clear" w:color="FFFFFF" w:fill="FFFFFF"/>
            <w:noWrap/>
            <w:vAlign w:val="bottom"/>
            <w:hideMark/>
          </w:tcPr>
          <w:p w:rsidR="00AD5632" w:rsidRPr="00366D4C" w:rsidRDefault="00AD5632" w:rsidP="00BA0B4B">
            <w:pPr>
              <w:ind w:firstLineChars="200" w:firstLine="280"/>
              <w:rPr>
                <w:color w:val="333333"/>
                <w:sz w:val="14"/>
                <w:szCs w:val="16"/>
                <w:lang w:val="es-GT" w:eastAsia="es-GT"/>
              </w:rPr>
            </w:pPr>
            <w:r w:rsidRPr="00366D4C">
              <w:rPr>
                <w:color w:val="333333"/>
                <w:sz w:val="14"/>
                <w:szCs w:val="16"/>
                <w:lang w:val="es-GT" w:eastAsia="es-GT"/>
              </w:rPr>
              <w:t>SERVICIOS MIGRATORIOS Y EXTRANJERÍA</w:t>
            </w:r>
          </w:p>
        </w:tc>
        <w:tc>
          <w:tcPr>
            <w:tcW w:w="1011" w:type="dxa"/>
            <w:tcBorders>
              <w:top w:val="nil"/>
              <w:left w:val="single" w:sz="4" w:space="0" w:color="auto"/>
              <w:bottom w:val="single" w:sz="8" w:space="0" w:color="auto"/>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205.0</w:t>
            </w:r>
          </w:p>
        </w:tc>
        <w:tc>
          <w:tcPr>
            <w:tcW w:w="851" w:type="dxa"/>
            <w:tcBorders>
              <w:top w:val="nil"/>
              <w:left w:val="nil"/>
              <w:bottom w:val="single" w:sz="8" w:space="0" w:color="auto"/>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0.0</w:t>
            </w:r>
          </w:p>
        </w:tc>
        <w:tc>
          <w:tcPr>
            <w:tcW w:w="992" w:type="dxa"/>
            <w:tcBorders>
              <w:top w:val="nil"/>
              <w:left w:val="nil"/>
              <w:bottom w:val="single" w:sz="8" w:space="0" w:color="auto"/>
              <w:right w:val="single" w:sz="4"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205.0</w:t>
            </w:r>
          </w:p>
        </w:tc>
        <w:tc>
          <w:tcPr>
            <w:tcW w:w="709" w:type="dxa"/>
            <w:tcBorders>
              <w:top w:val="nil"/>
              <w:left w:val="nil"/>
              <w:bottom w:val="single" w:sz="8" w:space="0" w:color="auto"/>
              <w:right w:val="single" w:sz="8" w:space="0" w:color="auto"/>
            </w:tcBorders>
            <w:shd w:val="clear" w:color="FFFFFF" w:fill="FFFFFF"/>
            <w:noWrap/>
            <w:vAlign w:val="center"/>
            <w:hideMark/>
          </w:tcPr>
          <w:p w:rsidR="00AD5632" w:rsidRPr="00366D4C" w:rsidRDefault="00AD5632" w:rsidP="00BA0B4B">
            <w:pPr>
              <w:jc w:val="right"/>
              <w:rPr>
                <w:color w:val="333333"/>
                <w:sz w:val="14"/>
                <w:szCs w:val="16"/>
                <w:lang w:val="es-GT" w:eastAsia="es-GT"/>
              </w:rPr>
            </w:pPr>
            <w:r w:rsidRPr="00366D4C">
              <w:rPr>
                <w:color w:val="333333"/>
                <w:sz w:val="14"/>
                <w:szCs w:val="16"/>
                <w:lang w:val="es-GT" w:eastAsia="es-GT"/>
              </w:rPr>
              <w:t>0.0%</w:t>
            </w:r>
          </w:p>
        </w:tc>
      </w:tr>
    </w:tbl>
    <w:p w:rsidR="00AD5632" w:rsidRPr="004E678D" w:rsidRDefault="00AD5632" w:rsidP="00AD5632">
      <w:pPr>
        <w:jc w:val="both"/>
        <w:rPr>
          <w:sz w:val="18"/>
        </w:rPr>
      </w:pPr>
      <w:r>
        <w:rPr>
          <w:sz w:val="18"/>
        </w:rPr>
        <w:fldChar w:fldCharType="end"/>
      </w:r>
      <w:r w:rsidRPr="004E678D">
        <w:rPr>
          <w:sz w:val="18"/>
        </w:rPr>
        <w:t>Fuente: Ministerio de Finanzas Públicas</w:t>
      </w:r>
      <w:r>
        <w:rPr>
          <w:sz w:val="18"/>
        </w:rPr>
        <w:t>.</w:t>
      </w:r>
    </w:p>
    <w:p w:rsidR="00AD5632" w:rsidRPr="00D108FD" w:rsidRDefault="00AD5632" w:rsidP="00AD5632">
      <w:pPr>
        <w:jc w:val="both"/>
      </w:pPr>
    </w:p>
    <w:p w:rsidR="00AD5632" w:rsidRPr="006941A5" w:rsidRDefault="00AD5632" w:rsidP="00AD5632">
      <w:pPr>
        <w:jc w:val="both"/>
        <w:rPr>
          <w:sz w:val="36"/>
        </w:rPr>
      </w:pPr>
    </w:p>
    <w:p w:rsidR="00AD5632" w:rsidRDefault="00AD5632" w:rsidP="00AD5632">
      <w:pPr>
        <w:jc w:val="both"/>
        <w:rPr>
          <w:b/>
        </w:rPr>
      </w:pPr>
      <w:r w:rsidRPr="00D108FD">
        <w:rPr>
          <w:b/>
        </w:rPr>
        <w:t>Ministerio de la Defensa Nacional</w:t>
      </w:r>
      <w:r>
        <w:rPr>
          <w:b/>
        </w:rPr>
        <w:t>:</w:t>
      </w:r>
    </w:p>
    <w:p w:rsidR="00AD5632" w:rsidRPr="00A05CB1" w:rsidRDefault="00AD5632" w:rsidP="00AD5632">
      <w:pPr>
        <w:jc w:val="both"/>
        <w:rPr>
          <w:b/>
        </w:rPr>
      </w:pPr>
    </w:p>
    <w:p w:rsidR="00AD5632" w:rsidRDefault="00AD5632" w:rsidP="00AD5632">
      <w:pPr>
        <w:jc w:val="both"/>
      </w:pPr>
      <w:r>
        <w:t xml:space="preserve">Inició el 2021 con </w:t>
      </w:r>
      <w:r w:rsidRPr="00D108FD">
        <w:t>un presupuesto</w:t>
      </w:r>
      <w:r>
        <w:t xml:space="preserve"> aprobado</w:t>
      </w:r>
      <w:r w:rsidRPr="00D108FD">
        <w:t xml:space="preserve"> de </w:t>
      </w:r>
      <w:r>
        <w:t>Q.</w:t>
      </w:r>
      <w:r w:rsidRPr="00D108FD">
        <w:t>2,</w:t>
      </w:r>
      <w:r>
        <w:t>627.7</w:t>
      </w:r>
      <w:r w:rsidRPr="00D108FD">
        <w:t xml:space="preserve"> millones y </w:t>
      </w:r>
      <w:r>
        <w:t>su</w:t>
      </w:r>
      <w:r w:rsidRPr="00D108FD">
        <w:t xml:space="preserve"> ejecución presupuestaria fue de </w:t>
      </w:r>
      <w:r>
        <w:t>Q.</w:t>
      </w:r>
      <w:r w:rsidRPr="00D108FD">
        <w:t>2,</w:t>
      </w:r>
      <w:r w:rsidR="00EE3362">
        <w:t>6</w:t>
      </w:r>
      <w:r>
        <w:t>12.8</w:t>
      </w:r>
      <w:r w:rsidRPr="00D108FD">
        <w:t xml:space="preserve"> millones</w:t>
      </w:r>
      <w:r>
        <w:t>, alcanzando una eficiencia del</w:t>
      </w:r>
      <w:r w:rsidRPr="00D108FD">
        <w:t xml:space="preserve"> 9</w:t>
      </w:r>
      <w:r>
        <w:t>9.4</w:t>
      </w:r>
      <w:r w:rsidRPr="00D108FD">
        <w:t>%.</w:t>
      </w:r>
    </w:p>
    <w:p w:rsidR="00AD5632" w:rsidRPr="00006FBB" w:rsidRDefault="00AD5632" w:rsidP="00AD5632">
      <w:pPr>
        <w:jc w:val="both"/>
        <w:rPr>
          <w:sz w:val="28"/>
        </w:rPr>
      </w:pPr>
    </w:p>
    <w:p w:rsidR="00AD5632" w:rsidRPr="00E56A52" w:rsidRDefault="00AD5632" w:rsidP="00AD5632">
      <w:pPr>
        <w:jc w:val="both"/>
        <w:rPr>
          <w:lang w:val="es-GT"/>
        </w:rPr>
      </w:pPr>
      <w:r w:rsidRPr="00D108FD">
        <w:t xml:space="preserve">Hubo </w:t>
      </w:r>
      <w:r>
        <w:t>4</w:t>
      </w:r>
      <w:r w:rsidRPr="00D108FD">
        <w:t xml:space="preserve"> programas dentro de las prioridades de </w:t>
      </w:r>
      <w:r>
        <w:t xml:space="preserve">su </w:t>
      </w:r>
      <w:r w:rsidRPr="00D108FD">
        <w:t>ejecución presupuestaria</w:t>
      </w:r>
      <w:r w:rsidR="00EE3362">
        <w:t>;</w:t>
      </w:r>
      <w:r w:rsidRPr="00D108FD">
        <w:t xml:space="preserve"> el primero se refiere a “Defensa de la Soberanía e Integridad Territorial”, </w:t>
      </w:r>
      <w:r>
        <w:t>con</w:t>
      </w:r>
      <w:r w:rsidRPr="00D108FD">
        <w:t xml:space="preserve"> un presupuesto de </w:t>
      </w:r>
      <w:r>
        <w:t>Q.997.8</w:t>
      </w:r>
      <w:r w:rsidRPr="00D108FD">
        <w:t xml:space="preserve"> millones</w:t>
      </w:r>
      <w:r>
        <w:t xml:space="preserve"> con</w:t>
      </w:r>
      <w:r w:rsidRPr="00D108FD">
        <w:t xml:space="preserve"> </w:t>
      </w:r>
      <w:r>
        <w:t>una</w:t>
      </w:r>
      <w:r w:rsidRPr="00D108FD">
        <w:t xml:space="preserve"> ejecución presupuestaria </w:t>
      </w:r>
      <w:r>
        <w:t>d</w:t>
      </w:r>
      <w:r w:rsidRPr="00D108FD">
        <w:t xml:space="preserve">el </w:t>
      </w:r>
      <w:r>
        <w:t>107.6</w:t>
      </w:r>
      <w:r w:rsidRPr="00D108FD">
        <w:t>%</w:t>
      </w:r>
      <w:r w:rsidR="00EE3362">
        <w:t>,</w:t>
      </w:r>
      <w:r>
        <w:t xml:space="preserve"> equivalente a Q.1,074.1 millones</w:t>
      </w:r>
      <w:r w:rsidRPr="00D108FD">
        <w:t>.</w:t>
      </w:r>
    </w:p>
    <w:p w:rsidR="00AD5632" w:rsidRPr="006941A5" w:rsidRDefault="00AD5632" w:rsidP="00AD5632">
      <w:pPr>
        <w:jc w:val="both"/>
        <w:rPr>
          <w:sz w:val="28"/>
          <w:lang w:val="es-GT"/>
        </w:rPr>
      </w:pPr>
    </w:p>
    <w:p w:rsidR="00AD5632" w:rsidRDefault="00AD5632" w:rsidP="00AD5632">
      <w:pPr>
        <w:jc w:val="both"/>
      </w:pPr>
      <w:r w:rsidRPr="00D108FD">
        <w:t xml:space="preserve">El segundo programa se refiere a las Actividades Centrales, </w:t>
      </w:r>
      <w:r>
        <w:t>con</w:t>
      </w:r>
      <w:r w:rsidRPr="00D108FD">
        <w:t xml:space="preserve"> un presupuesto</w:t>
      </w:r>
      <w:r>
        <w:t xml:space="preserve"> aprobado</w:t>
      </w:r>
      <w:r w:rsidRPr="00D108FD">
        <w:t xml:space="preserve"> de </w:t>
      </w:r>
      <w:r>
        <w:t>Q.926.5</w:t>
      </w:r>
      <w:r w:rsidRPr="00D108FD">
        <w:t xml:space="preserve"> millones, </w:t>
      </w:r>
      <w:r>
        <w:t>una</w:t>
      </w:r>
      <w:r w:rsidRPr="00D108FD">
        <w:t xml:space="preserve"> ejecución </w:t>
      </w:r>
      <w:r>
        <w:t>de</w:t>
      </w:r>
      <w:r w:rsidRPr="00D108FD">
        <w:t xml:space="preserve"> </w:t>
      </w:r>
      <w:r>
        <w:t>Q.786.0</w:t>
      </w:r>
      <w:r w:rsidRPr="00D108FD">
        <w:t xml:space="preserve"> millones</w:t>
      </w:r>
      <w:r w:rsidR="00492F1C">
        <w:t>,</w:t>
      </w:r>
      <w:r w:rsidRPr="00D108FD">
        <w:t xml:space="preserve"> equivalente</w:t>
      </w:r>
      <w:r>
        <w:t>s</w:t>
      </w:r>
      <w:r w:rsidRPr="00D108FD">
        <w:t xml:space="preserve"> al </w:t>
      </w:r>
      <w:r>
        <w:t>84.8</w:t>
      </w:r>
      <w:r w:rsidRPr="00D108FD">
        <w:t>%</w:t>
      </w:r>
      <w:r>
        <w:t xml:space="preserve">. </w:t>
      </w:r>
      <w:r w:rsidRPr="00D108FD">
        <w:t xml:space="preserve">El tercer programa Actividades Comunes con </w:t>
      </w:r>
      <w:r>
        <w:t xml:space="preserve">un </w:t>
      </w:r>
      <w:r w:rsidRPr="00D108FD">
        <w:t xml:space="preserve">presupuesto </w:t>
      </w:r>
      <w:r>
        <w:t>de</w:t>
      </w:r>
      <w:r w:rsidRPr="00D108FD">
        <w:t xml:space="preserve"> </w:t>
      </w:r>
      <w:r>
        <w:t>Q.306.2</w:t>
      </w:r>
      <w:r w:rsidRPr="00D108FD">
        <w:t xml:space="preserve"> millones, </w:t>
      </w:r>
      <w:r>
        <w:t>registró</w:t>
      </w:r>
      <w:r w:rsidRPr="00D108FD">
        <w:t xml:space="preserve"> una ejecución presupuestaria de </w:t>
      </w:r>
      <w:r>
        <w:t>Q.347.0</w:t>
      </w:r>
      <w:r w:rsidRPr="00D108FD">
        <w:t xml:space="preserve"> millones</w:t>
      </w:r>
      <w:r w:rsidR="00492F1C">
        <w:t>,</w:t>
      </w:r>
      <w:r w:rsidRPr="00D108FD">
        <w:t xml:space="preserve"> equivalente a</w:t>
      </w:r>
      <w:r>
        <w:t>l</w:t>
      </w:r>
      <w:r w:rsidRPr="00D108FD">
        <w:t xml:space="preserve"> </w:t>
      </w:r>
      <w:r>
        <w:t>113.3%.</w:t>
      </w:r>
    </w:p>
    <w:p w:rsidR="00AD5632" w:rsidRPr="006941A5" w:rsidRDefault="00AD5632" w:rsidP="00AD5632">
      <w:pPr>
        <w:jc w:val="both"/>
        <w:rPr>
          <w:sz w:val="28"/>
        </w:rPr>
      </w:pPr>
    </w:p>
    <w:p w:rsidR="00AD5632" w:rsidRDefault="00AD5632" w:rsidP="00AD5632">
      <w:pPr>
        <w:jc w:val="both"/>
      </w:pPr>
      <w:r w:rsidRPr="00D108FD">
        <w:t xml:space="preserve">El cuarto programa relevante, según las cifras de ejecución presupuestaria es </w:t>
      </w:r>
      <w:r>
        <w:t>el de Partidas No Asignables a Programas</w:t>
      </w:r>
      <w:r w:rsidRPr="00D108FD">
        <w:t xml:space="preserve">, </w:t>
      </w:r>
      <w:r>
        <w:t>con un presupuesto de</w:t>
      </w:r>
      <w:r w:rsidRPr="00D108FD">
        <w:t xml:space="preserve"> </w:t>
      </w:r>
      <w:r>
        <w:t>Q.161.</w:t>
      </w:r>
      <w:r w:rsidRPr="00D108FD">
        <w:t xml:space="preserve">2 millones, y una ejecución presupuestaria de </w:t>
      </w:r>
      <w:r>
        <w:t>Q.170.1</w:t>
      </w:r>
      <w:r w:rsidRPr="00D108FD">
        <w:t xml:space="preserve"> millones</w:t>
      </w:r>
      <w:r w:rsidR="00492F1C">
        <w:t>,</w:t>
      </w:r>
      <w:r w:rsidRPr="00D108FD">
        <w:t xml:space="preserve"> equivalentes al </w:t>
      </w:r>
      <w:r>
        <w:t>105.5</w:t>
      </w:r>
      <w:r w:rsidRPr="00D108FD">
        <w:t>%.</w:t>
      </w:r>
    </w:p>
    <w:p w:rsidR="00AD5632" w:rsidRPr="006941A5" w:rsidRDefault="00AD5632" w:rsidP="00AD5632">
      <w:pPr>
        <w:jc w:val="both"/>
        <w:rPr>
          <w:sz w:val="28"/>
        </w:rPr>
      </w:pPr>
    </w:p>
    <w:p w:rsidR="00AD5632" w:rsidRDefault="00AD5632" w:rsidP="00AD5632">
      <w:pPr>
        <w:jc w:val="both"/>
      </w:pPr>
      <w:r>
        <w:t xml:space="preserve">Los restantes programas se ubicaron con una ejecución </w:t>
      </w:r>
      <w:r w:rsidR="00315D9C">
        <w:t>moderada; el</w:t>
      </w:r>
      <w:r>
        <w:t xml:space="preserve"> programa Proyección Diplomática y Apoyo en Misiones de Paz, </w:t>
      </w:r>
      <w:r w:rsidR="00315D9C">
        <w:t xml:space="preserve">ejecutó Q.73.2 millones, </w:t>
      </w:r>
      <w:r>
        <w:t>equivalentes al 88.4% de</w:t>
      </w:r>
      <w:r w:rsidR="00315D9C">
        <w:t xml:space="preserve"> su</w:t>
      </w:r>
      <w:r>
        <w:t xml:space="preserve"> presupuesto aprobado que fue de Q.82.8 millones</w:t>
      </w:r>
      <w:r w:rsidRPr="00D108FD">
        <w:t>.</w:t>
      </w:r>
    </w:p>
    <w:p w:rsidR="00AD5632" w:rsidRPr="006941A5" w:rsidRDefault="00AD5632" w:rsidP="00AD5632">
      <w:pPr>
        <w:jc w:val="both"/>
        <w:rPr>
          <w:sz w:val="28"/>
        </w:rPr>
      </w:pPr>
    </w:p>
    <w:p w:rsidR="00AD5632" w:rsidRDefault="00AD5632" w:rsidP="00AD5632">
      <w:pPr>
        <w:jc w:val="both"/>
      </w:pPr>
      <w:r>
        <w:t xml:space="preserve">En su ejecución destaca </w:t>
      </w:r>
      <w:r w:rsidRPr="00D108FD">
        <w:t>el renglón 453</w:t>
      </w:r>
      <w:r>
        <w:t xml:space="preserve"> “</w:t>
      </w:r>
      <w:r w:rsidRPr="00D108FD">
        <w:t xml:space="preserve">Transferencias a </w:t>
      </w:r>
      <w:r>
        <w:t>e</w:t>
      </w:r>
      <w:r w:rsidRPr="00D108FD">
        <w:t xml:space="preserve">ntidades </w:t>
      </w:r>
      <w:r>
        <w:t>d</w:t>
      </w:r>
      <w:r w:rsidRPr="00D108FD">
        <w:t xml:space="preserve">escentralizadas y </w:t>
      </w:r>
      <w:r>
        <w:t>a</w:t>
      </w:r>
      <w:r w:rsidRPr="00D108FD">
        <w:t xml:space="preserve">utónomas no </w:t>
      </w:r>
      <w:r>
        <w:t>f</w:t>
      </w:r>
      <w:r w:rsidRPr="00D108FD">
        <w:t>inancieras</w:t>
      </w:r>
      <w:r>
        <w:t xml:space="preserve">” que se refiere </w:t>
      </w:r>
      <w:r w:rsidRPr="00D108FD">
        <w:t>específicamente al Instituto de Previsión Militar</w:t>
      </w:r>
      <w:r>
        <w:t xml:space="preserve"> que en 2020 </w:t>
      </w:r>
      <w:r w:rsidR="00BB1C85">
        <w:t>ejecutó</w:t>
      </w:r>
      <w:r>
        <w:t xml:space="preserve"> Q.142.3 millones, mientras que para 2021, la ejecución fue de Q</w:t>
      </w:r>
      <w:r w:rsidR="00BB1C85">
        <w:t>.</w:t>
      </w:r>
      <w:r>
        <w:t>144.8 millones. A</w:t>
      </w:r>
      <w:r w:rsidRPr="00D108FD">
        <w:t>simismo, a través del renglón 533</w:t>
      </w:r>
      <w:r>
        <w:t xml:space="preserve"> “</w:t>
      </w:r>
      <w:r w:rsidRPr="00D108FD">
        <w:t xml:space="preserve">Transferencias a </w:t>
      </w:r>
      <w:r>
        <w:t>e</w:t>
      </w:r>
      <w:r w:rsidRPr="00D108FD">
        <w:t xml:space="preserve">ntidades </w:t>
      </w:r>
      <w:r>
        <w:t>d</w:t>
      </w:r>
      <w:r w:rsidRPr="00D108FD">
        <w:t xml:space="preserve">escentralizadas y </w:t>
      </w:r>
      <w:r>
        <w:t>a</w:t>
      </w:r>
      <w:r w:rsidRPr="00D108FD">
        <w:t xml:space="preserve">utónomas no </w:t>
      </w:r>
      <w:r>
        <w:t>f</w:t>
      </w:r>
      <w:r w:rsidRPr="00D108FD">
        <w:t>inancieras</w:t>
      </w:r>
      <w:r>
        <w:t>” para 2020</w:t>
      </w:r>
      <w:r w:rsidRPr="00D108FD">
        <w:t>, también al Instituto de Previsión Militar</w:t>
      </w:r>
      <w:r>
        <w:t xml:space="preserve"> se le transfirieron Q.22.</w:t>
      </w:r>
      <w:r w:rsidRPr="00D108FD">
        <w:t>5 millones</w:t>
      </w:r>
      <w:r>
        <w:t>, mientras que</w:t>
      </w:r>
      <w:r w:rsidR="00492F1C">
        <w:t>,</w:t>
      </w:r>
      <w:r>
        <w:t xml:space="preserve"> en 2021 bajo este </w:t>
      </w:r>
      <w:r w:rsidR="00492F1C">
        <w:t xml:space="preserve">mismo </w:t>
      </w:r>
      <w:r>
        <w:t>renglón, se le trasladaron Q</w:t>
      </w:r>
      <w:r w:rsidR="00BB1C85">
        <w:t>.</w:t>
      </w:r>
      <w:r>
        <w:t>25.0 millones</w:t>
      </w:r>
      <w:r w:rsidRPr="00D108FD">
        <w:t>.</w:t>
      </w:r>
    </w:p>
    <w:p w:rsidR="006941A5" w:rsidRDefault="006941A5" w:rsidP="00AD5632">
      <w:pPr>
        <w:jc w:val="both"/>
      </w:pPr>
    </w:p>
    <w:p w:rsidR="006941A5" w:rsidRDefault="006941A5" w:rsidP="00AD5632">
      <w:pPr>
        <w:jc w:val="both"/>
      </w:pPr>
    </w:p>
    <w:p w:rsidR="006941A5" w:rsidRDefault="006941A5" w:rsidP="00AD5632">
      <w:pPr>
        <w:jc w:val="both"/>
      </w:pPr>
    </w:p>
    <w:p w:rsidR="00AD5632" w:rsidRPr="004E678D" w:rsidRDefault="00AD5632" w:rsidP="00AD5632">
      <w:pPr>
        <w:jc w:val="both"/>
        <w:rPr>
          <w:sz w:val="18"/>
        </w:rPr>
      </w:pPr>
    </w:p>
    <w:tbl>
      <w:tblPr>
        <w:tblW w:w="9488" w:type="dxa"/>
        <w:tblCellMar>
          <w:left w:w="70" w:type="dxa"/>
          <w:right w:w="70" w:type="dxa"/>
        </w:tblCellMar>
        <w:tblLook w:val="04A0" w:firstRow="1" w:lastRow="0" w:firstColumn="1" w:lastColumn="0" w:noHBand="0" w:noVBand="1"/>
      </w:tblPr>
      <w:tblGrid>
        <w:gridCol w:w="6510"/>
        <w:gridCol w:w="701"/>
        <w:gridCol w:w="859"/>
        <w:gridCol w:w="762"/>
        <w:gridCol w:w="728"/>
      </w:tblGrid>
      <w:tr w:rsidR="00AD5632" w:rsidRPr="005E027E" w:rsidTr="00492F1C">
        <w:trPr>
          <w:trHeight w:val="300"/>
        </w:trPr>
        <w:tc>
          <w:tcPr>
            <w:tcW w:w="6510"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AD5632" w:rsidRPr="005E027E" w:rsidRDefault="00AD5632" w:rsidP="00492F1C">
            <w:pPr>
              <w:jc w:val="center"/>
              <w:rPr>
                <w:b/>
                <w:bCs/>
                <w:color w:val="000000"/>
                <w:sz w:val="14"/>
                <w:szCs w:val="20"/>
                <w:lang w:val="es-GT" w:eastAsia="es-GT"/>
              </w:rPr>
            </w:pPr>
            <w:r w:rsidRPr="005E027E">
              <w:rPr>
                <w:b/>
                <w:bCs/>
                <w:color w:val="000000"/>
                <w:sz w:val="14"/>
                <w:szCs w:val="20"/>
                <w:lang w:val="es-GT" w:eastAsia="es-GT"/>
              </w:rPr>
              <w:t>DESCRIPCI</w:t>
            </w:r>
            <w:r w:rsidR="00437653">
              <w:rPr>
                <w:b/>
                <w:bCs/>
                <w:color w:val="000000"/>
                <w:sz w:val="14"/>
                <w:szCs w:val="20"/>
                <w:lang w:val="es-GT" w:eastAsia="es-GT"/>
              </w:rPr>
              <w:t>Ó</w:t>
            </w:r>
            <w:r w:rsidRPr="005E027E">
              <w:rPr>
                <w:b/>
                <w:bCs/>
                <w:color w:val="000000"/>
                <w:sz w:val="14"/>
                <w:szCs w:val="20"/>
                <w:lang w:val="es-GT" w:eastAsia="es-GT"/>
              </w:rPr>
              <w:t>N</w:t>
            </w:r>
          </w:p>
        </w:tc>
        <w:tc>
          <w:tcPr>
            <w:tcW w:w="701"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5E027E" w:rsidRDefault="00AD5632" w:rsidP="00492F1C">
            <w:pPr>
              <w:jc w:val="center"/>
              <w:rPr>
                <w:b/>
                <w:bCs/>
                <w:color w:val="000000"/>
                <w:sz w:val="14"/>
                <w:szCs w:val="20"/>
                <w:lang w:val="es-GT" w:eastAsia="es-GT"/>
              </w:rPr>
            </w:pPr>
            <w:r w:rsidRPr="005E027E">
              <w:rPr>
                <w:b/>
                <w:bCs/>
                <w:color w:val="000000"/>
                <w:sz w:val="14"/>
                <w:szCs w:val="20"/>
                <w:lang w:val="es-GT" w:eastAsia="es-GT"/>
              </w:rPr>
              <w:t>Asignado</w:t>
            </w:r>
          </w:p>
        </w:tc>
        <w:tc>
          <w:tcPr>
            <w:tcW w:w="859"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5E027E" w:rsidRDefault="00AD5632" w:rsidP="00492F1C">
            <w:pPr>
              <w:jc w:val="center"/>
              <w:rPr>
                <w:b/>
                <w:bCs/>
                <w:color w:val="000000"/>
                <w:sz w:val="14"/>
                <w:szCs w:val="20"/>
                <w:lang w:val="es-GT" w:eastAsia="es-GT"/>
              </w:rPr>
            </w:pPr>
            <w:r w:rsidRPr="005E027E">
              <w:rPr>
                <w:b/>
                <w:bCs/>
                <w:color w:val="000000"/>
                <w:sz w:val="14"/>
                <w:szCs w:val="20"/>
                <w:lang w:val="es-GT" w:eastAsia="es-GT"/>
              </w:rPr>
              <w:t>Ejecu</w:t>
            </w:r>
            <w:r w:rsidR="00CE3879">
              <w:rPr>
                <w:b/>
                <w:bCs/>
                <w:color w:val="000000"/>
                <w:sz w:val="14"/>
                <w:szCs w:val="20"/>
                <w:lang w:val="es-GT" w:eastAsia="es-GT"/>
              </w:rPr>
              <w:t>tado</w:t>
            </w:r>
          </w:p>
        </w:tc>
        <w:tc>
          <w:tcPr>
            <w:tcW w:w="690"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5E027E" w:rsidRDefault="00AD5632" w:rsidP="00492F1C">
            <w:pPr>
              <w:jc w:val="center"/>
              <w:rPr>
                <w:b/>
                <w:bCs/>
                <w:color w:val="000000"/>
                <w:sz w:val="14"/>
                <w:szCs w:val="20"/>
                <w:lang w:val="es-GT" w:eastAsia="es-GT"/>
              </w:rPr>
            </w:pPr>
            <w:r w:rsidRPr="005E027E">
              <w:rPr>
                <w:b/>
                <w:bCs/>
                <w:color w:val="000000"/>
                <w:sz w:val="14"/>
                <w:szCs w:val="20"/>
                <w:lang w:val="es-GT" w:eastAsia="es-GT"/>
              </w:rPr>
              <w:t>Diferencia</w:t>
            </w:r>
          </w:p>
        </w:tc>
        <w:tc>
          <w:tcPr>
            <w:tcW w:w="728" w:type="dxa"/>
            <w:tcBorders>
              <w:top w:val="single" w:sz="8" w:space="0" w:color="auto"/>
              <w:left w:val="nil"/>
              <w:bottom w:val="single" w:sz="4" w:space="0" w:color="auto"/>
              <w:right w:val="single" w:sz="8" w:space="0" w:color="auto"/>
            </w:tcBorders>
            <w:shd w:val="clear" w:color="000000" w:fill="8DB4E2"/>
            <w:noWrap/>
            <w:vAlign w:val="center"/>
            <w:hideMark/>
          </w:tcPr>
          <w:p w:rsidR="00AD5632" w:rsidRPr="005E027E" w:rsidRDefault="00AD5632" w:rsidP="00492F1C">
            <w:pPr>
              <w:jc w:val="center"/>
              <w:rPr>
                <w:b/>
                <w:bCs/>
                <w:color w:val="000000"/>
                <w:sz w:val="14"/>
                <w:szCs w:val="20"/>
                <w:lang w:val="es-GT" w:eastAsia="es-GT"/>
              </w:rPr>
            </w:pPr>
            <w:r w:rsidRPr="005E027E">
              <w:rPr>
                <w:b/>
                <w:bCs/>
                <w:color w:val="000000"/>
                <w:sz w:val="14"/>
                <w:szCs w:val="20"/>
                <w:lang w:val="es-GT" w:eastAsia="es-GT"/>
              </w:rPr>
              <w:t>% Ejec</w:t>
            </w:r>
          </w:p>
        </w:tc>
      </w:tr>
      <w:tr w:rsidR="00AD5632" w:rsidRPr="005E027E" w:rsidTr="00BA68EF">
        <w:trPr>
          <w:trHeight w:val="300"/>
        </w:trPr>
        <w:tc>
          <w:tcPr>
            <w:tcW w:w="6510" w:type="dxa"/>
            <w:tcBorders>
              <w:top w:val="nil"/>
              <w:left w:val="single" w:sz="8" w:space="0" w:color="auto"/>
              <w:bottom w:val="nil"/>
              <w:right w:val="single" w:sz="4" w:space="0" w:color="auto"/>
            </w:tcBorders>
            <w:shd w:val="clear" w:color="FFFFFF" w:fill="FFFFFF"/>
            <w:noWrap/>
            <w:vAlign w:val="bottom"/>
            <w:hideMark/>
          </w:tcPr>
          <w:p w:rsidR="00AD5632" w:rsidRPr="005E027E" w:rsidRDefault="00AD5632" w:rsidP="00BA0B4B">
            <w:pPr>
              <w:rPr>
                <w:b/>
                <w:bCs/>
                <w:color w:val="333333"/>
                <w:sz w:val="14"/>
                <w:szCs w:val="20"/>
                <w:lang w:val="es-GT" w:eastAsia="es-GT"/>
              </w:rPr>
            </w:pPr>
            <w:r w:rsidRPr="005E027E">
              <w:rPr>
                <w:b/>
                <w:bCs/>
                <w:color w:val="333333"/>
                <w:sz w:val="14"/>
                <w:szCs w:val="20"/>
                <w:lang w:val="es-GT" w:eastAsia="es-GT"/>
              </w:rPr>
              <w:t>MINISTERIO DE LA DEFENSA NACIONAL</w:t>
            </w:r>
          </w:p>
        </w:tc>
        <w:tc>
          <w:tcPr>
            <w:tcW w:w="701"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b/>
                <w:bCs/>
                <w:color w:val="333333"/>
                <w:sz w:val="14"/>
                <w:szCs w:val="20"/>
                <w:lang w:val="es-GT" w:eastAsia="es-GT"/>
              </w:rPr>
            </w:pPr>
            <w:r w:rsidRPr="005E027E">
              <w:rPr>
                <w:b/>
                <w:bCs/>
                <w:color w:val="333333"/>
                <w:sz w:val="14"/>
                <w:szCs w:val="20"/>
                <w:lang w:val="es-GT" w:eastAsia="es-GT"/>
              </w:rPr>
              <w:t>2,627.7</w:t>
            </w:r>
          </w:p>
        </w:tc>
        <w:tc>
          <w:tcPr>
            <w:tcW w:w="859"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b/>
                <w:bCs/>
                <w:color w:val="333333"/>
                <w:sz w:val="14"/>
                <w:szCs w:val="20"/>
                <w:lang w:val="es-GT" w:eastAsia="es-GT"/>
              </w:rPr>
            </w:pPr>
            <w:r w:rsidRPr="005E027E">
              <w:rPr>
                <w:b/>
                <w:bCs/>
                <w:color w:val="333333"/>
                <w:sz w:val="14"/>
                <w:szCs w:val="20"/>
                <w:lang w:val="es-GT" w:eastAsia="es-GT"/>
              </w:rPr>
              <w:t>2,612.8</w:t>
            </w:r>
          </w:p>
        </w:tc>
        <w:tc>
          <w:tcPr>
            <w:tcW w:w="690"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b/>
                <w:bCs/>
                <w:color w:val="333333"/>
                <w:sz w:val="14"/>
                <w:szCs w:val="20"/>
                <w:lang w:val="es-GT" w:eastAsia="es-GT"/>
              </w:rPr>
            </w:pPr>
            <w:r w:rsidRPr="005E027E">
              <w:rPr>
                <w:b/>
                <w:bCs/>
                <w:color w:val="333333"/>
                <w:sz w:val="14"/>
                <w:szCs w:val="20"/>
                <w:lang w:val="es-GT" w:eastAsia="es-GT"/>
              </w:rPr>
              <w:t>14.9</w:t>
            </w:r>
          </w:p>
        </w:tc>
        <w:tc>
          <w:tcPr>
            <w:tcW w:w="728" w:type="dxa"/>
            <w:tcBorders>
              <w:top w:val="nil"/>
              <w:left w:val="nil"/>
              <w:bottom w:val="nil"/>
              <w:right w:val="single" w:sz="8" w:space="0" w:color="auto"/>
            </w:tcBorders>
            <w:shd w:val="clear" w:color="FFFFFF" w:fill="FFFFFF"/>
            <w:noWrap/>
            <w:vAlign w:val="bottom"/>
            <w:hideMark/>
          </w:tcPr>
          <w:p w:rsidR="00AD5632" w:rsidRPr="005E027E" w:rsidRDefault="00AD5632" w:rsidP="00BA0B4B">
            <w:pPr>
              <w:jc w:val="right"/>
              <w:rPr>
                <w:b/>
                <w:bCs/>
                <w:color w:val="333333"/>
                <w:sz w:val="14"/>
                <w:szCs w:val="20"/>
                <w:lang w:val="es-GT" w:eastAsia="es-GT"/>
              </w:rPr>
            </w:pPr>
            <w:r w:rsidRPr="005E027E">
              <w:rPr>
                <w:b/>
                <w:bCs/>
                <w:color w:val="333333"/>
                <w:sz w:val="14"/>
                <w:szCs w:val="20"/>
                <w:lang w:val="es-GT" w:eastAsia="es-GT"/>
              </w:rPr>
              <w:t>99.4%</w:t>
            </w:r>
          </w:p>
        </w:tc>
      </w:tr>
      <w:tr w:rsidR="00AD5632" w:rsidRPr="005E027E" w:rsidTr="00BA68EF">
        <w:trPr>
          <w:trHeight w:val="300"/>
        </w:trPr>
        <w:tc>
          <w:tcPr>
            <w:tcW w:w="6510" w:type="dxa"/>
            <w:tcBorders>
              <w:top w:val="nil"/>
              <w:left w:val="single" w:sz="8" w:space="0" w:color="auto"/>
              <w:bottom w:val="nil"/>
              <w:right w:val="single" w:sz="4" w:space="0" w:color="auto"/>
            </w:tcBorders>
            <w:shd w:val="clear" w:color="FFFFFF" w:fill="FFFFFF"/>
            <w:noWrap/>
            <w:vAlign w:val="bottom"/>
            <w:hideMark/>
          </w:tcPr>
          <w:p w:rsidR="00AD5632" w:rsidRPr="005E027E" w:rsidRDefault="00AD5632" w:rsidP="00BA0B4B">
            <w:pPr>
              <w:ind w:firstLineChars="200" w:firstLine="280"/>
              <w:rPr>
                <w:color w:val="333333"/>
                <w:sz w:val="14"/>
                <w:szCs w:val="20"/>
                <w:lang w:val="es-GT" w:eastAsia="es-GT"/>
              </w:rPr>
            </w:pPr>
            <w:r w:rsidRPr="005E027E">
              <w:rPr>
                <w:color w:val="333333"/>
                <w:sz w:val="14"/>
                <w:szCs w:val="20"/>
                <w:lang w:val="es-GT" w:eastAsia="es-GT"/>
              </w:rPr>
              <w:t>DEFENSA DE LA SOBERANÍA E INTEGRIDAD TERRITORIAL</w:t>
            </w:r>
          </w:p>
        </w:tc>
        <w:tc>
          <w:tcPr>
            <w:tcW w:w="701"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997.8</w:t>
            </w:r>
          </w:p>
        </w:tc>
        <w:tc>
          <w:tcPr>
            <w:tcW w:w="859"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1,074.1</w:t>
            </w:r>
          </w:p>
        </w:tc>
        <w:tc>
          <w:tcPr>
            <w:tcW w:w="690"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-76.3</w:t>
            </w:r>
          </w:p>
        </w:tc>
        <w:tc>
          <w:tcPr>
            <w:tcW w:w="728" w:type="dxa"/>
            <w:tcBorders>
              <w:top w:val="nil"/>
              <w:left w:val="nil"/>
              <w:bottom w:val="nil"/>
              <w:right w:val="single" w:sz="8"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107.6%</w:t>
            </w:r>
          </w:p>
        </w:tc>
      </w:tr>
      <w:tr w:rsidR="00AD5632" w:rsidRPr="005E027E" w:rsidTr="00BA68EF">
        <w:trPr>
          <w:trHeight w:val="300"/>
        </w:trPr>
        <w:tc>
          <w:tcPr>
            <w:tcW w:w="6510" w:type="dxa"/>
            <w:tcBorders>
              <w:top w:val="nil"/>
              <w:left w:val="single" w:sz="8" w:space="0" w:color="auto"/>
              <w:bottom w:val="nil"/>
              <w:right w:val="single" w:sz="4" w:space="0" w:color="auto"/>
            </w:tcBorders>
            <w:shd w:val="clear" w:color="FFFFFF" w:fill="FFFFFF"/>
            <w:noWrap/>
            <w:vAlign w:val="bottom"/>
            <w:hideMark/>
          </w:tcPr>
          <w:p w:rsidR="00AD5632" w:rsidRPr="005E027E" w:rsidRDefault="00AD5632" w:rsidP="00BA0B4B">
            <w:pPr>
              <w:ind w:firstLineChars="200" w:firstLine="280"/>
              <w:rPr>
                <w:color w:val="333333"/>
                <w:sz w:val="14"/>
                <w:szCs w:val="20"/>
                <w:lang w:val="es-GT" w:eastAsia="es-GT"/>
              </w:rPr>
            </w:pPr>
            <w:r w:rsidRPr="005E027E">
              <w:rPr>
                <w:color w:val="333333"/>
                <w:sz w:val="14"/>
                <w:szCs w:val="20"/>
                <w:lang w:val="es-GT" w:eastAsia="es-GT"/>
              </w:rPr>
              <w:t>ACTIVIDADES CENTRALES</w:t>
            </w:r>
          </w:p>
        </w:tc>
        <w:tc>
          <w:tcPr>
            <w:tcW w:w="701"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926.5</w:t>
            </w:r>
          </w:p>
        </w:tc>
        <w:tc>
          <w:tcPr>
            <w:tcW w:w="859"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786.0</w:t>
            </w:r>
          </w:p>
        </w:tc>
        <w:tc>
          <w:tcPr>
            <w:tcW w:w="690"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140.6</w:t>
            </w:r>
          </w:p>
        </w:tc>
        <w:tc>
          <w:tcPr>
            <w:tcW w:w="728" w:type="dxa"/>
            <w:tcBorders>
              <w:top w:val="nil"/>
              <w:left w:val="nil"/>
              <w:bottom w:val="nil"/>
              <w:right w:val="single" w:sz="8"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84.8%</w:t>
            </w:r>
          </w:p>
        </w:tc>
      </w:tr>
      <w:tr w:rsidR="00AD5632" w:rsidRPr="005E027E" w:rsidTr="00BA68EF">
        <w:trPr>
          <w:trHeight w:val="300"/>
        </w:trPr>
        <w:tc>
          <w:tcPr>
            <w:tcW w:w="6510" w:type="dxa"/>
            <w:tcBorders>
              <w:top w:val="nil"/>
              <w:left w:val="single" w:sz="8" w:space="0" w:color="auto"/>
              <w:bottom w:val="nil"/>
              <w:right w:val="single" w:sz="4" w:space="0" w:color="auto"/>
            </w:tcBorders>
            <w:shd w:val="clear" w:color="FFFFFF" w:fill="FFFFFF"/>
            <w:noWrap/>
            <w:vAlign w:val="bottom"/>
            <w:hideMark/>
          </w:tcPr>
          <w:p w:rsidR="00AD5632" w:rsidRPr="005E027E" w:rsidRDefault="00AD5632" w:rsidP="00BA0B4B">
            <w:pPr>
              <w:ind w:firstLineChars="200" w:firstLine="280"/>
              <w:rPr>
                <w:color w:val="333333"/>
                <w:sz w:val="14"/>
                <w:szCs w:val="20"/>
                <w:lang w:val="es-GT" w:eastAsia="es-GT"/>
              </w:rPr>
            </w:pPr>
            <w:r w:rsidRPr="005E027E">
              <w:rPr>
                <w:color w:val="333333"/>
                <w:sz w:val="14"/>
                <w:szCs w:val="20"/>
                <w:lang w:val="es-GT" w:eastAsia="es-GT"/>
              </w:rPr>
              <w:t>ACTIVS COMUNES A LOS PROGRAMAS 11, 12, 13 Y 14, SERVICIOS DE EDUCACION Y SALUD</w:t>
            </w:r>
          </w:p>
        </w:tc>
        <w:tc>
          <w:tcPr>
            <w:tcW w:w="701"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306.2</w:t>
            </w:r>
          </w:p>
        </w:tc>
        <w:tc>
          <w:tcPr>
            <w:tcW w:w="859"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347.0</w:t>
            </w:r>
          </w:p>
        </w:tc>
        <w:tc>
          <w:tcPr>
            <w:tcW w:w="690"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-40.9</w:t>
            </w:r>
          </w:p>
        </w:tc>
        <w:tc>
          <w:tcPr>
            <w:tcW w:w="728" w:type="dxa"/>
            <w:tcBorders>
              <w:top w:val="nil"/>
              <w:left w:val="nil"/>
              <w:bottom w:val="nil"/>
              <w:right w:val="single" w:sz="8"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113.3%</w:t>
            </w:r>
          </w:p>
        </w:tc>
      </w:tr>
      <w:tr w:rsidR="00AD5632" w:rsidRPr="005E027E" w:rsidTr="00BA68EF">
        <w:trPr>
          <w:trHeight w:val="300"/>
        </w:trPr>
        <w:tc>
          <w:tcPr>
            <w:tcW w:w="6510" w:type="dxa"/>
            <w:tcBorders>
              <w:top w:val="nil"/>
              <w:left w:val="single" w:sz="8" w:space="0" w:color="auto"/>
              <w:bottom w:val="nil"/>
              <w:right w:val="single" w:sz="4" w:space="0" w:color="auto"/>
            </w:tcBorders>
            <w:shd w:val="clear" w:color="FFFFFF" w:fill="FFFFFF"/>
            <w:noWrap/>
            <w:vAlign w:val="bottom"/>
            <w:hideMark/>
          </w:tcPr>
          <w:p w:rsidR="00AD5632" w:rsidRPr="005E027E" w:rsidRDefault="00AD5632" w:rsidP="00BA0B4B">
            <w:pPr>
              <w:ind w:firstLineChars="200" w:firstLine="280"/>
              <w:rPr>
                <w:color w:val="333333"/>
                <w:sz w:val="14"/>
                <w:szCs w:val="20"/>
                <w:lang w:val="es-GT" w:eastAsia="es-GT"/>
              </w:rPr>
            </w:pPr>
            <w:r w:rsidRPr="005E027E">
              <w:rPr>
                <w:color w:val="333333"/>
                <w:sz w:val="14"/>
                <w:szCs w:val="20"/>
                <w:lang w:val="es-GT" w:eastAsia="es-GT"/>
              </w:rPr>
              <w:t>PARTIDAS NO ASIGNABLES A PROGRAMAS</w:t>
            </w:r>
          </w:p>
        </w:tc>
        <w:tc>
          <w:tcPr>
            <w:tcW w:w="701"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161.2</w:t>
            </w:r>
          </w:p>
        </w:tc>
        <w:tc>
          <w:tcPr>
            <w:tcW w:w="859"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170.1</w:t>
            </w:r>
          </w:p>
        </w:tc>
        <w:tc>
          <w:tcPr>
            <w:tcW w:w="690"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-8.9</w:t>
            </w:r>
          </w:p>
        </w:tc>
        <w:tc>
          <w:tcPr>
            <w:tcW w:w="728" w:type="dxa"/>
            <w:tcBorders>
              <w:top w:val="nil"/>
              <w:left w:val="nil"/>
              <w:bottom w:val="nil"/>
              <w:right w:val="single" w:sz="8"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105.5%</w:t>
            </w:r>
          </w:p>
        </w:tc>
      </w:tr>
      <w:tr w:rsidR="00AD5632" w:rsidRPr="005E027E" w:rsidTr="00BA68EF">
        <w:trPr>
          <w:trHeight w:val="300"/>
        </w:trPr>
        <w:tc>
          <w:tcPr>
            <w:tcW w:w="6510" w:type="dxa"/>
            <w:tcBorders>
              <w:top w:val="nil"/>
              <w:left w:val="single" w:sz="8" w:space="0" w:color="auto"/>
              <w:bottom w:val="nil"/>
              <w:right w:val="single" w:sz="4" w:space="0" w:color="auto"/>
            </w:tcBorders>
            <w:shd w:val="clear" w:color="FFFFFF" w:fill="FFFFFF"/>
            <w:noWrap/>
            <w:vAlign w:val="bottom"/>
            <w:hideMark/>
          </w:tcPr>
          <w:p w:rsidR="00AD5632" w:rsidRPr="005E027E" w:rsidRDefault="00AD5632" w:rsidP="00BA0B4B">
            <w:pPr>
              <w:ind w:firstLineChars="200" w:firstLine="280"/>
              <w:rPr>
                <w:color w:val="333333"/>
                <w:sz w:val="14"/>
                <w:szCs w:val="20"/>
                <w:lang w:val="es-GT" w:eastAsia="es-GT"/>
              </w:rPr>
            </w:pPr>
            <w:r w:rsidRPr="005E027E">
              <w:rPr>
                <w:color w:val="333333"/>
                <w:sz w:val="14"/>
                <w:szCs w:val="20"/>
                <w:lang w:val="es-GT" w:eastAsia="es-GT"/>
              </w:rPr>
              <w:t>PREVENCIÓN DE HECHOS DELICTIVOS CONTRA EL PATRIMONIO</w:t>
            </w:r>
          </w:p>
        </w:tc>
        <w:tc>
          <w:tcPr>
            <w:tcW w:w="701"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78.1</w:t>
            </w:r>
          </w:p>
        </w:tc>
        <w:tc>
          <w:tcPr>
            <w:tcW w:w="859"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88.3</w:t>
            </w:r>
          </w:p>
        </w:tc>
        <w:tc>
          <w:tcPr>
            <w:tcW w:w="690"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-10.1</w:t>
            </w:r>
          </w:p>
        </w:tc>
        <w:tc>
          <w:tcPr>
            <w:tcW w:w="728" w:type="dxa"/>
            <w:tcBorders>
              <w:top w:val="nil"/>
              <w:left w:val="nil"/>
              <w:bottom w:val="nil"/>
              <w:right w:val="single" w:sz="8"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113.0%</w:t>
            </w:r>
          </w:p>
        </w:tc>
      </w:tr>
      <w:tr w:rsidR="00AD5632" w:rsidRPr="005E027E" w:rsidTr="00BA68EF">
        <w:trPr>
          <w:trHeight w:val="300"/>
        </w:trPr>
        <w:tc>
          <w:tcPr>
            <w:tcW w:w="6510" w:type="dxa"/>
            <w:tcBorders>
              <w:top w:val="nil"/>
              <w:left w:val="single" w:sz="8" w:space="0" w:color="auto"/>
              <w:bottom w:val="nil"/>
              <w:right w:val="single" w:sz="4" w:space="0" w:color="auto"/>
            </w:tcBorders>
            <w:shd w:val="clear" w:color="FFFFFF" w:fill="FFFFFF"/>
            <w:noWrap/>
            <w:vAlign w:val="bottom"/>
            <w:hideMark/>
          </w:tcPr>
          <w:p w:rsidR="00AD5632" w:rsidRPr="005E027E" w:rsidRDefault="00AD5632" w:rsidP="00BA0B4B">
            <w:pPr>
              <w:ind w:firstLineChars="200" w:firstLine="280"/>
              <w:rPr>
                <w:color w:val="333333"/>
                <w:sz w:val="14"/>
                <w:szCs w:val="20"/>
                <w:lang w:val="es-GT" w:eastAsia="es-GT"/>
              </w:rPr>
            </w:pPr>
            <w:r w:rsidRPr="005E027E">
              <w:rPr>
                <w:color w:val="333333"/>
                <w:sz w:val="14"/>
                <w:szCs w:val="20"/>
                <w:lang w:val="es-GT" w:eastAsia="es-GT"/>
              </w:rPr>
              <w:t>PROYECCIÓN DIPLOMÁTICA Y APOYO EN MISIONES DE PAZ</w:t>
            </w:r>
          </w:p>
        </w:tc>
        <w:tc>
          <w:tcPr>
            <w:tcW w:w="701"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82.8</w:t>
            </w:r>
          </w:p>
        </w:tc>
        <w:tc>
          <w:tcPr>
            <w:tcW w:w="859"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73.2</w:t>
            </w:r>
          </w:p>
        </w:tc>
        <w:tc>
          <w:tcPr>
            <w:tcW w:w="690"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9.6</w:t>
            </w:r>
          </w:p>
        </w:tc>
        <w:tc>
          <w:tcPr>
            <w:tcW w:w="728" w:type="dxa"/>
            <w:tcBorders>
              <w:top w:val="nil"/>
              <w:left w:val="nil"/>
              <w:bottom w:val="nil"/>
              <w:right w:val="single" w:sz="8"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88.4%</w:t>
            </w:r>
          </w:p>
        </w:tc>
      </w:tr>
      <w:tr w:rsidR="00AD5632" w:rsidRPr="005E027E" w:rsidTr="00BA68EF">
        <w:trPr>
          <w:trHeight w:val="300"/>
        </w:trPr>
        <w:tc>
          <w:tcPr>
            <w:tcW w:w="6510" w:type="dxa"/>
            <w:tcBorders>
              <w:top w:val="nil"/>
              <w:left w:val="single" w:sz="8" w:space="0" w:color="auto"/>
              <w:bottom w:val="nil"/>
              <w:right w:val="single" w:sz="4" w:space="0" w:color="auto"/>
            </w:tcBorders>
            <w:shd w:val="clear" w:color="FFFFFF" w:fill="FFFFFF"/>
            <w:noWrap/>
            <w:vAlign w:val="bottom"/>
            <w:hideMark/>
          </w:tcPr>
          <w:p w:rsidR="00AD5632" w:rsidRPr="005E027E" w:rsidRDefault="00AD5632" w:rsidP="00BA0B4B">
            <w:pPr>
              <w:ind w:firstLineChars="200" w:firstLine="280"/>
              <w:rPr>
                <w:color w:val="333333"/>
                <w:sz w:val="14"/>
                <w:szCs w:val="20"/>
                <w:lang w:val="es-GT" w:eastAsia="es-GT"/>
              </w:rPr>
            </w:pPr>
            <w:r w:rsidRPr="005E027E">
              <w:rPr>
                <w:color w:val="333333"/>
                <w:sz w:val="14"/>
                <w:szCs w:val="20"/>
                <w:lang w:val="es-GT" w:eastAsia="es-GT"/>
              </w:rPr>
              <w:t>REGISTRO Y CONTROL DE ARMAS Y MUNICIONES</w:t>
            </w:r>
          </w:p>
        </w:tc>
        <w:tc>
          <w:tcPr>
            <w:tcW w:w="701"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33.7</w:t>
            </w:r>
          </w:p>
        </w:tc>
        <w:tc>
          <w:tcPr>
            <w:tcW w:w="859"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40.2</w:t>
            </w:r>
          </w:p>
        </w:tc>
        <w:tc>
          <w:tcPr>
            <w:tcW w:w="690"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-6.5</w:t>
            </w:r>
          </w:p>
        </w:tc>
        <w:tc>
          <w:tcPr>
            <w:tcW w:w="728" w:type="dxa"/>
            <w:tcBorders>
              <w:top w:val="nil"/>
              <w:left w:val="nil"/>
              <w:bottom w:val="nil"/>
              <w:right w:val="single" w:sz="8"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119.2%</w:t>
            </w:r>
          </w:p>
        </w:tc>
      </w:tr>
      <w:tr w:rsidR="00AD5632" w:rsidRPr="005E027E" w:rsidTr="00BA68EF">
        <w:trPr>
          <w:trHeight w:val="300"/>
        </w:trPr>
        <w:tc>
          <w:tcPr>
            <w:tcW w:w="6510" w:type="dxa"/>
            <w:tcBorders>
              <w:top w:val="nil"/>
              <w:left w:val="single" w:sz="8" w:space="0" w:color="auto"/>
              <w:bottom w:val="nil"/>
              <w:right w:val="single" w:sz="4" w:space="0" w:color="auto"/>
            </w:tcBorders>
            <w:shd w:val="clear" w:color="FFFFFF" w:fill="FFFFFF"/>
            <w:noWrap/>
            <w:vAlign w:val="bottom"/>
            <w:hideMark/>
          </w:tcPr>
          <w:p w:rsidR="00AD5632" w:rsidRPr="005E027E" w:rsidRDefault="00AD5632" w:rsidP="00BA0B4B">
            <w:pPr>
              <w:ind w:firstLineChars="200" w:firstLine="280"/>
              <w:rPr>
                <w:color w:val="333333"/>
                <w:sz w:val="14"/>
                <w:szCs w:val="20"/>
                <w:lang w:val="es-GT" w:eastAsia="es-GT"/>
              </w:rPr>
            </w:pPr>
            <w:r w:rsidRPr="005E027E">
              <w:rPr>
                <w:color w:val="333333"/>
                <w:sz w:val="14"/>
                <w:szCs w:val="20"/>
                <w:lang w:val="es-GT" w:eastAsia="es-GT"/>
              </w:rPr>
              <w:t>APRESTO MOVILIZACIÓN DE DEFENSA, PREVENCIÓN Y MITIGACIÓN DE DESASTRES</w:t>
            </w:r>
          </w:p>
        </w:tc>
        <w:tc>
          <w:tcPr>
            <w:tcW w:w="701"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30.2</w:t>
            </w:r>
          </w:p>
        </w:tc>
        <w:tc>
          <w:tcPr>
            <w:tcW w:w="859"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25.4</w:t>
            </w:r>
          </w:p>
        </w:tc>
        <w:tc>
          <w:tcPr>
            <w:tcW w:w="690" w:type="dxa"/>
            <w:tcBorders>
              <w:top w:val="nil"/>
              <w:left w:val="nil"/>
              <w:bottom w:val="nil"/>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4.8</w:t>
            </w:r>
          </w:p>
        </w:tc>
        <w:tc>
          <w:tcPr>
            <w:tcW w:w="728" w:type="dxa"/>
            <w:tcBorders>
              <w:top w:val="nil"/>
              <w:left w:val="nil"/>
              <w:bottom w:val="nil"/>
              <w:right w:val="single" w:sz="8"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84.2%</w:t>
            </w:r>
          </w:p>
        </w:tc>
      </w:tr>
      <w:tr w:rsidR="00AD5632" w:rsidRPr="005E027E" w:rsidTr="00BA68EF">
        <w:trPr>
          <w:trHeight w:val="315"/>
        </w:trPr>
        <w:tc>
          <w:tcPr>
            <w:tcW w:w="6510" w:type="dxa"/>
            <w:tcBorders>
              <w:top w:val="nil"/>
              <w:left w:val="single" w:sz="8" w:space="0" w:color="auto"/>
              <w:bottom w:val="single" w:sz="8" w:space="0" w:color="auto"/>
              <w:right w:val="single" w:sz="4" w:space="0" w:color="auto"/>
            </w:tcBorders>
            <w:shd w:val="clear" w:color="FFFFFF" w:fill="FFFFFF"/>
            <w:noWrap/>
            <w:vAlign w:val="bottom"/>
            <w:hideMark/>
          </w:tcPr>
          <w:p w:rsidR="00AD5632" w:rsidRPr="005E027E" w:rsidRDefault="00AD5632" w:rsidP="00BA0B4B">
            <w:pPr>
              <w:ind w:firstLineChars="200" w:firstLine="280"/>
              <w:rPr>
                <w:color w:val="333333"/>
                <w:sz w:val="14"/>
                <w:szCs w:val="20"/>
                <w:lang w:val="es-GT" w:eastAsia="es-GT"/>
              </w:rPr>
            </w:pPr>
            <w:r w:rsidRPr="005E027E">
              <w:rPr>
                <w:color w:val="333333"/>
                <w:sz w:val="14"/>
                <w:szCs w:val="20"/>
                <w:lang w:val="es-GT" w:eastAsia="es-GT"/>
              </w:rPr>
              <w:t>REGULACIÓN DE ESPACIOS ACUÁTICOS</w:t>
            </w:r>
          </w:p>
        </w:tc>
        <w:tc>
          <w:tcPr>
            <w:tcW w:w="701" w:type="dxa"/>
            <w:tcBorders>
              <w:top w:val="nil"/>
              <w:left w:val="single" w:sz="4" w:space="0" w:color="auto"/>
              <w:bottom w:val="single" w:sz="8" w:space="0" w:color="auto"/>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11.2</w:t>
            </w:r>
          </w:p>
        </w:tc>
        <w:tc>
          <w:tcPr>
            <w:tcW w:w="859" w:type="dxa"/>
            <w:tcBorders>
              <w:top w:val="nil"/>
              <w:left w:val="nil"/>
              <w:bottom w:val="single" w:sz="8" w:space="0" w:color="auto"/>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8.6</w:t>
            </w:r>
          </w:p>
        </w:tc>
        <w:tc>
          <w:tcPr>
            <w:tcW w:w="690" w:type="dxa"/>
            <w:tcBorders>
              <w:top w:val="nil"/>
              <w:left w:val="nil"/>
              <w:bottom w:val="single" w:sz="8" w:space="0" w:color="auto"/>
              <w:right w:val="single" w:sz="4"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2.7</w:t>
            </w:r>
          </w:p>
        </w:tc>
        <w:tc>
          <w:tcPr>
            <w:tcW w:w="728" w:type="dxa"/>
            <w:tcBorders>
              <w:top w:val="nil"/>
              <w:left w:val="nil"/>
              <w:bottom w:val="single" w:sz="8" w:space="0" w:color="auto"/>
              <w:right w:val="single" w:sz="8" w:space="0" w:color="auto"/>
            </w:tcBorders>
            <w:shd w:val="clear" w:color="FFFFFF" w:fill="FFFFFF"/>
            <w:noWrap/>
            <w:vAlign w:val="bottom"/>
            <w:hideMark/>
          </w:tcPr>
          <w:p w:rsidR="00AD5632" w:rsidRPr="005E027E" w:rsidRDefault="00AD5632" w:rsidP="00BA0B4B">
            <w:pPr>
              <w:jc w:val="right"/>
              <w:rPr>
                <w:color w:val="333333"/>
                <w:sz w:val="14"/>
                <w:szCs w:val="20"/>
                <w:lang w:val="es-GT" w:eastAsia="es-GT"/>
              </w:rPr>
            </w:pPr>
            <w:r w:rsidRPr="005E027E">
              <w:rPr>
                <w:color w:val="333333"/>
                <w:sz w:val="14"/>
                <w:szCs w:val="20"/>
                <w:lang w:val="es-GT" w:eastAsia="es-GT"/>
              </w:rPr>
              <w:t>76.3%</w:t>
            </w:r>
          </w:p>
        </w:tc>
      </w:tr>
    </w:tbl>
    <w:p w:rsidR="00AD5632" w:rsidRDefault="00AD5632" w:rsidP="00AD5632">
      <w:pPr>
        <w:jc w:val="both"/>
        <w:rPr>
          <w:sz w:val="18"/>
        </w:rPr>
      </w:pPr>
      <w:r w:rsidRPr="004E678D">
        <w:rPr>
          <w:sz w:val="18"/>
        </w:rPr>
        <w:t>Fuente: Ministerio de Finanzas Públicas</w:t>
      </w:r>
      <w:r>
        <w:rPr>
          <w:sz w:val="18"/>
        </w:rPr>
        <w:t>.</w:t>
      </w:r>
    </w:p>
    <w:p w:rsidR="00AD5632" w:rsidRDefault="00AD5632" w:rsidP="00AD5632">
      <w:pPr>
        <w:jc w:val="both"/>
      </w:pPr>
    </w:p>
    <w:p w:rsidR="00AD5632" w:rsidRPr="00D108FD" w:rsidRDefault="00AD5632" w:rsidP="00AD5632">
      <w:pPr>
        <w:jc w:val="both"/>
      </w:pPr>
    </w:p>
    <w:p w:rsidR="00AD5632" w:rsidRDefault="00AD5632" w:rsidP="00AD5632">
      <w:pPr>
        <w:jc w:val="both"/>
        <w:rPr>
          <w:b/>
        </w:rPr>
      </w:pPr>
      <w:r w:rsidRPr="00D108FD">
        <w:rPr>
          <w:b/>
        </w:rPr>
        <w:t>Ministerio de Finanzas Públicas</w:t>
      </w:r>
      <w:r>
        <w:rPr>
          <w:b/>
        </w:rPr>
        <w:t>:</w:t>
      </w:r>
    </w:p>
    <w:p w:rsidR="00AD5632" w:rsidRPr="00D108FD" w:rsidRDefault="00AD5632" w:rsidP="00AD5632">
      <w:pPr>
        <w:jc w:val="both"/>
        <w:rPr>
          <w:b/>
        </w:rPr>
      </w:pPr>
    </w:p>
    <w:p w:rsidR="00AD5632" w:rsidRDefault="00AD5632" w:rsidP="00AD5632">
      <w:pPr>
        <w:jc w:val="both"/>
      </w:pPr>
      <w:r w:rsidRPr="00D108FD">
        <w:t xml:space="preserve">Este </w:t>
      </w:r>
      <w:r>
        <w:t>M</w:t>
      </w:r>
      <w:r w:rsidRPr="00D108FD">
        <w:t>inisterio tuvo un presupuesto</w:t>
      </w:r>
      <w:r>
        <w:t xml:space="preserve"> aprobado</w:t>
      </w:r>
      <w:r w:rsidRPr="00D108FD">
        <w:t xml:space="preserve"> de </w:t>
      </w:r>
      <w:r>
        <w:t>Q.</w:t>
      </w:r>
      <w:r w:rsidRPr="00D108FD">
        <w:t>3</w:t>
      </w:r>
      <w:r>
        <w:t>81.2</w:t>
      </w:r>
      <w:r w:rsidRPr="00D108FD">
        <w:t xml:space="preserve"> millones</w:t>
      </w:r>
      <w:r>
        <w:t xml:space="preserve"> con una ejecución de Q.297.6 millones, equivalentes al 78.1%</w:t>
      </w:r>
      <w:r w:rsidRPr="00D108FD">
        <w:t>.</w:t>
      </w:r>
      <w:r>
        <w:t xml:space="preserve"> </w:t>
      </w:r>
      <w:r w:rsidRPr="00D108FD">
        <w:t xml:space="preserve">Su mayor ejecución presupuestaria </w:t>
      </w:r>
      <w:r>
        <w:t>fue a través del pro</w:t>
      </w:r>
      <w:r w:rsidRPr="00D108FD">
        <w:t>grama de las Actividades Centrales, el cual tuvo un presupuesto</w:t>
      </w:r>
      <w:r>
        <w:t xml:space="preserve"> aprobado </w:t>
      </w:r>
      <w:r w:rsidRPr="00D108FD">
        <w:t xml:space="preserve">de </w:t>
      </w:r>
      <w:r>
        <w:t>Q.</w:t>
      </w:r>
      <w:r w:rsidRPr="00D108FD">
        <w:t>1</w:t>
      </w:r>
      <w:r>
        <w:t>83.3</w:t>
      </w:r>
      <w:r w:rsidRPr="00D108FD">
        <w:t xml:space="preserve"> millones y una ejecución presupuestaria de </w:t>
      </w:r>
      <w:r>
        <w:t>Q.</w:t>
      </w:r>
      <w:r w:rsidRPr="00D108FD">
        <w:t>1</w:t>
      </w:r>
      <w:r>
        <w:t xml:space="preserve">64.3 </w:t>
      </w:r>
      <w:r w:rsidRPr="00D108FD">
        <w:t>millones</w:t>
      </w:r>
      <w:r w:rsidR="00FA1CF6">
        <w:t>,</w:t>
      </w:r>
      <w:r w:rsidRPr="00D108FD">
        <w:t xml:space="preserve"> equivalente</w:t>
      </w:r>
      <w:r w:rsidR="00FA1CF6">
        <w:t>s</w:t>
      </w:r>
      <w:r w:rsidRPr="00D108FD">
        <w:t xml:space="preserve"> al </w:t>
      </w:r>
      <w:r>
        <w:t>89.6</w:t>
      </w:r>
      <w:r w:rsidRPr="00D108FD">
        <w:t>%.</w:t>
      </w:r>
    </w:p>
    <w:p w:rsidR="00AD5632" w:rsidRPr="00D108FD" w:rsidRDefault="00AD5632" w:rsidP="00AD5632">
      <w:pPr>
        <w:jc w:val="both"/>
      </w:pPr>
    </w:p>
    <w:p w:rsidR="00AD5632" w:rsidRDefault="00AD5632" w:rsidP="00AD5632">
      <w:pPr>
        <w:jc w:val="both"/>
      </w:pPr>
      <w:r>
        <w:t>Otro</w:t>
      </w:r>
      <w:r w:rsidRPr="00D108FD">
        <w:t xml:space="preserve"> programa </w:t>
      </w:r>
      <w:r>
        <w:t>importante</w:t>
      </w:r>
      <w:r w:rsidRPr="00D108FD">
        <w:t xml:space="preserve"> es “Administración Financiera” </w:t>
      </w:r>
      <w:r>
        <w:t>con un presupuesto inicial</w:t>
      </w:r>
      <w:r w:rsidRPr="00D108FD">
        <w:t xml:space="preserve"> de </w:t>
      </w:r>
      <w:r>
        <w:t>Q.</w:t>
      </w:r>
      <w:r w:rsidRPr="00D108FD">
        <w:t>1</w:t>
      </w:r>
      <w:r>
        <w:t>31.1</w:t>
      </w:r>
      <w:r w:rsidRPr="00D108FD">
        <w:t xml:space="preserve"> millones y una ejecución presupuestaria de </w:t>
      </w:r>
      <w:r>
        <w:t>Q.99.6</w:t>
      </w:r>
      <w:r w:rsidRPr="00D108FD">
        <w:t xml:space="preserve"> millones</w:t>
      </w:r>
      <w:r w:rsidR="00FA1CF6">
        <w:t>,</w:t>
      </w:r>
      <w:r w:rsidRPr="00D108FD">
        <w:t xml:space="preserve"> equivalente</w:t>
      </w:r>
      <w:r w:rsidR="00FA1CF6">
        <w:t>s</w:t>
      </w:r>
      <w:r w:rsidRPr="00D108FD">
        <w:t xml:space="preserve"> al </w:t>
      </w:r>
      <w:r>
        <w:t>75.9</w:t>
      </w:r>
      <w:r w:rsidRPr="00D108FD">
        <w:t>%.</w:t>
      </w:r>
    </w:p>
    <w:p w:rsidR="00AD5632" w:rsidRPr="00D108FD" w:rsidRDefault="00AD5632" w:rsidP="00AD5632">
      <w:pPr>
        <w:jc w:val="both"/>
      </w:pPr>
    </w:p>
    <w:p w:rsidR="00AD5632" w:rsidRDefault="00AD5632" w:rsidP="00AD5632">
      <w:pPr>
        <w:jc w:val="both"/>
        <w:rPr>
          <w:rFonts w:ascii="Calibri" w:eastAsia="Calibri" w:hAnsi="Calibri"/>
          <w:sz w:val="20"/>
          <w:szCs w:val="20"/>
          <w:lang w:val="es-GT" w:eastAsia="es-GT"/>
        </w:rPr>
      </w:pPr>
      <w:r w:rsidRPr="00D108FD">
        <w:t xml:space="preserve">Los dos programas restantes tuvieron una ejecución presupuestaria </w:t>
      </w:r>
      <w:r w:rsidR="00FA1CF6">
        <w:t>superior a</w:t>
      </w:r>
      <w:r w:rsidRPr="00D108FD">
        <w:t xml:space="preserve"> </w:t>
      </w:r>
      <w:r>
        <w:t>Q.23.9</w:t>
      </w:r>
      <w:r w:rsidRPr="00D108FD">
        <w:t xml:space="preserve"> millones, así como se detalla en el cuadro a continuación.</w:t>
      </w: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Programa!F48C2:F53C6" \a \f 4 \h  \* MERGEFORMAT </w:instrText>
      </w:r>
      <w:r>
        <w:rPr>
          <w:noProof/>
          <w:lang w:val="es-GT" w:eastAsia="es-GT"/>
        </w:rPr>
        <w:fldChar w:fldCharType="separate"/>
      </w:r>
    </w:p>
    <w:p w:rsidR="00AD5632" w:rsidRDefault="00AD5632" w:rsidP="00AD5632">
      <w:pPr>
        <w:jc w:val="both"/>
        <w:rPr>
          <w:rFonts w:ascii="Calibri" w:eastAsia="Calibri" w:hAnsi="Calibri"/>
          <w:sz w:val="20"/>
          <w:szCs w:val="20"/>
          <w:lang w:val="es-GT" w:eastAsia="es-GT"/>
        </w:rPr>
      </w:pPr>
      <w:r>
        <w:rPr>
          <w:noProof/>
          <w:lang w:val="es-GT" w:eastAsia="es-GT"/>
        </w:rPr>
        <w:fldChar w:fldCharType="end"/>
      </w:r>
      <w:r>
        <w:fldChar w:fldCharType="begin"/>
      </w:r>
      <w:r>
        <w:instrText xml:space="preserve"> LINK Excel.Sheet.12 "C:\\Users\\deefoper12\\Documents\\Mis Documentos\\2022\\DTF 2022\\Informe fin de año 2021\\Cuadros para Informe de Fin de Año 2021..xlsx" "Entidad Programa!F46C2:F51C6" \a \f 4 \h  \* MERGEFORMAT </w:instrText>
      </w:r>
      <w:r>
        <w:fldChar w:fldCharType="separate"/>
      </w:r>
    </w:p>
    <w:tbl>
      <w:tblPr>
        <w:tblW w:w="9336" w:type="dxa"/>
        <w:jc w:val="center"/>
        <w:tblCellMar>
          <w:left w:w="70" w:type="dxa"/>
          <w:right w:w="70" w:type="dxa"/>
        </w:tblCellMar>
        <w:tblLook w:val="04A0" w:firstRow="1" w:lastRow="0" w:firstColumn="1" w:lastColumn="0" w:noHBand="0" w:noVBand="1"/>
      </w:tblPr>
      <w:tblGrid>
        <w:gridCol w:w="3959"/>
        <w:gridCol w:w="1418"/>
        <w:gridCol w:w="1417"/>
        <w:gridCol w:w="1418"/>
        <w:gridCol w:w="1124"/>
      </w:tblGrid>
      <w:tr w:rsidR="00AD5632" w:rsidRPr="00FD69BB" w:rsidTr="00B97891">
        <w:trPr>
          <w:trHeight w:val="332"/>
          <w:jc w:val="center"/>
        </w:trPr>
        <w:tc>
          <w:tcPr>
            <w:tcW w:w="3959"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AD5632" w:rsidRPr="00FD69BB" w:rsidRDefault="00AD5632" w:rsidP="00B97891">
            <w:pPr>
              <w:jc w:val="center"/>
              <w:rPr>
                <w:b/>
                <w:bCs/>
                <w:color w:val="000000"/>
                <w:sz w:val="18"/>
                <w:szCs w:val="20"/>
                <w:lang w:val="es-GT" w:eastAsia="es-GT"/>
              </w:rPr>
            </w:pPr>
            <w:r w:rsidRPr="00FD69BB">
              <w:rPr>
                <w:b/>
                <w:bCs/>
                <w:color w:val="000000"/>
                <w:sz w:val="18"/>
                <w:szCs w:val="20"/>
                <w:lang w:val="es-GT" w:eastAsia="es-GT"/>
              </w:rPr>
              <w:t>DESCRIPCION</w:t>
            </w:r>
          </w:p>
        </w:tc>
        <w:tc>
          <w:tcPr>
            <w:tcW w:w="1418"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FD69BB" w:rsidRDefault="00AD5632" w:rsidP="00B97891">
            <w:pPr>
              <w:jc w:val="center"/>
              <w:rPr>
                <w:b/>
                <w:bCs/>
                <w:color w:val="000000"/>
                <w:sz w:val="18"/>
                <w:szCs w:val="20"/>
                <w:lang w:val="es-GT" w:eastAsia="es-GT"/>
              </w:rPr>
            </w:pPr>
            <w:r w:rsidRPr="00FD69BB">
              <w:rPr>
                <w:b/>
                <w:bCs/>
                <w:color w:val="000000"/>
                <w:sz w:val="18"/>
                <w:szCs w:val="20"/>
                <w:lang w:val="es-GT" w:eastAsia="es-GT"/>
              </w:rPr>
              <w:t>Asignado</w:t>
            </w:r>
          </w:p>
        </w:tc>
        <w:tc>
          <w:tcPr>
            <w:tcW w:w="1417"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FD69BB" w:rsidRDefault="00AD5632" w:rsidP="00B97891">
            <w:pPr>
              <w:jc w:val="center"/>
              <w:rPr>
                <w:b/>
                <w:bCs/>
                <w:color w:val="000000"/>
                <w:sz w:val="18"/>
                <w:szCs w:val="20"/>
                <w:lang w:val="es-GT" w:eastAsia="es-GT"/>
              </w:rPr>
            </w:pPr>
            <w:r w:rsidRPr="00FD69BB">
              <w:rPr>
                <w:b/>
                <w:bCs/>
                <w:color w:val="000000"/>
                <w:sz w:val="18"/>
                <w:szCs w:val="20"/>
                <w:lang w:val="es-GT" w:eastAsia="es-GT"/>
              </w:rPr>
              <w:t>Ejecu</w:t>
            </w:r>
            <w:r w:rsidR="00CE3879">
              <w:rPr>
                <w:b/>
                <w:bCs/>
                <w:color w:val="000000"/>
                <w:sz w:val="18"/>
                <w:szCs w:val="20"/>
                <w:lang w:val="es-GT" w:eastAsia="es-GT"/>
              </w:rPr>
              <w:t>tado</w:t>
            </w:r>
          </w:p>
        </w:tc>
        <w:tc>
          <w:tcPr>
            <w:tcW w:w="1418"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FD69BB" w:rsidRDefault="00AD5632" w:rsidP="00B97891">
            <w:pPr>
              <w:jc w:val="center"/>
              <w:rPr>
                <w:b/>
                <w:bCs/>
                <w:color w:val="000000"/>
                <w:sz w:val="18"/>
                <w:szCs w:val="20"/>
                <w:lang w:val="es-GT" w:eastAsia="es-GT"/>
              </w:rPr>
            </w:pPr>
            <w:r w:rsidRPr="00FD69BB">
              <w:rPr>
                <w:b/>
                <w:bCs/>
                <w:color w:val="000000"/>
                <w:sz w:val="18"/>
                <w:szCs w:val="20"/>
                <w:lang w:val="es-GT" w:eastAsia="es-GT"/>
              </w:rPr>
              <w:t>Diferencias</w:t>
            </w:r>
          </w:p>
        </w:tc>
        <w:tc>
          <w:tcPr>
            <w:tcW w:w="1124" w:type="dxa"/>
            <w:tcBorders>
              <w:top w:val="single" w:sz="8" w:space="0" w:color="auto"/>
              <w:left w:val="nil"/>
              <w:bottom w:val="single" w:sz="4" w:space="0" w:color="auto"/>
              <w:right w:val="single" w:sz="8" w:space="0" w:color="auto"/>
            </w:tcBorders>
            <w:shd w:val="clear" w:color="000000" w:fill="8DB4E2"/>
            <w:noWrap/>
            <w:vAlign w:val="center"/>
            <w:hideMark/>
          </w:tcPr>
          <w:p w:rsidR="00AD5632" w:rsidRPr="00FD69BB" w:rsidRDefault="00AD5632" w:rsidP="00B97891">
            <w:pPr>
              <w:jc w:val="center"/>
              <w:rPr>
                <w:b/>
                <w:bCs/>
                <w:color w:val="000000"/>
                <w:sz w:val="18"/>
                <w:szCs w:val="20"/>
                <w:lang w:val="es-GT" w:eastAsia="es-GT"/>
              </w:rPr>
            </w:pPr>
            <w:r w:rsidRPr="00FD69BB">
              <w:rPr>
                <w:b/>
                <w:bCs/>
                <w:color w:val="000000"/>
                <w:sz w:val="18"/>
                <w:szCs w:val="20"/>
                <w:lang w:val="es-GT" w:eastAsia="es-GT"/>
              </w:rPr>
              <w:t>% Ejec</w:t>
            </w:r>
          </w:p>
        </w:tc>
      </w:tr>
      <w:tr w:rsidR="00AD5632" w:rsidRPr="00FD69BB" w:rsidTr="00092A19">
        <w:trPr>
          <w:trHeight w:val="332"/>
          <w:jc w:val="center"/>
        </w:trPr>
        <w:tc>
          <w:tcPr>
            <w:tcW w:w="3959"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rPr>
                <w:b/>
                <w:bCs/>
                <w:color w:val="333333"/>
                <w:sz w:val="18"/>
                <w:szCs w:val="20"/>
                <w:lang w:val="es-GT" w:eastAsia="es-GT"/>
              </w:rPr>
            </w:pPr>
            <w:r w:rsidRPr="00FD69BB">
              <w:rPr>
                <w:b/>
                <w:bCs/>
                <w:color w:val="333333"/>
                <w:sz w:val="18"/>
                <w:szCs w:val="20"/>
                <w:lang w:val="es-GT" w:eastAsia="es-GT"/>
              </w:rPr>
              <w:t>MINISTERIO DE FINANZAS PÚBLICAS</w:t>
            </w:r>
          </w:p>
        </w:tc>
        <w:tc>
          <w:tcPr>
            <w:tcW w:w="1418"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b/>
                <w:bCs/>
                <w:color w:val="333333"/>
                <w:sz w:val="18"/>
                <w:szCs w:val="20"/>
                <w:lang w:val="es-GT" w:eastAsia="es-GT"/>
              </w:rPr>
            </w:pPr>
            <w:r w:rsidRPr="00FD69BB">
              <w:rPr>
                <w:b/>
                <w:bCs/>
                <w:color w:val="333333"/>
                <w:sz w:val="18"/>
                <w:szCs w:val="20"/>
                <w:lang w:val="es-GT" w:eastAsia="es-GT"/>
              </w:rPr>
              <w:t>381.2</w:t>
            </w:r>
          </w:p>
        </w:tc>
        <w:tc>
          <w:tcPr>
            <w:tcW w:w="141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b/>
                <w:bCs/>
                <w:color w:val="333333"/>
                <w:sz w:val="18"/>
                <w:szCs w:val="20"/>
                <w:lang w:val="es-GT" w:eastAsia="es-GT"/>
              </w:rPr>
            </w:pPr>
            <w:r w:rsidRPr="00FD69BB">
              <w:rPr>
                <w:b/>
                <w:bCs/>
                <w:color w:val="333333"/>
                <w:sz w:val="18"/>
                <w:szCs w:val="20"/>
                <w:lang w:val="es-GT" w:eastAsia="es-GT"/>
              </w:rPr>
              <w:t>297.6</w:t>
            </w:r>
          </w:p>
        </w:tc>
        <w:tc>
          <w:tcPr>
            <w:tcW w:w="1418"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b/>
                <w:bCs/>
                <w:color w:val="333333"/>
                <w:sz w:val="18"/>
                <w:szCs w:val="20"/>
                <w:lang w:val="es-GT" w:eastAsia="es-GT"/>
              </w:rPr>
            </w:pPr>
            <w:r w:rsidRPr="00FD69BB">
              <w:rPr>
                <w:b/>
                <w:bCs/>
                <w:color w:val="333333"/>
                <w:sz w:val="18"/>
                <w:szCs w:val="20"/>
                <w:lang w:val="es-GT" w:eastAsia="es-GT"/>
              </w:rPr>
              <w:t>83.6</w:t>
            </w:r>
          </w:p>
        </w:tc>
        <w:tc>
          <w:tcPr>
            <w:tcW w:w="1124"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b/>
                <w:bCs/>
                <w:color w:val="333333"/>
                <w:sz w:val="18"/>
                <w:szCs w:val="20"/>
                <w:lang w:val="es-GT" w:eastAsia="es-GT"/>
              </w:rPr>
            </w:pPr>
            <w:r w:rsidRPr="00FD69BB">
              <w:rPr>
                <w:b/>
                <w:bCs/>
                <w:color w:val="333333"/>
                <w:sz w:val="18"/>
                <w:szCs w:val="20"/>
                <w:lang w:val="es-GT" w:eastAsia="es-GT"/>
              </w:rPr>
              <w:t>78.1%</w:t>
            </w:r>
          </w:p>
        </w:tc>
      </w:tr>
      <w:tr w:rsidR="00AD5632" w:rsidRPr="00FD69BB" w:rsidTr="00092A19">
        <w:trPr>
          <w:trHeight w:val="332"/>
          <w:jc w:val="center"/>
        </w:trPr>
        <w:tc>
          <w:tcPr>
            <w:tcW w:w="3959"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60"/>
              <w:rPr>
                <w:color w:val="333333"/>
                <w:sz w:val="18"/>
                <w:szCs w:val="20"/>
                <w:lang w:val="es-GT" w:eastAsia="es-GT"/>
              </w:rPr>
            </w:pPr>
            <w:r w:rsidRPr="00FD69BB">
              <w:rPr>
                <w:color w:val="333333"/>
                <w:sz w:val="18"/>
                <w:szCs w:val="20"/>
                <w:lang w:val="es-GT" w:eastAsia="es-GT"/>
              </w:rPr>
              <w:t>ACTIVIDADES CENTRALES</w:t>
            </w:r>
          </w:p>
        </w:tc>
        <w:tc>
          <w:tcPr>
            <w:tcW w:w="1418"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183.3</w:t>
            </w:r>
          </w:p>
        </w:tc>
        <w:tc>
          <w:tcPr>
            <w:tcW w:w="141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164.3</w:t>
            </w:r>
          </w:p>
        </w:tc>
        <w:tc>
          <w:tcPr>
            <w:tcW w:w="1418"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19.1</w:t>
            </w:r>
          </w:p>
        </w:tc>
        <w:tc>
          <w:tcPr>
            <w:tcW w:w="1124"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89.6%</w:t>
            </w:r>
          </w:p>
        </w:tc>
      </w:tr>
      <w:tr w:rsidR="00AD5632" w:rsidRPr="00FD69BB" w:rsidTr="00092A19">
        <w:trPr>
          <w:trHeight w:val="332"/>
          <w:jc w:val="center"/>
        </w:trPr>
        <w:tc>
          <w:tcPr>
            <w:tcW w:w="3959"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60"/>
              <w:rPr>
                <w:color w:val="333333"/>
                <w:sz w:val="18"/>
                <w:szCs w:val="20"/>
                <w:lang w:val="es-GT" w:eastAsia="es-GT"/>
              </w:rPr>
            </w:pPr>
            <w:r w:rsidRPr="00FD69BB">
              <w:rPr>
                <w:color w:val="333333"/>
                <w:sz w:val="18"/>
                <w:szCs w:val="20"/>
                <w:lang w:val="es-GT" w:eastAsia="es-GT"/>
              </w:rPr>
              <w:t>ADMINISTRACIÓN FINANCIERA</w:t>
            </w:r>
          </w:p>
        </w:tc>
        <w:tc>
          <w:tcPr>
            <w:tcW w:w="1418"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131.1</w:t>
            </w:r>
          </w:p>
        </w:tc>
        <w:tc>
          <w:tcPr>
            <w:tcW w:w="141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99.6</w:t>
            </w:r>
          </w:p>
        </w:tc>
        <w:tc>
          <w:tcPr>
            <w:tcW w:w="1418"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31.6</w:t>
            </w:r>
          </w:p>
        </w:tc>
        <w:tc>
          <w:tcPr>
            <w:tcW w:w="1124"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75.9%</w:t>
            </w:r>
          </w:p>
        </w:tc>
      </w:tr>
      <w:tr w:rsidR="00AD5632" w:rsidRPr="00FD69BB" w:rsidTr="00092A19">
        <w:trPr>
          <w:trHeight w:val="332"/>
          <w:jc w:val="center"/>
        </w:trPr>
        <w:tc>
          <w:tcPr>
            <w:tcW w:w="3959"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60"/>
              <w:rPr>
                <w:color w:val="333333"/>
                <w:sz w:val="18"/>
                <w:szCs w:val="20"/>
                <w:lang w:val="es-GT" w:eastAsia="es-GT"/>
              </w:rPr>
            </w:pPr>
            <w:r w:rsidRPr="00FD69BB">
              <w:rPr>
                <w:color w:val="333333"/>
                <w:sz w:val="18"/>
                <w:szCs w:val="20"/>
                <w:lang w:val="es-GT" w:eastAsia="es-GT"/>
              </w:rPr>
              <w:t>ADMINISTRACIÓN DEL PATRIMONIO</w:t>
            </w:r>
          </w:p>
        </w:tc>
        <w:tc>
          <w:tcPr>
            <w:tcW w:w="1418"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22.8</w:t>
            </w:r>
          </w:p>
        </w:tc>
        <w:tc>
          <w:tcPr>
            <w:tcW w:w="141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23.9</w:t>
            </w:r>
          </w:p>
        </w:tc>
        <w:tc>
          <w:tcPr>
            <w:tcW w:w="1418"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-1.1</w:t>
            </w:r>
          </w:p>
        </w:tc>
        <w:tc>
          <w:tcPr>
            <w:tcW w:w="1124"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105.0%</w:t>
            </w:r>
          </w:p>
        </w:tc>
      </w:tr>
      <w:tr w:rsidR="00AD5632" w:rsidRPr="00FD69BB" w:rsidTr="00092A19">
        <w:trPr>
          <w:trHeight w:val="349"/>
          <w:jc w:val="center"/>
        </w:trPr>
        <w:tc>
          <w:tcPr>
            <w:tcW w:w="3959" w:type="dxa"/>
            <w:tcBorders>
              <w:top w:val="nil"/>
              <w:left w:val="single" w:sz="8" w:space="0" w:color="auto"/>
              <w:bottom w:val="single" w:sz="8" w:space="0" w:color="auto"/>
              <w:right w:val="single" w:sz="4" w:space="0" w:color="auto"/>
            </w:tcBorders>
            <w:shd w:val="clear" w:color="FFFFFF" w:fill="FFFFFF"/>
            <w:noWrap/>
            <w:vAlign w:val="bottom"/>
            <w:hideMark/>
          </w:tcPr>
          <w:p w:rsidR="00AD5632" w:rsidRPr="00FD69BB" w:rsidRDefault="00AD5632" w:rsidP="00BA0B4B">
            <w:pPr>
              <w:ind w:firstLineChars="200" w:firstLine="360"/>
              <w:rPr>
                <w:color w:val="333333"/>
                <w:sz w:val="18"/>
                <w:szCs w:val="20"/>
                <w:lang w:val="es-GT" w:eastAsia="es-GT"/>
              </w:rPr>
            </w:pPr>
            <w:r w:rsidRPr="00FD69BB">
              <w:rPr>
                <w:color w:val="333333"/>
                <w:sz w:val="18"/>
                <w:szCs w:val="20"/>
                <w:lang w:val="es-GT" w:eastAsia="es-GT"/>
              </w:rPr>
              <w:t>SERVICIOS DE IMPRENTA</w:t>
            </w:r>
          </w:p>
        </w:tc>
        <w:tc>
          <w:tcPr>
            <w:tcW w:w="1418" w:type="dxa"/>
            <w:tcBorders>
              <w:top w:val="nil"/>
              <w:left w:val="single" w:sz="4" w:space="0" w:color="auto"/>
              <w:bottom w:val="single" w:sz="8" w:space="0" w:color="auto"/>
              <w:right w:val="single" w:sz="4"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44.0</w:t>
            </w:r>
          </w:p>
        </w:tc>
        <w:tc>
          <w:tcPr>
            <w:tcW w:w="1417" w:type="dxa"/>
            <w:tcBorders>
              <w:top w:val="nil"/>
              <w:left w:val="nil"/>
              <w:bottom w:val="single" w:sz="8" w:space="0" w:color="auto"/>
              <w:right w:val="single" w:sz="4"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9.8</w:t>
            </w:r>
          </w:p>
        </w:tc>
        <w:tc>
          <w:tcPr>
            <w:tcW w:w="1418" w:type="dxa"/>
            <w:tcBorders>
              <w:top w:val="nil"/>
              <w:left w:val="nil"/>
              <w:bottom w:val="single" w:sz="8" w:space="0" w:color="auto"/>
              <w:right w:val="single" w:sz="4"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34.1</w:t>
            </w:r>
          </w:p>
        </w:tc>
        <w:tc>
          <w:tcPr>
            <w:tcW w:w="1124" w:type="dxa"/>
            <w:tcBorders>
              <w:top w:val="nil"/>
              <w:left w:val="nil"/>
              <w:bottom w:val="single" w:sz="8" w:space="0" w:color="auto"/>
              <w:right w:val="single" w:sz="8" w:space="0" w:color="auto"/>
            </w:tcBorders>
            <w:shd w:val="clear" w:color="FFFFFF" w:fill="FFFFFF"/>
            <w:noWrap/>
            <w:vAlign w:val="bottom"/>
            <w:hideMark/>
          </w:tcPr>
          <w:p w:rsidR="00AD5632" w:rsidRPr="00FD69BB" w:rsidRDefault="00AD5632" w:rsidP="00BA0B4B">
            <w:pPr>
              <w:jc w:val="right"/>
              <w:rPr>
                <w:color w:val="333333"/>
                <w:sz w:val="18"/>
                <w:szCs w:val="20"/>
                <w:lang w:val="es-GT" w:eastAsia="es-GT"/>
              </w:rPr>
            </w:pPr>
            <w:r w:rsidRPr="00FD69BB">
              <w:rPr>
                <w:color w:val="333333"/>
                <w:sz w:val="18"/>
                <w:szCs w:val="20"/>
                <w:lang w:val="es-GT" w:eastAsia="es-GT"/>
              </w:rPr>
              <w:t>22.4%</w:t>
            </w:r>
          </w:p>
        </w:tc>
      </w:tr>
    </w:tbl>
    <w:p w:rsidR="00AD5632" w:rsidRPr="004E678D" w:rsidRDefault="00AD5632" w:rsidP="00AD5632">
      <w:pPr>
        <w:jc w:val="both"/>
        <w:rPr>
          <w:sz w:val="18"/>
        </w:rPr>
      </w:pPr>
      <w:r>
        <w:rPr>
          <w:sz w:val="18"/>
        </w:rPr>
        <w:fldChar w:fldCharType="end"/>
      </w:r>
      <w:r>
        <w:rPr>
          <w:sz w:val="18"/>
        </w:rPr>
        <w:t xml:space="preserve"> </w:t>
      </w:r>
      <w:r w:rsidRPr="004E678D">
        <w:rPr>
          <w:sz w:val="18"/>
        </w:rPr>
        <w:t>Fuente: Ministerio de Finanzas Públicas</w:t>
      </w:r>
      <w:r>
        <w:rPr>
          <w:sz w:val="18"/>
        </w:rPr>
        <w:t>.</w:t>
      </w:r>
    </w:p>
    <w:p w:rsidR="00AD5632" w:rsidRDefault="00AD5632" w:rsidP="00AD5632">
      <w:pPr>
        <w:jc w:val="both"/>
      </w:pPr>
    </w:p>
    <w:p w:rsidR="00437653" w:rsidRPr="00D108FD" w:rsidRDefault="00437653" w:rsidP="00AD5632">
      <w:pPr>
        <w:jc w:val="both"/>
      </w:pPr>
    </w:p>
    <w:p w:rsidR="00AD5632" w:rsidRDefault="00AD5632" w:rsidP="00AD5632">
      <w:pPr>
        <w:jc w:val="both"/>
        <w:rPr>
          <w:b/>
        </w:rPr>
      </w:pPr>
      <w:r w:rsidRPr="00D108FD">
        <w:rPr>
          <w:b/>
        </w:rPr>
        <w:t>Ministerio de Educación</w:t>
      </w:r>
      <w:r>
        <w:rPr>
          <w:b/>
        </w:rPr>
        <w:t>:</w:t>
      </w:r>
    </w:p>
    <w:p w:rsidR="00AD5632" w:rsidRPr="00D108FD" w:rsidRDefault="00AD5632" w:rsidP="00AD5632">
      <w:pPr>
        <w:jc w:val="both"/>
        <w:rPr>
          <w:b/>
        </w:rPr>
      </w:pPr>
    </w:p>
    <w:p w:rsidR="00AD5632" w:rsidRDefault="00AD5632" w:rsidP="00AD5632">
      <w:pPr>
        <w:jc w:val="both"/>
      </w:pPr>
      <w:r w:rsidRPr="00D108FD">
        <w:t xml:space="preserve">Este </w:t>
      </w:r>
      <w:r>
        <w:t>M</w:t>
      </w:r>
      <w:r w:rsidRPr="00D108FD">
        <w:t>inisterio tuvo un presupuesto</w:t>
      </w:r>
      <w:r>
        <w:t xml:space="preserve"> aprobado</w:t>
      </w:r>
      <w:r w:rsidRPr="00D108FD">
        <w:t xml:space="preserve"> de </w:t>
      </w:r>
      <w:r>
        <w:t>Q.</w:t>
      </w:r>
      <w:r w:rsidRPr="00D108FD">
        <w:t>1</w:t>
      </w:r>
      <w:r>
        <w:t>7</w:t>
      </w:r>
      <w:r w:rsidRPr="00D108FD">
        <w:t>,</w:t>
      </w:r>
      <w:r>
        <w:t>598.1</w:t>
      </w:r>
      <w:r w:rsidRPr="00D108FD">
        <w:t xml:space="preserve"> millones y una ejecución presupuestaria de </w:t>
      </w:r>
      <w:r>
        <w:t>Q.17</w:t>
      </w:r>
      <w:r w:rsidRPr="00D108FD">
        <w:t>,</w:t>
      </w:r>
      <w:r>
        <w:t>300.2</w:t>
      </w:r>
      <w:r w:rsidRPr="00D108FD">
        <w:t xml:space="preserve"> millones</w:t>
      </w:r>
      <w:r w:rsidR="00762162">
        <w:t>,</w:t>
      </w:r>
      <w:r w:rsidRPr="00D108FD">
        <w:t xml:space="preserve"> equivalente</w:t>
      </w:r>
      <w:r>
        <w:t>s</w:t>
      </w:r>
      <w:r w:rsidRPr="00D108FD">
        <w:t xml:space="preserve"> al </w:t>
      </w:r>
      <w:r>
        <w:t>98.3</w:t>
      </w:r>
      <w:r w:rsidRPr="00D108FD">
        <w:t>%.</w:t>
      </w:r>
      <w:r>
        <w:t xml:space="preserve"> </w:t>
      </w:r>
      <w:r w:rsidRPr="00D108FD">
        <w:t>El programa con mayor ejecución presupuestaria fue “Educación Escolar de Primaria” con un presupuesto</w:t>
      </w:r>
      <w:r>
        <w:t xml:space="preserve"> aprobado</w:t>
      </w:r>
      <w:r w:rsidRPr="00D108FD">
        <w:t xml:space="preserve"> de </w:t>
      </w:r>
      <w:r>
        <w:t>Q.10</w:t>
      </w:r>
      <w:r w:rsidRPr="00D108FD">
        <w:t>,</w:t>
      </w:r>
      <w:r>
        <w:t>061.2</w:t>
      </w:r>
      <w:r w:rsidRPr="00D108FD">
        <w:t xml:space="preserve"> millones, una ejecución presupuestaria de </w:t>
      </w:r>
      <w:r>
        <w:t>Q.9</w:t>
      </w:r>
      <w:r w:rsidRPr="00D108FD">
        <w:t>,</w:t>
      </w:r>
      <w:r>
        <w:t>730.8</w:t>
      </w:r>
      <w:r w:rsidRPr="00D108FD">
        <w:t xml:space="preserve"> millones</w:t>
      </w:r>
      <w:r w:rsidR="00762162">
        <w:t>,</w:t>
      </w:r>
      <w:r w:rsidRPr="00D108FD">
        <w:t xml:space="preserve"> equivalente</w:t>
      </w:r>
      <w:r>
        <w:t>s</w:t>
      </w:r>
      <w:r w:rsidRPr="00D108FD">
        <w:t xml:space="preserve"> al </w:t>
      </w:r>
      <w:r>
        <w:t>96.7</w:t>
      </w:r>
      <w:r w:rsidRPr="00D108FD">
        <w:t>%.</w:t>
      </w:r>
    </w:p>
    <w:p w:rsidR="00AD5632" w:rsidRDefault="00AD5632" w:rsidP="00AD5632">
      <w:pPr>
        <w:jc w:val="both"/>
      </w:pPr>
    </w:p>
    <w:p w:rsidR="006941A5" w:rsidRPr="00D108FD" w:rsidRDefault="006941A5" w:rsidP="00AD5632">
      <w:pPr>
        <w:jc w:val="both"/>
      </w:pPr>
    </w:p>
    <w:p w:rsidR="00AD5632" w:rsidRDefault="00AD5632" w:rsidP="00AD5632">
      <w:pPr>
        <w:jc w:val="both"/>
      </w:pPr>
      <w:r>
        <w:t xml:space="preserve">Le sigue </w:t>
      </w:r>
      <w:r w:rsidRPr="00D108FD">
        <w:t xml:space="preserve">el programa “Educación Escolar de Preprimaria” con un presupuesto de </w:t>
      </w:r>
      <w:r>
        <w:t>Q.</w:t>
      </w:r>
      <w:r w:rsidRPr="00D108FD">
        <w:t>1,</w:t>
      </w:r>
      <w:r>
        <w:t>807.1</w:t>
      </w:r>
      <w:r w:rsidRPr="00D108FD">
        <w:t xml:space="preserve"> millones, y una ejecución presupuestaria de </w:t>
      </w:r>
      <w:r>
        <w:t>Q.2</w:t>
      </w:r>
      <w:r w:rsidRPr="00D108FD">
        <w:t>,</w:t>
      </w:r>
      <w:r>
        <w:t>308.0</w:t>
      </w:r>
      <w:r w:rsidRPr="00D108FD">
        <w:t xml:space="preserve"> millones</w:t>
      </w:r>
      <w:r w:rsidR="00762162">
        <w:t>,</w:t>
      </w:r>
      <w:r w:rsidRPr="00D108FD">
        <w:t xml:space="preserve"> equivalente</w:t>
      </w:r>
      <w:r>
        <w:t>s</w:t>
      </w:r>
      <w:r w:rsidRPr="00D108FD">
        <w:t xml:space="preserve"> al </w:t>
      </w:r>
      <w:r>
        <w:t>127.7</w:t>
      </w:r>
      <w:r w:rsidRPr="00D108FD">
        <w:t>%</w:t>
      </w:r>
      <w:r>
        <w:t>, es decir, estuvo Q</w:t>
      </w:r>
      <w:r w:rsidR="00762162">
        <w:t>.</w:t>
      </w:r>
      <w:r>
        <w:t>501.0 millones por arriba</w:t>
      </w:r>
      <w:r w:rsidRPr="00D108FD">
        <w:t>.</w:t>
      </w:r>
      <w:r>
        <w:t xml:space="preserve"> Le sigue</w:t>
      </w:r>
      <w:r w:rsidRPr="00D108FD">
        <w:t xml:space="preserve"> </w:t>
      </w:r>
      <w:r>
        <w:t>e</w:t>
      </w:r>
      <w:r w:rsidRPr="00D108FD">
        <w:t xml:space="preserve">l programa </w:t>
      </w:r>
      <w:r>
        <w:t xml:space="preserve">de </w:t>
      </w:r>
      <w:r w:rsidRPr="00D108FD">
        <w:t xml:space="preserve">“Apoyo para el Consumo Adecuado de Alimentos” con un presupuesto de </w:t>
      </w:r>
      <w:r>
        <w:t>Q.</w:t>
      </w:r>
      <w:r w:rsidRPr="00D108FD">
        <w:t>1,</w:t>
      </w:r>
      <w:r>
        <w:t>879.2</w:t>
      </w:r>
      <w:r w:rsidRPr="00D108FD">
        <w:t xml:space="preserve"> millones y una ejecución de </w:t>
      </w:r>
      <w:r>
        <w:t>Q.</w:t>
      </w:r>
      <w:r w:rsidRPr="00D108FD">
        <w:t>1,</w:t>
      </w:r>
      <w:r>
        <w:t>901.3</w:t>
      </w:r>
      <w:r w:rsidRPr="00D108FD">
        <w:t xml:space="preserve"> millones</w:t>
      </w:r>
      <w:r w:rsidR="009C259D">
        <w:t>,</w:t>
      </w:r>
      <w:r w:rsidRPr="00D108FD">
        <w:t xml:space="preserve"> equivalente</w:t>
      </w:r>
      <w:r>
        <w:t>s</w:t>
      </w:r>
      <w:r w:rsidRPr="00D108FD">
        <w:t xml:space="preserve"> al </w:t>
      </w:r>
      <w:r>
        <w:t>101.2</w:t>
      </w:r>
      <w:r w:rsidRPr="00D108FD">
        <w:t>%.</w:t>
      </w:r>
    </w:p>
    <w:p w:rsidR="00AD5632" w:rsidRPr="006941A5" w:rsidRDefault="00AD5632" w:rsidP="00AD5632">
      <w:pPr>
        <w:jc w:val="both"/>
        <w:rPr>
          <w:sz w:val="32"/>
        </w:rPr>
      </w:pPr>
    </w:p>
    <w:p w:rsidR="00AD5632" w:rsidRDefault="00AD5632" w:rsidP="00AD5632">
      <w:pPr>
        <w:jc w:val="both"/>
      </w:pPr>
      <w:r w:rsidRPr="00D108FD">
        <w:t>El Programa de “Educación Escolar Básica” tuvo un presupuesto</w:t>
      </w:r>
      <w:r>
        <w:t xml:space="preserve"> aprobado</w:t>
      </w:r>
      <w:r w:rsidRPr="00D108FD">
        <w:t xml:space="preserve"> de </w:t>
      </w:r>
      <w:r>
        <w:t>Q.1,053.8</w:t>
      </w:r>
      <w:r w:rsidRPr="00D108FD">
        <w:t xml:space="preserve"> millones </w:t>
      </w:r>
      <w:r>
        <w:t>con un</w:t>
      </w:r>
      <w:r w:rsidRPr="00D108FD">
        <w:t xml:space="preserve">a ejecución presupuestaria de </w:t>
      </w:r>
      <w:r>
        <w:t>Q.1,117.6</w:t>
      </w:r>
      <w:r w:rsidRPr="00D108FD">
        <w:t xml:space="preserve"> millones</w:t>
      </w:r>
      <w:r w:rsidR="00AC5806">
        <w:t>,</w:t>
      </w:r>
      <w:r w:rsidRPr="00D108FD">
        <w:t xml:space="preserve"> equivalente</w:t>
      </w:r>
      <w:r>
        <w:t>s</w:t>
      </w:r>
      <w:r w:rsidRPr="00D108FD">
        <w:t xml:space="preserve"> al </w:t>
      </w:r>
      <w:r>
        <w:t>106.1</w:t>
      </w:r>
      <w:r w:rsidRPr="00D108FD">
        <w:t>%.</w:t>
      </w:r>
    </w:p>
    <w:p w:rsidR="00AD5632" w:rsidRPr="006941A5" w:rsidRDefault="00AD5632" w:rsidP="00AD5632">
      <w:pPr>
        <w:jc w:val="both"/>
        <w:rPr>
          <w:sz w:val="32"/>
        </w:rPr>
      </w:pPr>
    </w:p>
    <w:p w:rsidR="00AD5632" w:rsidRDefault="00AD5632" w:rsidP="00AD5632">
      <w:pPr>
        <w:jc w:val="both"/>
      </w:pPr>
      <w:r>
        <w:t>L</w:t>
      </w:r>
      <w:r w:rsidRPr="00D108FD">
        <w:t xml:space="preserve">as Partidas No Asignables a Programas, </w:t>
      </w:r>
      <w:r>
        <w:t>tuvieron</w:t>
      </w:r>
      <w:r w:rsidRPr="00D108FD">
        <w:t xml:space="preserve"> un presupuesto</w:t>
      </w:r>
      <w:r>
        <w:t xml:space="preserve"> aprobado</w:t>
      </w:r>
      <w:r w:rsidRPr="00D108FD">
        <w:t xml:space="preserve"> de </w:t>
      </w:r>
      <w:r>
        <w:t>Q.</w:t>
      </w:r>
      <w:r w:rsidRPr="00D108FD">
        <w:t>5</w:t>
      </w:r>
      <w:r>
        <w:t>8</w:t>
      </w:r>
      <w:r w:rsidRPr="00D108FD">
        <w:t>5.</w:t>
      </w:r>
      <w:r>
        <w:t>5</w:t>
      </w:r>
      <w:r w:rsidRPr="00D108FD">
        <w:t xml:space="preserve"> millones y una ejecución presupuestaria de </w:t>
      </w:r>
      <w:r>
        <w:t>Q.508.4</w:t>
      </w:r>
      <w:r w:rsidRPr="00D108FD">
        <w:t xml:space="preserve"> millones</w:t>
      </w:r>
      <w:r w:rsidR="00AC5806">
        <w:t>,</w:t>
      </w:r>
      <w:r w:rsidRPr="00D108FD">
        <w:t xml:space="preserve"> equivalente</w:t>
      </w:r>
      <w:r>
        <w:t xml:space="preserve">s </w:t>
      </w:r>
      <w:r w:rsidRPr="00D108FD">
        <w:t xml:space="preserve">al </w:t>
      </w:r>
      <w:r>
        <w:t>86.8</w:t>
      </w:r>
      <w:r w:rsidRPr="00D108FD">
        <w:t>%</w:t>
      </w:r>
      <w:r>
        <w:t>. Es importante comentar que</w:t>
      </w:r>
      <w:r w:rsidRPr="00D108FD">
        <w:t xml:space="preserve"> bajo este rubro se registran los aportes a las escuelas e institutos por cooperativa y al Comité Nacional de Alfabetización</w:t>
      </w:r>
      <w:r w:rsidR="00AC5806">
        <w:t xml:space="preserve"> (CONALFA)</w:t>
      </w:r>
      <w:r w:rsidRPr="00D108FD">
        <w:t>.</w:t>
      </w:r>
    </w:p>
    <w:p w:rsidR="00AD5632" w:rsidRPr="006941A5" w:rsidRDefault="00AD5632" w:rsidP="00AD5632">
      <w:pPr>
        <w:jc w:val="both"/>
        <w:rPr>
          <w:sz w:val="32"/>
        </w:rPr>
      </w:pPr>
    </w:p>
    <w:p w:rsidR="00AD5632" w:rsidRDefault="00AD5632" w:rsidP="00AD5632">
      <w:pPr>
        <w:jc w:val="both"/>
      </w:pPr>
      <w:r w:rsidRPr="00D108FD">
        <w:t xml:space="preserve">El programa de “Educación Diversificada” tuvo un presupuesto de </w:t>
      </w:r>
      <w:r>
        <w:t>Q.556.7 millones y</w:t>
      </w:r>
      <w:r w:rsidRPr="00D108FD">
        <w:t xml:space="preserve"> una ejecución de </w:t>
      </w:r>
      <w:r>
        <w:t>Q.</w:t>
      </w:r>
      <w:r w:rsidRPr="00D108FD">
        <w:t>4</w:t>
      </w:r>
      <w:r>
        <w:t>63.2</w:t>
      </w:r>
      <w:r w:rsidRPr="00D108FD">
        <w:t xml:space="preserve"> millones</w:t>
      </w:r>
      <w:r w:rsidR="00E616F2">
        <w:t>,</w:t>
      </w:r>
      <w:r w:rsidRPr="00D108FD">
        <w:t xml:space="preserve"> equivalente</w:t>
      </w:r>
      <w:r>
        <w:t>s</w:t>
      </w:r>
      <w:r w:rsidRPr="00D108FD">
        <w:t xml:space="preserve"> al </w:t>
      </w:r>
      <w:r>
        <w:t>83.2</w:t>
      </w:r>
      <w:r w:rsidRPr="00D108FD">
        <w:t>%.</w:t>
      </w:r>
    </w:p>
    <w:p w:rsidR="00AD5632" w:rsidRPr="006941A5" w:rsidRDefault="00AD5632" w:rsidP="00AD5632">
      <w:pPr>
        <w:jc w:val="both"/>
        <w:rPr>
          <w:sz w:val="32"/>
        </w:rPr>
      </w:pPr>
    </w:p>
    <w:p w:rsidR="00AD5632" w:rsidRDefault="00AD5632" w:rsidP="00AD5632">
      <w:pPr>
        <w:jc w:val="both"/>
      </w:pPr>
      <w:r w:rsidRPr="00D108FD">
        <w:t xml:space="preserve">El programa que se refiere a las Actividades Centrales tuvo un presupuesto de </w:t>
      </w:r>
      <w:r>
        <w:t>Q.635.7</w:t>
      </w:r>
      <w:r w:rsidRPr="00D108FD">
        <w:t xml:space="preserve"> millones y </w:t>
      </w:r>
      <w:r>
        <w:t>su</w:t>
      </w:r>
      <w:r w:rsidRPr="00D108FD">
        <w:t xml:space="preserve"> ejecución presupuestaria fue de </w:t>
      </w:r>
      <w:r>
        <w:t xml:space="preserve">Q.521.2 </w:t>
      </w:r>
      <w:r w:rsidRPr="00D108FD">
        <w:t>millones</w:t>
      </w:r>
      <w:r w:rsidR="00E616F2">
        <w:t>,</w:t>
      </w:r>
      <w:r w:rsidRPr="00D108FD">
        <w:t xml:space="preserve"> equivalente</w:t>
      </w:r>
      <w:r>
        <w:t>s</w:t>
      </w:r>
      <w:r w:rsidRPr="00D108FD">
        <w:t xml:space="preserve"> al </w:t>
      </w:r>
      <w:r>
        <w:t>82.0</w:t>
      </w:r>
      <w:r w:rsidRPr="00D108FD">
        <w:t>%.</w:t>
      </w:r>
    </w:p>
    <w:p w:rsidR="00AD5632" w:rsidRPr="006941A5" w:rsidRDefault="00AD5632" w:rsidP="00AD5632">
      <w:pPr>
        <w:jc w:val="both"/>
        <w:rPr>
          <w:sz w:val="32"/>
        </w:rPr>
      </w:pPr>
    </w:p>
    <w:p w:rsidR="00AD5632" w:rsidRDefault="00AD5632" w:rsidP="00AD5632">
      <w:pPr>
        <w:jc w:val="both"/>
      </w:pPr>
      <w:r>
        <w:t>En los registros de ejecución hay programas con actividades comunes para atender los diferentes niveles de educación que en su conjunto se presupuestaron Q.898.5 millones, en tanto que los registros preliminares de ejecución reportan Q.654.8 millones.</w:t>
      </w:r>
    </w:p>
    <w:p w:rsidR="00AD5632" w:rsidRPr="006941A5" w:rsidRDefault="00AD5632" w:rsidP="00AD5632">
      <w:pPr>
        <w:jc w:val="both"/>
        <w:rPr>
          <w:sz w:val="32"/>
        </w:rPr>
      </w:pPr>
    </w:p>
    <w:p w:rsidR="00AD5632" w:rsidRDefault="00AD5632" w:rsidP="00AD5632">
      <w:pPr>
        <w:jc w:val="both"/>
      </w:pPr>
      <w:r>
        <w:t>El programa de “Educación Extraescolar” tuvo un presupuesto asignado de Q</w:t>
      </w:r>
      <w:r w:rsidR="00E616F2">
        <w:t>.</w:t>
      </w:r>
      <w:r>
        <w:t>117.1 millones y una ejecución de Q</w:t>
      </w:r>
      <w:r w:rsidR="00E616F2">
        <w:t>.</w:t>
      </w:r>
      <w:r>
        <w:t>86.6 millones, equivalentes al 74.0%.</w:t>
      </w:r>
    </w:p>
    <w:p w:rsidR="00B179BA" w:rsidRPr="006941A5" w:rsidRDefault="00B179BA" w:rsidP="00AD5632">
      <w:pPr>
        <w:jc w:val="both"/>
      </w:pPr>
    </w:p>
    <w:p w:rsidR="00AD5632" w:rsidRDefault="00AD5632" w:rsidP="00AD5632">
      <w:pPr>
        <w:jc w:val="both"/>
        <w:rPr>
          <w:rFonts w:ascii="Calibri" w:eastAsia="Calibri" w:hAnsi="Calibri"/>
          <w:sz w:val="20"/>
          <w:szCs w:val="20"/>
          <w:lang w:val="es-GT" w:eastAsia="es-GT"/>
        </w:rPr>
      </w:pPr>
      <w:r>
        <w:rPr>
          <w:sz w:val="18"/>
        </w:rPr>
        <w:fldChar w:fldCharType="begin"/>
      </w:r>
      <w:r>
        <w:rPr>
          <w:sz w:val="18"/>
        </w:rPr>
        <w:instrText xml:space="preserve"> LINK Excel.Sheet.12 "C:\\Users\\deefoper12\\Documents\\Mis Documentos\\2022\\DTF 2022\\Informe fin de año 2021\\Cuadros para Informe de Fin de Año 2021..xlsx" "Entidad Programa!F53C2:F66C6" \a \f 4 \h  \* MERGEFORMAT </w:instrText>
      </w:r>
      <w:r>
        <w:rPr>
          <w:sz w:val="18"/>
        </w:rPr>
        <w:fldChar w:fldCharType="separate"/>
      </w:r>
    </w:p>
    <w:tbl>
      <w:tblPr>
        <w:tblW w:w="9441" w:type="dxa"/>
        <w:tblCellMar>
          <w:left w:w="70" w:type="dxa"/>
          <w:right w:w="70" w:type="dxa"/>
        </w:tblCellMar>
        <w:tblLook w:val="04A0" w:firstRow="1" w:lastRow="0" w:firstColumn="1" w:lastColumn="0" w:noHBand="0" w:noVBand="1"/>
      </w:tblPr>
      <w:tblGrid>
        <w:gridCol w:w="5945"/>
        <w:gridCol w:w="924"/>
        <w:gridCol w:w="947"/>
        <w:gridCol w:w="924"/>
        <w:gridCol w:w="701"/>
      </w:tblGrid>
      <w:tr w:rsidR="00AD5632" w:rsidRPr="00D3707D" w:rsidTr="00BB6B23">
        <w:trPr>
          <w:trHeight w:val="251"/>
        </w:trPr>
        <w:tc>
          <w:tcPr>
            <w:tcW w:w="5945"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AD5632" w:rsidRPr="00D3707D" w:rsidRDefault="00AD5632" w:rsidP="00BB6B23">
            <w:pPr>
              <w:jc w:val="center"/>
              <w:rPr>
                <w:b/>
                <w:bCs/>
                <w:color w:val="000000"/>
                <w:sz w:val="16"/>
                <w:szCs w:val="20"/>
                <w:lang w:val="es-GT" w:eastAsia="es-GT"/>
              </w:rPr>
            </w:pPr>
            <w:r w:rsidRPr="00D3707D">
              <w:rPr>
                <w:b/>
                <w:bCs/>
                <w:color w:val="000000"/>
                <w:sz w:val="16"/>
                <w:szCs w:val="20"/>
                <w:lang w:val="es-GT" w:eastAsia="es-GT"/>
              </w:rPr>
              <w:t>DESCRIPCI</w:t>
            </w:r>
            <w:r w:rsidR="00437653">
              <w:rPr>
                <w:b/>
                <w:bCs/>
                <w:color w:val="000000"/>
                <w:sz w:val="16"/>
                <w:szCs w:val="20"/>
                <w:lang w:val="es-GT" w:eastAsia="es-GT"/>
              </w:rPr>
              <w:t>Ó</w:t>
            </w:r>
            <w:r w:rsidRPr="00D3707D">
              <w:rPr>
                <w:b/>
                <w:bCs/>
                <w:color w:val="000000"/>
                <w:sz w:val="16"/>
                <w:szCs w:val="20"/>
                <w:lang w:val="es-GT" w:eastAsia="es-GT"/>
              </w:rPr>
              <w:t>N</w:t>
            </w:r>
          </w:p>
        </w:tc>
        <w:tc>
          <w:tcPr>
            <w:tcW w:w="924"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FD69BB" w:rsidRDefault="00AD5632" w:rsidP="00BB6B23">
            <w:pPr>
              <w:jc w:val="center"/>
              <w:rPr>
                <w:b/>
                <w:bCs/>
                <w:color w:val="000000"/>
                <w:sz w:val="16"/>
                <w:szCs w:val="20"/>
                <w:lang w:val="es-GT" w:eastAsia="es-GT"/>
              </w:rPr>
            </w:pPr>
            <w:r w:rsidRPr="00FD69BB">
              <w:rPr>
                <w:b/>
                <w:bCs/>
                <w:color w:val="000000"/>
                <w:sz w:val="16"/>
                <w:szCs w:val="20"/>
                <w:lang w:val="es-GT" w:eastAsia="es-GT"/>
              </w:rPr>
              <w:t>Asignado</w:t>
            </w:r>
          </w:p>
        </w:tc>
        <w:tc>
          <w:tcPr>
            <w:tcW w:w="947"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FD69BB" w:rsidRDefault="00AD5632" w:rsidP="00BB6B23">
            <w:pPr>
              <w:jc w:val="center"/>
              <w:rPr>
                <w:b/>
                <w:bCs/>
                <w:color w:val="000000"/>
                <w:sz w:val="16"/>
                <w:szCs w:val="20"/>
                <w:lang w:val="es-GT" w:eastAsia="es-GT"/>
              </w:rPr>
            </w:pPr>
            <w:r w:rsidRPr="00FD69BB">
              <w:rPr>
                <w:b/>
                <w:bCs/>
                <w:color w:val="000000"/>
                <w:sz w:val="16"/>
                <w:szCs w:val="20"/>
                <w:lang w:val="es-GT" w:eastAsia="es-GT"/>
              </w:rPr>
              <w:t>Ejecu</w:t>
            </w:r>
            <w:r w:rsidR="00CE3879">
              <w:rPr>
                <w:b/>
                <w:bCs/>
                <w:color w:val="000000"/>
                <w:sz w:val="16"/>
                <w:szCs w:val="20"/>
                <w:lang w:val="es-GT" w:eastAsia="es-GT"/>
              </w:rPr>
              <w:t>tado</w:t>
            </w:r>
          </w:p>
        </w:tc>
        <w:tc>
          <w:tcPr>
            <w:tcW w:w="924"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FD69BB" w:rsidRDefault="00AD5632" w:rsidP="00BB6B23">
            <w:pPr>
              <w:jc w:val="center"/>
              <w:rPr>
                <w:b/>
                <w:bCs/>
                <w:color w:val="000000"/>
                <w:sz w:val="16"/>
                <w:szCs w:val="20"/>
                <w:lang w:val="es-GT" w:eastAsia="es-GT"/>
              </w:rPr>
            </w:pPr>
            <w:r w:rsidRPr="00FD69BB">
              <w:rPr>
                <w:b/>
                <w:bCs/>
                <w:color w:val="000000"/>
                <w:sz w:val="16"/>
                <w:szCs w:val="20"/>
                <w:lang w:val="es-GT" w:eastAsia="es-GT"/>
              </w:rPr>
              <w:t>Diferencias</w:t>
            </w:r>
          </w:p>
        </w:tc>
        <w:tc>
          <w:tcPr>
            <w:tcW w:w="701" w:type="dxa"/>
            <w:tcBorders>
              <w:top w:val="single" w:sz="8" w:space="0" w:color="auto"/>
              <w:left w:val="nil"/>
              <w:bottom w:val="single" w:sz="4" w:space="0" w:color="auto"/>
              <w:right w:val="single" w:sz="8" w:space="0" w:color="auto"/>
            </w:tcBorders>
            <w:shd w:val="clear" w:color="000000" w:fill="8DB4E2"/>
            <w:noWrap/>
            <w:vAlign w:val="center"/>
            <w:hideMark/>
          </w:tcPr>
          <w:p w:rsidR="00AD5632" w:rsidRPr="00FD69BB" w:rsidRDefault="00AD5632" w:rsidP="00BB6B23">
            <w:pPr>
              <w:jc w:val="center"/>
              <w:rPr>
                <w:b/>
                <w:bCs/>
                <w:color w:val="000000"/>
                <w:sz w:val="16"/>
                <w:szCs w:val="20"/>
                <w:lang w:val="es-GT" w:eastAsia="es-GT"/>
              </w:rPr>
            </w:pPr>
            <w:r w:rsidRPr="00FD69BB">
              <w:rPr>
                <w:b/>
                <w:bCs/>
                <w:color w:val="000000"/>
                <w:sz w:val="16"/>
                <w:szCs w:val="20"/>
                <w:lang w:val="es-GT" w:eastAsia="es-GT"/>
              </w:rPr>
              <w:t>% Ejec</w:t>
            </w:r>
          </w:p>
        </w:tc>
      </w:tr>
      <w:tr w:rsidR="00AD5632" w:rsidRPr="00D3707D" w:rsidTr="00BA0B4B">
        <w:trPr>
          <w:trHeight w:val="251"/>
        </w:trPr>
        <w:tc>
          <w:tcPr>
            <w:tcW w:w="5945"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rPr>
                <w:b/>
                <w:bCs/>
                <w:color w:val="333333"/>
                <w:sz w:val="16"/>
                <w:szCs w:val="20"/>
                <w:lang w:val="es-GT" w:eastAsia="es-GT"/>
              </w:rPr>
            </w:pPr>
            <w:r w:rsidRPr="00FD69BB">
              <w:rPr>
                <w:b/>
                <w:bCs/>
                <w:color w:val="333333"/>
                <w:sz w:val="16"/>
                <w:szCs w:val="20"/>
                <w:lang w:val="es-GT" w:eastAsia="es-GT"/>
              </w:rPr>
              <w:t>MINISTERIO DE EDUCACIÓN</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b/>
                <w:bCs/>
                <w:color w:val="333333"/>
                <w:sz w:val="16"/>
                <w:szCs w:val="20"/>
                <w:lang w:val="es-GT" w:eastAsia="es-GT"/>
              </w:rPr>
            </w:pPr>
            <w:r w:rsidRPr="00FD69BB">
              <w:rPr>
                <w:b/>
                <w:bCs/>
                <w:color w:val="333333"/>
                <w:sz w:val="16"/>
                <w:szCs w:val="20"/>
                <w:lang w:val="es-GT" w:eastAsia="es-GT"/>
              </w:rPr>
              <w:t>17,598.1</w:t>
            </w:r>
          </w:p>
        </w:tc>
        <w:tc>
          <w:tcPr>
            <w:tcW w:w="94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b/>
                <w:bCs/>
                <w:color w:val="333333"/>
                <w:sz w:val="16"/>
                <w:szCs w:val="20"/>
                <w:lang w:val="es-GT" w:eastAsia="es-GT"/>
              </w:rPr>
            </w:pPr>
            <w:r w:rsidRPr="00FD69BB">
              <w:rPr>
                <w:b/>
                <w:bCs/>
                <w:color w:val="333333"/>
                <w:sz w:val="16"/>
                <w:szCs w:val="20"/>
                <w:lang w:val="es-GT" w:eastAsia="es-GT"/>
              </w:rPr>
              <w:t>17,300.2</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b/>
                <w:bCs/>
                <w:color w:val="333333"/>
                <w:sz w:val="16"/>
                <w:szCs w:val="20"/>
                <w:lang w:val="es-GT" w:eastAsia="es-GT"/>
              </w:rPr>
            </w:pPr>
            <w:r w:rsidRPr="00FD69BB">
              <w:rPr>
                <w:b/>
                <w:bCs/>
                <w:color w:val="333333"/>
                <w:sz w:val="16"/>
                <w:szCs w:val="20"/>
                <w:lang w:val="es-GT" w:eastAsia="es-GT"/>
              </w:rPr>
              <w:t>297.9</w:t>
            </w:r>
          </w:p>
        </w:tc>
        <w:tc>
          <w:tcPr>
            <w:tcW w:w="701"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b/>
                <w:bCs/>
                <w:color w:val="333333"/>
                <w:sz w:val="16"/>
                <w:szCs w:val="20"/>
                <w:lang w:val="es-GT" w:eastAsia="es-GT"/>
              </w:rPr>
            </w:pPr>
            <w:r w:rsidRPr="00FD69BB">
              <w:rPr>
                <w:b/>
                <w:bCs/>
                <w:color w:val="333333"/>
                <w:sz w:val="16"/>
                <w:szCs w:val="20"/>
                <w:lang w:val="es-GT" w:eastAsia="es-GT"/>
              </w:rPr>
              <w:t>98.3%</w:t>
            </w:r>
          </w:p>
        </w:tc>
      </w:tr>
      <w:tr w:rsidR="00AD5632" w:rsidRPr="00D3707D" w:rsidTr="00BA0B4B">
        <w:trPr>
          <w:trHeight w:val="251"/>
        </w:trPr>
        <w:tc>
          <w:tcPr>
            <w:tcW w:w="5945"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20"/>
              <w:rPr>
                <w:color w:val="333333"/>
                <w:sz w:val="16"/>
                <w:szCs w:val="20"/>
                <w:lang w:val="es-GT" w:eastAsia="es-GT"/>
              </w:rPr>
            </w:pPr>
            <w:r w:rsidRPr="00FD69BB">
              <w:rPr>
                <w:color w:val="333333"/>
                <w:sz w:val="16"/>
                <w:szCs w:val="20"/>
                <w:lang w:val="es-GT" w:eastAsia="es-GT"/>
              </w:rPr>
              <w:t>EDUCACIÓN ESCOLAR DE PRIMARIA</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10,061.2</w:t>
            </w:r>
          </w:p>
        </w:tc>
        <w:tc>
          <w:tcPr>
            <w:tcW w:w="94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9,730.8</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330.4</w:t>
            </w:r>
          </w:p>
        </w:tc>
        <w:tc>
          <w:tcPr>
            <w:tcW w:w="701"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96.7%</w:t>
            </w:r>
          </w:p>
        </w:tc>
      </w:tr>
      <w:tr w:rsidR="00AD5632" w:rsidRPr="00D3707D" w:rsidTr="00BA0B4B">
        <w:trPr>
          <w:trHeight w:val="251"/>
        </w:trPr>
        <w:tc>
          <w:tcPr>
            <w:tcW w:w="5945"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20"/>
              <w:rPr>
                <w:color w:val="333333"/>
                <w:sz w:val="16"/>
                <w:szCs w:val="20"/>
                <w:lang w:val="es-GT" w:eastAsia="es-GT"/>
              </w:rPr>
            </w:pPr>
            <w:r w:rsidRPr="00FD69BB">
              <w:rPr>
                <w:color w:val="333333"/>
                <w:sz w:val="16"/>
                <w:szCs w:val="20"/>
                <w:lang w:val="es-GT" w:eastAsia="es-GT"/>
              </w:rPr>
              <w:t>EDUCACIÓN ESCOLAR DE PREPRIMARIA</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1,807.1</w:t>
            </w:r>
          </w:p>
        </w:tc>
        <w:tc>
          <w:tcPr>
            <w:tcW w:w="94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2,308.0</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-501.0</w:t>
            </w:r>
          </w:p>
        </w:tc>
        <w:tc>
          <w:tcPr>
            <w:tcW w:w="701"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127.7%</w:t>
            </w:r>
          </w:p>
        </w:tc>
      </w:tr>
      <w:tr w:rsidR="00AD5632" w:rsidRPr="00D3707D" w:rsidTr="00BA0B4B">
        <w:trPr>
          <w:trHeight w:val="251"/>
        </w:trPr>
        <w:tc>
          <w:tcPr>
            <w:tcW w:w="5945"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20"/>
              <w:rPr>
                <w:color w:val="333333"/>
                <w:sz w:val="16"/>
                <w:szCs w:val="20"/>
                <w:lang w:val="es-GT" w:eastAsia="es-GT"/>
              </w:rPr>
            </w:pPr>
            <w:r w:rsidRPr="00FD69BB">
              <w:rPr>
                <w:color w:val="333333"/>
                <w:sz w:val="16"/>
                <w:szCs w:val="20"/>
                <w:lang w:val="es-GT" w:eastAsia="es-GT"/>
              </w:rPr>
              <w:t>APOYO PARA EL CONSUMO ADECUADO DE ALIMENTOS</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1,879.2</w:t>
            </w:r>
          </w:p>
        </w:tc>
        <w:tc>
          <w:tcPr>
            <w:tcW w:w="94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1,901.3</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-22.2</w:t>
            </w:r>
          </w:p>
        </w:tc>
        <w:tc>
          <w:tcPr>
            <w:tcW w:w="701"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101.2%</w:t>
            </w:r>
          </w:p>
        </w:tc>
      </w:tr>
      <w:tr w:rsidR="00AD5632" w:rsidRPr="00D3707D" w:rsidTr="00BA0B4B">
        <w:trPr>
          <w:trHeight w:val="251"/>
        </w:trPr>
        <w:tc>
          <w:tcPr>
            <w:tcW w:w="5945"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20"/>
              <w:rPr>
                <w:color w:val="333333"/>
                <w:sz w:val="16"/>
                <w:szCs w:val="20"/>
                <w:lang w:val="es-GT" w:eastAsia="es-GT"/>
              </w:rPr>
            </w:pPr>
            <w:r w:rsidRPr="00FD69BB">
              <w:rPr>
                <w:color w:val="333333"/>
                <w:sz w:val="16"/>
                <w:szCs w:val="20"/>
                <w:lang w:val="es-GT" w:eastAsia="es-GT"/>
              </w:rPr>
              <w:t>EDUCACIÓN ESCOLAR BÁSICA</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1,053.8</w:t>
            </w:r>
          </w:p>
        </w:tc>
        <w:tc>
          <w:tcPr>
            <w:tcW w:w="94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1,117.6</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-63.8</w:t>
            </w:r>
          </w:p>
        </w:tc>
        <w:tc>
          <w:tcPr>
            <w:tcW w:w="701"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106.1%</w:t>
            </w:r>
          </w:p>
        </w:tc>
      </w:tr>
      <w:tr w:rsidR="00AD5632" w:rsidRPr="00D3707D" w:rsidTr="00BA0B4B">
        <w:trPr>
          <w:trHeight w:val="251"/>
        </w:trPr>
        <w:tc>
          <w:tcPr>
            <w:tcW w:w="5945"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20"/>
              <w:rPr>
                <w:color w:val="333333"/>
                <w:sz w:val="16"/>
                <w:szCs w:val="20"/>
                <w:lang w:val="es-GT" w:eastAsia="es-GT"/>
              </w:rPr>
            </w:pPr>
            <w:r w:rsidRPr="00FD69BB">
              <w:rPr>
                <w:color w:val="333333"/>
                <w:sz w:val="16"/>
                <w:szCs w:val="20"/>
                <w:lang w:val="es-GT" w:eastAsia="es-GT"/>
              </w:rPr>
              <w:t>ACTIVIDADES CENTRALES</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635.7</w:t>
            </w:r>
          </w:p>
        </w:tc>
        <w:tc>
          <w:tcPr>
            <w:tcW w:w="94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521.2</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114.5</w:t>
            </w:r>
          </w:p>
        </w:tc>
        <w:tc>
          <w:tcPr>
            <w:tcW w:w="701"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82.0%</w:t>
            </w:r>
          </w:p>
        </w:tc>
      </w:tr>
      <w:tr w:rsidR="00AD5632" w:rsidRPr="00D3707D" w:rsidTr="00BA0B4B">
        <w:trPr>
          <w:trHeight w:val="251"/>
        </w:trPr>
        <w:tc>
          <w:tcPr>
            <w:tcW w:w="5945"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20"/>
              <w:rPr>
                <w:color w:val="333333"/>
                <w:sz w:val="16"/>
                <w:szCs w:val="20"/>
                <w:lang w:val="es-GT" w:eastAsia="es-GT"/>
              </w:rPr>
            </w:pPr>
            <w:r w:rsidRPr="00FD69BB">
              <w:rPr>
                <w:color w:val="333333"/>
                <w:sz w:val="16"/>
                <w:szCs w:val="20"/>
                <w:lang w:val="es-GT" w:eastAsia="es-GT"/>
              </w:rPr>
              <w:t>PARTIDAS NO ASIGNABLES A PROGRAMAS</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585.5</w:t>
            </w:r>
          </w:p>
        </w:tc>
        <w:tc>
          <w:tcPr>
            <w:tcW w:w="94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508.4</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77.1</w:t>
            </w:r>
          </w:p>
        </w:tc>
        <w:tc>
          <w:tcPr>
            <w:tcW w:w="701"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86.8%</w:t>
            </w:r>
          </w:p>
        </w:tc>
      </w:tr>
      <w:tr w:rsidR="00AD5632" w:rsidRPr="00D3707D" w:rsidTr="00BA0B4B">
        <w:trPr>
          <w:trHeight w:val="251"/>
        </w:trPr>
        <w:tc>
          <w:tcPr>
            <w:tcW w:w="5945"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20"/>
              <w:rPr>
                <w:color w:val="333333"/>
                <w:sz w:val="16"/>
                <w:szCs w:val="20"/>
                <w:lang w:val="es-GT" w:eastAsia="es-GT"/>
              </w:rPr>
            </w:pPr>
            <w:r w:rsidRPr="00FD69BB">
              <w:rPr>
                <w:color w:val="333333"/>
                <w:sz w:val="16"/>
                <w:szCs w:val="20"/>
                <w:lang w:val="es-GT" w:eastAsia="es-GT"/>
              </w:rPr>
              <w:t>EDUCACIÓN ESCOLAR DIVERSIFICADA</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556.7</w:t>
            </w:r>
          </w:p>
        </w:tc>
        <w:tc>
          <w:tcPr>
            <w:tcW w:w="94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463.2</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93.5</w:t>
            </w:r>
          </w:p>
        </w:tc>
        <w:tc>
          <w:tcPr>
            <w:tcW w:w="701"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83.2%</w:t>
            </w:r>
          </w:p>
        </w:tc>
      </w:tr>
      <w:tr w:rsidR="00AD5632" w:rsidRPr="00D3707D" w:rsidTr="00BA0B4B">
        <w:trPr>
          <w:trHeight w:val="251"/>
        </w:trPr>
        <w:tc>
          <w:tcPr>
            <w:tcW w:w="5945"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20"/>
              <w:rPr>
                <w:color w:val="333333"/>
                <w:sz w:val="16"/>
                <w:szCs w:val="20"/>
                <w:lang w:val="es-GT" w:eastAsia="es-GT"/>
              </w:rPr>
            </w:pPr>
            <w:r w:rsidRPr="00FD69BB">
              <w:rPr>
                <w:color w:val="333333"/>
                <w:sz w:val="16"/>
                <w:szCs w:val="20"/>
                <w:lang w:val="es-GT" w:eastAsia="es-GT"/>
              </w:rPr>
              <w:t xml:space="preserve">ACTIV COMS DE PREPRIMARIA, PRIMARIA, BÁSICO Y DIVERSIFICADO </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440.7</w:t>
            </w:r>
          </w:p>
        </w:tc>
        <w:tc>
          <w:tcPr>
            <w:tcW w:w="94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300.4</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140.3</w:t>
            </w:r>
          </w:p>
        </w:tc>
        <w:tc>
          <w:tcPr>
            <w:tcW w:w="701"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68.2%</w:t>
            </w:r>
          </w:p>
        </w:tc>
      </w:tr>
      <w:tr w:rsidR="00AD5632" w:rsidRPr="00D3707D" w:rsidTr="00BA0B4B">
        <w:trPr>
          <w:trHeight w:val="251"/>
        </w:trPr>
        <w:tc>
          <w:tcPr>
            <w:tcW w:w="5945"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20"/>
              <w:rPr>
                <w:color w:val="333333"/>
                <w:sz w:val="16"/>
                <w:szCs w:val="20"/>
                <w:lang w:val="es-GT" w:eastAsia="es-GT"/>
              </w:rPr>
            </w:pPr>
            <w:r w:rsidRPr="00FD69BB">
              <w:rPr>
                <w:color w:val="333333"/>
                <w:sz w:val="16"/>
                <w:szCs w:val="20"/>
                <w:lang w:val="es-GT" w:eastAsia="es-GT"/>
              </w:rPr>
              <w:t xml:space="preserve">ACTIVS COMS A LOS PROGRAMAS DE PREPRIMARIA Y PRIMARIA </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162.1</w:t>
            </w:r>
          </w:p>
        </w:tc>
        <w:tc>
          <w:tcPr>
            <w:tcW w:w="94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204.9</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-42.8</w:t>
            </w:r>
          </w:p>
        </w:tc>
        <w:tc>
          <w:tcPr>
            <w:tcW w:w="701"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126.4%</w:t>
            </w:r>
          </w:p>
        </w:tc>
      </w:tr>
      <w:tr w:rsidR="00AD5632" w:rsidRPr="00D3707D" w:rsidTr="00BA0B4B">
        <w:trPr>
          <w:trHeight w:val="251"/>
        </w:trPr>
        <w:tc>
          <w:tcPr>
            <w:tcW w:w="5945"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20"/>
              <w:rPr>
                <w:color w:val="333333"/>
                <w:sz w:val="16"/>
                <w:szCs w:val="20"/>
                <w:lang w:val="es-GT" w:eastAsia="es-GT"/>
              </w:rPr>
            </w:pPr>
            <w:r w:rsidRPr="00FD69BB">
              <w:rPr>
                <w:color w:val="333333"/>
                <w:sz w:val="16"/>
                <w:szCs w:val="20"/>
                <w:lang w:val="es-GT" w:eastAsia="es-GT"/>
              </w:rPr>
              <w:t xml:space="preserve">ACTIVIDADES COMUNES DE PRIMARIA, BÁSICO Y DIVERSIFICADO </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295.7</w:t>
            </w:r>
          </w:p>
        </w:tc>
        <w:tc>
          <w:tcPr>
            <w:tcW w:w="94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149.5</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146.2</w:t>
            </w:r>
          </w:p>
        </w:tc>
        <w:tc>
          <w:tcPr>
            <w:tcW w:w="701"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50.6%</w:t>
            </w:r>
          </w:p>
        </w:tc>
      </w:tr>
      <w:tr w:rsidR="00AD5632" w:rsidRPr="00D3707D" w:rsidTr="00BA0B4B">
        <w:trPr>
          <w:trHeight w:val="251"/>
        </w:trPr>
        <w:tc>
          <w:tcPr>
            <w:tcW w:w="5945" w:type="dxa"/>
            <w:tcBorders>
              <w:top w:val="nil"/>
              <w:left w:val="single" w:sz="8" w:space="0" w:color="auto"/>
              <w:bottom w:val="nil"/>
              <w:right w:val="single" w:sz="4" w:space="0" w:color="auto"/>
            </w:tcBorders>
            <w:shd w:val="clear" w:color="FFFFFF" w:fill="FFFFFF"/>
            <w:noWrap/>
            <w:vAlign w:val="bottom"/>
            <w:hideMark/>
          </w:tcPr>
          <w:p w:rsidR="00AD5632" w:rsidRPr="00FD69BB" w:rsidRDefault="00AD5632" w:rsidP="00BA0B4B">
            <w:pPr>
              <w:ind w:firstLineChars="200" w:firstLine="320"/>
              <w:rPr>
                <w:color w:val="333333"/>
                <w:sz w:val="16"/>
                <w:szCs w:val="20"/>
                <w:lang w:val="es-GT" w:eastAsia="es-GT"/>
              </w:rPr>
            </w:pPr>
            <w:r w:rsidRPr="00FD69BB">
              <w:rPr>
                <w:color w:val="333333"/>
                <w:sz w:val="16"/>
                <w:szCs w:val="20"/>
                <w:lang w:val="es-GT" w:eastAsia="es-GT"/>
              </w:rPr>
              <w:t>EDUCACIÓN EXTRAESCOLAR</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117.1</w:t>
            </w:r>
          </w:p>
        </w:tc>
        <w:tc>
          <w:tcPr>
            <w:tcW w:w="947"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86.6</w:t>
            </w:r>
          </w:p>
        </w:tc>
        <w:tc>
          <w:tcPr>
            <w:tcW w:w="924" w:type="dxa"/>
            <w:tcBorders>
              <w:top w:val="nil"/>
              <w:left w:val="nil"/>
              <w:bottom w:val="nil"/>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30.5</w:t>
            </w:r>
          </w:p>
        </w:tc>
        <w:tc>
          <w:tcPr>
            <w:tcW w:w="701" w:type="dxa"/>
            <w:tcBorders>
              <w:top w:val="nil"/>
              <w:left w:val="nil"/>
              <w:bottom w:val="nil"/>
              <w:right w:val="single" w:sz="8"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74.0%</w:t>
            </w:r>
          </w:p>
        </w:tc>
      </w:tr>
      <w:tr w:rsidR="00AD5632" w:rsidRPr="00D3707D" w:rsidTr="00BA0B4B">
        <w:trPr>
          <w:trHeight w:val="251"/>
        </w:trPr>
        <w:tc>
          <w:tcPr>
            <w:tcW w:w="5945" w:type="dxa"/>
            <w:tcBorders>
              <w:top w:val="nil"/>
              <w:left w:val="single" w:sz="8" w:space="0" w:color="auto"/>
              <w:bottom w:val="single" w:sz="8" w:space="0" w:color="auto"/>
              <w:right w:val="single" w:sz="4" w:space="0" w:color="auto"/>
            </w:tcBorders>
            <w:shd w:val="clear" w:color="FFFFFF" w:fill="FFFFFF"/>
            <w:noWrap/>
            <w:vAlign w:val="bottom"/>
            <w:hideMark/>
          </w:tcPr>
          <w:p w:rsidR="00AD5632" w:rsidRPr="00FD69BB" w:rsidRDefault="00AD5632" w:rsidP="00BA0B4B">
            <w:pPr>
              <w:ind w:firstLineChars="200" w:firstLine="320"/>
              <w:rPr>
                <w:color w:val="333333"/>
                <w:sz w:val="16"/>
                <w:szCs w:val="20"/>
                <w:lang w:val="es-GT" w:eastAsia="es-GT"/>
              </w:rPr>
            </w:pPr>
            <w:r w:rsidRPr="00FD69BB">
              <w:rPr>
                <w:color w:val="333333"/>
                <w:sz w:val="16"/>
                <w:szCs w:val="20"/>
                <w:lang w:val="es-GT" w:eastAsia="es-GT"/>
              </w:rPr>
              <w:t>EDUCACIÓN INICIAL</w:t>
            </w:r>
          </w:p>
        </w:tc>
        <w:tc>
          <w:tcPr>
            <w:tcW w:w="924" w:type="dxa"/>
            <w:tcBorders>
              <w:top w:val="nil"/>
              <w:left w:val="single" w:sz="4" w:space="0" w:color="auto"/>
              <w:bottom w:val="single" w:sz="8" w:space="0" w:color="auto"/>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3.4</w:t>
            </w:r>
          </w:p>
        </w:tc>
        <w:tc>
          <w:tcPr>
            <w:tcW w:w="947" w:type="dxa"/>
            <w:tcBorders>
              <w:top w:val="nil"/>
              <w:left w:val="nil"/>
              <w:bottom w:val="single" w:sz="8" w:space="0" w:color="auto"/>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8.3</w:t>
            </w:r>
          </w:p>
        </w:tc>
        <w:tc>
          <w:tcPr>
            <w:tcW w:w="924" w:type="dxa"/>
            <w:tcBorders>
              <w:top w:val="nil"/>
              <w:left w:val="nil"/>
              <w:bottom w:val="single" w:sz="8" w:space="0" w:color="auto"/>
              <w:right w:val="single" w:sz="4"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-4.9</w:t>
            </w:r>
          </w:p>
        </w:tc>
        <w:tc>
          <w:tcPr>
            <w:tcW w:w="701" w:type="dxa"/>
            <w:tcBorders>
              <w:top w:val="nil"/>
              <w:left w:val="nil"/>
              <w:bottom w:val="single" w:sz="8" w:space="0" w:color="auto"/>
              <w:right w:val="single" w:sz="8" w:space="0" w:color="auto"/>
            </w:tcBorders>
            <w:shd w:val="clear" w:color="FFFFFF" w:fill="FFFFFF"/>
            <w:noWrap/>
            <w:vAlign w:val="bottom"/>
            <w:hideMark/>
          </w:tcPr>
          <w:p w:rsidR="00AD5632" w:rsidRPr="00FD69BB" w:rsidRDefault="00AD5632" w:rsidP="00BA0B4B">
            <w:pPr>
              <w:jc w:val="right"/>
              <w:rPr>
                <w:color w:val="333333"/>
                <w:sz w:val="16"/>
                <w:szCs w:val="20"/>
                <w:lang w:val="es-GT" w:eastAsia="es-GT"/>
              </w:rPr>
            </w:pPr>
            <w:r w:rsidRPr="00FD69BB">
              <w:rPr>
                <w:color w:val="333333"/>
                <w:sz w:val="16"/>
                <w:szCs w:val="20"/>
                <w:lang w:val="es-GT" w:eastAsia="es-GT"/>
              </w:rPr>
              <w:t>246.7%</w:t>
            </w:r>
          </w:p>
        </w:tc>
      </w:tr>
    </w:tbl>
    <w:p w:rsidR="00AD5632" w:rsidRPr="004E678D" w:rsidRDefault="00AD5632" w:rsidP="00AD5632">
      <w:pPr>
        <w:jc w:val="both"/>
        <w:rPr>
          <w:sz w:val="18"/>
        </w:rPr>
      </w:pPr>
      <w:r>
        <w:rPr>
          <w:sz w:val="18"/>
        </w:rPr>
        <w:fldChar w:fldCharType="end"/>
      </w:r>
      <w:r w:rsidRPr="004E678D">
        <w:rPr>
          <w:sz w:val="18"/>
        </w:rPr>
        <w:t>Fuente: Ministerio de Finanzas Públicas</w:t>
      </w:r>
      <w:r>
        <w:rPr>
          <w:sz w:val="18"/>
        </w:rPr>
        <w:t>.</w:t>
      </w:r>
    </w:p>
    <w:p w:rsidR="00AD5632" w:rsidRDefault="00AD5632" w:rsidP="00AD5632">
      <w:pPr>
        <w:jc w:val="both"/>
      </w:pPr>
    </w:p>
    <w:p w:rsidR="00B179BA" w:rsidRDefault="00B179BA" w:rsidP="00AD5632">
      <w:pPr>
        <w:jc w:val="both"/>
      </w:pPr>
    </w:p>
    <w:p w:rsidR="00B179BA" w:rsidRPr="00A95C1E" w:rsidRDefault="00B179BA" w:rsidP="00AD5632">
      <w:pPr>
        <w:jc w:val="both"/>
        <w:rPr>
          <w:sz w:val="44"/>
        </w:rPr>
      </w:pPr>
    </w:p>
    <w:p w:rsidR="00AD5632" w:rsidRDefault="00AD5632" w:rsidP="00AD5632">
      <w:pPr>
        <w:jc w:val="both"/>
        <w:rPr>
          <w:b/>
        </w:rPr>
      </w:pPr>
      <w:r w:rsidRPr="00D108FD">
        <w:rPr>
          <w:b/>
        </w:rPr>
        <w:t>Ministerio de Salud Pública y Asistencia Social</w:t>
      </w:r>
      <w:r>
        <w:rPr>
          <w:b/>
        </w:rPr>
        <w:t>:</w:t>
      </w:r>
    </w:p>
    <w:p w:rsidR="00AD5632" w:rsidRPr="00A95C1E" w:rsidRDefault="00AD5632" w:rsidP="00AD5632">
      <w:pPr>
        <w:jc w:val="both"/>
        <w:rPr>
          <w:b/>
          <w:sz w:val="32"/>
        </w:rPr>
      </w:pPr>
    </w:p>
    <w:p w:rsidR="00AD5632" w:rsidRDefault="00AD5632" w:rsidP="00AD5632">
      <w:pPr>
        <w:jc w:val="both"/>
      </w:pPr>
      <w:r w:rsidRPr="00D108FD">
        <w:t>El M</w:t>
      </w:r>
      <w:r>
        <w:t>inisterio de Salud Pública y Asistencia Social</w:t>
      </w:r>
      <w:r w:rsidRPr="00D108FD">
        <w:t xml:space="preserve"> tuvo un presupuesto </w:t>
      </w:r>
      <w:r>
        <w:t xml:space="preserve">aprobado </w:t>
      </w:r>
      <w:r w:rsidRPr="00D108FD">
        <w:t xml:space="preserve">de </w:t>
      </w:r>
      <w:r>
        <w:t>Q.9</w:t>
      </w:r>
      <w:r w:rsidRPr="00D108FD">
        <w:t>,</w:t>
      </w:r>
      <w:r>
        <w:t>823.2</w:t>
      </w:r>
      <w:r w:rsidRPr="00D108FD">
        <w:t xml:space="preserve"> millones y una ejecución presupuestaria de </w:t>
      </w:r>
      <w:r>
        <w:t>Q.11</w:t>
      </w:r>
      <w:r w:rsidRPr="00D108FD">
        <w:t>,</w:t>
      </w:r>
      <w:r>
        <w:t>369.5</w:t>
      </w:r>
      <w:r w:rsidRPr="00D108FD">
        <w:t xml:space="preserve"> millones</w:t>
      </w:r>
      <w:r w:rsidR="00E616F2">
        <w:t>,</w:t>
      </w:r>
      <w:r w:rsidRPr="00D108FD">
        <w:t xml:space="preserve"> equivalente</w:t>
      </w:r>
      <w:r>
        <w:t>s</w:t>
      </w:r>
      <w:r w:rsidRPr="00D108FD">
        <w:t xml:space="preserve"> al </w:t>
      </w:r>
      <w:r w:rsidR="00E616F2">
        <w:t>1</w:t>
      </w:r>
      <w:r>
        <w:t>15.7</w:t>
      </w:r>
      <w:r w:rsidRPr="00D108FD">
        <w:t>%</w:t>
      </w:r>
      <w:r>
        <w:t xml:space="preserve"> </w:t>
      </w:r>
      <w:r w:rsidR="00E616F2">
        <w:t>de su</w:t>
      </w:r>
      <w:r>
        <w:t xml:space="preserve"> presupuesto aprobado</w:t>
      </w:r>
      <w:r w:rsidRPr="00D108FD">
        <w:t>.</w:t>
      </w:r>
    </w:p>
    <w:p w:rsidR="00AD5632" w:rsidRPr="00A95C1E" w:rsidRDefault="00AD5632" w:rsidP="00AD5632">
      <w:pPr>
        <w:jc w:val="both"/>
        <w:rPr>
          <w:sz w:val="28"/>
        </w:rPr>
      </w:pPr>
    </w:p>
    <w:p w:rsidR="00AD5632" w:rsidRDefault="00AD5632" w:rsidP="00AD5632">
      <w:pPr>
        <w:jc w:val="both"/>
      </w:pPr>
      <w:r w:rsidRPr="00D108FD">
        <w:t xml:space="preserve">Con base a las prioridades de este </w:t>
      </w:r>
      <w:r w:rsidR="00E616F2">
        <w:t>M</w:t>
      </w:r>
      <w:r w:rsidRPr="00D108FD">
        <w:t>inisterio</w:t>
      </w:r>
      <w:r w:rsidR="00E616F2">
        <w:t>,</w:t>
      </w:r>
      <w:r w:rsidRPr="00D108FD">
        <w:t xml:space="preserve"> se tiene como primer </w:t>
      </w:r>
      <w:r w:rsidR="00E616F2">
        <w:t>ejecutor</w:t>
      </w:r>
      <w:r w:rsidRPr="00D108FD">
        <w:t xml:space="preserve"> al programa “Recuperación de la Salud”, el cual tuvo un presupuesto </w:t>
      </w:r>
      <w:r>
        <w:t xml:space="preserve">aprobado </w:t>
      </w:r>
      <w:r w:rsidRPr="00D108FD">
        <w:t>de Q</w:t>
      </w:r>
      <w:r>
        <w:t>.4</w:t>
      </w:r>
      <w:r w:rsidRPr="00D108FD">
        <w:t>,</w:t>
      </w:r>
      <w:r>
        <w:t>429.8</w:t>
      </w:r>
      <w:r w:rsidRPr="00D108FD">
        <w:t xml:space="preserve"> millones</w:t>
      </w:r>
      <w:r w:rsidR="00E616F2">
        <w:t xml:space="preserve"> y</w:t>
      </w:r>
      <w:r w:rsidRPr="00D108FD">
        <w:t xml:space="preserve"> reporta una ejecución presupuestaria de </w:t>
      </w:r>
      <w:r>
        <w:t>Q.4</w:t>
      </w:r>
      <w:r w:rsidRPr="00D108FD">
        <w:t>,</w:t>
      </w:r>
      <w:r>
        <w:t>006.3</w:t>
      </w:r>
      <w:r w:rsidRPr="00D108FD">
        <w:t xml:space="preserve"> millones</w:t>
      </w:r>
      <w:r w:rsidR="00E616F2">
        <w:t>,</w:t>
      </w:r>
      <w:r w:rsidRPr="00D108FD">
        <w:t xml:space="preserve"> equivalente</w:t>
      </w:r>
      <w:r>
        <w:t>s</w:t>
      </w:r>
      <w:r w:rsidRPr="00D108FD">
        <w:t xml:space="preserve"> al </w:t>
      </w:r>
      <w:r>
        <w:t>90.4</w:t>
      </w:r>
      <w:r w:rsidRPr="00D108FD">
        <w:t>%</w:t>
      </w:r>
      <w:r>
        <w:t>.</w:t>
      </w:r>
    </w:p>
    <w:p w:rsidR="00AD5632" w:rsidRPr="00A95C1E" w:rsidRDefault="00AD5632" w:rsidP="00AD5632">
      <w:pPr>
        <w:jc w:val="both"/>
        <w:rPr>
          <w:sz w:val="28"/>
        </w:rPr>
      </w:pPr>
    </w:p>
    <w:p w:rsidR="00AD5632" w:rsidRDefault="00AD5632" w:rsidP="00AD5632">
      <w:pPr>
        <w:jc w:val="both"/>
      </w:pPr>
      <w:r>
        <w:t>El segundo programa con mayor asignación de recursos fue “Atención por Desastres Naturales y Calamidades Públicas” con un presupuesto inicial de Q</w:t>
      </w:r>
      <w:r w:rsidR="00E616F2">
        <w:t>.</w:t>
      </w:r>
      <w:r>
        <w:t>1,170.0 millones y una ejecución presupuestaria de Q</w:t>
      </w:r>
      <w:r w:rsidR="00E616F2">
        <w:t>.</w:t>
      </w:r>
      <w:r>
        <w:t>2,988.2 millones, es decir, se ubic</w:t>
      </w:r>
      <w:r w:rsidR="00E616F2">
        <w:t>ó</w:t>
      </w:r>
      <w:r>
        <w:t xml:space="preserve"> por encima de lo aprobado en </w:t>
      </w:r>
      <w:r w:rsidR="00CD2782">
        <w:t>2</w:t>
      </w:r>
      <w:r>
        <w:t>55.4%.</w:t>
      </w:r>
    </w:p>
    <w:p w:rsidR="00AD5632" w:rsidRPr="00A95C1E" w:rsidRDefault="00AD5632" w:rsidP="00AD5632">
      <w:pPr>
        <w:jc w:val="both"/>
        <w:rPr>
          <w:sz w:val="28"/>
        </w:rPr>
      </w:pPr>
    </w:p>
    <w:p w:rsidR="00AD5632" w:rsidRDefault="00AD5632" w:rsidP="00AD5632">
      <w:pPr>
        <w:jc w:val="both"/>
      </w:pPr>
      <w:r w:rsidRPr="00D108FD">
        <w:t xml:space="preserve">El programa sobre “Fomento de Salud y Medicina Preventiva” tuvo un presupuesto de </w:t>
      </w:r>
      <w:r>
        <w:t>Q.1,0</w:t>
      </w:r>
      <w:r w:rsidRPr="00D108FD">
        <w:t>9</w:t>
      </w:r>
      <w:r>
        <w:t>4.9</w:t>
      </w:r>
      <w:r w:rsidRPr="00D108FD">
        <w:t xml:space="preserve"> millones y una ejecución presupuestaria de </w:t>
      </w:r>
      <w:r>
        <w:t>Q.1,461.0</w:t>
      </w:r>
      <w:r w:rsidRPr="00D108FD">
        <w:t xml:space="preserve"> millones</w:t>
      </w:r>
      <w:r w:rsidR="00266D28">
        <w:t>,</w:t>
      </w:r>
      <w:r w:rsidRPr="00D108FD">
        <w:t xml:space="preserve"> equivalente</w:t>
      </w:r>
      <w:r>
        <w:t>s</w:t>
      </w:r>
      <w:r w:rsidRPr="00D108FD">
        <w:t xml:space="preserve"> al </w:t>
      </w:r>
      <w:r w:rsidR="00266D28">
        <w:t>1</w:t>
      </w:r>
      <w:r>
        <w:t>33.4</w:t>
      </w:r>
      <w:r w:rsidRPr="00D108FD">
        <w:t>%</w:t>
      </w:r>
      <w:r>
        <w:t>.</w:t>
      </w:r>
    </w:p>
    <w:p w:rsidR="00AD5632" w:rsidRPr="00A95C1E" w:rsidRDefault="00AD5632" w:rsidP="00AD5632">
      <w:pPr>
        <w:jc w:val="both"/>
        <w:rPr>
          <w:sz w:val="28"/>
        </w:rPr>
      </w:pPr>
    </w:p>
    <w:p w:rsidR="00AD5632" w:rsidRDefault="00AD5632" w:rsidP="00AD5632">
      <w:pPr>
        <w:jc w:val="both"/>
      </w:pPr>
      <w:r w:rsidRPr="00D108FD">
        <w:t xml:space="preserve">A continuación, se presenta el programa “Prevención de la Mortalidad de la Niñez y de la Desnutrición Crónica” que tuvo un presupuesto </w:t>
      </w:r>
      <w:r>
        <w:t xml:space="preserve">aprobado </w:t>
      </w:r>
      <w:r w:rsidRPr="00D108FD">
        <w:t xml:space="preserve">de </w:t>
      </w:r>
      <w:r>
        <w:t>Q.1,040.7</w:t>
      </w:r>
      <w:r w:rsidRPr="00D108FD">
        <w:t xml:space="preserve"> millones y una ejecución presupuestaria de </w:t>
      </w:r>
      <w:r>
        <w:t>Q.827.4</w:t>
      </w:r>
      <w:r w:rsidRPr="00D108FD">
        <w:t xml:space="preserve"> millones</w:t>
      </w:r>
      <w:r w:rsidR="00266D28">
        <w:t>,</w:t>
      </w:r>
      <w:r w:rsidRPr="00D108FD">
        <w:t xml:space="preserve"> equivalente</w:t>
      </w:r>
      <w:r>
        <w:t>s</w:t>
      </w:r>
      <w:r w:rsidRPr="00D108FD">
        <w:t xml:space="preserve"> al </w:t>
      </w:r>
      <w:r>
        <w:t>79.5</w:t>
      </w:r>
      <w:r w:rsidRPr="00D108FD">
        <w:t>%.</w:t>
      </w:r>
    </w:p>
    <w:p w:rsidR="00AD5632" w:rsidRPr="00A95C1E" w:rsidRDefault="00AD5632" w:rsidP="00AD5632">
      <w:pPr>
        <w:jc w:val="both"/>
        <w:rPr>
          <w:sz w:val="28"/>
        </w:rPr>
      </w:pPr>
    </w:p>
    <w:p w:rsidR="00AD5632" w:rsidRDefault="00AD5632" w:rsidP="00AD5632">
      <w:pPr>
        <w:jc w:val="both"/>
      </w:pPr>
      <w:r>
        <w:t>Las</w:t>
      </w:r>
      <w:r w:rsidRPr="00D108FD">
        <w:t xml:space="preserve"> Partidas No Asignables a Programas </w:t>
      </w:r>
      <w:r>
        <w:t>iniciaron el año con</w:t>
      </w:r>
      <w:r w:rsidRPr="00D108FD">
        <w:t xml:space="preserve"> un presupuesto</w:t>
      </w:r>
      <w:r>
        <w:t xml:space="preserve"> aprobado</w:t>
      </w:r>
      <w:r w:rsidRPr="00D108FD">
        <w:t xml:space="preserve"> de </w:t>
      </w:r>
      <w:r>
        <w:t>Q.520.9</w:t>
      </w:r>
      <w:r w:rsidRPr="00D108FD">
        <w:t xml:space="preserve"> millones, </w:t>
      </w:r>
      <w:r>
        <w:t>mostraron</w:t>
      </w:r>
      <w:r w:rsidRPr="00D108FD">
        <w:t xml:space="preserve"> </w:t>
      </w:r>
      <w:r>
        <w:t xml:space="preserve">una </w:t>
      </w:r>
      <w:r w:rsidRPr="00D108FD">
        <w:t>ejecución presupuestaria</w:t>
      </w:r>
      <w:r>
        <w:t xml:space="preserve"> preliminar</w:t>
      </w:r>
      <w:r w:rsidRPr="00D108FD">
        <w:t xml:space="preserve"> de </w:t>
      </w:r>
      <w:r>
        <w:t>Q.</w:t>
      </w:r>
      <w:r w:rsidRPr="00D108FD">
        <w:t>5</w:t>
      </w:r>
      <w:r>
        <w:t>51.8</w:t>
      </w:r>
      <w:r w:rsidRPr="00D108FD">
        <w:t xml:space="preserve"> millones</w:t>
      </w:r>
      <w:r w:rsidR="008C15E3">
        <w:t>,</w:t>
      </w:r>
      <w:r w:rsidRPr="00D108FD">
        <w:t xml:space="preserve"> equivalente</w:t>
      </w:r>
      <w:r>
        <w:t>s</w:t>
      </w:r>
      <w:r w:rsidRPr="00D108FD">
        <w:t xml:space="preserve"> al </w:t>
      </w:r>
      <w:r>
        <w:t xml:space="preserve">105.9%. </w:t>
      </w:r>
      <w:r w:rsidRPr="00D108FD">
        <w:t xml:space="preserve">La mayor ejecución dentro de este programa, se ejecutó </w:t>
      </w:r>
      <w:r>
        <w:t>con el aporte a la Unidad de Atención al Enfermo Renal Crónico (UNAERC) con Q.230.0 millones. B</w:t>
      </w:r>
      <w:r w:rsidRPr="00D108FD">
        <w:t>ajo el subprograma Aportes a Entidades Asistenciales, específicamente bajo el renglón 432</w:t>
      </w:r>
      <w:r>
        <w:t xml:space="preserve"> “</w:t>
      </w:r>
      <w:r w:rsidRPr="00D108FD">
        <w:t xml:space="preserve">Transferencias a </w:t>
      </w:r>
      <w:r>
        <w:t>i</w:t>
      </w:r>
      <w:r w:rsidRPr="00D108FD">
        <w:t xml:space="preserve">nstituciones de </w:t>
      </w:r>
      <w:r>
        <w:t>s</w:t>
      </w:r>
      <w:r w:rsidRPr="00D108FD">
        <w:t xml:space="preserve">alud y </w:t>
      </w:r>
      <w:r>
        <w:t>a</w:t>
      </w:r>
      <w:r w:rsidRPr="00D108FD">
        <w:t xml:space="preserve">sistencia </w:t>
      </w:r>
      <w:r>
        <w:t>s</w:t>
      </w:r>
      <w:r w:rsidRPr="00D108FD">
        <w:t>ocial</w:t>
      </w:r>
      <w:r>
        <w:t>”</w:t>
      </w:r>
      <w:r w:rsidRPr="00D108FD">
        <w:t xml:space="preserve">, </w:t>
      </w:r>
      <w:r>
        <w:t xml:space="preserve">se hicieron aportes </w:t>
      </w:r>
      <w:r w:rsidRPr="00D108FD">
        <w:t>así:</w:t>
      </w:r>
    </w:p>
    <w:p w:rsidR="008C15E3" w:rsidRPr="00A95C1E" w:rsidRDefault="008C15E3" w:rsidP="00AD5632">
      <w:pPr>
        <w:jc w:val="both"/>
        <w:rPr>
          <w:sz w:val="28"/>
        </w:rPr>
      </w:pPr>
    </w:p>
    <w:p w:rsidR="00AD5632" w:rsidRDefault="00AD5632" w:rsidP="00AD5632">
      <w:pPr>
        <w:jc w:val="both"/>
      </w:pPr>
      <w:r w:rsidRPr="00D108FD">
        <w:t>Las cantidades más significativas se transfirieron a la Unidad de Cirugía Cardiovascular de Guatemala por Q</w:t>
      </w:r>
      <w:r>
        <w:t>.62.0</w:t>
      </w:r>
      <w:r w:rsidRPr="00D108FD">
        <w:t xml:space="preserve"> millones</w:t>
      </w:r>
      <w:r w:rsidR="008C15E3">
        <w:t>;</w:t>
      </w:r>
      <w:r w:rsidRPr="00D108FD">
        <w:t xml:space="preserve"> a la Unidad Nacional de Oncología Pediátrica por </w:t>
      </w:r>
      <w:r>
        <w:t>Q.50</w:t>
      </w:r>
      <w:r w:rsidRPr="00D108FD">
        <w:t>.0 millones</w:t>
      </w:r>
      <w:r w:rsidR="008C15E3">
        <w:t>;</w:t>
      </w:r>
      <w:r w:rsidRPr="00D108FD">
        <w:t xml:space="preserve"> a la Liga Nacional Contra el Cáncer por </w:t>
      </w:r>
      <w:r>
        <w:t>Q.35.0</w:t>
      </w:r>
      <w:r w:rsidRPr="00D108FD">
        <w:t xml:space="preserve"> millones</w:t>
      </w:r>
      <w:r w:rsidR="008C15E3">
        <w:t>;</w:t>
      </w:r>
      <w:r w:rsidRPr="00D108FD">
        <w:t xml:space="preserve"> a la Asociación Obras Sociales del Santo Hermano Pedro Frailes Franciscanos O. F. M. por </w:t>
      </w:r>
      <w:r>
        <w:t>Q.</w:t>
      </w:r>
      <w:r w:rsidRPr="00D108FD">
        <w:t>20.0 millones</w:t>
      </w:r>
      <w:r w:rsidR="008C15E3">
        <w:t>; a la</w:t>
      </w:r>
      <w:r w:rsidRPr="00D108FD">
        <w:t xml:space="preserve"> </w:t>
      </w:r>
      <w:r>
        <w:t>Fundación Ayúdame a Escuchar Bárbara Nicolle con Q.12.5 millones</w:t>
      </w:r>
      <w:r w:rsidR="008C15E3">
        <w:t>;</w:t>
      </w:r>
      <w:r>
        <w:t xml:space="preserve"> </w:t>
      </w:r>
      <w:r w:rsidRPr="00D108FD">
        <w:t xml:space="preserve">a </w:t>
      </w:r>
      <w:r w:rsidR="008C15E3">
        <w:t xml:space="preserve">la </w:t>
      </w:r>
      <w:r w:rsidRPr="00D108FD">
        <w:t>Asociación Hospicio de San José por Q</w:t>
      </w:r>
      <w:r>
        <w:t>.</w:t>
      </w:r>
      <w:r w:rsidRPr="00D108FD">
        <w:t>12.</w:t>
      </w:r>
      <w:r>
        <w:t>0</w:t>
      </w:r>
      <w:r w:rsidRPr="00D108FD">
        <w:t xml:space="preserve"> millones</w:t>
      </w:r>
      <w:r w:rsidR="008C15E3">
        <w:t>;</w:t>
      </w:r>
      <w:r w:rsidRPr="00D108FD">
        <w:t xml:space="preserve"> a la Fundación Pro</w:t>
      </w:r>
      <w:r w:rsidR="008C15E3">
        <w:t>-</w:t>
      </w:r>
      <w:r w:rsidRPr="00D108FD">
        <w:t xml:space="preserve">bienestar del Minusválido FUNDABIEM por </w:t>
      </w:r>
      <w:r>
        <w:t>Q.</w:t>
      </w:r>
      <w:r w:rsidRPr="00D108FD">
        <w:t>12.</w:t>
      </w:r>
      <w:r>
        <w:t>0</w:t>
      </w:r>
      <w:r w:rsidRPr="00D108FD">
        <w:t xml:space="preserve"> millones</w:t>
      </w:r>
      <w:r w:rsidR="008C15E3">
        <w:t>;</w:t>
      </w:r>
      <w:r w:rsidRPr="00D108FD">
        <w:t xml:space="preserve"> a la Organización Cristiana de Beneficio Social Esperanza de Vida por </w:t>
      </w:r>
      <w:r>
        <w:t>Q.20.0</w:t>
      </w:r>
      <w:r w:rsidRPr="00D108FD">
        <w:t xml:space="preserve"> millones</w:t>
      </w:r>
      <w:r w:rsidR="005F0C1A">
        <w:t>;</w:t>
      </w:r>
      <w:r w:rsidRPr="00D108FD">
        <w:t xml:space="preserve"> a la Cruz Roja Guatemalteca por </w:t>
      </w:r>
      <w:r>
        <w:t>Q.</w:t>
      </w:r>
      <w:r w:rsidRPr="00D108FD">
        <w:t>12.0 millones</w:t>
      </w:r>
      <w:r w:rsidR="005F0C1A">
        <w:t>;</w:t>
      </w:r>
      <w:r>
        <w:t xml:space="preserve"> Fundación </w:t>
      </w:r>
      <w:r w:rsidR="00380260">
        <w:t>G</w:t>
      </w:r>
      <w:r>
        <w:t>uatemalteco-</w:t>
      </w:r>
      <w:r w:rsidR="00380260">
        <w:t>A</w:t>
      </w:r>
      <w:r>
        <w:t>mericana de Cirugía Ortopédica Avanzada con Q</w:t>
      </w:r>
      <w:r w:rsidR="00380260">
        <w:t>.</w:t>
      </w:r>
      <w:r>
        <w:t>11.0 millones;</w:t>
      </w:r>
      <w:r w:rsidRPr="00D108FD">
        <w:t xml:space="preserve"> en tanto que al resto de entidades se les hicieron transferencias por debajo</w:t>
      </w:r>
      <w:r>
        <w:t xml:space="preserve"> de los Q10.0 millones</w:t>
      </w:r>
      <w:r w:rsidRPr="00D108FD">
        <w:t xml:space="preserve">, </w:t>
      </w:r>
      <w:r>
        <w:t xml:space="preserve">según se </w:t>
      </w:r>
      <w:r w:rsidRPr="00D108FD">
        <w:t xml:space="preserve"> observa en el cuadro </w:t>
      </w:r>
      <w:r>
        <w:t>siguiente:</w:t>
      </w:r>
    </w:p>
    <w:p w:rsidR="00AD5632" w:rsidRDefault="00AD5632" w:rsidP="00AD5632">
      <w:pPr>
        <w:jc w:val="both"/>
      </w:pPr>
    </w:p>
    <w:p w:rsidR="00AD5632" w:rsidRDefault="00AD5632" w:rsidP="00AD5632">
      <w:r>
        <w:br w:type="page"/>
      </w:r>
    </w:p>
    <w:p w:rsidR="00B179BA" w:rsidRPr="00A95C1E" w:rsidRDefault="00B179BA" w:rsidP="00AD5632">
      <w:pPr>
        <w:rPr>
          <w:sz w:val="32"/>
        </w:rPr>
      </w:pPr>
    </w:p>
    <w:p w:rsidR="00B179BA" w:rsidRDefault="00B179BA" w:rsidP="00AD5632"/>
    <w:tbl>
      <w:tblPr>
        <w:tblW w:w="9204" w:type="dxa"/>
        <w:tblCellMar>
          <w:left w:w="70" w:type="dxa"/>
          <w:right w:w="70" w:type="dxa"/>
        </w:tblCellMar>
        <w:tblLook w:val="04A0" w:firstRow="1" w:lastRow="0" w:firstColumn="1" w:lastColumn="0" w:noHBand="0" w:noVBand="1"/>
      </w:tblPr>
      <w:tblGrid>
        <w:gridCol w:w="7503"/>
        <w:gridCol w:w="1701"/>
      </w:tblGrid>
      <w:tr w:rsidR="00AD5632" w:rsidRPr="00C80B15" w:rsidTr="00A95C1E">
        <w:trPr>
          <w:trHeight w:val="495"/>
        </w:trPr>
        <w:tc>
          <w:tcPr>
            <w:tcW w:w="7503" w:type="dxa"/>
            <w:tcBorders>
              <w:top w:val="single" w:sz="8" w:space="0" w:color="auto"/>
              <w:left w:val="single" w:sz="8" w:space="0" w:color="auto"/>
              <w:bottom w:val="single" w:sz="4" w:space="0" w:color="auto"/>
              <w:right w:val="nil"/>
            </w:tcBorders>
            <w:shd w:val="clear" w:color="000000" w:fill="8DB4E2"/>
            <w:noWrap/>
            <w:vAlign w:val="center"/>
            <w:hideMark/>
          </w:tcPr>
          <w:p w:rsidR="00AD5632" w:rsidRPr="00C80B15" w:rsidRDefault="00AD5632" w:rsidP="00A95C1E">
            <w:pPr>
              <w:jc w:val="center"/>
              <w:rPr>
                <w:b/>
                <w:bCs/>
                <w:color w:val="000000"/>
                <w:sz w:val="16"/>
                <w:szCs w:val="28"/>
                <w:lang w:val="es-GT" w:eastAsia="es-GT"/>
              </w:rPr>
            </w:pPr>
            <w:r w:rsidRPr="00C80B15">
              <w:rPr>
                <w:b/>
                <w:bCs/>
                <w:color w:val="000000"/>
                <w:sz w:val="16"/>
                <w:szCs w:val="28"/>
                <w:lang w:val="es-GT" w:eastAsia="es-GT"/>
              </w:rPr>
              <w:t>Descripción</w:t>
            </w:r>
          </w:p>
        </w:tc>
        <w:tc>
          <w:tcPr>
            <w:tcW w:w="1701" w:type="dxa"/>
            <w:tcBorders>
              <w:top w:val="single" w:sz="8" w:space="0" w:color="auto"/>
              <w:left w:val="single" w:sz="4" w:space="0" w:color="auto"/>
              <w:bottom w:val="single" w:sz="4" w:space="0" w:color="auto"/>
              <w:right w:val="single" w:sz="8" w:space="0" w:color="auto"/>
            </w:tcBorders>
            <w:shd w:val="clear" w:color="000000" w:fill="8DB4E2"/>
            <w:noWrap/>
            <w:vAlign w:val="center"/>
            <w:hideMark/>
          </w:tcPr>
          <w:p w:rsidR="00AD5632" w:rsidRPr="00C80B15" w:rsidRDefault="00AD5632" w:rsidP="00A95C1E">
            <w:pPr>
              <w:jc w:val="center"/>
              <w:rPr>
                <w:b/>
                <w:bCs/>
                <w:color w:val="000000"/>
                <w:sz w:val="16"/>
                <w:szCs w:val="28"/>
                <w:lang w:val="es-GT" w:eastAsia="es-GT"/>
              </w:rPr>
            </w:pPr>
            <w:r w:rsidRPr="00C80B15">
              <w:rPr>
                <w:b/>
                <w:bCs/>
                <w:color w:val="000000"/>
                <w:sz w:val="16"/>
                <w:szCs w:val="28"/>
                <w:lang w:val="es-GT" w:eastAsia="es-GT"/>
              </w:rPr>
              <w:t>Ejec</w:t>
            </w:r>
            <w:r w:rsidR="00BB5358">
              <w:rPr>
                <w:b/>
                <w:bCs/>
                <w:color w:val="000000"/>
                <w:sz w:val="16"/>
                <w:szCs w:val="28"/>
                <w:lang w:val="es-GT" w:eastAsia="es-GT"/>
              </w:rPr>
              <w:t>utado</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E93AA9" w:rsidRDefault="00AD5632" w:rsidP="00BA0B4B">
            <w:pPr>
              <w:rPr>
                <w:b/>
                <w:color w:val="000000"/>
                <w:sz w:val="16"/>
                <w:szCs w:val="18"/>
                <w:lang w:val="es-GT" w:eastAsia="es-GT"/>
              </w:rPr>
            </w:pPr>
            <w:r w:rsidRPr="00E93AA9">
              <w:rPr>
                <w:b/>
                <w:color w:val="000000"/>
                <w:sz w:val="16"/>
                <w:szCs w:val="18"/>
                <w:lang w:val="es-GT" w:eastAsia="es-GT"/>
              </w:rPr>
              <w:t>Partidas No Asignables a Programas</w:t>
            </w:r>
          </w:p>
        </w:tc>
        <w:tc>
          <w:tcPr>
            <w:tcW w:w="1701" w:type="dxa"/>
            <w:tcBorders>
              <w:top w:val="nil"/>
              <w:left w:val="nil"/>
              <w:bottom w:val="nil"/>
              <w:right w:val="single" w:sz="8" w:space="0" w:color="auto"/>
            </w:tcBorders>
            <w:shd w:val="clear" w:color="000000" w:fill="FFFFFF"/>
            <w:vAlign w:val="center"/>
            <w:hideMark/>
          </w:tcPr>
          <w:p w:rsidR="00AD5632" w:rsidRPr="00C80B15" w:rsidRDefault="00AD5632" w:rsidP="00BA0B4B">
            <w:pPr>
              <w:jc w:val="center"/>
              <w:rPr>
                <w:b/>
                <w:bCs/>
                <w:color w:val="000000"/>
                <w:sz w:val="16"/>
                <w:szCs w:val="18"/>
                <w:lang w:val="es-GT" w:eastAsia="es-GT"/>
              </w:rPr>
            </w:pPr>
            <w:r w:rsidRPr="00C80B15">
              <w:rPr>
                <w:b/>
                <w:bCs/>
                <w:color w:val="000000"/>
                <w:sz w:val="16"/>
                <w:szCs w:val="18"/>
                <w:lang w:val="es-GT" w:eastAsia="es-GT"/>
              </w:rPr>
              <w:t>551.8</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UNIDAD NACIONAL DE ATENCIÓN AL ENFERMO RENAL CRÓNICO UNAERC</w:t>
            </w:r>
          </w:p>
        </w:tc>
        <w:tc>
          <w:tcPr>
            <w:tcW w:w="1701" w:type="dxa"/>
            <w:tcBorders>
              <w:top w:val="nil"/>
              <w:left w:val="nil"/>
              <w:bottom w:val="nil"/>
              <w:right w:val="single" w:sz="8" w:space="0" w:color="auto"/>
            </w:tcBorders>
            <w:shd w:val="clear" w:color="000000" w:fill="FFFFFF"/>
            <w:vAlign w:val="center"/>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230.0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UNIDAD DE CIRUGÍA CARDIOVASCULAR DE GUATEMALA</w:t>
            </w:r>
          </w:p>
        </w:tc>
        <w:tc>
          <w:tcPr>
            <w:tcW w:w="1701" w:type="dxa"/>
            <w:tcBorders>
              <w:top w:val="nil"/>
              <w:left w:val="nil"/>
              <w:bottom w:val="nil"/>
              <w:right w:val="single" w:sz="8" w:space="0" w:color="auto"/>
            </w:tcBorders>
            <w:shd w:val="clear" w:color="000000" w:fill="FFFFFF"/>
            <w:vAlign w:val="center"/>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62.0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UNIDAD NACIONAL DE ONCOLOGÍA PEDIÁTRICA</w:t>
            </w:r>
          </w:p>
        </w:tc>
        <w:tc>
          <w:tcPr>
            <w:tcW w:w="1701" w:type="dxa"/>
            <w:tcBorders>
              <w:top w:val="nil"/>
              <w:left w:val="nil"/>
              <w:bottom w:val="nil"/>
              <w:right w:val="single" w:sz="8" w:space="0" w:color="auto"/>
            </w:tcBorders>
            <w:shd w:val="clear" w:color="000000" w:fill="FFFFFF"/>
            <w:vAlign w:val="center"/>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50.0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LIGA NACIONAL CONTRA EL CÁNCER</w:t>
            </w:r>
          </w:p>
        </w:tc>
        <w:tc>
          <w:tcPr>
            <w:tcW w:w="1701" w:type="dxa"/>
            <w:tcBorders>
              <w:top w:val="nil"/>
              <w:left w:val="nil"/>
              <w:bottom w:val="nil"/>
              <w:right w:val="single" w:sz="8" w:space="0" w:color="auto"/>
            </w:tcBorders>
            <w:shd w:val="clear" w:color="000000" w:fill="FFFFFF"/>
            <w:vAlign w:val="center"/>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35.0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ASOCIACIÓN OBRAS SOCIALES DEL SANTO HNO PEDRO FRAILES FRANCISCANOS</w:t>
            </w:r>
          </w:p>
        </w:tc>
        <w:tc>
          <w:tcPr>
            <w:tcW w:w="1701" w:type="dxa"/>
            <w:tcBorders>
              <w:top w:val="nil"/>
              <w:left w:val="nil"/>
              <w:bottom w:val="nil"/>
              <w:right w:val="single" w:sz="8" w:space="0" w:color="auto"/>
            </w:tcBorders>
            <w:shd w:val="clear" w:color="000000" w:fill="FFFFFF"/>
            <w:vAlign w:val="center"/>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20.0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ORGANIZACIÓN CRISTIANA DE BENEFICIO SOCIAL ESPERANZA DE VIDA ONG</w:t>
            </w:r>
          </w:p>
        </w:tc>
        <w:tc>
          <w:tcPr>
            <w:tcW w:w="1701" w:type="dxa"/>
            <w:tcBorders>
              <w:top w:val="nil"/>
              <w:left w:val="nil"/>
              <w:bottom w:val="nil"/>
              <w:right w:val="single" w:sz="8" w:space="0" w:color="auto"/>
            </w:tcBorders>
            <w:shd w:val="clear" w:color="000000" w:fill="FFFFFF"/>
            <w:vAlign w:val="center"/>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20.0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FUNDACIÓN AYÚDAME A ESCUCHAR BÁRBARA NICOLLE</w:t>
            </w:r>
          </w:p>
        </w:tc>
        <w:tc>
          <w:tcPr>
            <w:tcW w:w="1701" w:type="dxa"/>
            <w:tcBorders>
              <w:top w:val="nil"/>
              <w:left w:val="nil"/>
              <w:bottom w:val="nil"/>
              <w:right w:val="single" w:sz="8" w:space="0" w:color="auto"/>
            </w:tcBorders>
            <w:shd w:val="clear" w:color="000000" w:fill="FFFFFF"/>
            <w:vAlign w:val="center"/>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12.5</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CRUZ ROJA GUATEMALTECA</w:t>
            </w:r>
          </w:p>
        </w:tc>
        <w:tc>
          <w:tcPr>
            <w:tcW w:w="1701" w:type="dxa"/>
            <w:tcBorders>
              <w:top w:val="nil"/>
              <w:left w:val="nil"/>
              <w:bottom w:val="nil"/>
              <w:right w:val="single" w:sz="8" w:space="0" w:color="auto"/>
            </w:tcBorders>
            <w:shd w:val="clear" w:color="000000" w:fill="FFFFFF"/>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12.0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FUNDACIÓN PROBIENESTAR DEL MINUSVÁLIDO Y/O FUNDABIEM</w:t>
            </w:r>
          </w:p>
        </w:tc>
        <w:tc>
          <w:tcPr>
            <w:tcW w:w="1701" w:type="dxa"/>
            <w:tcBorders>
              <w:top w:val="nil"/>
              <w:left w:val="nil"/>
              <w:bottom w:val="nil"/>
              <w:right w:val="single" w:sz="8" w:space="0" w:color="auto"/>
            </w:tcBorders>
            <w:shd w:val="clear" w:color="000000" w:fill="FFFFFF"/>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12.0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SAINT JOSEPH S HOSPICE ASSOCIATION (ASOCIACIÓN HOSPICIO DE SAN JOSE)</w:t>
            </w:r>
          </w:p>
        </w:tc>
        <w:tc>
          <w:tcPr>
            <w:tcW w:w="1701" w:type="dxa"/>
            <w:tcBorders>
              <w:top w:val="nil"/>
              <w:left w:val="nil"/>
              <w:bottom w:val="nil"/>
              <w:right w:val="single" w:sz="8" w:space="0" w:color="auto"/>
            </w:tcBorders>
            <w:shd w:val="clear" w:color="000000" w:fill="FFFFFF"/>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12.0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FUNDACIÓN GUATEMALTECO AMERICANA DE CIRUGÍA ORTOPÉDICA AVANZADA</w:t>
            </w:r>
          </w:p>
        </w:tc>
        <w:tc>
          <w:tcPr>
            <w:tcW w:w="1701" w:type="dxa"/>
            <w:tcBorders>
              <w:top w:val="nil"/>
              <w:left w:val="nil"/>
              <w:bottom w:val="nil"/>
              <w:right w:val="single" w:sz="8" w:space="0" w:color="auto"/>
            </w:tcBorders>
            <w:shd w:val="clear" w:color="000000" w:fill="FFFFFF"/>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11.0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FUNDACIÓN ASISTENCIA SOCIAL IGLESIA CATÓLICA ARQUIDIÓCESIS DE GUATEMALA</w:t>
            </w:r>
          </w:p>
        </w:tc>
        <w:tc>
          <w:tcPr>
            <w:tcW w:w="1701" w:type="dxa"/>
            <w:tcBorders>
              <w:top w:val="nil"/>
              <w:left w:val="nil"/>
              <w:bottom w:val="nil"/>
              <w:right w:val="single" w:sz="8" w:space="0" w:color="auto"/>
            </w:tcBorders>
            <w:shd w:val="clear" w:color="000000" w:fill="FFFFFF"/>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9.0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FUNDACIÓN ASISTENCIA MÉDICA Y OCUPACIONAL RECUPERACIÓN ENFERMO RENAL</w:t>
            </w:r>
          </w:p>
        </w:tc>
        <w:tc>
          <w:tcPr>
            <w:tcW w:w="1701" w:type="dxa"/>
            <w:tcBorders>
              <w:top w:val="nil"/>
              <w:left w:val="nil"/>
              <w:bottom w:val="nil"/>
              <w:right w:val="single" w:sz="8" w:space="0" w:color="auto"/>
            </w:tcBorders>
            <w:shd w:val="clear" w:color="000000" w:fill="FFFFFF"/>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8.0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FUNDACIÓN MARGARITA TEJADA PARA NIÑOS CON SÍNDROME DE DOWN</w:t>
            </w:r>
          </w:p>
        </w:tc>
        <w:tc>
          <w:tcPr>
            <w:tcW w:w="1701" w:type="dxa"/>
            <w:tcBorders>
              <w:top w:val="nil"/>
              <w:left w:val="nil"/>
              <w:bottom w:val="nil"/>
              <w:right w:val="single" w:sz="8" w:space="0" w:color="auto"/>
            </w:tcBorders>
            <w:shd w:val="clear" w:color="000000" w:fill="FFFFFF"/>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7.0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Unidad de Oftalmología</w:t>
            </w:r>
          </w:p>
        </w:tc>
        <w:tc>
          <w:tcPr>
            <w:tcW w:w="1701" w:type="dxa"/>
            <w:tcBorders>
              <w:top w:val="nil"/>
              <w:left w:val="nil"/>
              <w:bottom w:val="nil"/>
              <w:right w:val="single" w:sz="8" w:space="0" w:color="auto"/>
            </w:tcBorders>
            <w:shd w:val="clear" w:color="000000" w:fill="FFFFFF"/>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5.0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IICA</w:t>
            </w:r>
            <w:r w:rsidRPr="00507E3D">
              <w:rPr>
                <w:color w:val="000000"/>
                <w:sz w:val="16"/>
                <w:szCs w:val="18"/>
                <w:lang w:val="es-GT" w:eastAsia="es-GT"/>
              </w:rPr>
              <w:t xml:space="preserve"> y</w:t>
            </w:r>
            <w:r w:rsidRPr="00C80B15">
              <w:rPr>
                <w:color w:val="000000"/>
                <w:sz w:val="16"/>
                <w:szCs w:val="18"/>
                <w:lang w:val="es-GT" w:eastAsia="es-GT"/>
              </w:rPr>
              <w:t xml:space="preserve"> EE GENÉTICAS Y METABÓLICAS HUMANAS / ROZAS BOTRÁN ONG</w:t>
            </w:r>
          </w:p>
        </w:tc>
        <w:tc>
          <w:tcPr>
            <w:tcW w:w="1701" w:type="dxa"/>
            <w:tcBorders>
              <w:top w:val="nil"/>
              <w:left w:val="nil"/>
              <w:bottom w:val="nil"/>
              <w:right w:val="single" w:sz="8" w:space="0" w:color="auto"/>
            </w:tcBorders>
            <w:shd w:val="clear" w:color="000000" w:fill="FFFFFF"/>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5.0</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EL REFUGIO DE LA NIÑEZ (ONG)</w:t>
            </w:r>
          </w:p>
        </w:tc>
        <w:tc>
          <w:tcPr>
            <w:tcW w:w="1701" w:type="dxa"/>
            <w:tcBorders>
              <w:top w:val="nil"/>
              <w:left w:val="nil"/>
              <w:bottom w:val="nil"/>
              <w:right w:val="single" w:sz="8" w:space="0" w:color="auto"/>
            </w:tcBorders>
            <w:shd w:val="clear" w:color="000000" w:fill="FFFFFF"/>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4.7</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FUNDACIÓN RED DE SOBREVIVIENTES DE VIOLENCIA DOMÉSTICA</w:t>
            </w:r>
          </w:p>
        </w:tc>
        <w:tc>
          <w:tcPr>
            <w:tcW w:w="1701" w:type="dxa"/>
            <w:tcBorders>
              <w:top w:val="nil"/>
              <w:left w:val="nil"/>
              <w:bottom w:val="nil"/>
              <w:right w:val="single" w:sz="8" w:space="0" w:color="auto"/>
            </w:tcBorders>
            <w:shd w:val="clear" w:color="000000" w:fill="FFFFFF"/>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4.5</w:t>
            </w:r>
          </w:p>
        </w:tc>
      </w:tr>
      <w:tr w:rsidR="00AD5632" w:rsidRPr="00C80B15" w:rsidTr="00BB5358">
        <w:trPr>
          <w:trHeight w:val="225"/>
        </w:trPr>
        <w:tc>
          <w:tcPr>
            <w:tcW w:w="7503" w:type="dxa"/>
            <w:tcBorders>
              <w:top w:val="nil"/>
              <w:left w:val="single" w:sz="8" w:space="0" w:color="auto"/>
              <w:bottom w:val="nil"/>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 xml:space="preserve">LIGA </w:t>
            </w:r>
            <w:r w:rsidRPr="00507E3D">
              <w:rPr>
                <w:color w:val="000000"/>
                <w:sz w:val="16"/>
                <w:szCs w:val="18"/>
                <w:lang w:val="es-GT" w:eastAsia="es-GT"/>
              </w:rPr>
              <w:t>GUATEMALTECA CONTRA</w:t>
            </w:r>
            <w:r w:rsidRPr="00C80B15">
              <w:rPr>
                <w:color w:val="000000"/>
                <w:sz w:val="16"/>
                <w:szCs w:val="18"/>
                <w:lang w:val="es-GT" w:eastAsia="es-GT"/>
              </w:rPr>
              <w:t xml:space="preserve"> LAS </w:t>
            </w:r>
            <w:r w:rsidRPr="00507E3D">
              <w:rPr>
                <w:color w:val="000000"/>
                <w:sz w:val="16"/>
                <w:szCs w:val="18"/>
                <w:lang w:val="es-GT" w:eastAsia="es-GT"/>
              </w:rPr>
              <w:t>ENFERMEDADES DEL</w:t>
            </w:r>
            <w:r w:rsidRPr="00C80B15">
              <w:rPr>
                <w:color w:val="000000"/>
                <w:sz w:val="16"/>
                <w:szCs w:val="18"/>
                <w:lang w:val="es-GT" w:eastAsia="es-GT"/>
              </w:rPr>
              <w:t xml:space="preserve"> CORAZÓN</w:t>
            </w:r>
          </w:p>
        </w:tc>
        <w:tc>
          <w:tcPr>
            <w:tcW w:w="1701" w:type="dxa"/>
            <w:tcBorders>
              <w:top w:val="nil"/>
              <w:left w:val="nil"/>
              <w:bottom w:val="nil"/>
              <w:right w:val="single" w:sz="8" w:space="0" w:color="auto"/>
            </w:tcBorders>
            <w:shd w:val="clear" w:color="000000" w:fill="FFFFFF"/>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4.0</w:t>
            </w:r>
          </w:p>
        </w:tc>
      </w:tr>
      <w:tr w:rsidR="00AD5632" w:rsidRPr="00C80B15" w:rsidTr="00BB5358">
        <w:trPr>
          <w:trHeight w:val="225"/>
        </w:trPr>
        <w:tc>
          <w:tcPr>
            <w:tcW w:w="7503" w:type="dxa"/>
            <w:tcBorders>
              <w:top w:val="nil"/>
              <w:left w:val="single" w:sz="8" w:space="0" w:color="auto"/>
              <w:bottom w:val="single" w:sz="8" w:space="0" w:color="auto"/>
              <w:right w:val="single" w:sz="4" w:space="0" w:color="auto"/>
            </w:tcBorders>
            <w:shd w:val="clear" w:color="000000" w:fill="FFFFFF"/>
            <w:noWrap/>
            <w:hideMark/>
          </w:tcPr>
          <w:p w:rsidR="00AD5632" w:rsidRPr="00C80B15" w:rsidRDefault="00AD5632" w:rsidP="00BA0B4B">
            <w:pPr>
              <w:ind w:firstLineChars="300" w:firstLine="480"/>
              <w:rPr>
                <w:color w:val="000000"/>
                <w:sz w:val="16"/>
                <w:szCs w:val="18"/>
                <w:lang w:val="es-GT" w:eastAsia="es-GT"/>
              </w:rPr>
            </w:pPr>
            <w:r w:rsidRPr="00C80B15">
              <w:rPr>
                <w:color w:val="000000"/>
                <w:sz w:val="16"/>
                <w:szCs w:val="18"/>
                <w:lang w:val="es-GT" w:eastAsia="es-GT"/>
              </w:rPr>
              <w:t>Otros con aportes por debajo de los Q4.0 millones</w:t>
            </w:r>
          </w:p>
        </w:tc>
        <w:tc>
          <w:tcPr>
            <w:tcW w:w="1701" w:type="dxa"/>
            <w:tcBorders>
              <w:top w:val="nil"/>
              <w:left w:val="nil"/>
              <w:bottom w:val="single" w:sz="8" w:space="0" w:color="auto"/>
              <w:right w:val="single" w:sz="8" w:space="0" w:color="auto"/>
            </w:tcBorders>
            <w:shd w:val="clear" w:color="000000" w:fill="FFFFFF"/>
            <w:hideMark/>
          </w:tcPr>
          <w:p w:rsidR="00AD5632" w:rsidRPr="00C80B15" w:rsidRDefault="00AD5632" w:rsidP="00BA0B4B">
            <w:pPr>
              <w:jc w:val="center"/>
              <w:rPr>
                <w:color w:val="000000"/>
                <w:sz w:val="16"/>
                <w:szCs w:val="18"/>
                <w:lang w:val="es-GT" w:eastAsia="es-GT"/>
              </w:rPr>
            </w:pPr>
            <w:r w:rsidRPr="00C80B15">
              <w:rPr>
                <w:color w:val="000000"/>
                <w:sz w:val="16"/>
                <w:szCs w:val="18"/>
                <w:lang w:val="es-GT" w:eastAsia="es-GT"/>
              </w:rPr>
              <w:t>28.1</w:t>
            </w:r>
          </w:p>
        </w:tc>
      </w:tr>
    </w:tbl>
    <w:p w:rsidR="00AD5632" w:rsidRPr="00D108FD" w:rsidRDefault="00AD5632" w:rsidP="00AD5632">
      <w:pPr>
        <w:jc w:val="both"/>
      </w:pPr>
      <w:r>
        <w:rPr>
          <w:sz w:val="18"/>
        </w:rPr>
        <w:t xml:space="preserve"> </w:t>
      </w:r>
      <w:r w:rsidRPr="004E678D">
        <w:rPr>
          <w:sz w:val="18"/>
        </w:rPr>
        <w:t>Fuente: Ministerio de Finanzas Públicas</w:t>
      </w:r>
      <w:r>
        <w:rPr>
          <w:sz w:val="18"/>
        </w:rPr>
        <w:t>.</w:t>
      </w:r>
    </w:p>
    <w:p w:rsidR="00AD5632" w:rsidRDefault="00AD5632" w:rsidP="00AD5632">
      <w:pPr>
        <w:jc w:val="both"/>
      </w:pPr>
    </w:p>
    <w:p w:rsidR="00B179BA" w:rsidRDefault="00B179BA" w:rsidP="00AD5632">
      <w:pPr>
        <w:jc w:val="both"/>
      </w:pPr>
    </w:p>
    <w:p w:rsidR="00AD5632" w:rsidRDefault="00AD5632" w:rsidP="00AD5632">
      <w:pPr>
        <w:jc w:val="both"/>
      </w:pPr>
      <w:r w:rsidRPr="00D108FD">
        <w:t xml:space="preserve">Seguidamente se ubica el programa “Prevención de la Mortalidad Materna Neonatal” con un presupuesto de </w:t>
      </w:r>
      <w:r>
        <w:t>Q.4</w:t>
      </w:r>
      <w:r w:rsidRPr="00D108FD">
        <w:t>92.</w:t>
      </w:r>
      <w:r>
        <w:t>2</w:t>
      </w:r>
      <w:r w:rsidRPr="00D108FD">
        <w:t xml:space="preserve"> millones y una ejecución presupuestaria de </w:t>
      </w:r>
      <w:r>
        <w:t>Q.438.3</w:t>
      </w:r>
      <w:r w:rsidRPr="00D108FD">
        <w:t xml:space="preserve"> millones</w:t>
      </w:r>
      <w:r w:rsidR="002C35CB">
        <w:t>,</w:t>
      </w:r>
      <w:r w:rsidRPr="00D108FD">
        <w:t xml:space="preserve"> equivalente</w:t>
      </w:r>
      <w:r w:rsidR="002C35CB">
        <w:t>s</w:t>
      </w:r>
      <w:r w:rsidRPr="00D108FD">
        <w:t xml:space="preserve"> al </w:t>
      </w:r>
      <w:r>
        <w:t>89.0</w:t>
      </w:r>
      <w:r w:rsidRPr="00D108FD">
        <w:t>%</w:t>
      </w:r>
      <w:r>
        <w:t xml:space="preserve"> del presupuesto aprobado</w:t>
      </w:r>
      <w:r w:rsidRPr="00D108FD">
        <w:t>.</w:t>
      </w:r>
    </w:p>
    <w:p w:rsidR="00AD5632" w:rsidRPr="00A95C1E" w:rsidRDefault="00AD5632" w:rsidP="00AD5632">
      <w:pPr>
        <w:jc w:val="both"/>
        <w:rPr>
          <w:sz w:val="36"/>
        </w:rPr>
      </w:pPr>
    </w:p>
    <w:p w:rsidR="00AD5632" w:rsidRDefault="00AD5632" w:rsidP="00AD5632">
      <w:pPr>
        <w:jc w:val="both"/>
      </w:pPr>
      <w:r>
        <w:t>E</w:t>
      </w:r>
      <w:r w:rsidRPr="00D108FD">
        <w:t>l programa de “Administración Institucional” con un presupuesto</w:t>
      </w:r>
      <w:r>
        <w:t xml:space="preserve"> aprobado</w:t>
      </w:r>
      <w:r w:rsidRPr="00D108FD">
        <w:t xml:space="preserve"> de </w:t>
      </w:r>
      <w:r>
        <w:t>Q.</w:t>
      </w:r>
      <w:r w:rsidRPr="00D108FD">
        <w:t>3</w:t>
      </w:r>
      <w:r>
        <w:t xml:space="preserve">65.3 </w:t>
      </w:r>
      <w:r w:rsidRPr="00D108FD">
        <w:t xml:space="preserve">millones, una ejecución presupuestaria de </w:t>
      </w:r>
      <w:r>
        <w:t>Q.411.7</w:t>
      </w:r>
      <w:r w:rsidRPr="00D108FD">
        <w:t xml:space="preserve"> millones</w:t>
      </w:r>
      <w:r w:rsidR="002C35CB">
        <w:t>,</w:t>
      </w:r>
      <w:r w:rsidRPr="00D108FD">
        <w:t xml:space="preserve"> equivalente</w:t>
      </w:r>
      <w:r w:rsidR="002C35CB">
        <w:t>s</w:t>
      </w:r>
      <w:r w:rsidRPr="00D108FD">
        <w:t xml:space="preserve"> al </w:t>
      </w:r>
      <w:r>
        <w:t>112.7</w:t>
      </w:r>
      <w:r w:rsidRPr="00D108FD">
        <w:t>%</w:t>
      </w:r>
      <w:r>
        <w:t>.</w:t>
      </w:r>
    </w:p>
    <w:p w:rsidR="00AD5632" w:rsidRPr="00A95C1E" w:rsidRDefault="00AD5632" w:rsidP="00AD5632">
      <w:pPr>
        <w:jc w:val="both"/>
        <w:rPr>
          <w:sz w:val="36"/>
        </w:rPr>
      </w:pPr>
    </w:p>
    <w:p w:rsidR="00AD5632" w:rsidRDefault="00AD5632" w:rsidP="00AD5632">
      <w:pPr>
        <w:jc w:val="both"/>
      </w:pPr>
      <w:r w:rsidRPr="00D108FD">
        <w:t xml:space="preserve">Se observa también el programa “Servicio de Formación del Recurso Humano” con un presupuesto de </w:t>
      </w:r>
      <w:r>
        <w:t>Q.</w:t>
      </w:r>
      <w:r w:rsidRPr="00D108FD">
        <w:t>24</w:t>
      </w:r>
      <w:r>
        <w:t>9.8</w:t>
      </w:r>
      <w:r w:rsidRPr="00D108FD">
        <w:t xml:space="preserve"> millones, una ejecución de </w:t>
      </w:r>
      <w:r>
        <w:t>Q.407.4</w:t>
      </w:r>
      <w:r w:rsidRPr="00D108FD">
        <w:t xml:space="preserve"> millones</w:t>
      </w:r>
      <w:r w:rsidR="002C35CB">
        <w:t>,</w:t>
      </w:r>
      <w:r w:rsidRPr="00D108FD">
        <w:t xml:space="preserve"> equivalente al </w:t>
      </w:r>
      <w:r>
        <w:t>163.1</w:t>
      </w:r>
      <w:r w:rsidRPr="00D108FD">
        <w:t>%</w:t>
      </w:r>
      <w:r>
        <w:t>.</w:t>
      </w:r>
    </w:p>
    <w:p w:rsidR="00AD5632" w:rsidRPr="00A95C1E" w:rsidRDefault="00AD5632" w:rsidP="00AD5632">
      <w:pPr>
        <w:jc w:val="both"/>
        <w:rPr>
          <w:sz w:val="36"/>
        </w:rPr>
      </w:pPr>
    </w:p>
    <w:p w:rsidR="00AD5632" w:rsidRDefault="00AD5632" w:rsidP="00AD5632">
      <w:pPr>
        <w:jc w:val="both"/>
      </w:pPr>
      <w:r w:rsidRPr="00D108FD">
        <w:t xml:space="preserve">Dentro de los prioritarios se ubica finalmente el programa “Prevención y </w:t>
      </w:r>
      <w:r w:rsidR="002C35CB">
        <w:t>C</w:t>
      </w:r>
      <w:r w:rsidRPr="00D108FD">
        <w:t xml:space="preserve">ontrol de las Enfermedades Vectoriales y Zoonóticas” con un presupuesto de </w:t>
      </w:r>
      <w:r>
        <w:t>Q.</w:t>
      </w:r>
      <w:r w:rsidRPr="00D108FD">
        <w:t>1</w:t>
      </w:r>
      <w:r>
        <w:t>99.1</w:t>
      </w:r>
      <w:r w:rsidRPr="00D108FD">
        <w:t xml:space="preserve"> millones y una ejecución presupuestaria de </w:t>
      </w:r>
      <w:r>
        <w:t>Q.</w:t>
      </w:r>
      <w:r w:rsidRPr="00D108FD">
        <w:t>1</w:t>
      </w:r>
      <w:r>
        <w:t>87.5</w:t>
      </w:r>
      <w:r w:rsidRPr="00D108FD">
        <w:t xml:space="preserve"> millones</w:t>
      </w:r>
      <w:r w:rsidR="002C35CB">
        <w:t>,</w:t>
      </w:r>
      <w:r w:rsidRPr="00D108FD">
        <w:t xml:space="preserve"> equivalente</w:t>
      </w:r>
      <w:r w:rsidR="002C35CB">
        <w:t>s</w:t>
      </w:r>
      <w:r w:rsidRPr="00D108FD">
        <w:t xml:space="preserve"> al </w:t>
      </w:r>
      <w:r>
        <w:t>94</w:t>
      </w:r>
      <w:r w:rsidRPr="00D108FD">
        <w:t>.</w:t>
      </w:r>
      <w:r>
        <w:t>2</w:t>
      </w:r>
      <w:r w:rsidRPr="00D108FD">
        <w:t>%</w:t>
      </w:r>
      <w:r>
        <w:t xml:space="preserve">. El resto de programas se ubicaron por </w:t>
      </w:r>
      <w:r w:rsidR="002C35CB">
        <w:t xml:space="preserve">alrededor </w:t>
      </w:r>
      <w:r>
        <w:t>de los Q</w:t>
      </w:r>
      <w:r w:rsidR="002C35CB">
        <w:t>.</w:t>
      </w:r>
      <w:r>
        <w:t>65.0 millones,</w:t>
      </w:r>
      <w:r w:rsidRPr="00D108FD">
        <w:t xml:space="preserve"> los cuales se detallan en el cuadro siguiente.</w:t>
      </w:r>
    </w:p>
    <w:p w:rsidR="00AD5632" w:rsidRDefault="00AD5632" w:rsidP="00AD5632">
      <w:pPr>
        <w:jc w:val="both"/>
      </w:pPr>
    </w:p>
    <w:p w:rsidR="00AD5632" w:rsidRDefault="00AD5632" w:rsidP="00AD5632">
      <w:pPr>
        <w:jc w:val="both"/>
      </w:pPr>
    </w:p>
    <w:p w:rsidR="00B179BA" w:rsidRDefault="00B179BA" w:rsidP="00AD5632">
      <w:pPr>
        <w:jc w:val="both"/>
      </w:pPr>
    </w:p>
    <w:p w:rsidR="00B179BA" w:rsidRDefault="00B179BA" w:rsidP="00AD5632">
      <w:pPr>
        <w:jc w:val="both"/>
      </w:pPr>
    </w:p>
    <w:p w:rsidR="00B179BA" w:rsidRDefault="00B179BA" w:rsidP="00AD5632">
      <w:pPr>
        <w:jc w:val="both"/>
      </w:pPr>
    </w:p>
    <w:p w:rsidR="006941A5" w:rsidRDefault="006941A5" w:rsidP="00AD5632">
      <w:pPr>
        <w:jc w:val="both"/>
      </w:pPr>
    </w:p>
    <w:p w:rsidR="006941A5" w:rsidRDefault="006941A5" w:rsidP="00AD5632">
      <w:pPr>
        <w:jc w:val="both"/>
      </w:pPr>
    </w:p>
    <w:p w:rsidR="00B179BA" w:rsidRPr="00D108FD" w:rsidRDefault="00B179BA" w:rsidP="00AD5632">
      <w:pPr>
        <w:jc w:val="both"/>
      </w:pPr>
    </w:p>
    <w:p w:rsidR="00AD5632" w:rsidRDefault="00AD5632" w:rsidP="00AD5632">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Programa!F70C2:F83C6" \a \f 4 \h  \* MERGEFORMAT </w:instrText>
      </w:r>
      <w:r>
        <w:rPr>
          <w:noProof/>
          <w:lang w:val="es-GT" w:eastAsia="es-GT"/>
        </w:rPr>
        <w:fldChar w:fldCharType="separate"/>
      </w:r>
    </w:p>
    <w:p w:rsidR="00AD5632" w:rsidRPr="004E678D" w:rsidRDefault="00AD5632" w:rsidP="00AD5632">
      <w:pPr>
        <w:jc w:val="both"/>
        <w:rPr>
          <w:sz w:val="18"/>
        </w:rPr>
      </w:pPr>
      <w:r>
        <w:rPr>
          <w:noProof/>
          <w:lang w:val="es-GT" w:eastAsia="es-GT"/>
        </w:rPr>
        <w:fldChar w:fldCharType="end"/>
      </w:r>
    </w:p>
    <w:tbl>
      <w:tblPr>
        <w:tblW w:w="9488" w:type="dxa"/>
        <w:tblCellMar>
          <w:left w:w="70" w:type="dxa"/>
          <w:right w:w="70" w:type="dxa"/>
        </w:tblCellMar>
        <w:tblLook w:val="04A0" w:firstRow="1" w:lastRow="0" w:firstColumn="1" w:lastColumn="0" w:noHBand="0" w:noVBand="1"/>
      </w:tblPr>
      <w:tblGrid>
        <w:gridCol w:w="6268"/>
        <w:gridCol w:w="781"/>
        <w:gridCol w:w="879"/>
        <w:gridCol w:w="851"/>
        <w:gridCol w:w="709"/>
      </w:tblGrid>
      <w:tr w:rsidR="00AD5632" w:rsidRPr="00D3707D" w:rsidTr="008708A2">
        <w:trPr>
          <w:trHeight w:val="300"/>
        </w:trPr>
        <w:tc>
          <w:tcPr>
            <w:tcW w:w="6268"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AD5632" w:rsidRPr="00D3707D" w:rsidRDefault="00AD5632" w:rsidP="008708A2">
            <w:pPr>
              <w:jc w:val="center"/>
              <w:rPr>
                <w:b/>
                <w:bCs/>
                <w:color w:val="000000"/>
                <w:sz w:val="16"/>
                <w:szCs w:val="20"/>
                <w:lang w:val="es-GT" w:eastAsia="es-GT"/>
              </w:rPr>
            </w:pPr>
            <w:r w:rsidRPr="00D3707D">
              <w:rPr>
                <w:b/>
                <w:bCs/>
                <w:color w:val="000000"/>
                <w:sz w:val="16"/>
                <w:szCs w:val="20"/>
                <w:lang w:val="es-GT" w:eastAsia="es-GT"/>
              </w:rPr>
              <w:t>DESCRIPCI</w:t>
            </w:r>
            <w:r w:rsidR="00E93AA9">
              <w:rPr>
                <w:b/>
                <w:bCs/>
                <w:color w:val="000000"/>
                <w:sz w:val="16"/>
                <w:szCs w:val="20"/>
                <w:lang w:val="es-GT" w:eastAsia="es-GT"/>
              </w:rPr>
              <w:t>Ó</w:t>
            </w:r>
            <w:r w:rsidRPr="00D3707D">
              <w:rPr>
                <w:b/>
                <w:bCs/>
                <w:color w:val="000000"/>
                <w:sz w:val="16"/>
                <w:szCs w:val="20"/>
                <w:lang w:val="es-GT" w:eastAsia="es-GT"/>
              </w:rPr>
              <w:t>N</w:t>
            </w:r>
          </w:p>
        </w:tc>
        <w:tc>
          <w:tcPr>
            <w:tcW w:w="781"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D3707D" w:rsidRDefault="00AD5632" w:rsidP="008708A2">
            <w:pPr>
              <w:jc w:val="center"/>
              <w:rPr>
                <w:b/>
                <w:bCs/>
                <w:color w:val="000000"/>
                <w:sz w:val="16"/>
                <w:szCs w:val="20"/>
                <w:lang w:val="es-GT" w:eastAsia="es-GT"/>
              </w:rPr>
            </w:pPr>
            <w:r w:rsidRPr="00D3707D">
              <w:rPr>
                <w:b/>
                <w:bCs/>
                <w:color w:val="000000"/>
                <w:sz w:val="16"/>
                <w:szCs w:val="20"/>
                <w:lang w:val="es-GT" w:eastAsia="es-GT"/>
              </w:rPr>
              <w:t>Asignado</w:t>
            </w:r>
          </w:p>
        </w:tc>
        <w:tc>
          <w:tcPr>
            <w:tcW w:w="879"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D3707D" w:rsidRDefault="00AD5632" w:rsidP="008708A2">
            <w:pPr>
              <w:jc w:val="center"/>
              <w:rPr>
                <w:b/>
                <w:bCs/>
                <w:color w:val="000000"/>
                <w:sz w:val="16"/>
                <w:szCs w:val="20"/>
                <w:lang w:val="es-GT" w:eastAsia="es-GT"/>
              </w:rPr>
            </w:pPr>
            <w:r w:rsidRPr="00D3707D">
              <w:rPr>
                <w:b/>
                <w:bCs/>
                <w:color w:val="000000"/>
                <w:sz w:val="16"/>
                <w:szCs w:val="20"/>
                <w:lang w:val="es-GT" w:eastAsia="es-GT"/>
              </w:rPr>
              <w:t>Ejecu</w:t>
            </w:r>
            <w:r w:rsidR="00E93AA9">
              <w:rPr>
                <w:b/>
                <w:bCs/>
                <w:color w:val="000000"/>
                <w:sz w:val="16"/>
                <w:szCs w:val="20"/>
                <w:lang w:val="es-GT" w:eastAsia="es-GT"/>
              </w:rPr>
              <w:t>tado</w:t>
            </w:r>
          </w:p>
        </w:tc>
        <w:tc>
          <w:tcPr>
            <w:tcW w:w="851"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D3707D" w:rsidRDefault="00AD5632" w:rsidP="008708A2">
            <w:pPr>
              <w:jc w:val="center"/>
              <w:rPr>
                <w:b/>
                <w:bCs/>
                <w:color w:val="000000"/>
                <w:sz w:val="16"/>
                <w:szCs w:val="20"/>
                <w:lang w:val="es-GT" w:eastAsia="es-GT"/>
              </w:rPr>
            </w:pPr>
            <w:r w:rsidRPr="00D3707D">
              <w:rPr>
                <w:b/>
                <w:bCs/>
                <w:color w:val="000000"/>
                <w:sz w:val="16"/>
                <w:szCs w:val="20"/>
                <w:lang w:val="es-GT" w:eastAsia="es-GT"/>
              </w:rPr>
              <w:t>Dif</w:t>
            </w:r>
            <w:r w:rsidR="00E93AA9">
              <w:rPr>
                <w:b/>
                <w:bCs/>
                <w:color w:val="000000"/>
                <w:sz w:val="16"/>
                <w:szCs w:val="20"/>
                <w:lang w:val="es-GT" w:eastAsia="es-GT"/>
              </w:rPr>
              <w:t>.</w:t>
            </w:r>
          </w:p>
        </w:tc>
        <w:tc>
          <w:tcPr>
            <w:tcW w:w="709" w:type="dxa"/>
            <w:tcBorders>
              <w:top w:val="single" w:sz="8" w:space="0" w:color="auto"/>
              <w:left w:val="nil"/>
              <w:bottom w:val="single" w:sz="4" w:space="0" w:color="auto"/>
              <w:right w:val="single" w:sz="8" w:space="0" w:color="auto"/>
            </w:tcBorders>
            <w:shd w:val="clear" w:color="000000" w:fill="8DB4E2"/>
            <w:noWrap/>
            <w:vAlign w:val="center"/>
            <w:hideMark/>
          </w:tcPr>
          <w:p w:rsidR="00AD5632" w:rsidRPr="00D3707D" w:rsidRDefault="00AD5632" w:rsidP="008708A2">
            <w:pPr>
              <w:jc w:val="center"/>
              <w:rPr>
                <w:b/>
                <w:bCs/>
                <w:color w:val="000000"/>
                <w:sz w:val="16"/>
                <w:szCs w:val="20"/>
                <w:lang w:val="es-GT" w:eastAsia="es-GT"/>
              </w:rPr>
            </w:pPr>
            <w:r w:rsidRPr="00D3707D">
              <w:rPr>
                <w:b/>
                <w:bCs/>
                <w:color w:val="000000"/>
                <w:sz w:val="16"/>
                <w:szCs w:val="20"/>
                <w:lang w:val="es-GT" w:eastAsia="es-GT"/>
              </w:rPr>
              <w:t>% Ejec</w:t>
            </w:r>
          </w:p>
        </w:tc>
      </w:tr>
      <w:tr w:rsidR="00AD5632" w:rsidRPr="00D3707D" w:rsidTr="00E25D31">
        <w:trPr>
          <w:trHeight w:val="300"/>
        </w:trPr>
        <w:tc>
          <w:tcPr>
            <w:tcW w:w="6268" w:type="dxa"/>
            <w:tcBorders>
              <w:top w:val="nil"/>
              <w:left w:val="single" w:sz="8" w:space="0" w:color="auto"/>
              <w:bottom w:val="nil"/>
              <w:right w:val="single" w:sz="4" w:space="0" w:color="auto"/>
            </w:tcBorders>
            <w:shd w:val="clear" w:color="FFFFFF" w:fill="FFFFFF"/>
            <w:noWrap/>
            <w:vAlign w:val="bottom"/>
            <w:hideMark/>
          </w:tcPr>
          <w:p w:rsidR="00AD5632" w:rsidRPr="00D3707D" w:rsidRDefault="00AD5632" w:rsidP="00BA0B4B">
            <w:pPr>
              <w:rPr>
                <w:b/>
                <w:bCs/>
                <w:color w:val="333333"/>
                <w:sz w:val="16"/>
                <w:szCs w:val="20"/>
                <w:lang w:val="es-GT" w:eastAsia="es-GT"/>
              </w:rPr>
            </w:pPr>
            <w:r w:rsidRPr="00D3707D">
              <w:rPr>
                <w:b/>
                <w:bCs/>
                <w:color w:val="333333"/>
                <w:sz w:val="16"/>
                <w:szCs w:val="20"/>
                <w:lang w:val="es-GT" w:eastAsia="es-GT"/>
              </w:rPr>
              <w:t>MINISTERIO DE SALUD PÚBLICA Y ASISTENCIA SOCIAL</w:t>
            </w:r>
          </w:p>
        </w:tc>
        <w:tc>
          <w:tcPr>
            <w:tcW w:w="78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b/>
                <w:bCs/>
                <w:color w:val="333333"/>
                <w:sz w:val="16"/>
                <w:szCs w:val="20"/>
                <w:lang w:val="es-GT" w:eastAsia="es-GT"/>
              </w:rPr>
            </w:pPr>
            <w:r w:rsidRPr="00D3707D">
              <w:rPr>
                <w:b/>
                <w:bCs/>
                <w:color w:val="333333"/>
                <w:sz w:val="16"/>
                <w:szCs w:val="20"/>
                <w:lang w:val="es-GT" w:eastAsia="es-GT"/>
              </w:rPr>
              <w:t>9,823.2</w:t>
            </w:r>
          </w:p>
        </w:tc>
        <w:tc>
          <w:tcPr>
            <w:tcW w:w="879"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b/>
                <w:bCs/>
                <w:color w:val="333333"/>
                <w:sz w:val="16"/>
                <w:szCs w:val="20"/>
                <w:lang w:val="es-GT" w:eastAsia="es-GT"/>
              </w:rPr>
            </w:pPr>
            <w:r w:rsidRPr="00D3707D">
              <w:rPr>
                <w:b/>
                <w:bCs/>
                <w:color w:val="333333"/>
                <w:sz w:val="16"/>
                <w:szCs w:val="20"/>
                <w:lang w:val="es-GT" w:eastAsia="es-GT"/>
              </w:rPr>
              <w:t>11,369.5</w:t>
            </w:r>
          </w:p>
        </w:tc>
        <w:tc>
          <w:tcPr>
            <w:tcW w:w="85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b/>
                <w:bCs/>
                <w:color w:val="333333"/>
                <w:sz w:val="16"/>
                <w:szCs w:val="20"/>
                <w:lang w:val="es-GT" w:eastAsia="es-GT"/>
              </w:rPr>
            </w:pPr>
            <w:r w:rsidRPr="00D3707D">
              <w:rPr>
                <w:b/>
                <w:bCs/>
                <w:color w:val="333333"/>
                <w:sz w:val="16"/>
                <w:szCs w:val="20"/>
                <w:lang w:val="es-GT" w:eastAsia="es-GT"/>
              </w:rPr>
              <w:t>-1,546.3</w:t>
            </w:r>
          </w:p>
        </w:tc>
        <w:tc>
          <w:tcPr>
            <w:tcW w:w="709" w:type="dxa"/>
            <w:tcBorders>
              <w:top w:val="nil"/>
              <w:left w:val="nil"/>
              <w:bottom w:val="nil"/>
              <w:right w:val="single" w:sz="8" w:space="0" w:color="auto"/>
            </w:tcBorders>
            <w:shd w:val="clear" w:color="FFFFFF" w:fill="FFFFFF"/>
            <w:noWrap/>
            <w:vAlign w:val="bottom"/>
            <w:hideMark/>
          </w:tcPr>
          <w:p w:rsidR="00AD5632" w:rsidRPr="00D3707D" w:rsidRDefault="00AD5632" w:rsidP="00BA0B4B">
            <w:pPr>
              <w:jc w:val="right"/>
              <w:rPr>
                <w:b/>
                <w:bCs/>
                <w:color w:val="333333"/>
                <w:sz w:val="16"/>
                <w:szCs w:val="20"/>
                <w:lang w:val="es-GT" w:eastAsia="es-GT"/>
              </w:rPr>
            </w:pPr>
            <w:r w:rsidRPr="00D3707D">
              <w:rPr>
                <w:b/>
                <w:bCs/>
                <w:color w:val="333333"/>
                <w:sz w:val="16"/>
                <w:szCs w:val="20"/>
                <w:lang w:val="es-GT" w:eastAsia="es-GT"/>
              </w:rPr>
              <w:t>115.7%</w:t>
            </w:r>
          </w:p>
        </w:tc>
      </w:tr>
      <w:tr w:rsidR="00AD5632" w:rsidRPr="00D3707D" w:rsidTr="00E25D31">
        <w:trPr>
          <w:trHeight w:val="300"/>
        </w:trPr>
        <w:tc>
          <w:tcPr>
            <w:tcW w:w="6268" w:type="dxa"/>
            <w:tcBorders>
              <w:top w:val="nil"/>
              <w:left w:val="single" w:sz="8" w:space="0" w:color="auto"/>
              <w:bottom w:val="nil"/>
              <w:right w:val="single" w:sz="4" w:space="0" w:color="auto"/>
            </w:tcBorders>
            <w:shd w:val="clear" w:color="FFFFFF" w:fill="FFFFFF"/>
            <w:noWrap/>
            <w:vAlign w:val="bottom"/>
            <w:hideMark/>
          </w:tcPr>
          <w:p w:rsidR="00AD5632" w:rsidRPr="00D3707D" w:rsidRDefault="00AD5632" w:rsidP="00BA0B4B">
            <w:pPr>
              <w:ind w:firstLineChars="200" w:firstLine="320"/>
              <w:rPr>
                <w:color w:val="333333"/>
                <w:sz w:val="16"/>
                <w:szCs w:val="20"/>
                <w:lang w:val="es-GT" w:eastAsia="es-GT"/>
              </w:rPr>
            </w:pPr>
            <w:r w:rsidRPr="00D3707D">
              <w:rPr>
                <w:color w:val="333333"/>
                <w:sz w:val="16"/>
                <w:szCs w:val="20"/>
                <w:lang w:val="es-GT" w:eastAsia="es-GT"/>
              </w:rPr>
              <w:t>RECUPERACIÓN DE LA SALUD</w:t>
            </w:r>
          </w:p>
        </w:tc>
        <w:tc>
          <w:tcPr>
            <w:tcW w:w="78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4,429.8</w:t>
            </w:r>
          </w:p>
        </w:tc>
        <w:tc>
          <w:tcPr>
            <w:tcW w:w="879"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4,006.3</w:t>
            </w:r>
          </w:p>
        </w:tc>
        <w:tc>
          <w:tcPr>
            <w:tcW w:w="85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423.5</w:t>
            </w:r>
          </w:p>
        </w:tc>
        <w:tc>
          <w:tcPr>
            <w:tcW w:w="709" w:type="dxa"/>
            <w:tcBorders>
              <w:top w:val="nil"/>
              <w:left w:val="nil"/>
              <w:bottom w:val="nil"/>
              <w:right w:val="single" w:sz="8"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90.4%</w:t>
            </w:r>
          </w:p>
        </w:tc>
      </w:tr>
      <w:tr w:rsidR="00AD5632" w:rsidRPr="00D3707D" w:rsidTr="00E25D31">
        <w:trPr>
          <w:trHeight w:val="300"/>
        </w:trPr>
        <w:tc>
          <w:tcPr>
            <w:tcW w:w="6268" w:type="dxa"/>
            <w:tcBorders>
              <w:top w:val="nil"/>
              <w:left w:val="single" w:sz="8" w:space="0" w:color="auto"/>
              <w:bottom w:val="nil"/>
              <w:right w:val="single" w:sz="4" w:space="0" w:color="auto"/>
            </w:tcBorders>
            <w:shd w:val="clear" w:color="FFFFFF" w:fill="FFFFFF"/>
            <w:noWrap/>
            <w:vAlign w:val="bottom"/>
            <w:hideMark/>
          </w:tcPr>
          <w:p w:rsidR="00AD5632" w:rsidRPr="00D3707D" w:rsidRDefault="00AD5632" w:rsidP="00BA0B4B">
            <w:pPr>
              <w:ind w:firstLineChars="200" w:firstLine="320"/>
              <w:rPr>
                <w:color w:val="333333"/>
                <w:sz w:val="16"/>
                <w:szCs w:val="20"/>
                <w:lang w:val="es-GT" w:eastAsia="es-GT"/>
              </w:rPr>
            </w:pPr>
            <w:r w:rsidRPr="00D3707D">
              <w:rPr>
                <w:color w:val="333333"/>
                <w:sz w:val="16"/>
                <w:szCs w:val="20"/>
                <w:lang w:val="es-GT" w:eastAsia="es-GT"/>
              </w:rPr>
              <w:t>ATENCIÓN POR DESASTRES NATURALES Y CALAMIDADES PÚBLICAS</w:t>
            </w:r>
          </w:p>
        </w:tc>
        <w:tc>
          <w:tcPr>
            <w:tcW w:w="78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1,170.0</w:t>
            </w:r>
          </w:p>
        </w:tc>
        <w:tc>
          <w:tcPr>
            <w:tcW w:w="879"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2,988.2</w:t>
            </w:r>
          </w:p>
        </w:tc>
        <w:tc>
          <w:tcPr>
            <w:tcW w:w="85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-1,818.2</w:t>
            </w:r>
          </w:p>
        </w:tc>
        <w:tc>
          <w:tcPr>
            <w:tcW w:w="709" w:type="dxa"/>
            <w:tcBorders>
              <w:top w:val="nil"/>
              <w:left w:val="nil"/>
              <w:bottom w:val="nil"/>
              <w:right w:val="single" w:sz="8"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255.4%</w:t>
            </w:r>
          </w:p>
        </w:tc>
      </w:tr>
      <w:tr w:rsidR="00AD5632" w:rsidRPr="00D3707D" w:rsidTr="00E25D31">
        <w:trPr>
          <w:trHeight w:val="300"/>
        </w:trPr>
        <w:tc>
          <w:tcPr>
            <w:tcW w:w="6268" w:type="dxa"/>
            <w:tcBorders>
              <w:top w:val="nil"/>
              <w:left w:val="single" w:sz="8" w:space="0" w:color="auto"/>
              <w:bottom w:val="nil"/>
              <w:right w:val="single" w:sz="4" w:space="0" w:color="auto"/>
            </w:tcBorders>
            <w:shd w:val="clear" w:color="FFFFFF" w:fill="FFFFFF"/>
            <w:noWrap/>
            <w:vAlign w:val="bottom"/>
            <w:hideMark/>
          </w:tcPr>
          <w:p w:rsidR="00AD5632" w:rsidRPr="00D3707D" w:rsidRDefault="00AD5632" w:rsidP="00BA0B4B">
            <w:pPr>
              <w:ind w:firstLineChars="200" w:firstLine="320"/>
              <w:rPr>
                <w:color w:val="333333"/>
                <w:sz w:val="16"/>
                <w:szCs w:val="20"/>
                <w:lang w:val="es-GT" w:eastAsia="es-GT"/>
              </w:rPr>
            </w:pPr>
            <w:r w:rsidRPr="00D3707D">
              <w:rPr>
                <w:color w:val="333333"/>
                <w:sz w:val="16"/>
                <w:szCs w:val="20"/>
                <w:lang w:val="es-GT" w:eastAsia="es-GT"/>
              </w:rPr>
              <w:t>FOMENTO DE LA SALUD Y MEDICINA PREVENTIVA</w:t>
            </w:r>
          </w:p>
        </w:tc>
        <w:tc>
          <w:tcPr>
            <w:tcW w:w="78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1,094.9</w:t>
            </w:r>
          </w:p>
        </w:tc>
        <w:tc>
          <w:tcPr>
            <w:tcW w:w="879"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1,461.0</w:t>
            </w:r>
          </w:p>
        </w:tc>
        <w:tc>
          <w:tcPr>
            <w:tcW w:w="85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-366.1</w:t>
            </w:r>
          </w:p>
        </w:tc>
        <w:tc>
          <w:tcPr>
            <w:tcW w:w="709" w:type="dxa"/>
            <w:tcBorders>
              <w:top w:val="nil"/>
              <w:left w:val="nil"/>
              <w:bottom w:val="nil"/>
              <w:right w:val="single" w:sz="8"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133.4%</w:t>
            </w:r>
          </w:p>
        </w:tc>
      </w:tr>
      <w:tr w:rsidR="00AD5632" w:rsidRPr="00D3707D" w:rsidTr="00E25D31">
        <w:trPr>
          <w:trHeight w:val="300"/>
        </w:trPr>
        <w:tc>
          <w:tcPr>
            <w:tcW w:w="6268" w:type="dxa"/>
            <w:tcBorders>
              <w:top w:val="nil"/>
              <w:left w:val="single" w:sz="8" w:space="0" w:color="auto"/>
              <w:bottom w:val="nil"/>
              <w:right w:val="single" w:sz="4" w:space="0" w:color="auto"/>
            </w:tcBorders>
            <w:shd w:val="clear" w:color="FFFFFF" w:fill="FFFFFF"/>
            <w:noWrap/>
            <w:vAlign w:val="bottom"/>
            <w:hideMark/>
          </w:tcPr>
          <w:p w:rsidR="00AD5632" w:rsidRPr="00D3707D" w:rsidRDefault="00AD5632" w:rsidP="00BA0B4B">
            <w:pPr>
              <w:ind w:firstLineChars="200" w:firstLine="320"/>
              <w:rPr>
                <w:color w:val="333333"/>
                <w:sz w:val="16"/>
                <w:szCs w:val="20"/>
                <w:lang w:val="es-GT" w:eastAsia="es-GT"/>
              </w:rPr>
            </w:pPr>
            <w:r w:rsidRPr="00D3707D">
              <w:rPr>
                <w:color w:val="333333"/>
                <w:sz w:val="16"/>
                <w:szCs w:val="20"/>
                <w:lang w:val="es-GT" w:eastAsia="es-GT"/>
              </w:rPr>
              <w:t>PREVENCIÓN MORTALIDAD DE LA NIÑEZ Y LA DESNUTRICIÓN CRÓNICA</w:t>
            </w:r>
          </w:p>
        </w:tc>
        <w:tc>
          <w:tcPr>
            <w:tcW w:w="78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1,040.7</w:t>
            </w:r>
          </w:p>
        </w:tc>
        <w:tc>
          <w:tcPr>
            <w:tcW w:w="879"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827.4</w:t>
            </w:r>
          </w:p>
        </w:tc>
        <w:tc>
          <w:tcPr>
            <w:tcW w:w="85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213.3</w:t>
            </w:r>
          </w:p>
        </w:tc>
        <w:tc>
          <w:tcPr>
            <w:tcW w:w="709" w:type="dxa"/>
            <w:tcBorders>
              <w:top w:val="nil"/>
              <w:left w:val="nil"/>
              <w:bottom w:val="nil"/>
              <w:right w:val="single" w:sz="8"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79.5%</w:t>
            </w:r>
          </w:p>
        </w:tc>
      </w:tr>
      <w:tr w:rsidR="00AD5632" w:rsidRPr="00D3707D" w:rsidTr="00E25D31">
        <w:trPr>
          <w:trHeight w:val="300"/>
        </w:trPr>
        <w:tc>
          <w:tcPr>
            <w:tcW w:w="6268" w:type="dxa"/>
            <w:tcBorders>
              <w:top w:val="nil"/>
              <w:left w:val="single" w:sz="8" w:space="0" w:color="auto"/>
              <w:bottom w:val="nil"/>
              <w:right w:val="single" w:sz="4" w:space="0" w:color="auto"/>
            </w:tcBorders>
            <w:shd w:val="clear" w:color="FFFFFF" w:fill="FFFFFF"/>
            <w:noWrap/>
            <w:vAlign w:val="bottom"/>
            <w:hideMark/>
          </w:tcPr>
          <w:p w:rsidR="00AD5632" w:rsidRPr="00D3707D" w:rsidRDefault="00AD5632" w:rsidP="00BA0B4B">
            <w:pPr>
              <w:ind w:firstLineChars="200" w:firstLine="320"/>
              <w:rPr>
                <w:color w:val="333333"/>
                <w:sz w:val="16"/>
                <w:szCs w:val="20"/>
                <w:lang w:val="es-GT" w:eastAsia="es-GT"/>
              </w:rPr>
            </w:pPr>
            <w:r w:rsidRPr="00D3707D">
              <w:rPr>
                <w:color w:val="333333"/>
                <w:sz w:val="16"/>
                <w:szCs w:val="20"/>
                <w:lang w:val="es-GT" w:eastAsia="es-GT"/>
              </w:rPr>
              <w:t>PARTIDAS NO ASIGNABLES A PROGRAMAS</w:t>
            </w:r>
          </w:p>
        </w:tc>
        <w:tc>
          <w:tcPr>
            <w:tcW w:w="78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520.9</w:t>
            </w:r>
          </w:p>
        </w:tc>
        <w:tc>
          <w:tcPr>
            <w:tcW w:w="879"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551.8</w:t>
            </w:r>
          </w:p>
        </w:tc>
        <w:tc>
          <w:tcPr>
            <w:tcW w:w="85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-30.9</w:t>
            </w:r>
          </w:p>
        </w:tc>
        <w:tc>
          <w:tcPr>
            <w:tcW w:w="709" w:type="dxa"/>
            <w:tcBorders>
              <w:top w:val="nil"/>
              <w:left w:val="nil"/>
              <w:bottom w:val="nil"/>
              <w:right w:val="single" w:sz="8"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105.9%</w:t>
            </w:r>
          </w:p>
        </w:tc>
      </w:tr>
      <w:tr w:rsidR="00AD5632" w:rsidRPr="00D3707D" w:rsidTr="00E25D31">
        <w:trPr>
          <w:trHeight w:val="300"/>
        </w:trPr>
        <w:tc>
          <w:tcPr>
            <w:tcW w:w="6268" w:type="dxa"/>
            <w:tcBorders>
              <w:top w:val="nil"/>
              <w:left w:val="single" w:sz="8" w:space="0" w:color="auto"/>
              <w:bottom w:val="nil"/>
              <w:right w:val="single" w:sz="4" w:space="0" w:color="auto"/>
            </w:tcBorders>
            <w:shd w:val="clear" w:color="FFFFFF" w:fill="FFFFFF"/>
            <w:noWrap/>
            <w:vAlign w:val="bottom"/>
            <w:hideMark/>
          </w:tcPr>
          <w:p w:rsidR="00AD5632" w:rsidRPr="00D3707D" w:rsidRDefault="00AD5632" w:rsidP="00BA0B4B">
            <w:pPr>
              <w:ind w:firstLineChars="200" w:firstLine="320"/>
              <w:rPr>
                <w:color w:val="333333"/>
                <w:sz w:val="16"/>
                <w:szCs w:val="20"/>
                <w:lang w:val="es-GT" w:eastAsia="es-GT"/>
              </w:rPr>
            </w:pPr>
            <w:r w:rsidRPr="00D3707D">
              <w:rPr>
                <w:color w:val="333333"/>
                <w:sz w:val="16"/>
                <w:szCs w:val="20"/>
                <w:lang w:val="es-GT" w:eastAsia="es-GT"/>
              </w:rPr>
              <w:t>PREVENCIÓN DE LA MORTALIDAD MATERNA Y NEONATAL</w:t>
            </w:r>
          </w:p>
        </w:tc>
        <w:tc>
          <w:tcPr>
            <w:tcW w:w="78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492.2</w:t>
            </w:r>
          </w:p>
        </w:tc>
        <w:tc>
          <w:tcPr>
            <w:tcW w:w="879"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438.3</w:t>
            </w:r>
          </w:p>
        </w:tc>
        <w:tc>
          <w:tcPr>
            <w:tcW w:w="85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54.0</w:t>
            </w:r>
          </w:p>
        </w:tc>
        <w:tc>
          <w:tcPr>
            <w:tcW w:w="709" w:type="dxa"/>
            <w:tcBorders>
              <w:top w:val="nil"/>
              <w:left w:val="nil"/>
              <w:bottom w:val="nil"/>
              <w:right w:val="single" w:sz="8"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89.0%</w:t>
            </w:r>
          </w:p>
        </w:tc>
      </w:tr>
      <w:tr w:rsidR="00AD5632" w:rsidRPr="00D3707D" w:rsidTr="00E25D31">
        <w:trPr>
          <w:trHeight w:val="300"/>
        </w:trPr>
        <w:tc>
          <w:tcPr>
            <w:tcW w:w="6268" w:type="dxa"/>
            <w:tcBorders>
              <w:top w:val="nil"/>
              <w:left w:val="single" w:sz="8" w:space="0" w:color="auto"/>
              <w:bottom w:val="nil"/>
              <w:right w:val="single" w:sz="4" w:space="0" w:color="auto"/>
            </w:tcBorders>
            <w:shd w:val="clear" w:color="FFFFFF" w:fill="FFFFFF"/>
            <w:noWrap/>
            <w:vAlign w:val="bottom"/>
            <w:hideMark/>
          </w:tcPr>
          <w:p w:rsidR="00AD5632" w:rsidRPr="00D3707D" w:rsidRDefault="00AD5632" w:rsidP="00BA0B4B">
            <w:pPr>
              <w:ind w:firstLineChars="200" w:firstLine="320"/>
              <w:rPr>
                <w:color w:val="333333"/>
                <w:sz w:val="16"/>
                <w:szCs w:val="20"/>
                <w:lang w:val="es-GT" w:eastAsia="es-GT"/>
              </w:rPr>
            </w:pPr>
            <w:r w:rsidRPr="00D3707D">
              <w:rPr>
                <w:color w:val="333333"/>
                <w:sz w:val="16"/>
                <w:szCs w:val="20"/>
                <w:lang w:val="es-GT" w:eastAsia="es-GT"/>
              </w:rPr>
              <w:t>ADMINISTRACIÓN INSTITUCIONAL</w:t>
            </w:r>
          </w:p>
        </w:tc>
        <w:tc>
          <w:tcPr>
            <w:tcW w:w="78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365.3</w:t>
            </w:r>
          </w:p>
        </w:tc>
        <w:tc>
          <w:tcPr>
            <w:tcW w:w="879"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411.7</w:t>
            </w:r>
          </w:p>
        </w:tc>
        <w:tc>
          <w:tcPr>
            <w:tcW w:w="85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-46.4</w:t>
            </w:r>
          </w:p>
        </w:tc>
        <w:tc>
          <w:tcPr>
            <w:tcW w:w="709" w:type="dxa"/>
            <w:tcBorders>
              <w:top w:val="nil"/>
              <w:left w:val="nil"/>
              <w:bottom w:val="nil"/>
              <w:right w:val="single" w:sz="8"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112.7%</w:t>
            </w:r>
          </w:p>
        </w:tc>
      </w:tr>
      <w:tr w:rsidR="00AD5632" w:rsidRPr="00D3707D" w:rsidTr="00E25D31">
        <w:trPr>
          <w:trHeight w:val="300"/>
        </w:trPr>
        <w:tc>
          <w:tcPr>
            <w:tcW w:w="6268" w:type="dxa"/>
            <w:tcBorders>
              <w:top w:val="nil"/>
              <w:left w:val="single" w:sz="8" w:space="0" w:color="auto"/>
              <w:bottom w:val="nil"/>
              <w:right w:val="single" w:sz="4" w:space="0" w:color="auto"/>
            </w:tcBorders>
            <w:shd w:val="clear" w:color="FFFFFF" w:fill="FFFFFF"/>
            <w:noWrap/>
            <w:vAlign w:val="bottom"/>
            <w:hideMark/>
          </w:tcPr>
          <w:p w:rsidR="00AD5632" w:rsidRPr="00D3707D" w:rsidRDefault="00AD5632" w:rsidP="00BA0B4B">
            <w:pPr>
              <w:ind w:firstLineChars="200" w:firstLine="320"/>
              <w:rPr>
                <w:color w:val="333333"/>
                <w:sz w:val="16"/>
                <w:szCs w:val="20"/>
                <w:lang w:val="es-GT" w:eastAsia="es-GT"/>
              </w:rPr>
            </w:pPr>
            <w:r w:rsidRPr="00D3707D">
              <w:rPr>
                <w:color w:val="333333"/>
                <w:sz w:val="16"/>
                <w:szCs w:val="20"/>
                <w:lang w:val="es-GT" w:eastAsia="es-GT"/>
              </w:rPr>
              <w:t>SERVICIO DE FORMACIÓN DEL RECURSO HUMANO</w:t>
            </w:r>
          </w:p>
        </w:tc>
        <w:tc>
          <w:tcPr>
            <w:tcW w:w="78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249.8</w:t>
            </w:r>
          </w:p>
        </w:tc>
        <w:tc>
          <w:tcPr>
            <w:tcW w:w="879"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407.4</w:t>
            </w:r>
          </w:p>
        </w:tc>
        <w:tc>
          <w:tcPr>
            <w:tcW w:w="85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-157.7</w:t>
            </w:r>
          </w:p>
        </w:tc>
        <w:tc>
          <w:tcPr>
            <w:tcW w:w="709" w:type="dxa"/>
            <w:tcBorders>
              <w:top w:val="nil"/>
              <w:left w:val="nil"/>
              <w:bottom w:val="nil"/>
              <w:right w:val="single" w:sz="8"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163.1%</w:t>
            </w:r>
          </w:p>
        </w:tc>
      </w:tr>
      <w:tr w:rsidR="00AD5632" w:rsidRPr="00D3707D" w:rsidTr="00E25D31">
        <w:trPr>
          <w:trHeight w:val="300"/>
        </w:trPr>
        <w:tc>
          <w:tcPr>
            <w:tcW w:w="6268" w:type="dxa"/>
            <w:tcBorders>
              <w:top w:val="nil"/>
              <w:left w:val="single" w:sz="8" w:space="0" w:color="auto"/>
              <w:bottom w:val="nil"/>
              <w:right w:val="single" w:sz="4" w:space="0" w:color="auto"/>
            </w:tcBorders>
            <w:shd w:val="clear" w:color="FFFFFF" w:fill="FFFFFF"/>
            <w:noWrap/>
            <w:vAlign w:val="bottom"/>
            <w:hideMark/>
          </w:tcPr>
          <w:p w:rsidR="00AD5632" w:rsidRPr="00D3707D" w:rsidRDefault="00AD5632" w:rsidP="00BA0B4B">
            <w:pPr>
              <w:ind w:firstLineChars="200" w:firstLine="320"/>
              <w:rPr>
                <w:color w:val="333333"/>
                <w:sz w:val="16"/>
                <w:szCs w:val="20"/>
                <w:lang w:val="es-GT" w:eastAsia="es-GT"/>
              </w:rPr>
            </w:pPr>
            <w:r w:rsidRPr="00D3707D">
              <w:rPr>
                <w:color w:val="333333"/>
                <w:sz w:val="16"/>
                <w:szCs w:val="20"/>
                <w:lang w:val="es-GT" w:eastAsia="es-GT"/>
              </w:rPr>
              <w:t>PREVENCIÓN Y CONTROL ENFERMEDADES VECTORIALES Y ZOONÓTICAS</w:t>
            </w:r>
          </w:p>
        </w:tc>
        <w:tc>
          <w:tcPr>
            <w:tcW w:w="78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199.1</w:t>
            </w:r>
          </w:p>
        </w:tc>
        <w:tc>
          <w:tcPr>
            <w:tcW w:w="879"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187.5</w:t>
            </w:r>
          </w:p>
        </w:tc>
        <w:tc>
          <w:tcPr>
            <w:tcW w:w="85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11.6</w:t>
            </w:r>
          </w:p>
        </w:tc>
        <w:tc>
          <w:tcPr>
            <w:tcW w:w="709" w:type="dxa"/>
            <w:tcBorders>
              <w:top w:val="nil"/>
              <w:left w:val="nil"/>
              <w:bottom w:val="nil"/>
              <w:right w:val="single" w:sz="8"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94.2%</w:t>
            </w:r>
          </w:p>
        </w:tc>
      </w:tr>
      <w:tr w:rsidR="00AD5632" w:rsidRPr="00D3707D" w:rsidTr="00E25D31">
        <w:trPr>
          <w:trHeight w:val="300"/>
        </w:trPr>
        <w:tc>
          <w:tcPr>
            <w:tcW w:w="6268" w:type="dxa"/>
            <w:tcBorders>
              <w:top w:val="nil"/>
              <w:left w:val="single" w:sz="8" w:space="0" w:color="auto"/>
              <w:bottom w:val="nil"/>
              <w:right w:val="single" w:sz="4" w:space="0" w:color="auto"/>
            </w:tcBorders>
            <w:shd w:val="clear" w:color="FFFFFF" w:fill="FFFFFF"/>
            <w:noWrap/>
            <w:vAlign w:val="bottom"/>
            <w:hideMark/>
          </w:tcPr>
          <w:p w:rsidR="00AD5632" w:rsidRPr="00D3707D" w:rsidRDefault="00AD5632" w:rsidP="00BA0B4B">
            <w:pPr>
              <w:ind w:firstLineChars="200" w:firstLine="320"/>
              <w:rPr>
                <w:color w:val="333333"/>
                <w:sz w:val="16"/>
                <w:szCs w:val="20"/>
                <w:lang w:val="es-GT" w:eastAsia="es-GT"/>
              </w:rPr>
            </w:pPr>
            <w:r w:rsidRPr="00D3707D">
              <w:rPr>
                <w:color w:val="333333"/>
                <w:sz w:val="16"/>
                <w:szCs w:val="20"/>
                <w:lang w:val="es-GT" w:eastAsia="es-GT"/>
              </w:rPr>
              <w:t>PREVENCIÓN Y CONTROL DE ITS, VIH/SIDA</w:t>
            </w:r>
          </w:p>
        </w:tc>
        <w:tc>
          <w:tcPr>
            <w:tcW w:w="78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117.3</w:t>
            </w:r>
          </w:p>
        </w:tc>
        <w:tc>
          <w:tcPr>
            <w:tcW w:w="879"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63.7</w:t>
            </w:r>
          </w:p>
        </w:tc>
        <w:tc>
          <w:tcPr>
            <w:tcW w:w="85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53.6</w:t>
            </w:r>
          </w:p>
        </w:tc>
        <w:tc>
          <w:tcPr>
            <w:tcW w:w="709" w:type="dxa"/>
            <w:tcBorders>
              <w:top w:val="nil"/>
              <w:left w:val="nil"/>
              <w:bottom w:val="nil"/>
              <w:right w:val="single" w:sz="8"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54.3%</w:t>
            </w:r>
          </w:p>
        </w:tc>
      </w:tr>
      <w:tr w:rsidR="00AD5632" w:rsidRPr="00D3707D" w:rsidTr="00E25D31">
        <w:trPr>
          <w:trHeight w:val="300"/>
        </w:trPr>
        <w:tc>
          <w:tcPr>
            <w:tcW w:w="6268" w:type="dxa"/>
            <w:tcBorders>
              <w:top w:val="nil"/>
              <w:left w:val="single" w:sz="8" w:space="0" w:color="auto"/>
              <w:bottom w:val="nil"/>
              <w:right w:val="single" w:sz="4" w:space="0" w:color="auto"/>
            </w:tcBorders>
            <w:shd w:val="clear" w:color="FFFFFF" w:fill="FFFFFF"/>
            <w:noWrap/>
            <w:vAlign w:val="bottom"/>
            <w:hideMark/>
          </w:tcPr>
          <w:p w:rsidR="00AD5632" w:rsidRPr="00D3707D" w:rsidRDefault="00AD5632" w:rsidP="00BA0B4B">
            <w:pPr>
              <w:ind w:firstLineChars="200" w:firstLine="320"/>
              <w:rPr>
                <w:color w:val="333333"/>
                <w:sz w:val="16"/>
                <w:szCs w:val="20"/>
                <w:lang w:val="es-GT" w:eastAsia="es-GT"/>
              </w:rPr>
            </w:pPr>
            <w:r w:rsidRPr="00D3707D">
              <w:rPr>
                <w:color w:val="333333"/>
                <w:sz w:val="16"/>
                <w:szCs w:val="20"/>
                <w:lang w:val="es-GT" w:eastAsia="es-GT"/>
              </w:rPr>
              <w:t>PREVENCIÓN Y CONTROL DE LA TUBERCULOSIS</w:t>
            </w:r>
          </w:p>
        </w:tc>
        <w:tc>
          <w:tcPr>
            <w:tcW w:w="78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37.1</w:t>
            </w:r>
          </w:p>
        </w:tc>
        <w:tc>
          <w:tcPr>
            <w:tcW w:w="879"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15.4</w:t>
            </w:r>
          </w:p>
        </w:tc>
        <w:tc>
          <w:tcPr>
            <w:tcW w:w="851" w:type="dxa"/>
            <w:tcBorders>
              <w:top w:val="nil"/>
              <w:left w:val="nil"/>
              <w:bottom w:val="nil"/>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21.7</w:t>
            </w:r>
          </w:p>
        </w:tc>
        <w:tc>
          <w:tcPr>
            <w:tcW w:w="709" w:type="dxa"/>
            <w:tcBorders>
              <w:top w:val="nil"/>
              <w:left w:val="nil"/>
              <w:bottom w:val="nil"/>
              <w:right w:val="single" w:sz="8"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41.4%</w:t>
            </w:r>
          </w:p>
        </w:tc>
      </w:tr>
      <w:tr w:rsidR="00AD5632" w:rsidRPr="00D3707D" w:rsidTr="00E25D31">
        <w:trPr>
          <w:trHeight w:val="315"/>
        </w:trPr>
        <w:tc>
          <w:tcPr>
            <w:tcW w:w="6268" w:type="dxa"/>
            <w:tcBorders>
              <w:top w:val="nil"/>
              <w:left w:val="single" w:sz="8" w:space="0" w:color="auto"/>
              <w:bottom w:val="single" w:sz="8" w:space="0" w:color="auto"/>
              <w:right w:val="single" w:sz="4" w:space="0" w:color="auto"/>
            </w:tcBorders>
            <w:shd w:val="clear" w:color="FFFFFF" w:fill="FFFFFF"/>
            <w:noWrap/>
            <w:vAlign w:val="bottom"/>
            <w:hideMark/>
          </w:tcPr>
          <w:p w:rsidR="00AD5632" w:rsidRPr="00D3707D" w:rsidRDefault="00AD5632" w:rsidP="00BA0B4B">
            <w:pPr>
              <w:ind w:firstLineChars="200" w:firstLine="320"/>
              <w:rPr>
                <w:color w:val="333333"/>
                <w:sz w:val="16"/>
                <w:szCs w:val="20"/>
                <w:lang w:val="es-GT" w:eastAsia="es-GT"/>
              </w:rPr>
            </w:pPr>
            <w:r w:rsidRPr="00D3707D">
              <w:rPr>
                <w:color w:val="333333"/>
                <w:sz w:val="16"/>
                <w:szCs w:val="20"/>
                <w:lang w:val="es-GT" w:eastAsia="es-GT"/>
              </w:rPr>
              <w:t>INFRAESTRUCTURA EN SALUD</w:t>
            </w:r>
          </w:p>
        </w:tc>
        <w:tc>
          <w:tcPr>
            <w:tcW w:w="781" w:type="dxa"/>
            <w:tcBorders>
              <w:top w:val="nil"/>
              <w:left w:val="single" w:sz="4" w:space="0" w:color="auto"/>
              <w:bottom w:val="single" w:sz="8" w:space="0" w:color="auto"/>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106.1</w:t>
            </w:r>
          </w:p>
        </w:tc>
        <w:tc>
          <w:tcPr>
            <w:tcW w:w="879" w:type="dxa"/>
            <w:tcBorders>
              <w:top w:val="nil"/>
              <w:left w:val="nil"/>
              <w:bottom w:val="single" w:sz="8" w:space="0" w:color="auto"/>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10.8</w:t>
            </w:r>
          </w:p>
        </w:tc>
        <w:tc>
          <w:tcPr>
            <w:tcW w:w="851" w:type="dxa"/>
            <w:tcBorders>
              <w:top w:val="nil"/>
              <w:left w:val="nil"/>
              <w:bottom w:val="single" w:sz="8" w:space="0" w:color="auto"/>
              <w:right w:val="single" w:sz="4" w:space="0" w:color="auto"/>
            </w:tcBorders>
            <w:shd w:val="clear" w:color="FFFFFF" w:fill="FFFFFF"/>
            <w:noWrap/>
            <w:vAlign w:val="bottom"/>
            <w:hideMark/>
          </w:tcPr>
          <w:p w:rsidR="00AD5632" w:rsidRPr="00D3707D" w:rsidRDefault="00AD5632" w:rsidP="00BA0B4B">
            <w:pPr>
              <w:jc w:val="right"/>
              <w:rPr>
                <w:color w:val="333333"/>
                <w:sz w:val="16"/>
                <w:szCs w:val="20"/>
                <w:lang w:val="es-GT" w:eastAsia="es-GT"/>
              </w:rPr>
            </w:pPr>
            <w:r w:rsidRPr="00D3707D">
              <w:rPr>
                <w:color w:val="333333"/>
                <w:sz w:val="16"/>
                <w:szCs w:val="20"/>
                <w:lang w:val="es-GT" w:eastAsia="es-GT"/>
              </w:rPr>
              <w:t>95.2</w:t>
            </w:r>
          </w:p>
        </w:tc>
        <w:tc>
          <w:tcPr>
            <w:tcW w:w="709" w:type="dxa"/>
            <w:tcBorders>
              <w:top w:val="nil"/>
              <w:left w:val="nil"/>
              <w:bottom w:val="single" w:sz="8" w:space="0" w:color="auto"/>
              <w:right w:val="single" w:sz="8" w:space="0" w:color="auto"/>
            </w:tcBorders>
            <w:shd w:val="clear" w:color="FFFFFF" w:fill="FFFFFF"/>
            <w:noWrap/>
            <w:vAlign w:val="bottom"/>
            <w:hideMark/>
          </w:tcPr>
          <w:p w:rsidR="00AD5632" w:rsidRPr="00D3707D" w:rsidRDefault="00AD5632" w:rsidP="00BA0B4B">
            <w:pPr>
              <w:jc w:val="right"/>
              <w:rPr>
                <w:sz w:val="16"/>
                <w:szCs w:val="20"/>
                <w:lang w:val="es-GT" w:eastAsia="es-GT"/>
              </w:rPr>
            </w:pPr>
            <w:r w:rsidRPr="00D3707D">
              <w:rPr>
                <w:sz w:val="16"/>
                <w:szCs w:val="20"/>
                <w:lang w:val="es-GT" w:eastAsia="es-GT"/>
              </w:rPr>
              <w:t>10.2%</w:t>
            </w:r>
          </w:p>
        </w:tc>
      </w:tr>
    </w:tbl>
    <w:p w:rsidR="00AD5632" w:rsidRPr="004E678D" w:rsidRDefault="00AD5632" w:rsidP="00AD5632">
      <w:pPr>
        <w:jc w:val="both"/>
        <w:rPr>
          <w:sz w:val="18"/>
        </w:rPr>
      </w:pPr>
      <w:r>
        <w:rPr>
          <w:sz w:val="18"/>
        </w:rPr>
        <w:t xml:space="preserve"> </w:t>
      </w:r>
      <w:r w:rsidRPr="004E678D">
        <w:rPr>
          <w:sz w:val="18"/>
        </w:rPr>
        <w:t>Fuente: Ministerio de Finanzas Públicas</w:t>
      </w:r>
      <w:r>
        <w:rPr>
          <w:sz w:val="18"/>
        </w:rPr>
        <w:t>.</w:t>
      </w:r>
    </w:p>
    <w:p w:rsidR="00AD5632" w:rsidRDefault="00AD5632" w:rsidP="00AD5632">
      <w:pPr>
        <w:jc w:val="both"/>
      </w:pPr>
    </w:p>
    <w:p w:rsidR="00AD5632" w:rsidRDefault="00AD5632" w:rsidP="00AD5632">
      <w:pPr>
        <w:jc w:val="both"/>
      </w:pPr>
    </w:p>
    <w:p w:rsidR="00B179BA" w:rsidRPr="00D108FD" w:rsidRDefault="00B179BA" w:rsidP="00AD5632">
      <w:pPr>
        <w:jc w:val="both"/>
      </w:pPr>
    </w:p>
    <w:p w:rsidR="00AD5632" w:rsidRDefault="00AD5632" w:rsidP="00AD5632">
      <w:pPr>
        <w:jc w:val="both"/>
        <w:rPr>
          <w:b/>
        </w:rPr>
      </w:pPr>
      <w:r w:rsidRPr="00D108FD">
        <w:rPr>
          <w:b/>
        </w:rPr>
        <w:t>Ministerio de Trabajo y Previsión Social</w:t>
      </w:r>
      <w:r>
        <w:rPr>
          <w:b/>
        </w:rPr>
        <w:t>:</w:t>
      </w:r>
    </w:p>
    <w:p w:rsidR="00AD5632" w:rsidRPr="00006FBB" w:rsidRDefault="00AD5632" w:rsidP="00AD5632">
      <w:pPr>
        <w:jc w:val="both"/>
        <w:rPr>
          <w:b/>
          <w:sz w:val="28"/>
        </w:rPr>
      </w:pPr>
    </w:p>
    <w:p w:rsidR="00AD5632" w:rsidRDefault="00AD5632" w:rsidP="00AD5632">
      <w:pPr>
        <w:jc w:val="both"/>
      </w:pPr>
      <w:r w:rsidRPr="00D108FD">
        <w:t>El Min</w:t>
      </w:r>
      <w:r>
        <w:t>isterio de Trabajo y Previsión Social</w:t>
      </w:r>
      <w:r w:rsidRPr="00D108FD">
        <w:t xml:space="preserve"> tuvo </w:t>
      </w:r>
      <w:r>
        <w:t>un presupuesto</w:t>
      </w:r>
      <w:r w:rsidRPr="00D108FD">
        <w:t xml:space="preserve"> </w:t>
      </w:r>
      <w:r>
        <w:t xml:space="preserve">aprobado </w:t>
      </w:r>
      <w:r w:rsidRPr="00D108FD">
        <w:t xml:space="preserve">de </w:t>
      </w:r>
      <w:r>
        <w:t>Q.802</w:t>
      </w:r>
      <w:r w:rsidRPr="00D108FD">
        <w:t>.2 millones</w:t>
      </w:r>
      <w:r w:rsidR="00595699">
        <w:t>,</w:t>
      </w:r>
      <w:r w:rsidRPr="00D108FD">
        <w:t xml:space="preserve"> </w:t>
      </w:r>
      <w:r>
        <w:t>su</w:t>
      </w:r>
      <w:r w:rsidRPr="00D108FD">
        <w:t xml:space="preserve"> ejecución presupuestaria se ubicó en </w:t>
      </w:r>
      <w:r>
        <w:t>Q.</w:t>
      </w:r>
      <w:r w:rsidRPr="00D108FD">
        <w:t>6</w:t>
      </w:r>
      <w:r>
        <w:t>75.4</w:t>
      </w:r>
      <w:r w:rsidRPr="00D108FD">
        <w:t xml:space="preserve"> millones</w:t>
      </w:r>
      <w:r w:rsidR="00595699">
        <w:t>,</w:t>
      </w:r>
      <w:r w:rsidRPr="00D108FD">
        <w:t xml:space="preserve"> equivalente</w:t>
      </w:r>
      <w:r>
        <w:t>s</w:t>
      </w:r>
      <w:r w:rsidRPr="00D108FD">
        <w:t xml:space="preserve"> al </w:t>
      </w:r>
      <w:r>
        <w:t>84.2</w:t>
      </w:r>
      <w:r w:rsidRPr="00D108FD">
        <w:t>%</w:t>
      </w:r>
      <w:r>
        <w:t xml:space="preserve"> del presupuesto aprobado.</w:t>
      </w:r>
    </w:p>
    <w:p w:rsidR="00AD5632" w:rsidRPr="00006FBB" w:rsidRDefault="00AD5632" w:rsidP="00AD5632">
      <w:pPr>
        <w:jc w:val="both"/>
        <w:rPr>
          <w:sz w:val="28"/>
        </w:rPr>
      </w:pPr>
    </w:p>
    <w:p w:rsidR="00AD5632" w:rsidRDefault="00AD5632" w:rsidP="00AD5632">
      <w:pPr>
        <w:jc w:val="both"/>
      </w:pPr>
      <w:r>
        <w:t>Con base</w:t>
      </w:r>
      <w:r w:rsidRPr="00D108FD">
        <w:t xml:space="preserve"> en las cifras </w:t>
      </w:r>
      <w:r>
        <w:t>d</w:t>
      </w:r>
      <w:r w:rsidRPr="00D108FD">
        <w:t>el S</w:t>
      </w:r>
      <w:r>
        <w:t>ICOIN</w:t>
      </w:r>
      <w:r w:rsidRPr="00D108FD">
        <w:t xml:space="preserve">, se </w:t>
      </w:r>
      <w:r>
        <w:t>observa</w:t>
      </w:r>
      <w:r w:rsidRPr="00D108FD">
        <w:t xml:space="preserve"> que el principal programa fue “Atención al Adulto Mayor” con un presupuesto </w:t>
      </w:r>
      <w:r>
        <w:t xml:space="preserve">aprobado </w:t>
      </w:r>
      <w:r w:rsidRPr="00D108FD">
        <w:t xml:space="preserve">de </w:t>
      </w:r>
      <w:r>
        <w:t>Q.550.0</w:t>
      </w:r>
      <w:r w:rsidRPr="00D108FD">
        <w:t xml:space="preserve"> millones y una ejecución de </w:t>
      </w:r>
      <w:r>
        <w:t>Q.520.3</w:t>
      </w:r>
      <w:r w:rsidRPr="00D108FD">
        <w:t xml:space="preserve"> millones</w:t>
      </w:r>
      <w:r w:rsidR="00595699">
        <w:t>,</w:t>
      </w:r>
      <w:r w:rsidRPr="00D108FD">
        <w:t xml:space="preserve"> equivalente</w:t>
      </w:r>
      <w:r>
        <w:t>s</w:t>
      </w:r>
      <w:r w:rsidRPr="00D108FD">
        <w:t xml:space="preserve"> al </w:t>
      </w:r>
      <w:r>
        <w:t>94.6</w:t>
      </w:r>
      <w:r w:rsidRPr="00D108FD">
        <w:t>%</w:t>
      </w:r>
      <w:r>
        <w:t>.</w:t>
      </w:r>
    </w:p>
    <w:p w:rsidR="00AD5632" w:rsidRDefault="00AD5632" w:rsidP="00AD5632">
      <w:pPr>
        <w:jc w:val="both"/>
      </w:pPr>
    </w:p>
    <w:p w:rsidR="00AD5632" w:rsidRDefault="00AD5632" w:rsidP="00AD5632">
      <w:pPr>
        <w:jc w:val="both"/>
      </w:pPr>
      <w:r w:rsidRPr="00D108FD">
        <w:t>El programa de “Administración Institucional” con</w:t>
      </w:r>
      <w:r>
        <w:t xml:space="preserve"> </w:t>
      </w:r>
      <w:r w:rsidRPr="00D108FD">
        <w:t>presupuesto</w:t>
      </w:r>
      <w:r>
        <w:t xml:space="preserve"> aprobado</w:t>
      </w:r>
      <w:r w:rsidRPr="00D108FD">
        <w:t xml:space="preserve"> de </w:t>
      </w:r>
      <w:r>
        <w:t>Q.</w:t>
      </w:r>
      <w:r w:rsidRPr="00D108FD">
        <w:t>5</w:t>
      </w:r>
      <w:r>
        <w:t>6.2</w:t>
      </w:r>
      <w:r w:rsidRPr="00D108FD">
        <w:t xml:space="preserve"> millones, </w:t>
      </w:r>
      <w:r>
        <w:t>c</w:t>
      </w:r>
      <w:r w:rsidR="00595699">
        <w:t>uya</w:t>
      </w:r>
      <w:r>
        <w:t xml:space="preserve"> </w:t>
      </w:r>
      <w:r w:rsidRPr="00D108FD">
        <w:t xml:space="preserve">ejecución presupuestaria fue de </w:t>
      </w:r>
      <w:r>
        <w:t>Q.63.9</w:t>
      </w:r>
      <w:r w:rsidRPr="00D108FD">
        <w:t xml:space="preserve"> millones</w:t>
      </w:r>
      <w:r w:rsidR="00595699">
        <w:t>,</w:t>
      </w:r>
      <w:r w:rsidRPr="00D108FD">
        <w:t xml:space="preserve"> equivalentes al </w:t>
      </w:r>
      <w:r w:rsidR="00595699">
        <w:t>1</w:t>
      </w:r>
      <w:r>
        <w:t>13.6</w:t>
      </w:r>
      <w:r w:rsidRPr="00D108FD">
        <w:t>%.</w:t>
      </w:r>
    </w:p>
    <w:p w:rsidR="00AD5632" w:rsidRDefault="00AD5632" w:rsidP="00AD5632">
      <w:pPr>
        <w:jc w:val="both"/>
        <w:rPr>
          <w:sz w:val="28"/>
        </w:rPr>
      </w:pPr>
    </w:p>
    <w:p w:rsidR="00AD5632" w:rsidRPr="00D95DE5" w:rsidRDefault="00AD5632" w:rsidP="00AD5632">
      <w:pPr>
        <w:jc w:val="both"/>
      </w:pPr>
      <w:r w:rsidRPr="00D95DE5">
        <w:t>A continuación, aparece el programa “Promoción de la Formalidad del Empleo” con presupuesto aprobado de Q</w:t>
      </w:r>
      <w:r w:rsidR="00595699">
        <w:t>.</w:t>
      </w:r>
      <w:r w:rsidRPr="00D95DE5">
        <w:t>36.3 millones y con una ejecución presupuestaria de Q</w:t>
      </w:r>
      <w:r w:rsidR="00595699">
        <w:t>.</w:t>
      </w:r>
      <w:r w:rsidRPr="00D95DE5">
        <w:t>42.6 millones, es decir</w:t>
      </w:r>
      <w:r w:rsidR="00595699">
        <w:t>,</w:t>
      </w:r>
      <w:r w:rsidRPr="00D95DE5">
        <w:t xml:space="preserve"> que superó el presupuesto aprobado en </w:t>
      </w:r>
      <w:r w:rsidR="00595699">
        <w:t>1</w:t>
      </w:r>
      <w:r w:rsidRPr="00D95DE5">
        <w:t>17.3%.</w:t>
      </w:r>
    </w:p>
    <w:p w:rsidR="00AD5632" w:rsidRPr="00006FBB" w:rsidRDefault="00AD5632" w:rsidP="00AD5632">
      <w:pPr>
        <w:jc w:val="both"/>
        <w:rPr>
          <w:sz w:val="28"/>
        </w:rPr>
      </w:pPr>
    </w:p>
    <w:p w:rsidR="00AD5632" w:rsidRPr="00006FBB" w:rsidRDefault="00AD5632" w:rsidP="00AD5632">
      <w:pPr>
        <w:jc w:val="both"/>
        <w:rPr>
          <w:sz w:val="28"/>
        </w:rPr>
      </w:pPr>
      <w:r>
        <w:t>Le sigue el programa “Recreación de los Trabajadores del Estado” con presupuesto aprobado de Q.96.1 millones y ejecución presupuestaria de Q.32.8 millones, equivalentes al 34.2% de lo aprobado al inicio del año.</w:t>
      </w:r>
    </w:p>
    <w:p w:rsidR="00AD5632" w:rsidRPr="00006FBB" w:rsidRDefault="00AD5632" w:rsidP="00AD5632">
      <w:pPr>
        <w:jc w:val="both"/>
        <w:rPr>
          <w:sz w:val="28"/>
        </w:rPr>
      </w:pPr>
    </w:p>
    <w:p w:rsidR="00AD5632" w:rsidRDefault="00AD5632" w:rsidP="00AD5632">
      <w:pPr>
        <w:jc w:val="both"/>
      </w:pPr>
      <w:r w:rsidRPr="00D108FD">
        <w:t>Para completar la ejecución presupuestaria de</w:t>
      </w:r>
      <w:r>
        <w:t xml:space="preserve"> este Ministerio</w:t>
      </w:r>
      <w:r w:rsidRPr="00D108FD">
        <w:t xml:space="preserve">, solo restan tres programas los cuales tuvieron una ejecución </w:t>
      </w:r>
      <w:r w:rsidR="00AD1CB0">
        <w:t>global de</w:t>
      </w:r>
      <w:r w:rsidRPr="00D108FD">
        <w:t xml:space="preserve"> </w:t>
      </w:r>
      <w:r>
        <w:t>Q.15.</w:t>
      </w:r>
      <w:r w:rsidR="00AD1CB0">
        <w:t>9</w:t>
      </w:r>
      <w:r w:rsidRPr="00D108FD">
        <w:t xml:space="preserve"> millones</w:t>
      </w:r>
      <w:r>
        <w:t>,</w:t>
      </w:r>
      <w:r w:rsidRPr="00D108FD">
        <w:t xml:space="preserve"> tal como se observa en el cuadro </w:t>
      </w:r>
      <w:r>
        <w:t>siguiente:</w:t>
      </w:r>
    </w:p>
    <w:p w:rsidR="00AD5632" w:rsidRPr="004E678D" w:rsidRDefault="00AD5632" w:rsidP="00AD5632">
      <w:pPr>
        <w:jc w:val="both"/>
        <w:rPr>
          <w:sz w:val="18"/>
        </w:rPr>
      </w:pPr>
    </w:p>
    <w:tbl>
      <w:tblPr>
        <w:tblW w:w="9346" w:type="dxa"/>
        <w:jc w:val="center"/>
        <w:tblCellMar>
          <w:left w:w="70" w:type="dxa"/>
          <w:right w:w="70" w:type="dxa"/>
        </w:tblCellMar>
        <w:tblLook w:val="04A0" w:firstRow="1" w:lastRow="0" w:firstColumn="1" w:lastColumn="0" w:noHBand="0" w:noVBand="1"/>
      </w:tblPr>
      <w:tblGrid>
        <w:gridCol w:w="5749"/>
        <w:gridCol w:w="1045"/>
        <w:gridCol w:w="993"/>
        <w:gridCol w:w="850"/>
        <w:gridCol w:w="709"/>
      </w:tblGrid>
      <w:tr w:rsidR="00AD5632" w:rsidRPr="00705D5B" w:rsidTr="006941A5">
        <w:trPr>
          <w:trHeight w:val="189"/>
          <w:jc w:val="center"/>
        </w:trPr>
        <w:tc>
          <w:tcPr>
            <w:tcW w:w="5749" w:type="dxa"/>
            <w:tcBorders>
              <w:top w:val="single" w:sz="8" w:space="0" w:color="auto"/>
              <w:left w:val="single" w:sz="8" w:space="0" w:color="auto"/>
              <w:bottom w:val="single" w:sz="4" w:space="0" w:color="auto"/>
              <w:right w:val="single" w:sz="4" w:space="0" w:color="auto"/>
            </w:tcBorders>
            <w:shd w:val="clear" w:color="000000" w:fill="8DB4E2"/>
            <w:noWrap/>
            <w:hideMark/>
          </w:tcPr>
          <w:p w:rsidR="00AD5632" w:rsidRPr="00705D5B" w:rsidRDefault="00AD5632" w:rsidP="00BA0B4B">
            <w:pPr>
              <w:jc w:val="center"/>
              <w:rPr>
                <w:b/>
                <w:bCs/>
                <w:color w:val="000000"/>
                <w:sz w:val="16"/>
                <w:szCs w:val="20"/>
                <w:lang w:val="es-GT" w:eastAsia="es-GT"/>
              </w:rPr>
            </w:pPr>
            <w:r w:rsidRPr="00705D5B">
              <w:rPr>
                <w:b/>
                <w:bCs/>
                <w:color w:val="000000"/>
                <w:sz w:val="16"/>
                <w:szCs w:val="20"/>
                <w:lang w:val="es-GT" w:eastAsia="es-GT"/>
              </w:rPr>
              <w:lastRenderedPageBreak/>
              <w:t>DESCRIPCI</w:t>
            </w:r>
            <w:r w:rsidR="00BC3740">
              <w:rPr>
                <w:b/>
                <w:bCs/>
                <w:color w:val="000000"/>
                <w:sz w:val="16"/>
                <w:szCs w:val="20"/>
                <w:lang w:val="es-GT" w:eastAsia="es-GT"/>
              </w:rPr>
              <w:t>Ó</w:t>
            </w:r>
            <w:r w:rsidRPr="00705D5B">
              <w:rPr>
                <w:b/>
                <w:bCs/>
                <w:color w:val="000000"/>
                <w:sz w:val="16"/>
                <w:szCs w:val="20"/>
                <w:lang w:val="es-GT" w:eastAsia="es-GT"/>
              </w:rPr>
              <w:t>N</w:t>
            </w:r>
          </w:p>
        </w:tc>
        <w:tc>
          <w:tcPr>
            <w:tcW w:w="1045" w:type="dxa"/>
            <w:tcBorders>
              <w:top w:val="single" w:sz="8" w:space="0" w:color="auto"/>
              <w:left w:val="nil"/>
              <w:bottom w:val="single" w:sz="4" w:space="0" w:color="auto"/>
              <w:right w:val="single" w:sz="4" w:space="0" w:color="auto"/>
            </w:tcBorders>
            <w:shd w:val="clear" w:color="000000" w:fill="8DB4E2"/>
            <w:noWrap/>
            <w:hideMark/>
          </w:tcPr>
          <w:p w:rsidR="00AD5632" w:rsidRPr="00705D5B" w:rsidRDefault="00AD5632" w:rsidP="00BA0B4B">
            <w:pPr>
              <w:jc w:val="center"/>
              <w:rPr>
                <w:b/>
                <w:bCs/>
                <w:color w:val="000000"/>
                <w:sz w:val="16"/>
                <w:szCs w:val="20"/>
                <w:lang w:val="es-GT" w:eastAsia="es-GT"/>
              </w:rPr>
            </w:pPr>
            <w:r w:rsidRPr="00705D5B">
              <w:rPr>
                <w:b/>
                <w:bCs/>
                <w:color w:val="000000"/>
                <w:sz w:val="16"/>
                <w:szCs w:val="20"/>
                <w:lang w:val="es-GT" w:eastAsia="es-GT"/>
              </w:rPr>
              <w:t>Asignado</w:t>
            </w:r>
          </w:p>
        </w:tc>
        <w:tc>
          <w:tcPr>
            <w:tcW w:w="993" w:type="dxa"/>
            <w:tcBorders>
              <w:top w:val="single" w:sz="8" w:space="0" w:color="auto"/>
              <w:left w:val="nil"/>
              <w:bottom w:val="single" w:sz="4" w:space="0" w:color="auto"/>
              <w:right w:val="single" w:sz="4" w:space="0" w:color="auto"/>
            </w:tcBorders>
            <w:shd w:val="clear" w:color="000000" w:fill="8DB4E2"/>
            <w:noWrap/>
            <w:hideMark/>
          </w:tcPr>
          <w:p w:rsidR="00AD5632" w:rsidRPr="00705D5B" w:rsidRDefault="00AD5632" w:rsidP="00BA0B4B">
            <w:pPr>
              <w:jc w:val="center"/>
              <w:rPr>
                <w:b/>
                <w:bCs/>
                <w:color w:val="000000"/>
                <w:sz w:val="16"/>
                <w:szCs w:val="20"/>
                <w:lang w:val="es-GT" w:eastAsia="es-GT"/>
              </w:rPr>
            </w:pPr>
            <w:r w:rsidRPr="00705D5B">
              <w:rPr>
                <w:b/>
                <w:bCs/>
                <w:color w:val="000000"/>
                <w:sz w:val="16"/>
                <w:szCs w:val="20"/>
                <w:lang w:val="es-GT" w:eastAsia="es-GT"/>
              </w:rPr>
              <w:t>Ejecu</w:t>
            </w:r>
            <w:r w:rsidR="00BC3740">
              <w:rPr>
                <w:b/>
                <w:bCs/>
                <w:color w:val="000000"/>
                <w:sz w:val="16"/>
                <w:szCs w:val="20"/>
                <w:lang w:val="es-GT" w:eastAsia="es-GT"/>
              </w:rPr>
              <w:t>tado</w:t>
            </w:r>
          </w:p>
        </w:tc>
        <w:tc>
          <w:tcPr>
            <w:tcW w:w="850" w:type="dxa"/>
            <w:tcBorders>
              <w:top w:val="single" w:sz="8" w:space="0" w:color="auto"/>
              <w:left w:val="nil"/>
              <w:bottom w:val="single" w:sz="4" w:space="0" w:color="auto"/>
              <w:right w:val="single" w:sz="4" w:space="0" w:color="auto"/>
            </w:tcBorders>
            <w:shd w:val="clear" w:color="000000" w:fill="8DB4E2"/>
            <w:noWrap/>
            <w:hideMark/>
          </w:tcPr>
          <w:p w:rsidR="00AD5632" w:rsidRPr="00705D5B" w:rsidRDefault="00AD5632" w:rsidP="00BA0B4B">
            <w:pPr>
              <w:jc w:val="center"/>
              <w:rPr>
                <w:b/>
                <w:bCs/>
                <w:color w:val="000000"/>
                <w:sz w:val="16"/>
                <w:szCs w:val="20"/>
                <w:lang w:val="es-GT" w:eastAsia="es-GT"/>
              </w:rPr>
            </w:pPr>
            <w:r w:rsidRPr="00705D5B">
              <w:rPr>
                <w:b/>
                <w:bCs/>
                <w:color w:val="000000"/>
                <w:sz w:val="16"/>
                <w:szCs w:val="20"/>
                <w:lang w:val="es-GT" w:eastAsia="es-GT"/>
              </w:rPr>
              <w:t>Dif</w:t>
            </w:r>
            <w:r w:rsidR="00BC3740">
              <w:rPr>
                <w:b/>
                <w:bCs/>
                <w:color w:val="000000"/>
                <w:sz w:val="16"/>
                <w:szCs w:val="20"/>
                <w:lang w:val="es-GT" w:eastAsia="es-GT"/>
              </w:rPr>
              <w:t>.</w:t>
            </w:r>
          </w:p>
        </w:tc>
        <w:tc>
          <w:tcPr>
            <w:tcW w:w="709" w:type="dxa"/>
            <w:tcBorders>
              <w:top w:val="single" w:sz="8" w:space="0" w:color="auto"/>
              <w:left w:val="nil"/>
              <w:bottom w:val="single" w:sz="4" w:space="0" w:color="auto"/>
              <w:right w:val="single" w:sz="8" w:space="0" w:color="auto"/>
            </w:tcBorders>
            <w:shd w:val="clear" w:color="000000" w:fill="8DB4E2"/>
            <w:noWrap/>
            <w:hideMark/>
          </w:tcPr>
          <w:p w:rsidR="00AD5632" w:rsidRPr="00705D5B" w:rsidRDefault="00AD5632" w:rsidP="00BA0B4B">
            <w:pPr>
              <w:jc w:val="center"/>
              <w:rPr>
                <w:b/>
                <w:bCs/>
                <w:color w:val="000000"/>
                <w:sz w:val="16"/>
                <w:szCs w:val="20"/>
                <w:lang w:val="es-GT" w:eastAsia="es-GT"/>
              </w:rPr>
            </w:pPr>
            <w:r w:rsidRPr="00705D5B">
              <w:rPr>
                <w:b/>
                <w:bCs/>
                <w:color w:val="000000"/>
                <w:sz w:val="16"/>
                <w:szCs w:val="20"/>
                <w:lang w:val="es-GT" w:eastAsia="es-GT"/>
              </w:rPr>
              <w:t>% Ejec</w:t>
            </w:r>
          </w:p>
        </w:tc>
      </w:tr>
      <w:tr w:rsidR="00AD5632" w:rsidRPr="00705D5B" w:rsidTr="00E25D31">
        <w:trPr>
          <w:trHeight w:val="297"/>
          <w:jc w:val="center"/>
        </w:trPr>
        <w:tc>
          <w:tcPr>
            <w:tcW w:w="5749" w:type="dxa"/>
            <w:tcBorders>
              <w:top w:val="nil"/>
              <w:left w:val="single" w:sz="8" w:space="0" w:color="auto"/>
              <w:bottom w:val="nil"/>
              <w:right w:val="single" w:sz="4" w:space="0" w:color="auto"/>
            </w:tcBorders>
            <w:shd w:val="clear" w:color="FFFFFF" w:fill="FFFFFF"/>
            <w:noWrap/>
            <w:vAlign w:val="bottom"/>
            <w:hideMark/>
          </w:tcPr>
          <w:p w:rsidR="00AD5632" w:rsidRPr="00705D5B" w:rsidRDefault="00AD5632" w:rsidP="00BA0B4B">
            <w:pPr>
              <w:rPr>
                <w:b/>
                <w:bCs/>
                <w:color w:val="333333"/>
                <w:sz w:val="16"/>
                <w:szCs w:val="20"/>
                <w:lang w:val="es-GT" w:eastAsia="es-GT"/>
              </w:rPr>
            </w:pPr>
            <w:r w:rsidRPr="00705D5B">
              <w:rPr>
                <w:b/>
                <w:bCs/>
                <w:color w:val="333333"/>
                <w:sz w:val="16"/>
                <w:szCs w:val="20"/>
                <w:lang w:val="es-GT" w:eastAsia="es-GT"/>
              </w:rPr>
              <w:t>MINISTERIO DE TRABAJO Y PREVISIÓN SOCIAL</w:t>
            </w:r>
          </w:p>
        </w:tc>
        <w:tc>
          <w:tcPr>
            <w:tcW w:w="1045"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b/>
                <w:bCs/>
                <w:color w:val="333333"/>
                <w:sz w:val="16"/>
                <w:szCs w:val="20"/>
                <w:lang w:val="es-GT" w:eastAsia="es-GT"/>
              </w:rPr>
            </w:pPr>
            <w:r w:rsidRPr="00705D5B">
              <w:rPr>
                <w:b/>
                <w:bCs/>
                <w:color w:val="333333"/>
                <w:sz w:val="16"/>
                <w:szCs w:val="20"/>
                <w:lang w:val="es-GT" w:eastAsia="es-GT"/>
              </w:rPr>
              <w:t>802.2</w:t>
            </w:r>
          </w:p>
        </w:tc>
        <w:tc>
          <w:tcPr>
            <w:tcW w:w="993"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b/>
                <w:bCs/>
                <w:color w:val="333333"/>
                <w:sz w:val="16"/>
                <w:szCs w:val="20"/>
                <w:lang w:val="es-GT" w:eastAsia="es-GT"/>
              </w:rPr>
            </w:pPr>
            <w:r w:rsidRPr="00705D5B">
              <w:rPr>
                <w:b/>
                <w:bCs/>
                <w:color w:val="333333"/>
                <w:sz w:val="16"/>
                <w:szCs w:val="20"/>
                <w:lang w:val="es-GT" w:eastAsia="es-GT"/>
              </w:rPr>
              <w:t>675.4</w:t>
            </w:r>
          </w:p>
        </w:tc>
        <w:tc>
          <w:tcPr>
            <w:tcW w:w="850"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b/>
                <w:bCs/>
                <w:color w:val="333333"/>
                <w:sz w:val="16"/>
                <w:szCs w:val="20"/>
                <w:lang w:val="es-GT" w:eastAsia="es-GT"/>
              </w:rPr>
            </w:pPr>
            <w:r w:rsidRPr="00705D5B">
              <w:rPr>
                <w:b/>
                <w:bCs/>
                <w:color w:val="333333"/>
                <w:sz w:val="16"/>
                <w:szCs w:val="20"/>
                <w:lang w:val="es-GT" w:eastAsia="es-GT"/>
              </w:rPr>
              <w:t>126.8</w:t>
            </w:r>
          </w:p>
        </w:tc>
        <w:tc>
          <w:tcPr>
            <w:tcW w:w="709" w:type="dxa"/>
            <w:tcBorders>
              <w:top w:val="nil"/>
              <w:left w:val="nil"/>
              <w:bottom w:val="nil"/>
              <w:right w:val="single" w:sz="8" w:space="0" w:color="auto"/>
            </w:tcBorders>
            <w:shd w:val="clear" w:color="FFFFFF" w:fill="FFFFFF"/>
            <w:noWrap/>
            <w:vAlign w:val="bottom"/>
            <w:hideMark/>
          </w:tcPr>
          <w:p w:rsidR="00AD5632" w:rsidRPr="00705D5B" w:rsidRDefault="00AD5632" w:rsidP="00BA0B4B">
            <w:pPr>
              <w:jc w:val="right"/>
              <w:rPr>
                <w:b/>
                <w:bCs/>
                <w:color w:val="333333"/>
                <w:sz w:val="16"/>
                <w:szCs w:val="20"/>
                <w:lang w:val="es-GT" w:eastAsia="es-GT"/>
              </w:rPr>
            </w:pPr>
            <w:r w:rsidRPr="00705D5B">
              <w:rPr>
                <w:b/>
                <w:bCs/>
                <w:color w:val="333333"/>
                <w:sz w:val="16"/>
                <w:szCs w:val="20"/>
                <w:lang w:val="es-GT" w:eastAsia="es-GT"/>
              </w:rPr>
              <w:t>84.2%</w:t>
            </w:r>
          </w:p>
        </w:tc>
      </w:tr>
      <w:tr w:rsidR="00AD5632" w:rsidRPr="00705D5B" w:rsidTr="00E25D31">
        <w:trPr>
          <w:trHeight w:val="297"/>
          <w:jc w:val="center"/>
        </w:trPr>
        <w:tc>
          <w:tcPr>
            <w:tcW w:w="5749" w:type="dxa"/>
            <w:tcBorders>
              <w:top w:val="nil"/>
              <w:left w:val="single" w:sz="8" w:space="0" w:color="auto"/>
              <w:bottom w:val="nil"/>
              <w:right w:val="single" w:sz="4" w:space="0" w:color="auto"/>
            </w:tcBorders>
            <w:shd w:val="clear" w:color="FFFFFF" w:fill="FFFFFF"/>
            <w:noWrap/>
            <w:vAlign w:val="bottom"/>
            <w:hideMark/>
          </w:tcPr>
          <w:p w:rsidR="00AD5632" w:rsidRPr="00705D5B" w:rsidRDefault="00AD5632" w:rsidP="00BA0B4B">
            <w:pPr>
              <w:ind w:firstLineChars="200" w:firstLine="320"/>
              <w:rPr>
                <w:color w:val="333333"/>
                <w:sz w:val="16"/>
                <w:szCs w:val="20"/>
                <w:lang w:val="es-GT" w:eastAsia="es-GT"/>
              </w:rPr>
            </w:pPr>
            <w:r w:rsidRPr="00705D5B">
              <w:rPr>
                <w:color w:val="333333"/>
                <w:sz w:val="16"/>
                <w:szCs w:val="20"/>
                <w:lang w:val="es-GT" w:eastAsia="es-GT"/>
              </w:rPr>
              <w:t>ATENCIÓN AL ADULTO MAYOR</w:t>
            </w:r>
          </w:p>
        </w:tc>
        <w:tc>
          <w:tcPr>
            <w:tcW w:w="1045"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550.0</w:t>
            </w:r>
          </w:p>
        </w:tc>
        <w:tc>
          <w:tcPr>
            <w:tcW w:w="993"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520.3</w:t>
            </w:r>
          </w:p>
        </w:tc>
        <w:tc>
          <w:tcPr>
            <w:tcW w:w="850"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29.7</w:t>
            </w:r>
          </w:p>
        </w:tc>
        <w:tc>
          <w:tcPr>
            <w:tcW w:w="709" w:type="dxa"/>
            <w:tcBorders>
              <w:top w:val="nil"/>
              <w:left w:val="nil"/>
              <w:bottom w:val="nil"/>
              <w:right w:val="single" w:sz="8"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94.6%</w:t>
            </w:r>
          </w:p>
        </w:tc>
      </w:tr>
      <w:tr w:rsidR="00AD5632" w:rsidRPr="00705D5B" w:rsidTr="00E25D31">
        <w:trPr>
          <w:trHeight w:val="297"/>
          <w:jc w:val="center"/>
        </w:trPr>
        <w:tc>
          <w:tcPr>
            <w:tcW w:w="5749" w:type="dxa"/>
            <w:tcBorders>
              <w:top w:val="nil"/>
              <w:left w:val="single" w:sz="8" w:space="0" w:color="auto"/>
              <w:bottom w:val="nil"/>
              <w:right w:val="single" w:sz="4" w:space="0" w:color="auto"/>
            </w:tcBorders>
            <w:shd w:val="clear" w:color="FFFFFF" w:fill="FFFFFF"/>
            <w:noWrap/>
            <w:vAlign w:val="bottom"/>
            <w:hideMark/>
          </w:tcPr>
          <w:p w:rsidR="00AD5632" w:rsidRPr="00705D5B" w:rsidRDefault="00AD5632" w:rsidP="00BA0B4B">
            <w:pPr>
              <w:ind w:firstLineChars="200" w:firstLine="320"/>
              <w:rPr>
                <w:color w:val="333333"/>
                <w:sz w:val="16"/>
                <w:szCs w:val="20"/>
                <w:lang w:val="es-GT" w:eastAsia="es-GT"/>
              </w:rPr>
            </w:pPr>
            <w:r w:rsidRPr="00705D5B">
              <w:rPr>
                <w:color w:val="333333"/>
                <w:sz w:val="16"/>
                <w:szCs w:val="20"/>
                <w:lang w:val="es-GT" w:eastAsia="es-GT"/>
              </w:rPr>
              <w:t>ADMINISTRACIÓN INSTITUCIONAL</w:t>
            </w:r>
          </w:p>
        </w:tc>
        <w:tc>
          <w:tcPr>
            <w:tcW w:w="1045"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56.2</w:t>
            </w:r>
          </w:p>
        </w:tc>
        <w:tc>
          <w:tcPr>
            <w:tcW w:w="993"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63.9</w:t>
            </w:r>
          </w:p>
        </w:tc>
        <w:tc>
          <w:tcPr>
            <w:tcW w:w="850"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-7.6</w:t>
            </w:r>
          </w:p>
        </w:tc>
        <w:tc>
          <w:tcPr>
            <w:tcW w:w="709" w:type="dxa"/>
            <w:tcBorders>
              <w:top w:val="nil"/>
              <w:left w:val="nil"/>
              <w:bottom w:val="nil"/>
              <w:right w:val="single" w:sz="8"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113.6%</w:t>
            </w:r>
          </w:p>
        </w:tc>
      </w:tr>
      <w:tr w:rsidR="00AD5632" w:rsidRPr="00705D5B" w:rsidTr="00E25D31">
        <w:trPr>
          <w:trHeight w:val="297"/>
          <w:jc w:val="center"/>
        </w:trPr>
        <w:tc>
          <w:tcPr>
            <w:tcW w:w="5749" w:type="dxa"/>
            <w:tcBorders>
              <w:top w:val="nil"/>
              <w:left w:val="single" w:sz="8" w:space="0" w:color="auto"/>
              <w:bottom w:val="nil"/>
              <w:right w:val="single" w:sz="4" w:space="0" w:color="auto"/>
            </w:tcBorders>
            <w:shd w:val="clear" w:color="FFFFFF" w:fill="FFFFFF"/>
            <w:noWrap/>
            <w:vAlign w:val="bottom"/>
            <w:hideMark/>
          </w:tcPr>
          <w:p w:rsidR="00AD5632" w:rsidRPr="00705D5B" w:rsidRDefault="00AD5632" w:rsidP="00BA0B4B">
            <w:pPr>
              <w:ind w:firstLineChars="200" w:firstLine="320"/>
              <w:rPr>
                <w:color w:val="333333"/>
                <w:sz w:val="16"/>
                <w:szCs w:val="20"/>
                <w:lang w:val="es-GT" w:eastAsia="es-GT"/>
              </w:rPr>
            </w:pPr>
            <w:r w:rsidRPr="00705D5B">
              <w:rPr>
                <w:color w:val="333333"/>
                <w:sz w:val="16"/>
                <w:szCs w:val="20"/>
                <w:lang w:val="es-GT" w:eastAsia="es-GT"/>
              </w:rPr>
              <w:t>PROMOCIÓN DE LA FORMALIDAD DEL EMPLEO</w:t>
            </w:r>
          </w:p>
        </w:tc>
        <w:tc>
          <w:tcPr>
            <w:tcW w:w="1045"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36.3</w:t>
            </w:r>
          </w:p>
        </w:tc>
        <w:tc>
          <w:tcPr>
            <w:tcW w:w="993"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42.6</w:t>
            </w:r>
          </w:p>
        </w:tc>
        <w:tc>
          <w:tcPr>
            <w:tcW w:w="850"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-6.3</w:t>
            </w:r>
          </w:p>
        </w:tc>
        <w:tc>
          <w:tcPr>
            <w:tcW w:w="709" w:type="dxa"/>
            <w:tcBorders>
              <w:top w:val="nil"/>
              <w:left w:val="nil"/>
              <w:bottom w:val="nil"/>
              <w:right w:val="single" w:sz="8"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117.3%</w:t>
            </w:r>
          </w:p>
        </w:tc>
      </w:tr>
      <w:tr w:rsidR="00AD5632" w:rsidRPr="00705D5B" w:rsidTr="00E25D31">
        <w:trPr>
          <w:trHeight w:val="297"/>
          <w:jc w:val="center"/>
        </w:trPr>
        <w:tc>
          <w:tcPr>
            <w:tcW w:w="5749" w:type="dxa"/>
            <w:tcBorders>
              <w:top w:val="nil"/>
              <w:left w:val="single" w:sz="8" w:space="0" w:color="auto"/>
              <w:bottom w:val="nil"/>
              <w:right w:val="single" w:sz="4" w:space="0" w:color="auto"/>
            </w:tcBorders>
            <w:shd w:val="clear" w:color="FFFFFF" w:fill="FFFFFF"/>
            <w:noWrap/>
            <w:vAlign w:val="bottom"/>
            <w:hideMark/>
          </w:tcPr>
          <w:p w:rsidR="00AD5632" w:rsidRPr="00705D5B" w:rsidRDefault="00AD5632" w:rsidP="00BA0B4B">
            <w:pPr>
              <w:ind w:firstLineChars="200" w:firstLine="320"/>
              <w:rPr>
                <w:color w:val="333333"/>
                <w:sz w:val="16"/>
                <w:szCs w:val="20"/>
                <w:lang w:val="es-GT" w:eastAsia="es-GT"/>
              </w:rPr>
            </w:pPr>
            <w:r w:rsidRPr="00705D5B">
              <w:rPr>
                <w:color w:val="333333"/>
                <w:sz w:val="16"/>
                <w:szCs w:val="20"/>
                <w:lang w:val="es-GT" w:eastAsia="es-GT"/>
              </w:rPr>
              <w:t>RECREACIÓN DE LOS TRABAJADORES DEL ESTADO</w:t>
            </w:r>
          </w:p>
        </w:tc>
        <w:tc>
          <w:tcPr>
            <w:tcW w:w="1045"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96.1</w:t>
            </w:r>
          </w:p>
        </w:tc>
        <w:tc>
          <w:tcPr>
            <w:tcW w:w="993"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32.8</w:t>
            </w:r>
          </w:p>
        </w:tc>
        <w:tc>
          <w:tcPr>
            <w:tcW w:w="850"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63.2</w:t>
            </w:r>
          </w:p>
        </w:tc>
        <w:tc>
          <w:tcPr>
            <w:tcW w:w="709" w:type="dxa"/>
            <w:tcBorders>
              <w:top w:val="nil"/>
              <w:left w:val="nil"/>
              <w:bottom w:val="nil"/>
              <w:right w:val="single" w:sz="8"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34.2%</w:t>
            </w:r>
          </w:p>
        </w:tc>
      </w:tr>
      <w:tr w:rsidR="00AD5632" w:rsidRPr="00705D5B" w:rsidTr="00E25D31">
        <w:trPr>
          <w:trHeight w:val="297"/>
          <w:jc w:val="center"/>
        </w:trPr>
        <w:tc>
          <w:tcPr>
            <w:tcW w:w="5749" w:type="dxa"/>
            <w:tcBorders>
              <w:top w:val="nil"/>
              <w:left w:val="single" w:sz="8" w:space="0" w:color="auto"/>
              <w:bottom w:val="nil"/>
              <w:right w:val="single" w:sz="4" w:space="0" w:color="auto"/>
            </w:tcBorders>
            <w:shd w:val="clear" w:color="FFFFFF" w:fill="FFFFFF"/>
            <w:noWrap/>
            <w:vAlign w:val="bottom"/>
            <w:hideMark/>
          </w:tcPr>
          <w:p w:rsidR="00AD5632" w:rsidRPr="00705D5B" w:rsidRDefault="00AD5632" w:rsidP="00BA0B4B">
            <w:pPr>
              <w:ind w:firstLineChars="200" w:firstLine="320"/>
              <w:rPr>
                <w:color w:val="333333"/>
                <w:sz w:val="16"/>
                <w:szCs w:val="20"/>
                <w:lang w:val="es-GT" w:eastAsia="es-GT"/>
              </w:rPr>
            </w:pPr>
            <w:r w:rsidRPr="00705D5B">
              <w:rPr>
                <w:color w:val="333333"/>
                <w:sz w:val="16"/>
                <w:szCs w:val="20"/>
                <w:lang w:val="es-GT" w:eastAsia="es-GT"/>
              </w:rPr>
              <w:t>GESTIÓN DE ASUNTOS LABORALES</w:t>
            </w:r>
          </w:p>
        </w:tc>
        <w:tc>
          <w:tcPr>
            <w:tcW w:w="1045"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12.7</w:t>
            </w:r>
          </w:p>
        </w:tc>
        <w:tc>
          <w:tcPr>
            <w:tcW w:w="993"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12.6</w:t>
            </w:r>
          </w:p>
        </w:tc>
        <w:tc>
          <w:tcPr>
            <w:tcW w:w="850"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0.1</w:t>
            </w:r>
          </w:p>
        </w:tc>
        <w:tc>
          <w:tcPr>
            <w:tcW w:w="709" w:type="dxa"/>
            <w:tcBorders>
              <w:top w:val="nil"/>
              <w:left w:val="nil"/>
              <w:bottom w:val="nil"/>
              <w:right w:val="single" w:sz="8"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99.3%</w:t>
            </w:r>
          </w:p>
        </w:tc>
      </w:tr>
      <w:tr w:rsidR="00AD5632" w:rsidRPr="00705D5B" w:rsidTr="00E25D31">
        <w:trPr>
          <w:trHeight w:val="297"/>
          <w:jc w:val="center"/>
        </w:trPr>
        <w:tc>
          <w:tcPr>
            <w:tcW w:w="5749" w:type="dxa"/>
            <w:tcBorders>
              <w:top w:val="nil"/>
              <w:left w:val="single" w:sz="8" w:space="0" w:color="auto"/>
              <w:bottom w:val="nil"/>
              <w:right w:val="single" w:sz="4" w:space="0" w:color="auto"/>
            </w:tcBorders>
            <w:shd w:val="clear" w:color="FFFFFF" w:fill="FFFFFF"/>
            <w:noWrap/>
            <w:vAlign w:val="bottom"/>
            <w:hideMark/>
          </w:tcPr>
          <w:p w:rsidR="00AD5632" w:rsidRPr="00705D5B" w:rsidRDefault="00AD5632" w:rsidP="00BA0B4B">
            <w:pPr>
              <w:ind w:firstLineChars="200" w:firstLine="320"/>
              <w:rPr>
                <w:color w:val="333333"/>
                <w:sz w:val="16"/>
                <w:szCs w:val="20"/>
                <w:lang w:val="es-GT" w:eastAsia="es-GT"/>
              </w:rPr>
            </w:pPr>
            <w:r w:rsidRPr="00705D5B">
              <w:rPr>
                <w:color w:val="333333"/>
                <w:sz w:val="16"/>
                <w:szCs w:val="20"/>
                <w:lang w:val="es-GT" w:eastAsia="es-GT"/>
              </w:rPr>
              <w:t>PARTIDAS NO ASIGNABLES A PROGRAMAS</w:t>
            </w:r>
          </w:p>
        </w:tc>
        <w:tc>
          <w:tcPr>
            <w:tcW w:w="1045"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0.9</w:t>
            </w:r>
          </w:p>
        </w:tc>
        <w:tc>
          <w:tcPr>
            <w:tcW w:w="993"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3.3</w:t>
            </w:r>
          </w:p>
        </w:tc>
        <w:tc>
          <w:tcPr>
            <w:tcW w:w="850" w:type="dxa"/>
            <w:tcBorders>
              <w:top w:val="nil"/>
              <w:left w:val="nil"/>
              <w:bottom w:val="nil"/>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-2.4</w:t>
            </w:r>
          </w:p>
        </w:tc>
        <w:tc>
          <w:tcPr>
            <w:tcW w:w="709" w:type="dxa"/>
            <w:tcBorders>
              <w:top w:val="nil"/>
              <w:left w:val="nil"/>
              <w:bottom w:val="nil"/>
              <w:right w:val="single" w:sz="8"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358.4%</w:t>
            </w:r>
          </w:p>
        </w:tc>
      </w:tr>
      <w:tr w:rsidR="00AD5632" w:rsidRPr="00705D5B" w:rsidTr="00E25D31">
        <w:trPr>
          <w:trHeight w:val="312"/>
          <w:jc w:val="center"/>
        </w:trPr>
        <w:tc>
          <w:tcPr>
            <w:tcW w:w="5749" w:type="dxa"/>
            <w:tcBorders>
              <w:top w:val="nil"/>
              <w:left w:val="single" w:sz="8" w:space="0" w:color="auto"/>
              <w:bottom w:val="single" w:sz="8" w:space="0" w:color="auto"/>
              <w:right w:val="single" w:sz="4" w:space="0" w:color="auto"/>
            </w:tcBorders>
            <w:shd w:val="clear" w:color="FFFFFF" w:fill="FFFFFF"/>
            <w:noWrap/>
            <w:vAlign w:val="bottom"/>
            <w:hideMark/>
          </w:tcPr>
          <w:p w:rsidR="00AD5632" w:rsidRPr="00705D5B" w:rsidRDefault="00AD5632" w:rsidP="00BA0B4B">
            <w:pPr>
              <w:ind w:firstLineChars="200" w:firstLine="320"/>
              <w:rPr>
                <w:color w:val="333333"/>
                <w:sz w:val="16"/>
                <w:szCs w:val="20"/>
                <w:lang w:val="es-GT" w:eastAsia="es-GT"/>
              </w:rPr>
            </w:pPr>
            <w:r w:rsidRPr="00705D5B">
              <w:rPr>
                <w:color w:val="333333"/>
                <w:sz w:val="16"/>
                <w:szCs w:val="20"/>
                <w:lang w:val="es-GT" w:eastAsia="es-GT"/>
              </w:rPr>
              <w:t>ATENCIÓN POR DESASTRES NATURALES Y CALAMIDADES PÚBLICAS</w:t>
            </w:r>
          </w:p>
        </w:tc>
        <w:tc>
          <w:tcPr>
            <w:tcW w:w="1045" w:type="dxa"/>
            <w:tcBorders>
              <w:top w:val="nil"/>
              <w:left w:val="single" w:sz="4" w:space="0" w:color="auto"/>
              <w:bottom w:val="single" w:sz="8" w:space="0" w:color="auto"/>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50.0</w:t>
            </w:r>
          </w:p>
        </w:tc>
        <w:tc>
          <w:tcPr>
            <w:tcW w:w="993" w:type="dxa"/>
            <w:tcBorders>
              <w:top w:val="nil"/>
              <w:left w:val="nil"/>
              <w:bottom w:val="single" w:sz="8" w:space="0" w:color="auto"/>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0.0</w:t>
            </w:r>
          </w:p>
        </w:tc>
        <w:tc>
          <w:tcPr>
            <w:tcW w:w="850" w:type="dxa"/>
            <w:tcBorders>
              <w:top w:val="nil"/>
              <w:left w:val="nil"/>
              <w:bottom w:val="single" w:sz="8" w:space="0" w:color="auto"/>
              <w:right w:val="single" w:sz="4"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50.0</w:t>
            </w:r>
          </w:p>
        </w:tc>
        <w:tc>
          <w:tcPr>
            <w:tcW w:w="709" w:type="dxa"/>
            <w:tcBorders>
              <w:top w:val="nil"/>
              <w:left w:val="nil"/>
              <w:bottom w:val="single" w:sz="8" w:space="0" w:color="auto"/>
              <w:right w:val="single" w:sz="8" w:space="0" w:color="auto"/>
            </w:tcBorders>
            <w:shd w:val="clear" w:color="FFFFFF" w:fill="FFFFFF"/>
            <w:noWrap/>
            <w:vAlign w:val="bottom"/>
            <w:hideMark/>
          </w:tcPr>
          <w:p w:rsidR="00AD5632" w:rsidRPr="00705D5B" w:rsidRDefault="00AD5632" w:rsidP="00BA0B4B">
            <w:pPr>
              <w:jc w:val="right"/>
              <w:rPr>
                <w:color w:val="333333"/>
                <w:sz w:val="16"/>
                <w:szCs w:val="20"/>
                <w:lang w:val="es-GT" w:eastAsia="es-GT"/>
              </w:rPr>
            </w:pPr>
            <w:r w:rsidRPr="00705D5B">
              <w:rPr>
                <w:color w:val="333333"/>
                <w:sz w:val="16"/>
                <w:szCs w:val="20"/>
                <w:lang w:val="es-GT" w:eastAsia="es-GT"/>
              </w:rPr>
              <w:t>0.0%</w:t>
            </w:r>
          </w:p>
        </w:tc>
      </w:tr>
    </w:tbl>
    <w:p w:rsidR="00AD5632" w:rsidRPr="004E678D" w:rsidRDefault="00BC3740" w:rsidP="00AD5632">
      <w:pPr>
        <w:jc w:val="both"/>
        <w:rPr>
          <w:sz w:val="18"/>
        </w:rPr>
      </w:pPr>
      <w:r>
        <w:rPr>
          <w:sz w:val="18"/>
        </w:rPr>
        <w:t xml:space="preserve"> </w:t>
      </w:r>
      <w:r w:rsidR="00AD5632" w:rsidRPr="004E678D">
        <w:rPr>
          <w:sz w:val="18"/>
        </w:rPr>
        <w:t>Fuente: Ministerio de Finanzas Públicas</w:t>
      </w:r>
      <w:r w:rsidR="00AD5632">
        <w:rPr>
          <w:sz w:val="18"/>
        </w:rPr>
        <w:t>.</w:t>
      </w:r>
    </w:p>
    <w:p w:rsidR="00AD5632" w:rsidRDefault="00AD5632" w:rsidP="00AD5632">
      <w:pPr>
        <w:jc w:val="both"/>
      </w:pPr>
    </w:p>
    <w:p w:rsidR="00AD5632" w:rsidRPr="00D108FD" w:rsidRDefault="00AD5632" w:rsidP="00AD5632">
      <w:pPr>
        <w:jc w:val="both"/>
      </w:pPr>
    </w:p>
    <w:p w:rsidR="00AD5632" w:rsidRDefault="00AD5632" w:rsidP="00AD5632">
      <w:pPr>
        <w:jc w:val="both"/>
        <w:rPr>
          <w:b/>
        </w:rPr>
      </w:pPr>
      <w:r w:rsidRPr="00D108FD">
        <w:rPr>
          <w:b/>
        </w:rPr>
        <w:t>Ministerio de Economía</w:t>
      </w:r>
      <w:r>
        <w:rPr>
          <w:b/>
        </w:rPr>
        <w:t>:</w:t>
      </w:r>
    </w:p>
    <w:p w:rsidR="00AD5632" w:rsidRPr="006941A5" w:rsidRDefault="00AD5632" w:rsidP="00AD5632">
      <w:pPr>
        <w:jc w:val="both"/>
        <w:rPr>
          <w:b/>
          <w:sz w:val="22"/>
        </w:rPr>
      </w:pPr>
    </w:p>
    <w:p w:rsidR="00AD5632" w:rsidRDefault="00AD5632" w:rsidP="00AD5632">
      <w:pPr>
        <w:jc w:val="both"/>
      </w:pPr>
      <w:r>
        <w:t>A</w:t>
      </w:r>
      <w:r w:rsidRPr="00D108FD">
        <w:t>l Min</w:t>
      </w:r>
      <w:r>
        <w:t xml:space="preserve">isterio de Economía le aparece un </w:t>
      </w:r>
      <w:r w:rsidRPr="00D108FD">
        <w:t xml:space="preserve">presupuesto </w:t>
      </w:r>
      <w:r>
        <w:t xml:space="preserve">aprobado </w:t>
      </w:r>
      <w:r w:rsidRPr="00D108FD">
        <w:t xml:space="preserve">de </w:t>
      </w:r>
      <w:r>
        <w:t>Q.2,803.</w:t>
      </w:r>
      <w:r w:rsidRPr="00D108FD">
        <w:t>4 millones</w:t>
      </w:r>
      <w:r>
        <w:t>, en virtud de que está tomando de baso el presupuesto vigente del 2020, el cual incluía recursos para atender la crisis provocada por la pandemia y los desastres naturales, a través del programa “</w:t>
      </w:r>
      <w:r w:rsidRPr="00557291">
        <w:rPr>
          <w:i/>
        </w:rPr>
        <w:t>Atención por Desastres Naturales y Calamidades Públicas</w:t>
      </w:r>
      <w:r>
        <w:rPr>
          <w:i/>
        </w:rPr>
        <w:t>”</w:t>
      </w:r>
      <w:r>
        <w:t>, sub programa “</w:t>
      </w:r>
      <w:r w:rsidRPr="00557291">
        <w:rPr>
          <w:i/>
        </w:rPr>
        <w:t>Estado de Calamidad Pública por Emergencia C</w:t>
      </w:r>
      <w:r w:rsidR="00BE76F9">
        <w:rPr>
          <w:i/>
        </w:rPr>
        <w:t>ovid</w:t>
      </w:r>
      <w:r w:rsidRPr="00557291">
        <w:rPr>
          <w:i/>
        </w:rPr>
        <w:t>-19 (DG 5-2020)</w:t>
      </w:r>
      <w:r>
        <w:rPr>
          <w:i/>
        </w:rPr>
        <w:t>”</w:t>
      </w:r>
      <w:r>
        <w:t xml:space="preserve"> y la actividad específica “</w:t>
      </w:r>
      <w:r w:rsidRPr="00557291">
        <w:rPr>
          <w:i/>
        </w:rPr>
        <w:t>Intervenciones Realizadas para la atención de la emergencia C</w:t>
      </w:r>
      <w:r w:rsidR="00F405B8">
        <w:rPr>
          <w:i/>
        </w:rPr>
        <w:t>ovid</w:t>
      </w:r>
      <w:r w:rsidRPr="00557291">
        <w:rPr>
          <w:i/>
        </w:rPr>
        <w:t>-19</w:t>
      </w:r>
      <w:r>
        <w:rPr>
          <w:i/>
        </w:rPr>
        <w:t>”</w:t>
      </w:r>
      <w:r>
        <w:t>, por valor de Q.2,400.0 millones, mismo que al cierre del ejercicio 2021 no tuvo ninguna ejecución. La ejecución presupuestaria del Ministerio de Economía al cierre preliminar 2021 fue de Q</w:t>
      </w:r>
      <w:r w:rsidR="00F405B8">
        <w:t>.</w:t>
      </w:r>
      <w:r>
        <w:t>325.0 millones, a través de los siguientes programas:</w:t>
      </w:r>
    </w:p>
    <w:p w:rsidR="00AD5632" w:rsidRPr="006941A5" w:rsidRDefault="00AD5632" w:rsidP="00AD5632">
      <w:pPr>
        <w:jc w:val="both"/>
        <w:rPr>
          <w:sz w:val="22"/>
        </w:rPr>
      </w:pPr>
    </w:p>
    <w:p w:rsidR="00AD5632" w:rsidRDefault="00AD5632" w:rsidP="00AD5632">
      <w:pPr>
        <w:jc w:val="both"/>
      </w:pPr>
      <w:r w:rsidRPr="00D108FD">
        <w:t xml:space="preserve">El programa </w:t>
      </w:r>
      <w:r>
        <w:t>de</w:t>
      </w:r>
      <w:r w:rsidRPr="00D108FD">
        <w:t xml:space="preserve"> </w:t>
      </w:r>
      <w:r>
        <w:t>“</w:t>
      </w:r>
      <w:r w:rsidRPr="00D108FD">
        <w:t>Partidas No Asignables a Programas</w:t>
      </w:r>
      <w:r>
        <w:t>”</w:t>
      </w:r>
      <w:r w:rsidRPr="00D108FD">
        <w:t>, tuvo un presupuesto</w:t>
      </w:r>
      <w:r>
        <w:t xml:space="preserve"> aprobado</w:t>
      </w:r>
      <w:r w:rsidRPr="00D108FD">
        <w:t xml:space="preserve"> de </w:t>
      </w:r>
      <w:r>
        <w:t>Q.86.3</w:t>
      </w:r>
      <w:r w:rsidRPr="00D108FD">
        <w:t xml:space="preserve"> millones y ejecución de </w:t>
      </w:r>
      <w:r>
        <w:t>Q.71.2</w:t>
      </w:r>
      <w:r w:rsidRPr="00D108FD">
        <w:t xml:space="preserve"> millones</w:t>
      </w:r>
      <w:r w:rsidR="00F405B8">
        <w:t>,</w:t>
      </w:r>
      <w:r w:rsidRPr="00D108FD">
        <w:t xml:space="preserve"> equivalente</w:t>
      </w:r>
      <w:r w:rsidR="00F405B8">
        <w:t>s</w:t>
      </w:r>
      <w:r w:rsidRPr="00D108FD">
        <w:t xml:space="preserve"> al </w:t>
      </w:r>
      <w:r>
        <w:t>82.5</w:t>
      </w:r>
      <w:r w:rsidRPr="00D108FD">
        <w:t>%</w:t>
      </w:r>
      <w:r>
        <w:t>.</w:t>
      </w:r>
    </w:p>
    <w:p w:rsidR="00AD5632" w:rsidRPr="006941A5" w:rsidRDefault="00AD5632" w:rsidP="00AD5632">
      <w:pPr>
        <w:jc w:val="both"/>
        <w:rPr>
          <w:sz w:val="22"/>
        </w:rPr>
      </w:pPr>
    </w:p>
    <w:p w:rsidR="00AD5632" w:rsidRDefault="00AD5632" w:rsidP="00AD5632">
      <w:pPr>
        <w:jc w:val="both"/>
      </w:pPr>
      <w:r>
        <w:t>El programa de “Actividades Centrales” tuvo un presupuesto aprobado de Q</w:t>
      </w:r>
      <w:r w:rsidR="00F405B8">
        <w:t>.</w:t>
      </w:r>
      <w:r>
        <w:t>57.4 millones y una ejecución de Q</w:t>
      </w:r>
      <w:r w:rsidR="00F405B8">
        <w:t>.</w:t>
      </w:r>
      <w:r>
        <w:t xml:space="preserve">61.1 millones, lo cual significó que la ejecución fuera mayor a lo presupuestado en </w:t>
      </w:r>
      <w:r w:rsidR="00F405B8">
        <w:t>106</w:t>
      </w:r>
      <w:r>
        <w:t>.5%.</w:t>
      </w:r>
    </w:p>
    <w:p w:rsidR="00AD5632" w:rsidRPr="006941A5" w:rsidRDefault="00AD5632" w:rsidP="00AD5632">
      <w:pPr>
        <w:jc w:val="both"/>
        <w:rPr>
          <w:sz w:val="22"/>
        </w:rPr>
      </w:pPr>
    </w:p>
    <w:p w:rsidR="00AD5632" w:rsidRDefault="00AD5632" w:rsidP="00AD5632">
      <w:pPr>
        <w:jc w:val="both"/>
      </w:pPr>
      <w:r>
        <w:t xml:space="preserve">El programa “Desarrollo de la </w:t>
      </w:r>
      <w:r w:rsidR="008438D4">
        <w:t>M</w:t>
      </w:r>
      <w:r>
        <w:t xml:space="preserve">icro, </w:t>
      </w:r>
      <w:r w:rsidR="008438D4">
        <w:t>P</w:t>
      </w:r>
      <w:r>
        <w:t xml:space="preserve">equeña y </w:t>
      </w:r>
      <w:r w:rsidR="008438D4">
        <w:t>M</w:t>
      </w:r>
      <w:r>
        <w:t xml:space="preserve">ediana </w:t>
      </w:r>
      <w:r w:rsidR="008438D4">
        <w:t>E</w:t>
      </w:r>
      <w:r>
        <w:t>mpresa”, pasó de un presupuesto asignado de Q.53.1 millones y una ejecución de Q.56.6 millones</w:t>
      </w:r>
      <w:r w:rsidR="008438D4">
        <w:t>,</w:t>
      </w:r>
      <w:r>
        <w:t xml:space="preserve"> equivalentes al 106.7%.</w:t>
      </w:r>
    </w:p>
    <w:p w:rsidR="00AD5632" w:rsidRPr="006941A5" w:rsidRDefault="00AD5632" w:rsidP="00AD5632">
      <w:pPr>
        <w:jc w:val="both"/>
        <w:rPr>
          <w:sz w:val="22"/>
        </w:rPr>
      </w:pPr>
    </w:p>
    <w:p w:rsidR="00AD5632" w:rsidRDefault="00AD5632" w:rsidP="00AD5632">
      <w:pPr>
        <w:jc w:val="both"/>
      </w:pPr>
      <w:r>
        <w:t>Seguidamente se ubica el programa “Servicios Registrales” con presupuesto aprobado de Q</w:t>
      </w:r>
      <w:r w:rsidR="00340528">
        <w:t>.</w:t>
      </w:r>
      <w:r>
        <w:t>72.8 millones y ejecución presupuestaria de Q</w:t>
      </w:r>
      <w:r w:rsidR="00340528">
        <w:t>.</w:t>
      </w:r>
      <w:r>
        <w:t>46.7 millones, equivalentes a una ejecución del 64.1%.</w:t>
      </w:r>
    </w:p>
    <w:p w:rsidR="00AD5632" w:rsidRPr="006941A5" w:rsidRDefault="00AD5632" w:rsidP="00AD5632">
      <w:pPr>
        <w:jc w:val="both"/>
        <w:rPr>
          <w:sz w:val="22"/>
        </w:rPr>
      </w:pPr>
    </w:p>
    <w:p w:rsidR="00AD5632" w:rsidRDefault="00AD5632" w:rsidP="00AD5632">
      <w:pPr>
        <w:jc w:val="both"/>
      </w:pPr>
      <w:r w:rsidRPr="00D108FD">
        <w:t xml:space="preserve">El programa de “Gestión de la Integración Económica y Comercio Exterior” </w:t>
      </w:r>
      <w:r>
        <w:t>tuvo un presupuesto aprobado de</w:t>
      </w:r>
      <w:r w:rsidRPr="00D108FD">
        <w:t xml:space="preserve"> </w:t>
      </w:r>
      <w:r>
        <w:t>Q.83.5</w:t>
      </w:r>
      <w:r w:rsidRPr="00D108FD">
        <w:t xml:space="preserve"> millones y la ejecución presupuestaria fue de </w:t>
      </w:r>
      <w:r>
        <w:t>Q.43.0</w:t>
      </w:r>
      <w:r w:rsidRPr="00D108FD">
        <w:t xml:space="preserve"> millones</w:t>
      </w:r>
      <w:r w:rsidR="00340528">
        <w:t>,</w:t>
      </w:r>
      <w:r w:rsidRPr="00D108FD">
        <w:t xml:space="preserve"> equivalente</w:t>
      </w:r>
      <w:r w:rsidR="00340528">
        <w:t>s</w:t>
      </w:r>
      <w:r w:rsidRPr="00D108FD">
        <w:t xml:space="preserve"> al </w:t>
      </w:r>
      <w:r>
        <w:t>51.5</w:t>
      </w:r>
      <w:r w:rsidRPr="00D108FD">
        <w:t>%</w:t>
      </w:r>
      <w:r>
        <w:t>.</w:t>
      </w:r>
    </w:p>
    <w:p w:rsidR="00AD5632" w:rsidRPr="006941A5" w:rsidRDefault="00AD5632" w:rsidP="00AD5632">
      <w:pPr>
        <w:jc w:val="both"/>
        <w:rPr>
          <w:sz w:val="22"/>
        </w:rPr>
      </w:pPr>
    </w:p>
    <w:p w:rsidR="00AD5632" w:rsidRDefault="00AD5632" w:rsidP="00AD5632">
      <w:pPr>
        <w:jc w:val="both"/>
      </w:pPr>
      <w:r>
        <w:t>El programa “Promoción de la Inversión y la Competencia” tuvo un presupuesto aprobado de Q</w:t>
      </w:r>
      <w:r w:rsidR="00340528">
        <w:t>.</w:t>
      </w:r>
      <w:r>
        <w:t>31.4 millones y una ejecución de Q</w:t>
      </w:r>
      <w:r w:rsidR="00340528">
        <w:t>.</w:t>
      </w:r>
      <w:r>
        <w:t>23.9 millones, equivalentes a una ejecución del 76.3%.</w:t>
      </w:r>
    </w:p>
    <w:p w:rsidR="00AD5632" w:rsidRPr="00D108FD" w:rsidRDefault="00AD5632" w:rsidP="00AD5632">
      <w:pPr>
        <w:jc w:val="both"/>
      </w:pPr>
    </w:p>
    <w:p w:rsidR="00AD5632" w:rsidRDefault="00AD5632" w:rsidP="00AD5632">
      <w:pPr>
        <w:jc w:val="both"/>
      </w:pPr>
      <w:r>
        <w:t>Finalmente queda el programa “Asistencia y Protección al Consumidor y Supervisión del Comercio Interno” con presupuesto asignado de Q</w:t>
      </w:r>
      <w:r w:rsidR="00340528">
        <w:t>.</w:t>
      </w:r>
      <w:r>
        <w:t>18.9 millones y una ejecución presupuestaria al cierre preliminar de Q</w:t>
      </w:r>
      <w:r w:rsidR="00340528">
        <w:t>.</w:t>
      </w:r>
      <w:r>
        <w:t xml:space="preserve">22.5 millones, es decir, que la ejecución estuvo por encima de lo aprobado en </w:t>
      </w:r>
      <w:r w:rsidR="00340528">
        <w:t>1</w:t>
      </w:r>
      <w:r>
        <w:t>19.1%</w:t>
      </w:r>
      <w:r w:rsidRPr="00D108FD">
        <w:t>, tal como se puede observar en el cuadro que se presenta a continuación</w:t>
      </w:r>
      <w:r>
        <w:t>:</w:t>
      </w:r>
    </w:p>
    <w:p w:rsidR="00AD5632" w:rsidRDefault="00AD5632" w:rsidP="00AD5632">
      <w:pPr>
        <w:jc w:val="both"/>
        <w:rPr>
          <w:rFonts w:ascii="Calibri" w:eastAsia="Calibri" w:hAnsi="Calibri"/>
          <w:sz w:val="20"/>
          <w:szCs w:val="20"/>
          <w:lang w:val="es-GT" w:eastAsia="es-GT"/>
        </w:rPr>
      </w:pPr>
      <w:r>
        <w:lastRenderedPageBreak/>
        <w:fldChar w:fldCharType="begin"/>
      </w:r>
      <w:r>
        <w:instrText xml:space="preserve"> LINK Excel.Sheet.12 "C:\\Users\\deefoper12\\Documents\\Mis Documentos\\2022\\DTF 2022\\Informe fin de año 2021\\Cuadros para Informe de Fin de Año 2021..xlsx" "Entidad Programa!F93C2:F102C6" \a \f 4 \h  \* MERGEFORMAT </w:instrText>
      </w:r>
      <w:r>
        <w:fldChar w:fldCharType="separate"/>
      </w:r>
    </w:p>
    <w:tbl>
      <w:tblPr>
        <w:tblW w:w="9336" w:type="dxa"/>
        <w:tblCellMar>
          <w:left w:w="70" w:type="dxa"/>
          <w:right w:w="70" w:type="dxa"/>
        </w:tblCellMar>
        <w:tblLook w:val="04A0" w:firstRow="1" w:lastRow="0" w:firstColumn="1" w:lastColumn="0" w:noHBand="0" w:noVBand="1"/>
      </w:tblPr>
      <w:tblGrid>
        <w:gridCol w:w="5377"/>
        <w:gridCol w:w="1276"/>
        <w:gridCol w:w="1029"/>
        <w:gridCol w:w="928"/>
        <w:gridCol w:w="726"/>
      </w:tblGrid>
      <w:tr w:rsidR="00AD5632" w:rsidRPr="00954371" w:rsidTr="00CE154E">
        <w:trPr>
          <w:trHeight w:val="180"/>
        </w:trPr>
        <w:tc>
          <w:tcPr>
            <w:tcW w:w="5377" w:type="dxa"/>
            <w:tcBorders>
              <w:top w:val="single" w:sz="8" w:space="0" w:color="auto"/>
              <w:left w:val="single" w:sz="8" w:space="0" w:color="auto"/>
              <w:bottom w:val="single" w:sz="4" w:space="0" w:color="auto"/>
              <w:right w:val="single" w:sz="4" w:space="0" w:color="auto"/>
            </w:tcBorders>
            <w:shd w:val="clear" w:color="000000" w:fill="8DB4E2"/>
            <w:noWrap/>
            <w:hideMark/>
          </w:tcPr>
          <w:p w:rsidR="00AD5632" w:rsidRPr="00954371" w:rsidRDefault="00AD5632" w:rsidP="00BA0B4B">
            <w:pPr>
              <w:jc w:val="center"/>
              <w:rPr>
                <w:b/>
                <w:bCs/>
                <w:color w:val="000000"/>
                <w:sz w:val="14"/>
                <w:szCs w:val="20"/>
                <w:lang w:val="es-GT" w:eastAsia="es-GT"/>
              </w:rPr>
            </w:pPr>
            <w:r w:rsidRPr="00954371">
              <w:rPr>
                <w:b/>
                <w:bCs/>
                <w:color w:val="000000"/>
                <w:sz w:val="14"/>
                <w:szCs w:val="20"/>
                <w:lang w:val="es-GT" w:eastAsia="es-GT"/>
              </w:rPr>
              <w:t>DESCRIPCI</w:t>
            </w:r>
            <w:r w:rsidR="00CE154E">
              <w:rPr>
                <w:b/>
                <w:bCs/>
                <w:color w:val="000000"/>
                <w:sz w:val="14"/>
                <w:szCs w:val="20"/>
                <w:lang w:val="es-GT" w:eastAsia="es-GT"/>
              </w:rPr>
              <w:t>Ó</w:t>
            </w:r>
            <w:r w:rsidRPr="00954371">
              <w:rPr>
                <w:b/>
                <w:bCs/>
                <w:color w:val="000000"/>
                <w:sz w:val="14"/>
                <w:szCs w:val="20"/>
                <w:lang w:val="es-GT" w:eastAsia="es-GT"/>
              </w:rPr>
              <w:t>N</w:t>
            </w:r>
          </w:p>
        </w:tc>
        <w:tc>
          <w:tcPr>
            <w:tcW w:w="1276" w:type="dxa"/>
            <w:tcBorders>
              <w:top w:val="single" w:sz="8" w:space="0" w:color="auto"/>
              <w:left w:val="nil"/>
              <w:bottom w:val="single" w:sz="4" w:space="0" w:color="auto"/>
              <w:right w:val="single" w:sz="4" w:space="0" w:color="auto"/>
            </w:tcBorders>
            <w:shd w:val="clear" w:color="000000" w:fill="8DB4E2"/>
            <w:noWrap/>
            <w:hideMark/>
          </w:tcPr>
          <w:p w:rsidR="00AD5632" w:rsidRPr="00954371" w:rsidRDefault="00AD5632" w:rsidP="00BA0B4B">
            <w:pPr>
              <w:jc w:val="center"/>
              <w:rPr>
                <w:b/>
                <w:bCs/>
                <w:color w:val="000000"/>
                <w:sz w:val="14"/>
                <w:szCs w:val="20"/>
                <w:lang w:val="es-GT" w:eastAsia="es-GT"/>
              </w:rPr>
            </w:pPr>
            <w:r w:rsidRPr="00954371">
              <w:rPr>
                <w:b/>
                <w:bCs/>
                <w:color w:val="000000"/>
                <w:sz w:val="14"/>
                <w:szCs w:val="20"/>
                <w:lang w:val="es-GT" w:eastAsia="es-GT"/>
              </w:rPr>
              <w:t>Asignado</w:t>
            </w:r>
          </w:p>
        </w:tc>
        <w:tc>
          <w:tcPr>
            <w:tcW w:w="1029" w:type="dxa"/>
            <w:tcBorders>
              <w:top w:val="single" w:sz="8" w:space="0" w:color="auto"/>
              <w:left w:val="nil"/>
              <w:bottom w:val="single" w:sz="4" w:space="0" w:color="auto"/>
              <w:right w:val="single" w:sz="4" w:space="0" w:color="auto"/>
            </w:tcBorders>
            <w:shd w:val="clear" w:color="000000" w:fill="8DB4E2"/>
            <w:noWrap/>
            <w:hideMark/>
          </w:tcPr>
          <w:p w:rsidR="00AD5632" w:rsidRPr="00954371" w:rsidRDefault="00AD5632" w:rsidP="00BA0B4B">
            <w:pPr>
              <w:jc w:val="center"/>
              <w:rPr>
                <w:b/>
                <w:bCs/>
                <w:color w:val="000000"/>
                <w:sz w:val="14"/>
                <w:szCs w:val="20"/>
                <w:lang w:val="es-GT" w:eastAsia="es-GT"/>
              </w:rPr>
            </w:pPr>
            <w:r w:rsidRPr="00954371">
              <w:rPr>
                <w:b/>
                <w:bCs/>
                <w:color w:val="000000"/>
                <w:sz w:val="14"/>
                <w:szCs w:val="20"/>
                <w:lang w:val="es-GT" w:eastAsia="es-GT"/>
              </w:rPr>
              <w:t>Ejecu</w:t>
            </w:r>
            <w:r w:rsidR="00743426">
              <w:rPr>
                <w:b/>
                <w:bCs/>
                <w:color w:val="000000"/>
                <w:sz w:val="14"/>
                <w:szCs w:val="20"/>
                <w:lang w:val="es-GT" w:eastAsia="es-GT"/>
              </w:rPr>
              <w:t>tado</w:t>
            </w:r>
          </w:p>
        </w:tc>
        <w:tc>
          <w:tcPr>
            <w:tcW w:w="928" w:type="dxa"/>
            <w:tcBorders>
              <w:top w:val="single" w:sz="8" w:space="0" w:color="auto"/>
              <w:left w:val="nil"/>
              <w:bottom w:val="single" w:sz="4" w:space="0" w:color="auto"/>
              <w:right w:val="single" w:sz="4" w:space="0" w:color="auto"/>
            </w:tcBorders>
            <w:shd w:val="clear" w:color="000000" w:fill="8DB4E2"/>
            <w:noWrap/>
            <w:hideMark/>
          </w:tcPr>
          <w:p w:rsidR="00AD5632" w:rsidRPr="00954371" w:rsidRDefault="00AD5632" w:rsidP="00BA0B4B">
            <w:pPr>
              <w:jc w:val="center"/>
              <w:rPr>
                <w:b/>
                <w:bCs/>
                <w:color w:val="000000"/>
                <w:sz w:val="14"/>
                <w:szCs w:val="20"/>
                <w:lang w:val="es-GT" w:eastAsia="es-GT"/>
              </w:rPr>
            </w:pPr>
            <w:r w:rsidRPr="00954371">
              <w:rPr>
                <w:b/>
                <w:bCs/>
                <w:color w:val="000000"/>
                <w:sz w:val="14"/>
                <w:szCs w:val="20"/>
                <w:lang w:val="es-GT" w:eastAsia="es-GT"/>
              </w:rPr>
              <w:t>Diferencias</w:t>
            </w:r>
          </w:p>
        </w:tc>
        <w:tc>
          <w:tcPr>
            <w:tcW w:w="726" w:type="dxa"/>
            <w:tcBorders>
              <w:top w:val="single" w:sz="8" w:space="0" w:color="auto"/>
              <w:left w:val="nil"/>
              <w:bottom w:val="single" w:sz="4" w:space="0" w:color="auto"/>
              <w:right w:val="single" w:sz="8" w:space="0" w:color="auto"/>
            </w:tcBorders>
            <w:shd w:val="clear" w:color="000000" w:fill="8DB4E2"/>
            <w:noWrap/>
            <w:hideMark/>
          </w:tcPr>
          <w:p w:rsidR="00AD5632" w:rsidRPr="00954371" w:rsidRDefault="00AD5632" w:rsidP="00BA0B4B">
            <w:pPr>
              <w:jc w:val="center"/>
              <w:rPr>
                <w:b/>
                <w:bCs/>
                <w:color w:val="000000"/>
                <w:sz w:val="14"/>
                <w:szCs w:val="20"/>
                <w:lang w:val="es-GT" w:eastAsia="es-GT"/>
              </w:rPr>
            </w:pPr>
            <w:r w:rsidRPr="00954371">
              <w:rPr>
                <w:b/>
                <w:bCs/>
                <w:color w:val="000000"/>
                <w:sz w:val="14"/>
                <w:szCs w:val="20"/>
                <w:lang w:val="es-GT" w:eastAsia="es-GT"/>
              </w:rPr>
              <w:t>% Ejec</w:t>
            </w:r>
          </w:p>
        </w:tc>
      </w:tr>
      <w:tr w:rsidR="00AD5632" w:rsidRPr="00954371" w:rsidTr="00CE154E">
        <w:trPr>
          <w:trHeight w:val="180"/>
        </w:trPr>
        <w:tc>
          <w:tcPr>
            <w:tcW w:w="5377" w:type="dxa"/>
            <w:tcBorders>
              <w:top w:val="nil"/>
              <w:left w:val="single" w:sz="8" w:space="0" w:color="auto"/>
              <w:bottom w:val="nil"/>
              <w:right w:val="single" w:sz="4" w:space="0" w:color="auto"/>
            </w:tcBorders>
            <w:shd w:val="clear" w:color="FFFFFF" w:fill="FFFFFF"/>
            <w:noWrap/>
            <w:vAlign w:val="center"/>
            <w:hideMark/>
          </w:tcPr>
          <w:p w:rsidR="00AD5632" w:rsidRPr="00954371" w:rsidRDefault="00AD5632" w:rsidP="00BA0B4B">
            <w:pPr>
              <w:rPr>
                <w:b/>
                <w:bCs/>
                <w:color w:val="333333"/>
                <w:sz w:val="14"/>
                <w:szCs w:val="20"/>
                <w:lang w:val="es-GT" w:eastAsia="es-GT"/>
              </w:rPr>
            </w:pPr>
            <w:r w:rsidRPr="00954371">
              <w:rPr>
                <w:b/>
                <w:bCs/>
                <w:color w:val="333333"/>
                <w:sz w:val="14"/>
                <w:szCs w:val="20"/>
                <w:lang w:val="es-GT" w:eastAsia="es-GT"/>
              </w:rPr>
              <w:t>MINISTERIO DE ECONOMÍA</w:t>
            </w:r>
          </w:p>
        </w:tc>
        <w:tc>
          <w:tcPr>
            <w:tcW w:w="1276"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b/>
                <w:bCs/>
                <w:color w:val="333333"/>
                <w:sz w:val="14"/>
                <w:szCs w:val="20"/>
                <w:lang w:val="es-GT" w:eastAsia="es-GT"/>
              </w:rPr>
            </w:pPr>
            <w:r w:rsidRPr="00954371">
              <w:rPr>
                <w:b/>
                <w:bCs/>
                <w:color w:val="333333"/>
                <w:sz w:val="14"/>
                <w:szCs w:val="20"/>
                <w:lang w:val="es-GT" w:eastAsia="es-GT"/>
              </w:rPr>
              <w:t>2,803.4</w:t>
            </w:r>
          </w:p>
        </w:tc>
        <w:tc>
          <w:tcPr>
            <w:tcW w:w="1029"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b/>
                <w:bCs/>
                <w:color w:val="333333"/>
                <w:sz w:val="14"/>
                <w:szCs w:val="20"/>
                <w:lang w:val="es-GT" w:eastAsia="es-GT"/>
              </w:rPr>
            </w:pPr>
            <w:r w:rsidRPr="00954371">
              <w:rPr>
                <w:b/>
                <w:bCs/>
                <w:color w:val="333333"/>
                <w:sz w:val="14"/>
                <w:szCs w:val="20"/>
                <w:lang w:val="es-GT" w:eastAsia="es-GT"/>
              </w:rPr>
              <w:t>325.0</w:t>
            </w:r>
          </w:p>
        </w:tc>
        <w:tc>
          <w:tcPr>
            <w:tcW w:w="928"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b/>
                <w:bCs/>
                <w:color w:val="333333"/>
                <w:sz w:val="14"/>
                <w:szCs w:val="20"/>
                <w:lang w:val="es-GT" w:eastAsia="es-GT"/>
              </w:rPr>
            </w:pPr>
            <w:r w:rsidRPr="00954371">
              <w:rPr>
                <w:b/>
                <w:bCs/>
                <w:color w:val="333333"/>
                <w:sz w:val="14"/>
                <w:szCs w:val="20"/>
                <w:lang w:val="es-GT" w:eastAsia="es-GT"/>
              </w:rPr>
              <w:t>2,478.4</w:t>
            </w:r>
          </w:p>
        </w:tc>
        <w:tc>
          <w:tcPr>
            <w:tcW w:w="726" w:type="dxa"/>
            <w:tcBorders>
              <w:top w:val="nil"/>
              <w:left w:val="nil"/>
              <w:bottom w:val="nil"/>
              <w:right w:val="single" w:sz="8" w:space="0" w:color="auto"/>
            </w:tcBorders>
            <w:shd w:val="clear" w:color="FFFFFF" w:fill="FFFFFF"/>
            <w:noWrap/>
            <w:vAlign w:val="center"/>
            <w:hideMark/>
          </w:tcPr>
          <w:p w:rsidR="00AD5632" w:rsidRPr="00954371" w:rsidRDefault="00AD5632" w:rsidP="00BA0B4B">
            <w:pPr>
              <w:jc w:val="right"/>
              <w:rPr>
                <w:b/>
                <w:bCs/>
                <w:color w:val="333333"/>
                <w:sz w:val="14"/>
                <w:szCs w:val="20"/>
                <w:lang w:val="es-GT" w:eastAsia="es-GT"/>
              </w:rPr>
            </w:pPr>
            <w:r w:rsidRPr="00954371">
              <w:rPr>
                <w:b/>
                <w:bCs/>
                <w:color w:val="333333"/>
                <w:sz w:val="14"/>
                <w:szCs w:val="20"/>
                <w:lang w:val="es-GT" w:eastAsia="es-GT"/>
              </w:rPr>
              <w:t>11.6%</w:t>
            </w:r>
          </w:p>
        </w:tc>
      </w:tr>
      <w:tr w:rsidR="00AD5632" w:rsidRPr="00954371" w:rsidTr="00CE154E">
        <w:trPr>
          <w:trHeight w:val="180"/>
        </w:trPr>
        <w:tc>
          <w:tcPr>
            <w:tcW w:w="5377" w:type="dxa"/>
            <w:tcBorders>
              <w:top w:val="nil"/>
              <w:left w:val="single" w:sz="8" w:space="0" w:color="auto"/>
              <w:bottom w:val="nil"/>
              <w:right w:val="single" w:sz="4" w:space="0" w:color="auto"/>
            </w:tcBorders>
            <w:shd w:val="clear" w:color="FFFFFF" w:fill="FFFFFF"/>
            <w:vAlign w:val="center"/>
            <w:hideMark/>
          </w:tcPr>
          <w:p w:rsidR="00AD5632" w:rsidRPr="00954371" w:rsidRDefault="00AD5632" w:rsidP="00BA0B4B">
            <w:pPr>
              <w:ind w:firstLineChars="200" w:firstLine="280"/>
              <w:rPr>
                <w:color w:val="333333"/>
                <w:sz w:val="14"/>
                <w:szCs w:val="20"/>
                <w:lang w:val="es-GT" w:eastAsia="es-GT"/>
              </w:rPr>
            </w:pPr>
            <w:r w:rsidRPr="00954371">
              <w:rPr>
                <w:color w:val="333333"/>
                <w:sz w:val="14"/>
                <w:szCs w:val="20"/>
                <w:lang w:val="es-GT" w:eastAsia="es-GT"/>
              </w:rPr>
              <w:t>PARTIDAS NO ASIGNABLES A PROGRAMAS</w:t>
            </w:r>
          </w:p>
        </w:tc>
        <w:tc>
          <w:tcPr>
            <w:tcW w:w="1276"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86.3</w:t>
            </w:r>
          </w:p>
        </w:tc>
        <w:tc>
          <w:tcPr>
            <w:tcW w:w="1029"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71.2</w:t>
            </w:r>
          </w:p>
        </w:tc>
        <w:tc>
          <w:tcPr>
            <w:tcW w:w="928"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15.1</w:t>
            </w:r>
          </w:p>
        </w:tc>
        <w:tc>
          <w:tcPr>
            <w:tcW w:w="726" w:type="dxa"/>
            <w:tcBorders>
              <w:top w:val="nil"/>
              <w:left w:val="nil"/>
              <w:bottom w:val="nil"/>
              <w:right w:val="single" w:sz="8"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82.5%</w:t>
            </w:r>
          </w:p>
        </w:tc>
      </w:tr>
      <w:tr w:rsidR="00AD5632" w:rsidRPr="00954371" w:rsidTr="00CE154E">
        <w:trPr>
          <w:trHeight w:val="180"/>
        </w:trPr>
        <w:tc>
          <w:tcPr>
            <w:tcW w:w="5377" w:type="dxa"/>
            <w:tcBorders>
              <w:top w:val="nil"/>
              <w:left w:val="single" w:sz="8" w:space="0" w:color="auto"/>
              <w:bottom w:val="nil"/>
              <w:right w:val="single" w:sz="4" w:space="0" w:color="auto"/>
            </w:tcBorders>
            <w:shd w:val="clear" w:color="FFFFFF" w:fill="FFFFFF"/>
            <w:noWrap/>
            <w:vAlign w:val="center"/>
            <w:hideMark/>
          </w:tcPr>
          <w:p w:rsidR="00AD5632" w:rsidRPr="00954371" w:rsidRDefault="00AD5632" w:rsidP="00BA0B4B">
            <w:pPr>
              <w:ind w:firstLineChars="200" w:firstLine="280"/>
              <w:rPr>
                <w:color w:val="333333"/>
                <w:sz w:val="14"/>
                <w:szCs w:val="20"/>
                <w:lang w:val="es-GT" w:eastAsia="es-GT"/>
              </w:rPr>
            </w:pPr>
            <w:r w:rsidRPr="00954371">
              <w:rPr>
                <w:color w:val="333333"/>
                <w:sz w:val="14"/>
                <w:szCs w:val="20"/>
                <w:lang w:val="es-GT" w:eastAsia="es-GT"/>
              </w:rPr>
              <w:t>ACTIVIDADES CENTRALES</w:t>
            </w:r>
          </w:p>
        </w:tc>
        <w:tc>
          <w:tcPr>
            <w:tcW w:w="1276"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57.4</w:t>
            </w:r>
          </w:p>
        </w:tc>
        <w:tc>
          <w:tcPr>
            <w:tcW w:w="1029"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61.1</w:t>
            </w:r>
          </w:p>
        </w:tc>
        <w:tc>
          <w:tcPr>
            <w:tcW w:w="928"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-3.7</w:t>
            </w:r>
          </w:p>
        </w:tc>
        <w:tc>
          <w:tcPr>
            <w:tcW w:w="726" w:type="dxa"/>
            <w:tcBorders>
              <w:top w:val="nil"/>
              <w:left w:val="nil"/>
              <w:bottom w:val="nil"/>
              <w:right w:val="single" w:sz="8"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106.5%</w:t>
            </w:r>
          </w:p>
        </w:tc>
      </w:tr>
      <w:tr w:rsidR="00AD5632" w:rsidRPr="00954371" w:rsidTr="00CE154E">
        <w:trPr>
          <w:trHeight w:val="180"/>
        </w:trPr>
        <w:tc>
          <w:tcPr>
            <w:tcW w:w="5377" w:type="dxa"/>
            <w:tcBorders>
              <w:top w:val="nil"/>
              <w:left w:val="single" w:sz="8" w:space="0" w:color="auto"/>
              <w:bottom w:val="nil"/>
              <w:right w:val="single" w:sz="4" w:space="0" w:color="auto"/>
            </w:tcBorders>
            <w:shd w:val="clear" w:color="FFFFFF" w:fill="FFFFFF"/>
            <w:noWrap/>
            <w:vAlign w:val="center"/>
            <w:hideMark/>
          </w:tcPr>
          <w:p w:rsidR="00AD5632" w:rsidRPr="00954371" w:rsidRDefault="00AD5632" w:rsidP="00BA0B4B">
            <w:pPr>
              <w:ind w:firstLineChars="200" w:firstLine="280"/>
              <w:rPr>
                <w:color w:val="333333"/>
                <w:sz w:val="14"/>
                <w:szCs w:val="20"/>
                <w:lang w:val="es-GT" w:eastAsia="es-GT"/>
              </w:rPr>
            </w:pPr>
            <w:r w:rsidRPr="00954371">
              <w:rPr>
                <w:color w:val="333333"/>
                <w:sz w:val="14"/>
                <w:szCs w:val="20"/>
                <w:lang w:val="es-GT" w:eastAsia="es-GT"/>
              </w:rPr>
              <w:t>DESARROLLO DE LA MICRO, PEQUEÑA Y MEDIANA EMPRESA</w:t>
            </w:r>
          </w:p>
        </w:tc>
        <w:tc>
          <w:tcPr>
            <w:tcW w:w="1276"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53.1</w:t>
            </w:r>
          </w:p>
        </w:tc>
        <w:tc>
          <w:tcPr>
            <w:tcW w:w="1029"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56.6</w:t>
            </w:r>
          </w:p>
        </w:tc>
        <w:tc>
          <w:tcPr>
            <w:tcW w:w="928"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-3.5</w:t>
            </w:r>
          </w:p>
        </w:tc>
        <w:tc>
          <w:tcPr>
            <w:tcW w:w="726" w:type="dxa"/>
            <w:tcBorders>
              <w:top w:val="nil"/>
              <w:left w:val="nil"/>
              <w:bottom w:val="nil"/>
              <w:right w:val="single" w:sz="8"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106.7%</w:t>
            </w:r>
          </w:p>
        </w:tc>
      </w:tr>
      <w:tr w:rsidR="00AD5632" w:rsidRPr="00954371" w:rsidTr="00CE154E">
        <w:trPr>
          <w:trHeight w:val="180"/>
        </w:trPr>
        <w:tc>
          <w:tcPr>
            <w:tcW w:w="5377" w:type="dxa"/>
            <w:tcBorders>
              <w:top w:val="nil"/>
              <w:left w:val="single" w:sz="8" w:space="0" w:color="auto"/>
              <w:bottom w:val="nil"/>
              <w:right w:val="single" w:sz="4" w:space="0" w:color="auto"/>
            </w:tcBorders>
            <w:shd w:val="clear" w:color="FFFFFF" w:fill="FFFFFF"/>
            <w:noWrap/>
            <w:vAlign w:val="center"/>
            <w:hideMark/>
          </w:tcPr>
          <w:p w:rsidR="00AD5632" w:rsidRPr="00954371" w:rsidRDefault="00AD5632" w:rsidP="00BA0B4B">
            <w:pPr>
              <w:ind w:firstLineChars="200" w:firstLine="280"/>
              <w:rPr>
                <w:color w:val="333333"/>
                <w:sz w:val="14"/>
                <w:szCs w:val="20"/>
                <w:lang w:val="es-GT" w:eastAsia="es-GT"/>
              </w:rPr>
            </w:pPr>
            <w:r w:rsidRPr="00954371">
              <w:rPr>
                <w:color w:val="333333"/>
                <w:sz w:val="14"/>
                <w:szCs w:val="20"/>
                <w:lang w:val="es-GT" w:eastAsia="es-GT"/>
              </w:rPr>
              <w:t>SERVICIOS REGISTRALES</w:t>
            </w:r>
          </w:p>
        </w:tc>
        <w:tc>
          <w:tcPr>
            <w:tcW w:w="1276"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72.8</w:t>
            </w:r>
          </w:p>
        </w:tc>
        <w:tc>
          <w:tcPr>
            <w:tcW w:w="1029"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46.7</w:t>
            </w:r>
          </w:p>
        </w:tc>
        <w:tc>
          <w:tcPr>
            <w:tcW w:w="928"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26.1</w:t>
            </w:r>
          </w:p>
        </w:tc>
        <w:tc>
          <w:tcPr>
            <w:tcW w:w="726" w:type="dxa"/>
            <w:tcBorders>
              <w:top w:val="nil"/>
              <w:left w:val="nil"/>
              <w:bottom w:val="nil"/>
              <w:right w:val="single" w:sz="8"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64.1%</w:t>
            </w:r>
          </w:p>
        </w:tc>
      </w:tr>
      <w:tr w:rsidR="00AD5632" w:rsidRPr="00954371" w:rsidTr="00CE154E">
        <w:trPr>
          <w:trHeight w:val="180"/>
        </w:trPr>
        <w:tc>
          <w:tcPr>
            <w:tcW w:w="5377" w:type="dxa"/>
            <w:tcBorders>
              <w:top w:val="nil"/>
              <w:left w:val="single" w:sz="8" w:space="0" w:color="auto"/>
              <w:bottom w:val="nil"/>
              <w:right w:val="single" w:sz="4" w:space="0" w:color="auto"/>
            </w:tcBorders>
            <w:shd w:val="clear" w:color="FFFFFF" w:fill="FFFFFF"/>
            <w:vAlign w:val="center"/>
            <w:hideMark/>
          </w:tcPr>
          <w:p w:rsidR="00AD5632" w:rsidRPr="00954371" w:rsidRDefault="00AD5632" w:rsidP="00BA0B4B">
            <w:pPr>
              <w:ind w:firstLineChars="200" w:firstLine="280"/>
              <w:rPr>
                <w:color w:val="333333"/>
                <w:sz w:val="14"/>
                <w:szCs w:val="20"/>
                <w:lang w:val="es-GT" w:eastAsia="es-GT"/>
              </w:rPr>
            </w:pPr>
            <w:r w:rsidRPr="00954371">
              <w:rPr>
                <w:color w:val="333333"/>
                <w:sz w:val="14"/>
                <w:szCs w:val="20"/>
                <w:lang w:val="es-GT" w:eastAsia="es-GT"/>
              </w:rPr>
              <w:t>GESTION DE LA INTEGRACION ECONOMICA Y COMERCIO EXTERIOR</w:t>
            </w:r>
          </w:p>
        </w:tc>
        <w:tc>
          <w:tcPr>
            <w:tcW w:w="1276"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83.5</w:t>
            </w:r>
          </w:p>
        </w:tc>
        <w:tc>
          <w:tcPr>
            <w:tcW w:w="1029"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43.0</w:t>
            </w:r>
          </w:p>
        </w:tc>
        <w:tc>
          <w:tcPr>
            <w:tcW w:w="928"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40.5</w:t>
            </w:r>
          </w:p>
        </w:tc>
        <w:tc>
          <w:tcPr>
            <w:tcW w:w="726" w:type="dxa"/>
            <w:tcBorders>
              <w:top w:val="nil"/>
              <w:left w:val="nil"/>
              <w:bottom w:val="nil"/>
              <w:right w:val="single" w:sz="8"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51.5%</w:t>
            </w:r>
          </w:p>
        </w:tc>
      </w:tr>
      <w:tr w:rsidR="00AD5632" w:rsidRPr="00954371" w:rsidTr="00CE154E">
        <w:trPr>
          <w:trHeight w:val="180"/>
        </w:trPr>
        <w:tc>
          <w:tcPr>
            <w:tcW w:w="5377" w:type="dxa"/>
            <w:tcBorders>
              <w:top w:val="nil"/>
              <w:left w:val="single" w:sz="8" w:space="0" w:color="auto"/>
              <w:bottom w:val="nil"/>
              <w:right w:val="single" w:sz="4" w:space="0" w:color="auto"/>
            </w:tcBorders>
            <w:shd w:val="clear" w:color="FFFFFF" w:fill="FFFFFF"/>
            <w:noWrap/>
            <w:vAlign w:val="center"/>
            <w:hideMark/>
          </w:tcPr>
          <w:p w:rsidR="00AD5632" w:rsidRPr="00954371" w:rsidRDefault="00AD5632" w:rsidP="00BA0B4B">
            <w:pPr>
              <w:ind w:firstLineChars="200" w:firstLine="280"/>
              <w:rPr>
                <w:color w:val="333333"/>
                <w:sz w:val="14"/>
                <w:szCs w:val="20"/>
                <w:lang w:val="es-GT" w:eastAsia="es-GT"/>
              </w:rPr>
            </w:pPr>
            <w:r w:rsidRPr="00954371">
              <w:rPr>
                <w:color w:val="333333"/>
                <w:sz w:val="14"/>
                <w:szCs w:val="20"/>
                <w:lang w:val="es-GT" w:eastAsia="es-GT"/>
              </w:rPr>
              <w:t>PROMOCION DE LA INVERSION Y COMPETENCIA</w:t>
            </w:r>
          </w:p>
        </w:tc>
        <w:tc>
          <w:tcPr>
            <w:tcW w:w="1276"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31.4</w:t>
            </w:r>
          </w:p>
        </w:tc>
        <w:tc>
          <w:tcPr>
            <w:tcW w:w="1029"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23.9</w:t>
            </w:r>
          </w:p>
        </w:tc>
        <w:tc>
          <w:tcPr>
            <w:tcW w:w="928"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7.5</w:t>
            </w:r>
          </w:p>
        </w:tc>
        <w:tc>
          <w:tcPr>
            <w:tcW w:w="726" w:type="dxa"/>
            <w:tcBorders>
              <w:top w:val="nil"/>
              <w:left w:val="nil"/>
              <w:bottom w:val="nil"/>
              <w:right w:val="single" w:sz="8"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76.3%</w:t>
            </w:r>
          </w:p>
        </w:tc>
      </w:tr>
      <w:tr w:rsidR="00AD5632" w:rsidRPr="00954371" w:rsidTr="00CE154E">
        <w:trPr>
          <w:trHeight w:val="180"/>
        </w:trPr>
        <w:tc>
          <w:tcPr>
            <w:tcW w:w="5377" w:type="dxa"/>
            <w:tcBorders>
              <w:top w:val="nil"/>
              <w:left w:val="single" w:sz="8" w:space="0" w:color="auto"/>
              <w:bottom w:val="nil"/>
              <w:right w:val="single" w:sz="4" w:space="0" w:color="auto"/>
            </w:tcBorders>
            <w:shd w:val="clear" w:color="FFFFFF" w:fill="FFFFFF"/>
            <w:vAlign w:val="center"/>
            <w:hideMark/>
          </w:tcPr>
          <w:p w:rsidR="00AD5632" w:rsidRPr="00954371" w:rsidRDefault="00AD5632" w:rsidP="00BA0B4B">
            <w:pPr>
              <w:ind w:firstLineChars="200" w:firstLine="280"/>
              <w:rPr>
                <w:color w:val="333333"/>
                <w:sz w:val="14"/>
                <w:szCs w:val="20"/>
                <w:lang w:val="es-GT" w:eastAsia="es-GT"/>
              </w:rPr>
            </w:pPr>
            <w:r w:rsidRPr="00954371">
              <w:rPr>
                <w:color w:val="333333"/>
                <w:sz w:val="14"/>
                <w:szCs w:val="20"/>
                <w:lang w:val="es-GT" w:eastAsia="es-GT"/>
              </w:rPr>
              <w:t>ASIST Y PROTEC AL CONSUMIDOR Y SUPERV</w:t>
            </w:r>
            <w:r w:rsidR="00CE154E">
              <w:rPr>
                <w:color w:val="333333"/>
                <w:sz w:val="14"/>
                <w:szCs w:val="20"/>
                <w:lang w:val="es-GT" w:eastAsia="es-GT"/>
              </w:rPr>
              <w:t>.</w:t>
            </w:r>
            <w:r w:rsidRPr="00954371">
              <w:rPr>
                <w:color w:val="333333"/>
                <w:sz w:val="14"/>
                <w:szCs w:val="20"/>
                <w:lang w:val="es-GT" w:eastAsia="es-GT"/>
              </w:rPr>
              <w:t xml:space="preserve"> DEL COMERCIO INTERNO</w:t>
            </w:r>
          </w:p>
        </w:tc>
        <w:tc>
          <w:tcPr>
            <w:tcW w:w="1276"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18.9</w:t>
            </w:r>
          </w:p>
        </w:tc>
        <w:tc>
          <w:tcPr>
            <w:tcW w:w="1029"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22.5</w:t>
            </w:r>
          </w:p>
        </w:tc>
        <w:tc>
          <w:tcPr>
            <w:tcW w:w="928" w:type="dxa"/>
            <w:tcBorders>
              <w:top w:val="nil"/>
              <w:left w:val="nil"/>
              <w:bottom w:val="nil"/>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-3.6</w:t>
            </w:r>
          </w:p>
        </w:tc>
        <w:tc>
          <w:tcPr>
            <w:tcW w:w="726" w:type="dxa"/>
            <w:tcBorders>
              <w:top w:val="nil"/>
              <w:left w:val="nil"/>
              <w:bottom w:val="nil"/>
              <w:right w:val="single" w:sz="8"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119.1%</w:t>
            </w:r>
          </w:p>
        </w:tc>
      </w:tr>
      <w:tr w:rsidR="00AD5632" w:rsidRPr="00954371" w:rsidTr="00CE154E">
        <w:trPr>
          <w:trHeight w:val="180"/>
        </w:trPr>
        <w:tc>
          <w:tcPr>
            <w:tcW w:w="5377" w:type="dxa"/>
            <w:tcBorders>
              <w:top w:val="nil"/>
              <w:left w:val="single" w:sz="8" w:space="0" w:color="auto"/>
              <w:bottom w:val="single" w:sz="8" w:space="0" w:color="auto"/>
              <w:right w:val="single" w:sz="4" w:space="0" w:color="auto"/>
            </w:tcBorders>
            <w:shd w:val="clear" w:color="FFFFFF" w:fill="FFFFFF"/>
            <w:vAlign w:val="center"/>
            <w:hideMark/>
          </w:tcPr>
          <w:p w:rsidR="00AD5632" w:rsidRPr="00954371" w:rsidRDefault="00AD5632" w:rsidP="00BA0B4B">
            <w:pPr>
              <w:ind w:firstLineChars="200" w:firstLine="280"/>
              <w:rPr>
                <w:color w:val="333333"/>
                <w:sz w:val="14"/>
                <w:szCs w:val="20"/>
                <w:lang w:val="es-GT" w:eastAsia="es-GT"/>
              </w:rPr>
            </w:pPr>
            <w:r w:rsidRPr="00954371">
              <w:rPr>
                <w:color w:val="333333"/>
                <w:sz w:val="14"/>
                <w:szCs w:val="20"/>
                <w:lang w:val="es-GT" w:eastAsia="es-GT"/>
              </w:rPr>
              <w:t>ATENCIÓN POR DESASTRES NATURALES Y CALAMIDADES PÚBLICAS</w:t>
            </w:r>
          </w:p>
        </w:tc>
        <w:tc>
          <w:tcPr>
            <w:tcW w:w="1276" w:type="dxa"/>
            <w:tcBorders>
              <w:top w:val="nil"/>
              <w:left w:val="single" w:sz="4" w:space="0" w:color="auto"/>
              <w:bottom w:val="single" w:sz="8" w:space="0" w:color="auto"/>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2,400.0</w:t>
            </w:r>
          </w:p>
        </w:tc>
        <w:tc>
          <w:tcPr>
            <w:tcW w:w="1029" w:type="dxa"/>
            <w:tcBorders>
              <w:top w:val="nil"/>
              <w:left w:val="nil"/>
              <w:bottom w:val="single" w:sz="8" w:space="0" w:color="auto"/>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0.0</w:t>
            </w:r>
          </w:p>
        </w:tc>
        <w:tc>
          <w:tcPr>
            <w:tcW w:w="928" w:type="dxa"/>
            <w:tcBorders>
              <w:top w:val="nil"/>
              <w:left w:val="nil"/>
              <w:bottom w:val="single" w:sz="8" w:space="0" w:color="auto"/>
              <w:right w:val="single" w:sz="4"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2,400.0</w:t>
            </w:r>
          </w:p>
        </w:tc>
        <w:tc>
          <w:tcPr>
            <w:tcW w:w="726" w:type="dxa"/>
            <w:tcBorders>
              <w:top w:val="nil"/>
              <w:left w:val="nil"/>
              <w:bottom w:val="single" w:sz="8" w:space="0" w:color="auto"/>
              <w:right w:val="single" w:sz="8" w:space="0" w:color="auto"/>
            </w:tcBorders>
            <w:shd w:val="clear" w:color="FFFFFF" w:fill="FFFFFF"/>
            <w:noWrap/>
            <w:vAlign w:val="center"/>
            <w:hideMark/>
          </w:tcPr>
          <w:p w:rsidR="00AD5632" w:rsidRPr="00954371" w:rsidRDefault="00AD5632" w:rsidP="00BA0B4B">
            <w:pPr>
              <w:jc w:val="right"/>
              <w:rPr>
                <w:color w:val="333333"/>
                <w:sz w:val="14"/>
                <w:szCs w:val="20"/>
                <w:lang w:val="es-GT" w:eastAsia="es-GT"/>
              </w:rPr>
            </w:pPr>
            <w:r w:rsidRPr="00954371">
              <w:rPr>
                <w:color w:val="333333"/>
                <w:sz w:val="14"/>
                <w:szCs w:val="20"/>
                <w:lang w:val="es-GT" w:eastAsia="es-GT"/>
              </w:rPr>
              <w:t>0.0%</w:t>
            </w:r>
          </w:p>
        </w:tc>
      </w:tr>
    </w:tbl>
    <w:p w:rsidR="00AD5632" w:rsidRPr="004E678D" w:rsidRDefault="00AD5632" w:rsidP="00AD5632">
      <w:pPr>
        <w:jc w:val="both"/>
        <w:rPr>
          <w:sz w:val="18"/>
        </w:rPr>
      </w:pPr>
      <w:r>
        <w:rPr>
          <w:sz w:val="18"/>
        </w:rPr>
        <w:fldChar w:fldCharType="end"/>
      </w:r>
      <w:r w:rsidR="00CE154E">
        <w:rPr>
          <w:sz w:val="18"/>
        </w:rPr>
        <w:t xml:space="preserve"> </w:t>
      </w:r>
      <w:r w:rsidRPr="004E678D">
        <w:rPr>
          <w:sz w:val="18"/>
        </w:rPr>
        <w:t>Fuente: Ministerio de Finanzas Públicas</w:t>
      </w:r>
      <w:r>
        <w:rPr>
          <w:sz w:val="18"/>
        </w:rPr>
        <w:t>.</w:t>
      </w:r>
    </w:p>
    <w:p w:rsidR="00AD5632" w:rsidRPr="00B179BA" w:rsidRDefault="00AD5632" w:rsidP="00AD5632">
      <w:pPr>
        <w:jc w:val="both"/>
        <w:rPr>
          <w:sz w:val="32"/>
        </w:rPr>
      </w:pPr>
    </w:p>
    <w:p w:rsidR="00AD5632" w:rsidRDefault="00AD5632" w:rsidP="00AD5632">
      <w:pPr>
        <w:jc w:val="both"/>
        <w:rPr>
          <w:b/>
        </w:rPr>
      </w:pPr>
    </w:p>
    <w:p w:rsidR="00AD5632" w:rsidRDefault="00AD5632" w:rsidP="00AD5632">
      <w:pPr>
        <w:jc w:val="both"/>
        <w:rPr>
          <w:b/>
        </w:rPr>
      </w:pPr>
      <w:r w:rsidRPr="00D108FD">
        <w:rPr>
          <w:b/>
        </w:rPr>
        <w:t>Ministerio de Agricultura, Ganadería y Alimentación</w:t>
      </w:r>
      <w:r>
        <w:rPr>
          <w:b/>
        </w:rPr>
        <w:t>:</w:t>
      </w:r>
    </w:p>
    <w:p w:rsidR="00AD5632" w:rsidRPr="00D108FD" w:rsidRDefault="00AD5632" w:rsidP="00AD5632">
      <w:pPr>
        <w:jc w:val="both"/>
        <w:rPr>
          <w:b/>
        </w:rPr>
      </w:pPr>
    </w:p>
    <w:p w:rsidR="00AD5632" w:rsidRDefault="00AD5632" w:rsidP="00AD5632">
      <w:pPr>
        <w:jc w:val="both"/>
      </w:pPr>
      <w:r w:rsidRPr="00D108FD">
        <w:t>El M</w:t>
      </w:r>
      <w:r>
        <w:t>inisterio de Agricultura, Ganadería y Alimentación (MAGA)</w:t>
      </w:r>
      <w:r w:rsidRPr="00D108FD">
        <w:t xml:space="preserve"> tuvo un presupuesto</w:t>
      </w:r>
      <w:r>
        <w:t xml:space="preserve"> aprobado</w:t>
      </w:r>
      <w:r w:rsidRPr="00D108FD">
        <w:t xml:space="preserve"> de </w:t>
      </w:r>
      <w:r>
        <w:t>Q.</w:t>
      </w:r>
      <w:r w:rsidRPr="00D108FD">
        <w:t>1,</w:t>
      </w:r>
      <w:r>
        <w:t>765.4</w:t>
      </w:r>
      <w:r w:rsidRPr="00D108FD">
        <w:t xml:space="preserve"> millones y una ejecución presupuestaria de </w:t>
      </w:r>
      <w:r>
        <w:t>Q.</w:t>
      </w:r>
      <w:r w:rsidRPr="00D108FD">
        <w:t>1,</w:t>
      </w:r>
      <w:r>
        <w:t>123.9</w:t>
      </w:r>
      <w:r w:rsidRPr="00D108FD">
        <w:t xml:space="preserve"> millones</w:t>
      </w:r>
      <w:r w:rsidR="00E43AFB">
        <w:t>,</w:t>
      </w:r>
      <w:r w:rsidRPr="00D108FD">
        <w:t xml:space="preserve"> equivalente</w:t>
      </w:r>
      <w:r>
        <w:t>s</w:t>
      </w:r>
      <w:r w:rsidRPr="00D108FD">
        <w:t xml:space="preserve"> al </w:t>
      </w:r>
      <w:r>
        <w:t>63.7</w:t>
      </w:r>
      <w:r w:rsidRPr="00D108FD">
        <w:t>%</w:t>
      </w:r>
      <w:r>
        <w:t>.</w:t>
      </w:r>
    </w:p>
    <w:p w:rsidR="00AD5632" w:rsidRPr="00D108FD" w:rsidRDefault="00AD5632" w:rsidP="00AD5632">
      <w:pPr>
        <w:jc w:val="both"/>
      </w:pPr>
    </w:p>
    <w:p w:rsidR="00AD5632" w:rsidRDefault="00AD5632" w:rsidP="00AD5632">
      <w:pPr>
        <w:jc w:val="both"/>
      </w:pPr>
      <w:r w:rsidRPr="00D108FD">
        <w:t xml:space="preserve">De acuerdo </w:t>
      </w:r>
      <w:r>
        <w:t>a</w:t>
      </w:r>
      <w:r w:rsidRPr="00D108FD">
        <w:t>l S</w:t>
      </w:r>
      <w:r>
        <w:t>ICOIN</w:t>
      </w:r>
      <w:r w:rsidRPr="00D108FD">
        <w:t xml:space="preserve">, los programas prioritarios para las funciones esenciales de este </w:t>
      </w:r>
      <w:r w:rsidR="00E43AFB">
        <w:t>M</w:t>
      </w:r>
      <w:r w:rsidRPr="00D108FD">
        <w:t>inisterio,</w:t>
      </w:r>
      <w:r>
        <w:t xml:space="preserve"> se ubica primeramente el de </w:t>
      </w:r>
      <w:r w:rsidRPr="00D108FD">
        <w:t xml:space="preserve">“Apoyo a la Agricultura Familiar” el cual tuvo un presupuesto </w:t>
      </w:r>
      <w:r>
        <w:t xml:space="preserve">aprobado </w:t>
      </w:r>
      <w:r w:rsidRPr="00D108FD">
        <w:t xml:space="preserve">de </w:t>
      </w:r>
      <w:r>
        <w:t>Q.601.7 millones</w:t>
      </w:r>
      <w:r w:rsidRPr="00D108FD">
        <w:t xml:space="preserve"> y una ejecución presupuestaria de </w:t>
      </w:r>
      <w:r>
        <w:t>Q.433.5</w:t>
      </w:r>
      <w:r w:rsidRPr="00D108FD">
        <w:t xml:space="preserve"> millones</w:t>
      </w:r>
      <w:r w:rsidR="00E43AFB">
        <w:t>,</w:t>
      </w:r>
      <w:r w:rsidRPr="00D108FD">
        <w:t xml:space="preserve"> equivalentes al </w:t>
      </w:r>
      <w:r>
        <w:t>72.0</w:t>
      </w:r>
      <w:r w:rsidRPr="00D108FD">
        <w:t>%.</w:t>
      </w:r>
    </w:p>
    <w:p w:rsidR="00AD5632" w:rsidRPr="00D108FD" w:rsidRDefault="00AD5632" w:rsidP="00AD5632">
      <w:pPr>
        <w:jc w:val="both"/>
      </w:pPr>
    </w:p>
    <w:p w:rsidR="00AD5632" w:rsidRDefault="00AD5632" w:rsidP="00AD5632">
      <w:pPr>
        <w:jc w:val="both"/>
      </w:pPr>
      <w:r w:rsidRPr="00D108FD">
        <w:t>E</w:t>
      </w:r>
      <w:r>
        <w:t xml:space="preserve">ste Ministerio </w:t>
      </w:r>
      <w:r w:rsidRPr="00D108FD">
        <w:t>con</w:t>
      </w:r>
      <w:r>
        <w:t>sideró</w:t>
      </w:r>
      <w:r w:rsidRPr="00D108FD">
        <w:t xml:space="preserve"> </w:t>
      </w:r>
      <w:r>
        <w:t>“</w:t>
      </w:r>
      <w:r w:rsidRPr="00D108FD">
        <w:t>Partidas No Asignables a Programas</w:t>
      </w:r>
      <w:r>
        <w:t>”</w:t>
      </w:r>
      <w:r w:rsidRPr="00D108FD">
        <w:t xml:space="preserve"> con un presupuesto</w:t>
      </w:r>
      <w:r>
        <w:t xml:space="preserve"> aprobado</w:t>
      </w:r>
      <w:r w:rsidRPr="00D108FD">
        <w:t xml:space="preserve"> de </w:t>
      </w:r>
      <w:r>
        <w:t>Q.</w:t>
      </w:r>
      <w:r w:rsidRPr="00D108FD">
        <w:t>24</w:t>
      </w:r>
      <w:r>
        <w:t xml:space="preserve">4.1 </w:t>
      </w:r>
      <w:r w:rsidRPr="00D108FD">
        <w:t xml:space="preserve">millones y una ejecución presupuestaria de </w:t>
      </w:r>
      <w:r>
        <w:t>Q.</w:t>
      </w:r>
      <w:r w:rsidRPr="00D108FD">
        <w:t>2</w:t>
      </w:r>
      <w:r>
        <w:t>10.5</w:t>
      </w:r>
      <w:r w:rsidRPr="00D108FD">
        <w:t xml:space="preserve"> millones</w:t>
      </w:r>
      <w:r w:rsidR="00E43AFB">
        <w:t>,</w:t>
      </w:r>
      <w:r w:rsidRPr="00D108FD">
        <w:t xml:space="preserve"> equivalente</w:t>
      </w:r>
      <w:r>
        <w:t>s</w:t>
      </w:r>
      <w:r w:rsidRPr="00D108FD">
        <w:t xml:space="preserve"> al </w:t>
      </w:r>
      <w:r>
        <w:t>86.2</w:t>
      </w:r>
      <w:r w:rsidRPr="00D108FD">
        <w:t>%</w:t>
      </w:r>
      <w:r>
        <w:t>.</w:t>
      </w:r>
    </w:p>
    <w:p w:rsidR="00AD5632" w:rsidRDefault="00AD5632" w:rsidP="00AD5632">
      <w:pPr>
        <w:jc w:val="both"/>
      </w:pPr>
    </w:p>
    <w:p w:rsidR="00AD5632" w:rsidRDefault="00AD5632" w:rsidP="00AD5632">
      <w:pPr>
        <w:jc w:val="both"/>
      </w:pPr>
      <w:r w:rsidRPr="00D108FD">
        <w:t>El programa de “Apoyo a la Productividad y Competitividad Agropecuaria e Hidrobiológica” tuvo un presupuesto</w:t>
      </w:r>
      <w:r>
        <w:t xml:space="preserve"> inicial</w:t>
      </w:r>
      <w:r w:rsidRPr="00D108FD">
        <w:t xml:space="preserve"> de </w:t>
      </w:r>
      <w:r>
        <w:t>Q.323.1</w:t>
      </w:r>
      <w:r w:rsidRPr="00D108FD">
        <w:t xml:space="preserve"> millones y una ejecución presupuestaria de </w:t>
      </w:r>
      <w:r>
        <w:t xml:space="preserve">Q.161.8 </w:t>
      </w:r>
      <w:r w:rsidRPr="00D108FD">
        <w:t>millones</w:t>
      </w:r>
      <w:r w:rsidR="002566CC">
        <w:t>,</w:t>
      </w:r>
      <w:r w:rsidRPr="00D108FD">
        <w:t xml:space="preserve"> equivalente</w:t>
      </w:r>
      <w:r>
        <w:t>s</w:t>
      </w:r>
      <w:r w:rsidRPr="00D108FD">
        <w:t xml:space="preserve"> al </w:t>
      </w:r>
      <w:r>
        <w:t>50.1</w:t>
      </w:r>
      <w:r w:rsidRPr="00D108FD">
        <w:t>%.</w:t>
      </w:r>
    </w:p>
    <w:p w:rsidR="00AD5632" w:rsidRPr="00D108FD" w:rsidRDefault="00AD5632" w:rsidP="00AD5632">
      <w:pPr>
        <w:jc w:val="both"/>
      </w:pPr>
    </w:p>
    <w:p w:rsidR="00AD5632" w:rsidRDefault="00AD5632" w:rsidP="00AD5632">
      <w:pPr>
        <w:jc w:val="both"/>
      </w:pPr>
      <w:r w:rsidRPr="00D108FD">
        <w:t xml:space="preserve">Las Actividades Centrales </w:t>
      </w:r>
      <w:r>
        <w:t>con presupuesto aprobado de Q.141.1</w:t>
      </w:r>
      <w:r w:rsidRPr="00D108FD">
        <w:t xml:space="preserve"> millones y una ejecución presupuestaria de </w:t>
      </w:r>
      <w:r>
        <w:t>Q.160.6</w:t>
      </w:r>
      <w:r w:rsidRPr="00D108FD">
        <w:t xml:space="preserve"> millones</w:t>
      </w:r>
      <w:r w:rsidR="006564D3">
        <w:t>,</w:t>
      </w:r>
      <w:r w:rsidRPr="00D108FD">
        <w:t xml:space="preserve"> equivalente</w:t>
      </w:r>
      <w:r>
        <w:t>s</w:t>
      </w:r>
      <w:r w:rsidRPr="00D108FD">
        <w:t xml:space="preserve"> a un </w:t>
      </w:r>
      <w:r>
        <w:t>113.8</w:t>
      </w:r>
      <w:r w:rsidRPr="00D108FD">
        <w:t>%</w:t>
      </w:r>
      <w:r>
        <w:t>.</w:t>
      </w:r>
    </w:p>
    <w:p w:rsidR="00AD5632" w:rsidRDefault="00AD5632" w:rsidP="00AD5632">
      <w:pPr>
        <w:jc w:val="both"/>
      </w:pPr>
    </w:p>
    <w:p w:rsidR="00AD5632" w:rsidRDefault="00AD5632" w:rsidP="00AD5632">
      <w:pPr>
        <w:jc w:val="both"/>
      </w:pPr>
      <w:r>
        <w:t xml:space="preserve">Este </w:t>
      </w:r>
      <w:r w:rsidR="006564D3">
        <w:t>M</w:t>
      </w:r>
      <w:r>
        <w:t xml:space="preserve">inisterio también cuenta con registro de ejecución en el programa </w:t>
      </w:r>
      <w:r w:rsidR="006564D3">
        <w:t>“</w:t>
      </w:r>
      <w:r w:rsidRPr="00557291">
        <w:rPr>
          <w:i/>
        </w:rPr>
        <w:t>Atención por Desastres Naturales y Calamidades Públicas</w:t>
      </w:r>
      <w:r w:rsidR="006564D3">
        <w:rPr>
          <w:i/>
        </w:rPr>
        <w:t>”</w:t>
      </w:r>
      <w:r>
        <w:t>, el cual, al inicio del año tuvo un presupuesto aprobado de Q</w:t>
      </w:r>
      <w:r w:rsidR="006564D3">
        <w:t>.</w:t>
      </w:r>
      <w:r>
        <w:t>400.0 millones y la ejecución presupuestaria preliminar fue de Q.113.3 millones.</w:t>
      </w:r>
    </w:p>
    <w:p w:rsidR="00AD5632" w:rsidRPr="00D108FD" w:rsidRDefault="00AD5632" w:rsidP="00AD5632">
      <w:pPr>
        <w:jc w:val="both"/>
      </w:pPr>
    </w:p>
    <w:p w:rsidR="00AD5632" w:rsidRDefault="00AD5632" w:rsidP="00AD5632">
      <w:pPr>
        <w:jc w:val="both"/>
      </w:pPr>
      <w:r w:rsidRPr="00D108FD">
        <w:t xml:space="preserve">Los restantes 2 programas tuvieron una ejecución presupuestaria </w:t>
      </w:r>
      <w:r w:rsidR="006564D3">
        <w:t xml:space="preserve">global de </w:t>
      </w:r>
      <w:r>
        <w:t>Q.4</w:t>
      </w:r>
      <w:r w:rsidR="006564D3">
        <w:t>4.2</w:t>
      </w:r>
      <w:r>
        <w:t xml:space="preserve"> millones, tal como se observa en el siguiente cuadro</w:t>
      </w:r>
      <w:r w:rsidRPr="00D108FD">
        <w:t>.</w:t>
      </w:r>
    </w:p>
    <w:p w:rsidR="00B179BA" w:rsidRDefault="00B179BA" w:rsidP="00AD5632">
      <w:pPr>
        <w:jc w:val="both"/>
        <w:rPr>
          <w:noProof/>
          <w:lang w:val="es-GT" w:eastAsia="es-GT"/>
        </w:rPr>
      </w:pPr>
    </w:p>
    <w:p w:rsidR="00AD5632" w:rsidRDefault="00AD5632" w:rsidP="00AD5632">
      <w:pPr>
        <w:jc w:val="both"/>
        <w:rPr>
          <w:rFonts w:ascii="Calibri" w:eastAsia="Calibri" w:hAnsi="Calibri"/>
          <w:sz w:val="20"/>
          <w:szCs w:val="20"/>
          <w:lang w:val="es-GT" w:eastAsia="es-GT"/>
        </w:rPr>
      </w:pPr>
      <w:r>
        <w:rPr>
          <w:sz w:val="18"/>
        </w:rPr>
        <w:fldChar w:fldCharType="begin"/>
      </w:r>
      <w:r>
        <w:rPr>
          <w:sz w:val="18"/>
        </w:rPr>
        <w:instrText xml:space="preserve"> LINK Excel.Sheet.12 "C:\\Users\\deefoper12\\Documents\\Mis Documentos\\2022\\DTF 2022\\Informe fin de año 2021\\Cuadros para Informe de Fin de Año 2021..xlsx" "Entidad Programa!F104C2:F112C6" \a \f 4 \h  \* MERGEFORMAT </w:instrText>
      </w:r>
      <w:r>
        <w:rPr>
          <w:sz w:val="18"/>
        </w:rPr>
        <w:fldChar w:fldCharType="separate"/>
      </w:r>
    </w:p>
    <w:tbl>
      <w:tblPr>
        <w:tblW w:w="9336" w:type="dxa"/>
        <w:tblCellMar>
          <w:left w:w="70" w:type="dxa"/>
          <w:right w:w="70" w:type="dxa"/>
        </w:tblCellMar>
        <w:tblLook w:val="04A0" w:firstRow="1" w:lastRow="0" w:firstColumn="1" w:lastColumn="0" w:noHBand="0" w:noVBand="1"/>
      </w:tblPr>
      <w:tblGrid>
        <w:gridCol w:w="5944"/>
        <w:gridCol w:w="992"/>
        <w:gridCol w:w="992"/>
        <w:gridCol w:w="731"/>
        <w:gridCol w:w="677"/>
      </w:tblGrid>
      <w:tr w:rsidR="00AD5632" w:rsidRPr="007349DE" w:rsidTr="006564D3">
        <w:trPr>
          <w:trHeight w:val="165"/>
        </w:trPr>
        <w:tc>
          <w:tcPr>
            <w:tcW w:w="5944" w:type="dxa"/>
            <w:tcBorders>
              <w:top w:val="single" w:sz="8" w:space="0" w:color="auto"/>
              <w:left w:val="single" w:sz="8" w:space="0" w:color="auto"/>
              <w:bottom w:val="single" w:sz="4" w:space="0" w:color="auto"/>
              <w:right w:val="single" w:sz="4" w:space="0" w:color="auto"/>
            </w:tcBorders>
            <w:shd w:val="clear" w:color="000000" w:fill="8DB4E2"/>
            <w:noWrap/>
            <w:hideMark/>
          </w:tcPr>
          <w:p w:rsidR="00AD5632" w:rsidRPr="007349DE" w:rsidRDefault="00AD5632" w:rsidP="00BA0B4B">
            <w:pPr>
              <w:jc w:val="center"/>
              <w:rPr>
                <w:b/>
                <w:bCs/>
                <w:color w:val="000000"/>
                <w:sz w:val="16"/>
                <w:szCs w:val="20"/>
                <w:lang w:val="es-GT" w:eastAsia="es-GT"/>
              </w:rPr>
            </w:pPr>
            <w:r w:rsidRPr="007349DE">
              <w:rPr>
                <w:b/>
                <w:bCs/>
                <w:color w:val="000000"/>
                <w:sz w:val="16"/>
                <w:szCs w:val="20"/>
                <w:lang w:val="es-GT" w:eastAsia="es-GT"/>
              </w:rPr>
              <w:t>DESCRIPCI</w:t>
            </w:r>
            <w:r w:rsidR="00CE154E">
              <w:rPr>
                <w:b/>
                <w:bCs/>
                <w:color w:val="000000"/>
                <w:sz w:val="16"/>
                <w:szCs w:val="20"/>
                <w:lang w:val="es-GT" w:eastAsia="es-GT"/>
              </w:rPr>
              <w:t>Ó</w:t>
            </w:r>
            <w:r w:rsidRPr="007349DE">
              <w:rPr>
                <w:b/>
                <w:bCs/>
                <w:color w:val="000000"/>
                <w:sz w:val="16"/>
                <w:szCs w:val="20"/>
                <w:lang w:val="es-GT" w:eastAsia="es-GT"/>
              </w:rPr>
              <w:t>N</w:t>
            </w:r>
          </w:p>
        </w:tc>
        <w:tc>
          <w:tcPr>
            <w:tcW w:w="992" w:type="dxa"/>
            <w:tcBorders>
              <w:top w:val="single" w:sz="8" w:space="0" w:color="auto"/>
              <w:left w:val="nil"/>
              <w:bottom w:val="single" w:sz="4" w:space="0" w:color="auto"/>
              <w:right w:val="single" w:sz="4" w:space="0" w:color="auto"/>
            </w:tcBorders>
            <w:shd w:val="clear" w:color="000000" w:fill="8DB4E2"/>
            <w:noWrap/>
            <w:hideMark/>
          </w:tcPr>
          <w:p w:rsidR="00AD5632" w:rsidRPr="007349DE" w:rsidRDefault="00AD5632" w:rsidP="00BA0B4B">
            <w:pPr>
              <w:jc w:val="center"/>
              <w:rPr>
                <w:b/>
                <w:bCs/>
                <w:color w:val="000000"/>
                <w:sz w:val="14"/>
                <w:szCs w:val="20"/>
                <w:lang w:val="es-GT" w:eastAsia="es-GT"/>
              </w:rPr>
            </w:pPr>
            <w:r w:rsidRPr="007349DE">
              <w:rPr>
                <w:b/>
                <w:bCs/>
                <w:color w:val="000000"/>
                <w:sz w:val="14"/>
                <w:szCs w:val="20"/>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hideMark/>
          </w:tcPr>
          <w:p w:rsidR="00AD5632" w:rsidRPr="007349DE" w:rsidRDefault="00AD5632" w:rsidP="00BA0B4B">
            <w:pPr>
              <w:jc w:val="center"/>
              <w:rPr>
                <w:b/>
                <w:bCs/>
                <w:color w:val="000000"/>
                <w:sz w:val="16"/>
                <w:szCs w:val="20"/>
                <w:lang w:val="es-GT" w:eastAsia="es-GT"/>
              </w:rPr>
            </w:pPr>
            <w:r w:rsidRPr="007349DE">
              <w:rPr>
                <w:b/>
                <w:bCs/>
                <w:color w:val="000000"/>
                <w:sz w:val="14"/>
                <w:szCs w:val="20"/>
                <w:lang w:val="es-GT" w:eastAsia="es-GT"/>
              </w:rPr>
              <w:t>Ejecu</w:t>
            </w:r>
            <w:r w:rsidR="00CE154E">
              <w:rPr>
                <w:b/>
                <w:bCs/>
                <w:color w:val="000000"/>
                <w:sz w:val="14"/>
                <w:szCs w:val="20"/>
                <w:lang w:val="es-GT" w:eastAsia="es-GT"/>
              </w:rPr>
              <w:t>tado</w:t>
            </w:r>
          </w:p>
        </w:tc>
        <w:tc>
          <w:tcPr>
            <w:tcW w:w="731" w:type="dxa"/>
            <w:tcBorders>
              <w:top w:val="single" w:sz="8" w:space="0" w:color="auto"/>
              <w:left w:val="nil"/>
              <w:bottom w:val="single" w:sz="4" w:space="0" w:color="auto"/>
              <w:right w:val="single" w:sz="4" w:space="0" w:color="auto"/>
            </w:tcBorders>
            <w:shd w:val="clear" w:color="000000" w:fill="8DB4E2"/>
            <w:noWrap/>
            <w:hideMark/>
          </w:tcPr>
          <w:p w:rsidR="00AD5632" w:rsidRPr="007349DE" w:rsidRDefault="00AD5632" w:rsidP="00BA0B4B">
            <w:pPr>
              <w:jc w:val="center"/>
              <w:rPr>
                <w:b/>
                <w:bCs/>
                <w:color w:val="000000"/>
                <w:sz w:val="16"/>
                <w:szCs w:val="20"/>
                <w:lang w:val="es-GT" w:eastAsia="es-GT"/>
              </w:rPr>
            </w:pPr>
            <w:r w:rsidRPr="007349DE">
              <w:rPr>
                <w:b/>
                <w:bCs/>
                <w:color w:val="000000"/>
                <w:sz w:val="16"/>
                <w:szCs w:val="20"/>
                <w:lang w:val="es-GT" w:eastAsia="es-GT"/>
              </w:rPr>
              <w:t>Dif</w:t>
            </w:r>
          </w:p>
        </w:tc>
        <w:tc>
          <w:tcPr>
            <w:tcW w:w="677" w:type="dxa"/>
            <w:tcBorders>
              <w:top w:val="single" w:sz="8" w:space="0" w:color="auto"/>
              <w:left w:val="nil"/>
              <w:bottom w:val="single" w:sz="4" w:space="0" w:color="auto"/>
              <w:right w:val="single" w:sz="8" w:space="0" w:color="auto"/>
            </w:tcBorders>
            <w:shd w:val="clear" w:color="000000" w:fill="8DB4E2"/>
            <w:noWrap/>
            <w:hideMark/>
          </w:tcPr>
          <w:p w:rsidR="00AD5632" w:rsidRPr="007349DE" w:rsidRDefault="00AD5632" w:rsidP="00BA0B4B">
            <w:pPr>
              <w:jc w:val="center"/>
              <w:rPr>
                <w:b/>
                <w:bCs/>
                <w:color w:val="000000"/>
                <w:sz w:val="16"/>
                <w:szCs w:val="20"/>
                <w:lang w:val="es-GT" w:eastAsia="es-GT"/>
              </w:rPr>
            </w:pPr>
            <w:r w:rsidRPr="007349DE">
              <w:rPr>
                <w:b/>
                <w:bCs/>
                <w:color w:val="000000"/>
                <w:sz w:val="16"/>
                <w:szCs w:val="20"/>
                <w:lang w:val="es-GT" w:eastAsia="es-GT"/>
              </w:rPr>
              <w:t>% Ejec</w:t>
            </w:r>
          </w:p>
        </w:tc>
      </w:tr>
      <w:tr w:rsidR="00AD5632" w:rsidRPr="007349DE" w:rsidTr="006564D3">
        <w:trPr>
          <w:trHeight w:val="165"/>
        </w:trPr>
        <w:tc>
          <w:tcPr>
            <w:tcW w:w="5944" w:type="dxa"/>
            <w:tcBorders>
              <w:top w:val="nil"/>
              <w:left w:val="single" w:sz="8" w:space="0" w:color="auto"/>
              <w:bottom w:val="nil"/>
              <w:right w:val="single" w:sz="4" w:space="0" w:color="auto"/>
            </w:tcBorders>
            <w:shd w:val="clear" w:color="FFFFFF" w:fill="FFFFFF"/>
            <w:noWrap/>
            <w:vAlign w:val="bottom"/>
            <w:hideMark/>
          </w:tcPr>
          <w:p w:rsidR="00AD5632" w:rsidRPr="007349DE" w:rsidRDefault="00AD5632" w:rsidP="00BA0B4B">
            <w:pPr>
              <w:rPr>
                <w:b/>
                <w:bCs/>
                <w:color w:val="333333"/>
                <w:sz w:val="16"/>
                <w:szCs w:val="20"/>
                <w:lang w:val="es-GT" w:eastAsia="es-GT"/>
              </w:rPr>
            </w:pPr>
            <w:r w:rsidRPr="007349DE">
              <w:rPr>
                <w:b/>
                <w:bCs/>
                <w:color w:val="333333"/>
                <w:sz w:val="16"/>
                <w:szCs w:val="20"/>
                <w:lang w:val="es-GT" w:eastAsia="es-GT"/>
              </w:rPr>
              <w:t>MINISTERIO DE AGRICULTURA, GANADERÍA Y ALIMENTACIÓN</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b/>
                <w:bCs/>
                <w:color w:val="333333"/>
                <w:sz w:val="16"/>
                <w:szCs w:val="20"/>
                <w:lang w:val="es-GT" w:eastAsia="es-GT"/>
              </w:rPr>
            </w:pPr>
            <w:r w:rsidRPr="007349DE">
              <w:rPr>
                <w:b/>
                <w:bCs/>
                <w:color w:val="333333"/>
                <w:sz w:val="16"/>
                <w:szCs w:val="20"/>
                <w:lang w:val="es-GT" w:eastAsia="es-GT"/>
              </w:rPr>
              <w:t>1,765.4</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b/>
                <w:bCs/>
                <w:color w:val="333333"/>
                <w:sz w:val="16"/>
                <w:szCs w:val="20"/>
                <w:lang w:val="es-GT" w:eastAsia="es-GT"/>
              </w:rPr>
            </w:pPr>
            <w:r w:rsidRPr="007349DE">
              <w:rPr>
                <w:b/>
                <w:bCs/>
                <w:color w:val="333333"/>
                <w:sz w:val="16"/>
                <w:szCs w:val="20"/>
                <w:lang w:val="es-GT" w:eastAsia="es-GT"/>
              </w:rPr>
              <w:t>1,123.9</w:t>
            </w:r>
          </w:p>
        </w:tc>
        <w:tc>
          <w:tcPr>
            <w:tcW w:w="731"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b/>
                <w:bCs/>
                <w:color w:val="333333"/>
                <w:sz w:val="16"/>
                <w:szCs w:val="20"/>
                <w:lang w:val="es-GT" w:eastAsia="es-GT"/>
              </w:rPr>
            </w:pPr>
            <w:r w:rsidRPr="007349DE">
              <w:rPr>
                <w:b/>
                <w:bCs/>
                <w:color w:val="333333"/>
                <w:sz w:val="16"/>
                <w:szCs w:val="20"/>
                <w:lang w:val="es-GT" w:eastAsia="es-GT"/>
              </w:rPr>
              <w:t>641.5</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b/>
                <w:bCs/>
                <w:color w:val="333333"/>
                <w:sz w:val="16"/>
                <w:szCs w:val="20"/>
                <w:lang w:val="es-GT" w:eastAsia="es-GT"/>
              </w:rPr>
            </w:pPr>
            <w:r w:rsidRPr="007349DE">
              <w:rPr>
                <w:b/>
                <w:bCs/>
                <w:color w:val="333333"/>
                <w:sz w:val="16"/>
                <w:szCs w:val="20"/>
                <w:lang w:val="es-GT" w:eastAsia="es-GT"/>
              </w:rPr>
              <w:t>63.7%</w:t>
            </w:r>
          </w:p>
        </w:tc>
      </w:tr>
      <w:tr w:rsidR="00AD5632" w:rsidRPr="007349DE" w:rsidTr="006564D3">
        <w:trPr>
          <w:trHeight w:val="165"/>
        </w:trPr>
        <w:tc>
          <w:tcPr>
            <w:tcW w:w="5944" w:type="dxa"/>
            <w:tcBorders>
              <w:top w:val="nil"/>
              <w:left w:val="single" w:sz="8" w:space="0" w:color="auto"/>
              <w:bottom w:val="nil"/>
              <w:right w:val="single" w:sz="4" w:space="0" w:color="auto"/>
            </w:tcBorders>
            <w:shd w:val="clear" w:color="FFFFFF" w:fill="FFFFFF"/>
            <w:noWrap/>
            <w:vAlign w:val="bottom"/>
            <w:hideMark/>
          </w:tcPr>
          <w:p w:rsidR="00AD5632" w:rsidRPr="007349DE" w:rsidRDefault="00AD5632" w:rsidP="00BA0B4B">
            <w:pPr>
              <w:ind w:firstLineChars="200" w:firstLine="320"/>
              <w:rPr>
                <w:color w:val="333333"/>
                <w:sz w:val="16"/>
                <w:szCs w:val="20"/>
                <w:lang w:val="es-GT" w:eastAsia="es-GT"/>
              </w:rPr>
            </w:pPr>
            <w:r w:rsidRPr="007349DE">
              <w:rPr>
                <w:color w:val="333333"/>
                <w:sz w:val="16"/>
                <w:szCs w:val="20"/>
                <w:lang w:val="es-GT" w:eastAsia="es-GT"/>
              </w:rPr>
              <w:t>APOYO A LA AGRICULTURA FAMILIAR</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601.7</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433.5</w:t>
            </w:r>
          </w:p>
        </w:tc>
        <w:tc>
          <w:tcPr>
            <w:tcW w:w="731"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168.2</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72.0%</w:t>
            </w:r>
          </w:p>
        </w:tc>
      </w:tr>
      <w:tr w:rsidR="00AD5632" w:rsidRPr="007349DE" w:rsidTr="006564D3">
        <w:trPr>
          <w:trHeight w:val="165"/>
        </w:trPr>
        <w:tc>
          <w:tcPr>
            <w:tcW w:w="5944" w:type="dxa"/>
            <w:tcBorders>
              <w:top w:val="nil"/>
              <w:left w:val="single" w:sz="8" w:space="0" w:color="auto"/>
              <w:bottom w:val="nil"/>
              <w:right w:val="single" w:sz="4" w:space="0" w:color="auto"/>
            </w:tcBorders>
            <w:shd w:val="clear" w:color="FFFFFF" w:fill="FFFFFF"/>
            <w:noWrap/>
            <w:vAlign w:val="bottom"/>
            <w:hideMark/>
          </w:tcPr>
          <w:p w:rsidR="00AD5632" w:rsidRPr="007349DE" w:rsidRDefault="00AD5632" w:rsidP="00BA0B4B">
            <w:pPr>
              <w:ind w:firstLineChars="200" w:firstLine="320"/>
              <w:rPr>
                <w:color w:val="333333"/>
                <w:sz w:val="16"/>
                <w:szCs w:val="20"/>
                <w:lang w:val="es-GT" w:eastAsia="es-GT"/>
              </w:rPr>
            </w:pPr>
            <w:r w:rsidRPr="007349DE">
              <w:rPr>
                <w:color w:val="333333"/>
                <w:sz w:val="16"/>
                <w:szCs w:val="20"/>
                <w:lang w:val="es-GT" w:eastAsia="es-GT"/>
              </w:rPr>
              <w:t>PARTIDAS NO ASIGNABLES A PROGRAMAS</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244.1</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210.5</w:t>
            </w:r>
          </w:p>
        </w:tc>
        <w:tc>
          <w:tcPr>
            <w:tcW w:w="731"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33.6</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86.2%</w:t>
            </w:r>
          </w:p>
        </w:tc>
      </w:tr>
      <w:tr w:rsidR="00AD5632" w:rsidRPr="007349DE" w:rsidTr="006564D3">
        <w:trPr>
          <w:trHeight w:val="165"/>
        </w:trPr>
        <w:tc>
          <w:tcPr>
            <w:tcW w:w="5944" w:type="dxa"/>
            <w:tcBorders>
              <w:top w:val="nil"/>
              <w:left w:val="single" w:sz="8" w:space="0" w:color="auto"/>
              <w:bottom w:val="nil"/>
              <w:right w:val="single" w:sz="4" w:space="0" w:color="auto"/>
            </w:tcBorders>
            <w:shd w:val="clear" w:color="FFFFFF" w:fill="FFFFFF"/>
            <w:vAlign w:val="bottom"/>
            <w:hideMark/>
          </w:tcPr>
          <w:p w:rsidR="00AD5632" w:rsidRPr="007349DE" w:rsidRDefault="00AD5632" w:rsidP="00BA0B4B">
            <w:pPr>
              <w:ind w:firstLineChars="200" w:firstLine="320"/>
              <w:rPr>
                <w:color w:val="333333"/>
                <w:sz w:val="16"/>
                <w:szCs w:val="20"/>
                <w:lang w:val="es-GT" w:eastAsia="es-GT"/>
              </w:rPr>
            </w:pPr>
            <w:r w:rsidRPr="007349DE">
              <w:rPr>
                <w:color w:val="333333"/>
                <w:sz w:val="16"/>
                <w:szCs w:val="20"/>
                <w:lang w:val="es-GT" w:eastAsia="es-GT"/>
              </w:rPr>
              <w:t>APOYO A LA PRODUC Y COMPET AGROPECUARIA E HIDROBIOLÓGICA</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323.1</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161.8</w:t>
            </w:r>
          </w:p>
        </w:tc>
        <w:tc>
          <w:tcPr>
            <w:tcW w:w="731"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161.3</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50.1%</w:t>
            </w:r>
          </w:p>
        </w:tc>
      </w:tr>
      <w:tr w:rsidR="00AD5632" w:rsidRPr="007349DE" w:rsidTr="006564D3">
        <w:trPr>
          <w:trHeight w:val="165"/>
        </w:trPr>
        <w:tc>
          <w:tcPr>
            <w:tcW w:w="5944" w:type="dxa"/>
            <w:tcBorders>
              <w:top w:val="nil"/>
              <w:left w:val="single" w:sz="8" w:space="0" w:color="auto"/>
              <w:bottom w:val="nil"/>
              <w:right w:val="single" w:sz="4" w:space="0" w:color="auto"/>
            </w:tcBorders>
            <w:shd w:val="clear" w:color="FFFFFF" w:fill="FFFFFF"/>
            <w:noWrap/>
            <w:vAlign w:val="bottom"/>
            <w:hideMark/>
          </w:tcPr>
          <w:p w:rsidR="00AD5632" w:rsidRPr="007349DE" w:rsidRDefault="00AD5632" w:rsidP="00BA0B4B">
            <w:pPr>
              <w:ind w:firstLineChars="200" w:firstLine="320"/>
              <w:rPr>
                <w:color w:val="333333"/>
                <w:sz w:val="16"/>
                <w:szCs w:val="20"/>
                <w:lang w:val="es-GT" w:eastAsia="es-GT"/>
              </w:rPr>
            </w:pPr>
            <w:r w:rsidRPr="007349DE">
              <w:rPr>
                <w:color w:val="333333"/>
                <w:sz w:val="16"/>
                <w:szCs w:val="20"/>
                <w:lang w:val="es-GT" w:eastAsia="es-GT"/>
              </w:rPr>
              <w:t>ACTIVIDADES CENTRALES</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141.1</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160.6</w:t>
            </w:r>
          </w:p>
        </w:tc>
        <w:tc>
          <w:tcPr>
            <w:tcW w:w="731"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-19.5</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113.8%</w:t>
            </w:r>
          </w:p>
        </w:tc>
      </w:tr>
      <w:tr w:rsidR="00AD5632" w:rsidRPr="007349DE" w:rsidTr="006564D3">
        <w:trPr>
          <w:trHeight w:val="165"/>
        </w:trPr>
        <w:tc>
          <w:tcPr>
            <w:tcW w:w="5944" w:type="dxa"/>
            <w:tcBorders>
              <w:top w:val="nil"/>
              <w:left w:val="single" w:sz="8" w:space="0" w:color="auto"/>
              <w:bottom w:val="nil"/>
              <w:right w:val="single" w:sz="4" w:space="0" w:color="auto"/>
            </w:tcBorders>
            <w:shd w:val="clear" w:color="FFFFFF" w:fill="FFFFFF"/>
            <w:noWrap/>
            <w:vAlign w:val="bottom"/>
            <w:hideMark/>
          </w:tcPr>
          <w:p w:rsidR="00AD5632" w:rsidRPr="007349DE" w:rsidRDefault="00AD5632" w:rsidP="00BA0B4B">
            <w:pPr>
              <w:ind w:firstLineChars="200" w:firstLine="320"/>
              <w:rPr>
                <w:color w:val="333333"/>
                <w:sz w:val="16"/>
                <w:szCs w:val="20"/>
                <w:lang w:val="es-GT" w:eastAsia="es-GT"/>
              </w:rPr>
            </w:pPr>
            <w:r w:rsidRPr="007349DE">
              <w:rPr>
                <w:color w:val="333333"/>
                <w:sz w:val="16"/>
                <w:szCs w:val="20"/>
                <w:lang w:val="es-GT" w:eastAsia="es-GT"/>
              </w:rPr>
              <w:t>ATENCIÓN POR DESASTRES NATURALES Y CALAMIDADES PÚBLICAS</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400.0</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113.3</w:t>
            </w:r>
          </w:p>
        </w:tc>
        <w:tc>
          <w:tcPr>
            <w:tcW w:w="731"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286.7</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28.3%</w:t>
            </w:r>
          </w:p>
        </w:tc>
      </w:tr>
      <w:tr w:rsidR="00AD5632" w:rsidRPr="007349DE" w:rsidTr="006564D3">
        <w:trPr>
          <w:trHeight w:val="165"/>
        </w:trPr>
        <w:tc>
          <w:tcPr>
            <w:tcW w:w="5944" w:type="dxa"/>
            <w:tcBorders>
              <w:top w:val="nil"/>
              <w:left w:val="single" w:sz="8" w:space="0" w:color="auto"/>
              <w:bottom w:val="nil"/>
              <w:right w:val="single" w:sz="4" w:space="0" w:color="auto"/>
            </w:tcBorders>
            <w:shd w:val="clear" w:color="FFFFFF" w:fill="FFFFFF"/>
            <w:noWrap/>
            <w:vAlign w:val="bottom"/>
            <w:hideMark/>
          </w:tcPr>
          <w:p w:rsidR="00AD5632" w:rsidRPr="007349DE" w:rsidRDefault="00AD5632" w:rsidP="00BA0B4B">
            <w:pPr>
              <w:ind w:firstLineChars="200" w:firstLine="320"/>
              <w:rPr>
                <w:color w:val="333333"/>
                <w:sz w:val="16"/>
                <w:szCs w:val="20"/>
                <w:lang w:val="es-GT" w:eastAsia="es-GT"/>
              </w:rPr>
            </w:pPr>
            <w:r w:rsidRPr="007349DE">
              <w:rPr>
                <w:color w:val="333333"/>
                <w:sz w:val="16"/>
                <w:szCs w:val="20"/>
                <w:lang w:val="es-GT" w:eastAsia="es-GT"/>
              </w:rPr>
              <w:t>DESARROLLO SOSTENIBLE DE LOS RECURSOS NATURALES</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52.5</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37.6</w:t>
            </w:r>
          </w:p>
        </w:tc>
        <w:tc>
          <w:tcPr>
            <w:tcW w:w="731"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14.8</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71.7%</w:t>
            </w:r>
          </w:p>
        </w:tc>
      </w:tr>
      <w:tr w:rsidR="00AD5632" w:rsidRPr="007349DE" w:rsidTr="006564D3">
        <w:trPr>
          <w:trHeight w:val="165"/>
        </w:trPr>
        <w:tc>
          <w:tcPr>
            <w:tcW w:w="5944" w:type="dxa"/>
            <w:tcBorders>
              <w:top w:val="nil"/>
              <w:left w:val="single" w:sz="8" w:space="0" w:color="auto"/>
              <w:bottom w:val="single" w:sz="8" w:space="0" w:color="auto"/>
              <w:right w:val="single" w:sz="4" w:space="0" w:color="auto"/>
            </w:tcBorders>
            <w:shd w:val="clear" w:color="FFFFFF" w:fill="FFFFFF"/>
            <w:noWrap/>
            <w:vAlign w:val="bottom"/>
            <w:hideMark/>
          </w:tcPr>
          <w:p w:rsidR="00AD5632" w:rsidRPr="007349DE" w:rsidRDefault="00AD5632" w:rsidP="00BA0B4B">
            <w:pPr>
              <w:ind w:firstLineChars="200" w:firstLine="320"/>
              <w:rPr>
                <w:color w:val="333333"/>
                <w:sz w:val="16"/>
                <w:szCs w:val="20"/>
                <w:lang w:val="es-GT" w:eastAsia="es-GT"/>
              </w:rPr>
            </w:pPr>
            <w:r w:rsidRPr="007349DE">
              <w:rPr>
                <w:color w:val="333333"/>
                <w:sz w:val="16"/>
                <w:szCs w:val="20"/>
                <w:lang w:val="es-GT" w:eastAsia="es-GT"/>
              </w:rPr>
              <w:t>APOYO A LA PROTECCIÓN Y BIENESTAR ANIMAL</w:t>
            </w:r>
          </w:p>
        </w:tc>
        <w:tc>
          <w:tcPr>
            <w:tcW w:w="992" w:type="dxa"/>
            <w:tcBorders>
              <w:top w:val="nil"/>
              <w:left w:val="single" w:sz="4" w:space="0" w:color="auto"/>
              <w:bottom w:val="single" w:sz="8" w:space="0" w:color="auto"/>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3.0</w:t>
            </w:r>
          </w:p>
        </w:tc>
        <w:tc>
          <w:tcPr>
            <w:tcW w:w="992" w:type="dxa"/>
            <w:tcBorders>
              <w:top w:val="nil"/>
              <w:left w:val="nil"/>
              <w:bottom w:val="single" w:sz="8" w:space="0" w:color="auto"/>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6.6</w:t>
            </w:r>
          </w:p>
        </w:tc>
        <w:tc>
          <w:tcPr>
            <w:tcW w:w="731" w:type="dxa"/>
            <w:tcBorders>
              <w:top w:val="nil"/>
              <w:left w:val="nil"/>
              <w:bottom w:val="single" w:sz="8" w:space="0" w:color="auto"/>
              <w:right w:val="single" w:sz="4"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-3.6</w:t>
            </w:r>
          </w:p>
        </w:tc>
        <w:tc>
          <w:tcPr>
            <w:tcW w:w="677" w:type="dxa"/>
            <w:tcBorders>
              <w:top w:val="nil"/>
              <w:left w:val="nil"/>
              <w:bottom w:val="single" w:sz="8" w:space="0" w:color="auto"/>
              <w:right w:val="single" w:sz="8" w:space="0" w:color="auto"/>
            </w:tcBorders>
            <w:shd w:val="clear" w:color="FFFFFF" w:fill="FFFFFF"/>
            <w:noWrap/>
            <w:vAlign w:val="center"/>
            <w:hideMark/>
          </w:tcPr>
          <w:p w:rsidR="00AD5632" w:rsidRPr="007349DE" w:rsidRDefault="00AD5632" w:rsidP="00BA0B4B">
            <w:pPr>
              <w:jc w:val="right"/>
              <w:rPr>
                <w:color w:val="333333"/>
                <w:sz w:val="16"/>
                <w:szCs w:val="20"/>
                <w:lang w:val="es-GT" w:eastAsia="es-GT"/>
              </w:rPr>
            </w:pPr>
            <w:r w:rsidRPr="007349DE">
              <w:rPr>
                <w:color w:val="333333"/>
                <w:sz w:val="16"/>
                <w:szCs w:val="20"/>
                <w:lang w:val="es-GT" w:eastAsia="es-GT"/>
              </w:rPr>
              <w:t>218.7%</w:t>
            </w:r>
          </w:p>
        </w:tc>
      </w:tr>
    </w:tbl>
    <w:p w:rsidR="00AD5632" w:rsidRPr="004E678D" w:rsidRDefault="00AD5632" w:rsidP="00AD5632">
      <w:pPr>
        <w:jc w:val="both"/>
        <w:rPr>
          <w:sz w:val="18"/>
        </w:rPr>
      </w:pPr>
      <w:r>
        <w:rPr>
          <w:sz w:val="18"/>
        </w:rPr>
        <w:fldChar w:fldCharType="end"/>
      </w:r>
      <w:r w:rsidR="00CE154E">
        <w:rPr>
          <w:sz w:val="18"/>
        </w:rPr>
        <w:t xml:space="preserve"> </w:t>
      </w:r>
      <w:r w:rsidRPr="004E678D">
        <w:rPr>
          <w:sz w:val="18"/>
        </w:rPr>
        <w:t>Fuente: Ministerio de Finanzas Públicas</w:t>
      </w:r>
      <w:r>
        <w:rPr>
          <w:sz w:val="18"/>
        </w:rPr>
        <w:t>.</w:t>
      </w:r>
    </w:p>
    <w:p w:rsidR="00AD5632" w:rsidRDefault="00AD5632" w:rsidP="00AD5632">
      <w:pPr>
        <w:jc w:val="both"/>
        <w:rPr>
          <w:b/>
        </w:rPr>
      </w:pPr>
      <w:r w:rsidRPr="00D108FD">
        <w:rPr>
          <w:b/>
        </w:rPr>
        <w:lastRenderedPageBreak/>
        <w:t>Ministerio de Comunicaciones, Infraestructura y Vivienda</w:t>
      </w:r>
      <w:r>
        <w:rPr>
          <w:b/>
        </w:rPr>
        <w:t>:</w:t>
      </w:r>
    </w:p>
    <w:p w:rsidR="00AD5632" w:rsidRPr="006941A5" w:rsidRDefault="00AD5632" w:rsidP="00AD5632">
      <w:pPr>
        <w:jc w:val="both"/>
        <w:rPr>
          <w:b/>
          <w:sz w:val="20"/>
        </w:rPr>
      </w:pPr>
    </w:p>
    <w:p w:rsidR="00AD5632" w:rsidRDefault="00AD5632" w:rsidP="00AD5632">
      <w:pPr>
        <w:jc w:val="both"/>
      </w:pPr>
      <w:r w:rsidRPr="00D108FD">
        <w:t xml:space="preserve">El </w:t>
      </w:r>
      <w:r w:rsidRPr="00E868EE">
        <w:t>Ministerio de Comunicaciones, Infraestructura y Vivienda</w:t>
      </w:r>
      <w:r w:rsidRPr="00D108FD">
        <w:t>, tuvo un presupuesto</w:t>
      </w:r>
      <w:r>
        <w:t xml:space="preserve"> aprobado</w:t>
      </w:r>
      <w:r w:rsidRPr="00D108FD">
        <w:t xml:space="preserve"> de </w:t>
      </w:r>
      <w:r>
        <w:t>Q.6</w:t>
      </w:r>
      <w:r w:rsidRPr="00D108FD">
        <w:t>,</w:t>
      </w:r>
      <w:r>
        <w:t>777.</w:t>
      </w:r>
      <w:r w:rsidRPr="00D108FD">
        <w:t xml:space="preserve">4 millones y una ejecución presupuestaria de </w:t>
      </w:r>
      <w:r>
        <w:t>Q.6</w:t>
      </w:r>
      <w:r w:rsidRPr="00D108FD">
        <w:t>,</w:t>
      </w:r>
      <w:r>
        <w:t>424.6</w:t>
      </w:r>
      <w:r w:rsidRPr="00D108FD">
        <w:t xml:space="preserve"> millones</w:t>
      </w:r>
      <w:r w:rsidR="00621345">
        <w:t>,</w:t>
      </w:r>
      <w:r w:rsidRPr="00D108FD">
        <w:t xml:space="preserve"> equivalente</w:t>
      </w:r>
      <w:r>
        <w:t>s</w:t>
      </w:r>
      <w:r w:rsidRPr="00D108FD">
        <w:t xml:space="preserve"> al </w:t>
      </w:r>
      <w:r>
        <w:t>94.8</w:t>
      </w:r>
      <w:r w:rsidRPr="00D108FD">
        <w:t>%</w:t>
      </w:r>
      <w:r>
        <w:t>.</w:t>
      </w:r>
    </w:p>
    <w:p w:rsidR="00AD5632" w:rsidRPr="006941A5" w:rsidRDefault="00AD5632" w:rsidP="00AD5632">
      <w:pPr>
        <w:jc w:val="both"/>
        <w:rPr>
          <w:sz w:val="22"/>
        </w:rPr>
      </w:pPr>
    </w:p>
    <w:p w:rsidR="00AD5632" w:rsidRDefault="00AD5632" w:rsidP="00AD5632">
      <w:pPr>
        <w:jc w:val="both"/>
      </w:pPr>
      <w:r w:rsidRPr="00D108FD">
        <w:t>El primero de los programas prioritarios es “Desarrollo de la Infraestructura Vial” con un presupuesto</w:t>
      </w:r>
      <w:r>
        <w:t xml:space="preserve"> aprobado</w:t>
      </w:r>
      <w:r w:rsidRPr="00D108FD">
        <w:t xml:space="preserve"> de </w:t>
      </w:r>
      <w:r>
        <w:t>Q.</w:t>
      </w:r>
      <w:r w:rsidRPr="00D108FD">
        <w:t>4,</w:t>
      </w:r>
      <w:r>
        <w:t>879.6</w:t>
      </w:r>
      <w:r w:rsidRPr="00D108FD">
        <w:t xml:space="preserve"> millones y una ejecución presupuestaria de </w:t>
      </w:r>
      <w:r>
        <w:t>Q.4</w:t>
      </w:r>
      <w:r w:rsidRPr="00D108FD">
        <w:t>,</w:t>
      </w:r>
      <w:r>
        <w:t>660.3 millones</w:t>
      </w:r>
      <w:r w:rsidR="00681FC8">
        <w:t>,</w:t>
      </w:r>
      <w:r>
        <w:t xml:space="preserve"> </w:t>
      </w:r>
      <w:r w:rsidRPr="00D108FD">
        <w:t xml:space="preserve">equivalentes al </w:t>
      </w:r>
      <w:r>
        <w:t>95.5</w:t>
      </w:r>
      <w:r w:rsidRPr="00D108FD">
        <w:t>%.</w:t>
      </w:r>
    </w:p>
    <w:p w:rsidR="00AD5632" w:rsidRPr="006941A5" w:rsidRDefault="00AD5632" w:rsidP="00AD5632">
      <w:pPr>
        <w:jc w:val="both"/>
        <w:rPr>
          <w:sz w:val="22"/>
        </w:rPr>
      </w:pPr>
    </w:p>
    <w:p w:rsidR="00AD5632" w:rsidRDefault="00AD5632" w:rsidP="00AD5632">
      <w:pPr>
        <w:jc w:val="both"/>
      </w:pPr>
      <w:r>
        <w:t xml:space="preserve">También </w:t>
      </w:r>
      <w:r w:rsidRPr="00D108FD">
        <w:t xml:space="preserve">aparece el programa “Atención por Desastres Naturales y Calamidades Públicas” con un presupuesto </w:t>
      </w:r>
      <w:r>
        <w:t xml:space="preserve">aprobado </w:t>
      </w:r>
      <w:r w:rsidRPr="00D108FD">
        <w:t xml:space="preserve">de </w:t>
      </w:r>
      <w:r>
        <w:t>Q.</w:t>
      </w:r>
      <w:r w:rsidRPr="00D108FD">
        <w:t>2</w:t>
      </w:r>
      <w:r>
        <w:t>79.3</w:t>
      </w:r>
      <w:r w:rsidRPr="00D108FD">
        <w:t xml:space="preserve"> millones y una ejecución presupuestaria de </w:t>
      </w:r>
      <w:r>
        <w:t>Q.521.2</w:t>
      </w:r>
      <w:r w:rsidRPr="00D108FD">
        <w:t xml:space="preserve"> millones</w:t>
      </w:r>
      <w:r>
        <w:t xml:space="preserve">, </w:t>
      </w:r>
      <w:r w:rsidR="00681FC8">
        <w:t>equivalentes al 186.6% sobre el</w:t>
      </w:r>
      <w:r>
        <w:t xml:space="preserve"> presupuesto aprobado</w:t>
      </w:r>
      <w:r w:rsidR="00681FC8">
        <w:t>.</w:t>
      </w:r>
    </w:p>
    <w:p w:rsidR="00AD5632" w:rsidRDefault="00AD5632" w:rsidP="00AD5632">
      <w:pPr>
        <w:jc w:val="both"/>
      </w:pPr>
    </w:p>
    <w:p w:rsidR="00AD5632" w:rsidRDefault="00AD5632" w:rsidP="00AD5632">
      <w:pPr>
        <w:jc w:val="both"/>
      </w:pPr>
      <w:r w:rsidRPr="00D108FD">
        <w:t xml:space="preserve">Se observa también el programa “Desarrollo de la Vivienda” con un presupuesto de </w:t>
      </w:r>
      <w:r>
        <w:t>Q.619.6</w:t>
      </w:r>
      <w:r w:rsidRPr="00D108FD">
        <w:t xml:space="preserve"> </w:t>
      </w:r>
      <w:r>
        <w:t xml:space="preserve">millones </w:t>
      </w:r>
      <w:r w:rsidRPr="00D108FD">
        <w:t xml:space="preserve">y una ejecución presupuestaria de </w:t>
      </w:r>
      <w:r>
        <w:t>Q.373.2</w:t>
      </w:r>
      <w:r w:rsidRPr="00D108FD">
        <w:t xml:space="preserve"> millones</w:t>
      </w:r>
      <w:r w:rsidR="002C7590">
        <w:t>,</w:t>
      </w:r>
      <w:r w:rsidRPr="00D108FD">
        <w:t xml:space="preserve"> equivalente</w:t>
      </w:r>
      <w:r>
        <w:t>s</w:t>
      </w:r>
      <w:r w:rsidRPr="00D108FD">
        <w:t xml:space="preserve"> al </w:t>
      </w:r>
      <w:r>
        <w:t>60.2</w:t>
      </w:r>
      <w:r w:rsidRPr="00D108FD">
        <w:t>%</w:t>
      </w:r>
      <w:r>
        <w:t>.</w:t>
      </w:r>
    </w:p>
    <w:p w:rsidR="00AD5632" w:rsidRPr="006941A5" w:rsidRDefault="00AD5632" w:rsidP="00AD5632">
      <w:pPr>
        <w:jc w:val="both"/>
        <w:rPr>
          <w:sz w:val="22"/>
        </w:rPr>
      </w:pPr>
    </w:p>
    <w:p w:rsidR="00AD5632" w:rsidRDefault="00AD5632" w:rsidP="00AD5632">
      <w:pPr>
        <w:jc w:val="both"/>
      </w:pPr>
      <w:r>
        <w:t>D</w:t>
      </w:r>
      <w:r w:rsidRPr="00D108FD">
        <w:t xml:space="preserve">entro del grupo de programas con mayor presupuesto y ejecución, se ubica el </w:t>
      </w:r>
      <w:r>
        <w:t xml:space="preserve">programa </w:t>
      </w:r>
      <w:r w:rsidRPr="00D108FD">
        <w:t xml:space="preserve">de “Construcción de Obra Pública” con un presupuesto de </w:t>
      </w:r>
      <w:r>
        <w:t>Q.241.9</w:t>
      </w:r>
      <w:r w:rsidRPr="00D108FD">
        <w:t xml:space="preserve"> millones y una ejecución presupuestaria de </w:t>
      </w:r>
      <w:r>
        <w:t>Q.363.3</w:t>
      </w:r>
      <w:r w:rsidRPr="00D108FD">
        <w:t xml:space="preserve"> millones</w:t>
      </w:r>
      <w:r w:rsidR="002C7590">
        <w:t>,</w:t>
      </w:r>
      <w:r w:rsidRPr="00D108FD">
        <w:t xml:space="preserve"> equivalente</w:t>
      </w:r>
      <w:r>
        <w:t>s</w:t>
      </w:r>
      <w:r w:rsidRPr="00D108FD">
        <w:t xml:space="preserve"> al </w:t>
      </w:r>
      <w:r>
        <w:t>150.2%.</w:t>
      </w:r>
    </w:p>
    <w:p w:rsidR="00AD5632" w:rsidRPr="006941A5" w:rsidRDefault="00AD5632" w:rsidP="00AD5632">
      <w:pPr>
        <w:jc w:val="both"/>
        <w:rPr>
          <w:sz w:val="22"/>
        </w:rPr>
      </w:pPr>
    </w:p>
    <w:p w:rsidR="00AD5632" w:rsidRDefault="00AD5632" w:rsidP="00AD5632">
      <w:pPr>
        <w:jc w:val="both"/>
      </w:pPr>
      <w:r w:rsidRPr="00D108FD">
        <w:t xml:space="preserve">Le sigue el programa de “Servicios Aeronáuticos y Aeroportuarios”, el cual </w:t>
      </w:r>
      <w:r>
        <w:t xml:space="preserve">tuvo un presupuesto aprobado </w:t>
      </w:r>
      <w:r w:rsidRPr="00D108FD">
        <w:t xml:space="preserve">de </w:t>
      </w:r>
      <w:r>
        <w:t>Q.269.3</w:t>
      </w:r>
      <w:r w:rsidRPr="00D108FD">
        <w:t xml:space="preserve"> millones y una ejecución presupuestaria de </w:t>
      </w:r>
      <w:r>
        <w:t>Q.203.2</w:t>
      </w:r>
      <w:r w:rsidRPr="00D108FD">
        <w:t xml:space="preserve"> millones</w:t>
      </w:r>
      <w:r w:rsidR="002C7590">
        <w:t>,</w:t>
      </w:r>
      <w:r w:rsidRPr="00D108FD">
        <w:t xml:space="preserve"> equivalente</w:t>
      </w:r>
      <w:r>
        <w:t>s</w:t>
      </w:r>
      <w:r w:rsidRPr="00D108FD">
        <w:t xml:space="preserve"> al </w:t>
      </w:r>
      <w:r>
        <w:t>75.5</w:t>
      </w:r>
      <w:r w:rsidRPr="00D108FD">
        <w:t>%</w:t>
      </w:r>
      <w:r>
        <w:t>.</w:t>
      </w:r>
    </w:p>
    <w:p w:rsidR="00AD5632" w:rsidRPr="006941A5" w:rsidRDefault="00AD5632" w:rsidP="00AD5632">
      <w:pPr>
        <w:jc w:val="both"/>
        <w:rPr>
          <w:sz w:val="22"/>
        </w:rPr>
      </w:pPr>
    </w:p>
    <w:p w:rsidR="00AD5632" w:rsidRDefault="00AD5632" w:rsidP="00AD5632">
      <w:pPr>
        <w:jc w:val="both"/>
      </w:pPr>
      <w:r>
        <w:t>El programa de “Servicios de Urbanización, Legislación, Construcción y Mejoramiento de Bienes Inmuebles” tuvo un presupuesto aprobado de Q</w:t>
      </w:r>
      <w:r w:rsidR="002C7590">
        <w:t>.</w:t>
      </w:r>
      <w:r>
        <w:t>125.4 millones y una ejecución de Q</w:t>
      </w:r>
      <w:r w:rsidR="002C7590">
        <w:t>.</w:t>
      </w:r>
      <w:r>
        <w:t>61.6 millones, equivalentes al 49.1% del presupuesto inicial.</w:t>
      </w:r>
    </w:p>
    <w:p w:rsidR="00AD5632" w:rsidRPr="006941A5" w:rsidRDefault="00AD5632" w:rsidP="00AD5632">
      <w:pPr>
        <w:jc w:val="both"/>
        <w:rPr>
          <w:sz w:val="22"/>
        </w:rPr>
      </w:pPr>
    </w:p>
    <w:p w:rsidR="00AD5632" w:rsidRDefault="00AD5632" w:rsidP="00AD5632">
      <w:pPr>
        <w:jc w:val="both"/>
      </w:pPr>
      <w:r>
        <w:t>Se observa a continuación el programa de “Servicios de Protección y Seguridad Vial” con presupuesto aprobado de Q.92.6 millones y una ejecución presupuestaria de Q.54.2 millones, equivalentes al 58.</w:t>
      </w:r>
      <w:r w:rsidR="002C7590">
        <w:t>5</w:t>
      </w:r>
      <w:r>
        <w:t>%.</w:t>
      </w:r>
    </w:p>
    <w:p w:rsidR="00AD5632" w:rsidRPr="006941A5" w:rsidRDefault="00AD5632" w:rsidP="00AD5632">
      <w:pPr>
        <w:jc w:val="both"/>
        <w:rPr>
          <w:sz w:val="22"/>
        </w:rPr>
      </w:pPr>
    </w:p>
    <w:p w:rsidR="00AD5632" w:rsidRDefault="00AD5632" w:rsidP="00AD5632">
      <w:pPr>
        <w:jc w:val="both"/>
      </w:pPr>
      <w:r w:rsidRPr="00D108FD">
        <w:t xml:space="preserve">Seguidamente se observan </w:t>
      </w:r>
      <w:r>
        <w:t>9</w:t>
      </w:r>
      <w:r w:rsidRPr="00D108FD">
        <w:t xml:space="preserve"> programas más, los cuales tuvieron una ejecución presupuestaria </w:t>
      </w:r>
      <w:r w:rsidR="000618FE">
        <w:t xml:space="preserve">global </w:t>
      </w:r>
      <w:r w:rsidR="00C139AD">
        <w:t>de</w:t>
      </w:r>
      <w:r w:rsidRPr="00D108FD">
        <w:t xml:space="preserve"> </w:t>
      </w:r>
      <w:r>
        <w:t>Q.</w:t>
      </w:r>
      <w:r w:rsidR="000618FE">
        <w:t>187.8</w:t>
      </w:r>
      <w:r w:rsidRPr="00D108FD">
        <w:t xml:space="preserve"> millones</w:t>
      </w:r>
      <w:r>
        <w:t xml:space="preserve">, tal como se </w:t>
      </w:r>
      <w:r w:rsidRPr="00D108FD">
        <w:t>en el cuadro que se presenta a continuación</w:t>
      </w:r>
      <w:r>
        <w:t>:</w:t>
      </w:r>
    </w:p>
    <w:p w:rsidR="00AD5632" w:rsidRDefault="00AD5632" w:rsidP="00AD5632">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Programa!F113C2:F131C6" \a \f 4 \h  \* MERGEFORMAT </w:instrText>
      </w:r>
      <w:r>
        <w:rPr>
          <w:noProof/>
          <w:lang w:val="es-GT" w:eastAsia="es-GT"/>
        </w:rPr>
        <w:fldChar w:fldCharType="separate"/>
      </w:r>
    </w:p>
    <w:p w:rsidR="00AD5632" w:rsidRDefault="00AD5632" w:rsidP="00AD5632">
      <w:pPr>
        <w:jc w:val="both"/>
        <w:rPr>
          <w:rFonts w:ascii="Calibri" w:eastAsia="Calibri" w:hAnsi="Calibri"/>
          <w:sz w:val="20"/>
          <w:szCs w:val="20"/>
          <w:lang w:val="es-GT" w:eastAsia="es-GT"/>
        </w:rPr>
      </w:pPr>
      <w:r>
        <w:rPr>
          <w:noProof/>
          <w:lang w:val="es-GT" w:eastAsia="es-GT"/>
        </w:rPr>
        <w:fldChar w:fldCharType="end"/>
      </w:r>
      <w:r>
        <w:rPr>
          <w:sz w:val="18"/>
        </w:rPr>
        <w:fldChar w:fldCharType="begin"/>
      </w:r>
      <w:r>
        <w:rPr>
          <w:sz w:val="18"/>
        </w:rPr>
        <w:instrText xml:space="preserve"> LINK Excel.Sheet.12 "C:\\Users\\deefoper12\\Documents\\Mis Documentos\\2022\\DTF 2022\\Informe fin de año 2021\\Cuadros para Informe de Fin de Año 2021..xlsx" "Entidad Programa!F114C2:F131C6" \a \f 4 \h  \* MERGEFORMAT </w:instrText>
      </w:r>
      <w:r>
        <w:rPr>
          <w:sz w:val="18"/>
        </w:rPr>
        <w:fldChar w:fldCharType="separate"/>
      </w:r>
    </w:p>
    <w:tbl>
      <w:tblPr>
        <w:tblW w:w="9336" w:type="dxa"/>
        <w:tblCellMar>
          <w:left w:w="70" w:type="dxa"/>
          <w:right w:w="70" w:type="dxa"/>
        </w:tblCellMar>
        <w:tblLook w:val="04A0" w:firstRow="1" w:lastRow="0" w:firstColumn="1" w:lastColumn="0" w:noHBand="0" w:noVBand="1"/>
      </w:tblPr>
      <w:tblGrid>
        <w:gridCol w:w="5802"/>
        <w:gridCol w:w="992"/>
        <w:gridCol w:w="993"/>
        <w:gridCol w:w="872"/>
        <w:gridCol w:w="677"/>
      </w:tblGrid>
      <w:tr w:rsidR="00AD5632" w:rsidRPr="007349DE" w:rsidTr="00CE154E">
        <w:trPr>
          <w:trHeight w:val="165"/>
        </w:trPr>
        <w:tc>
          <w:tcPr>
            <w:tcW w:w="5802" w:type="dxa"/>
            <w:tcBorders>
              <w:top w:val="single" w:sz="8" w:space="0" w:color="auto"/>
              <w:left w:val="single" w:sz="8" w:space="0" w:color="auto"/>
              <w:bottom w:val="single" w:sz="4" w:space="0" w:color="auto"/>
              <w:right w:val="single" w:sz="4" w:space="0" w:color="auto"/>
            </w:tcBorders>
            <w:shd w:val="clear" w:color="000000" w:fill="8DB4E2"/>
            <w:noWrap/>
            <w:hideMark/>
          </w:tcPr>
          <w:p w:rsidR="00AD5632" w:rsidRPr="007349DE" w:rsidRDefault="00AD5632" w:rsidP="00BA0B4B">
            <w:pPr>
              <w:jc w:val="center"/>
              <w:rPr>
                <w:b/>
                <w:bCs/>
                <w:color w:val="000000"/>
                <w:sz w:val="14"/>
                <w:szCs w:val="20"/>
                <w:lang w:val="es-GT" w:eastAsia="es-GT"/>
              </w:rPr>
            </w:pPr>
            <w:r w:rsidRPr="007349DE">
              <w:rPr>
                <w:b/>
                <w:bCs/>
                <w:color w:val="000000"/>
                <w:sz w:val="14"/>
                <w:szCs w:val="20"/>
                <w:lang w:val="es-GT" w:eastAsia="es-GT"/>
              </w:rPr>
              <w:t>DESCRIPCI</w:t>
            </w:r>
            <w:r w:rsidR="00CE154E">
              <w:rPr>
                <w:b/>
                <w:bCs/>
                <w:color w:val="000000"/>
                <w:sz w:val="14"/>
                <w:szCs w:val="20"/>
                <w:lang w:val="es-GT" w:eastAsia="es-GT"/>
              </w:rPr>
              <w:t>Ó</w:t>
            </w:r>
            <w:r w:rsidRPr="007349DE">
              <w:rPr>
                <w:b/>
                <w:bCs/>
                <w:color w:val="000000"/>
                <w:sz w:val="14"/>
                <w:szCs w:val="20"/>
                <w:lang w:val="es-GT" w:eastAsia="es-GT"/>
              </w:rPr>
              <w:t>N</w:t>
            </w:r>
          </w:p>
        </w:tc>
        <w:tc>
          <w:tcPr>
            <w:tcW w:w="992" w:type="dxa"/>
            <w:tcBorders>
              <w:top w:val="single" w:sz="8" w:space="0" w:color="auto"/>
              <w:left w:val="nil"/>
              <w:bottom w:val="single" w:sz="4" w:space="0" w:color="auto"/>
              <w:right w:val="single" w:sz="4" w:space="0" w:color="auto"/>
            </w:tcBorders>
            <w:shd w:val="clear" w:color="000000" w:fill="8DB4E2"/>
            <w:noWrap/>
            <w:hideMark/>
          </w:tcPr>
          <w:p w:rsidR="00AD5632" w:rsidRPr="007349DE" w:rsidRDefault="00AD5632" w:rsidP="00BA0B4B">
            <w:pPr>
              <w:jc w:val="center"/>
              <w:rPr>
                <w:b/>
                <w:bCs/>
                <w:color w:val="000000"/>
                <w:sz w:val="14"/>
                <w:szCs w:val="20"/>
                <w:lang w:val="es-GT" w:eastAsia="es-GT"/>
              </w:rPr>
            </w:pPr>
            <w:r w:rsidRPr="007349DE">
              <w:rPr>
                <w:b/>
                <w:bCs/>
                <w:color w:val="000000"/>
                <w:sz w:val="14"/>
                <w:szCs w:val="20"/>
                <w:lang w:val="es-GT" w:eastAsia="es-GT"/>
              </w:rPr>
              <w:t>Asignado</w:t>
            </w:r>
          </w:p>
        </w:tc>
        <w:tc>
          <w:tcPr>
            <w:tcW w:w="993" w:type="dxa"/>
            <w:tcBorders>
              <w:top w:val="single" w:sz="8" w:space="0" w:color="auto"/>
              <w:left w:val="nil"/>
              <w:bottom w:val="single" w:sz="4" w:space="0" w:color="auto"/>
              <w:right w:val="single" w:sz="4" w:space="0" w:color="auto"/>
            </w:tcBorders>
            <w:shd w:val="clear" w:color="000000" w:fill="8DB4E2"/>
            <w:noWrap/>
            <w:hideMark/>
          </w:tcPr>
          <w:p w:rsidR="00AD5632" w:rsidRPr="007349DE" w:rsidRDefault="00AD5632" w:rsidP="00BA0B4B">
            <w:pPr>
              <w:jc w:val="center"/>
              <w:rPr>
                <w:b/>
                <w:bCs/>
                <w:color w:val="000000"/>
                <w:sz w:val="14"/>
                <w:szCs w:val="20"/>
                <w:lang w:val="es-GT" w:eastAsia="es-GT"/>
              </w:rPr>
            </w:pPr>
            <w:r w:rsidRPr="007349DE">
              <w:rPr>
                <w:b/>
                <w:bCs/>
                <w:color w:val="000000"/>
                <w:sz w:val="14"/>
                <w:szCs w:val="20"/>
                <w:lang w:val="es-GT" w:eastAsia="es-GT"/>
              </w:rPr>
              <w:t>Ejecu</w:t>
            </w:r>
            <w:r w:rsidR="00CE154E">
              <w:rPr>
                <w:b/>
                <w:bCs/>
                <w:color w:val="000000"/>
                <w:sz w:val="14"/>
                <w:szCs w:val="20"/>
                <w:lang w:val="es-GT" w:eastAsia="es-GT"/>
              </w:rPr>
              <w:t>tado</w:t>
            </w:r>
          </w:p>
        </w:tc>
        <w:tc>
          <w:tcPr>
            <w:tcW w:w="872" w:type="dxa"/>
            <w:tcBorders>
              <w:top w:val="single" w:sz="8" w:space="0" w:color="auto"/>
              <w:left w:val="nil"/>
              <w:bottom w:val="single" w:sz="4" w:space="0" w:color="auto"/>
              <w:right w:val="single" w:sz="4" w:space="0" w:color="auto"/>
            </w:tcBorders>
            <w:shd w:val="clear" w:color="000000" w:fill="8DB4E2"/>
            <w:noWrap/>
            <w:hideMark/>
          </w:tcPr>
          <w:p w:rsidR="00AD5632" w:rsidRPr="007349DE" w:rsidRDefault="00AD5632" w:rsidP="00BA0B4B">
            <w:pPr>
              <w:jc w:val="center"/>
              <w:rPr>
                <w:b/>
                <w:bCs/>
                <w:color w:val="000000"/>
                <w:sz w:val="14"/>
                <w:szCs w:val="20"/>
                <w:lang w:val="es-GT" w:eastAsia="es-GT"/>
              </w:rPr>
            </w:pPr>
            <w:r w:rsidRPr="007349DE">
              <w:rPr>
                <w:b/>
                <w:bCs/>
                <w:color w:val="000000"/>
                <w:sz w:val="14"/>
                <w:szCs w:val="20"/>
                <w:lang w:val="es-GT" w:eastAsia="es-GT"/>
              </w:rPr>
              <w:t>Dif</w:t>
            </w:r>
          </w:p>
        </w:tc>
        <w:tc>
          <w:tcPr>
            <w:tcW w:w="677" w:type="dxa"/>
            <w:tcBorders>
              <w:top w:val="single" w:sz="8" w:space="0" w:color="auto"/>
              <w:left w:val="nil"/>
              <w:bottom w:val="single" w:sz="4" w:space="0" w:color="auto"/>
              <w:right w:val="single" w:sz="8" w:space="0" w:color="auto"/>
            </w:tcBorders>
            <w:shd w:val="clear" w:color="000000" w:fill="8DB4E2"/>
            <w:noWrap/>
            <w:hideMark/>
          </w:tcPr>
          <w:p w:rsidR="00AD5632" w:rsidRPr="007349DE" w:rsidRDefault="00AD5632" w:rsidP="00BA0B4B">
            <w:pPr>
              <w:jc w:val="center"/>
              <w:rPr>
                <w:b/>
                <w:bCs/>
                <w:color w:val="000000"/>
                <w:sz w:val="14"/>
                <w:szCs w:val="20"/>
                <w:lang w:val="es-GT" w:eastAsia="es-GT"/>
              </w:rPr>
            </w:pPr>
            <w:r w:rsidRPr="007349DE">
              <w:rPr>
                <w:b/>
                <w:bCs/>
                <w:color w:val="000000"/>
                <w:sz w:val="14"/>
                <w:szCs w:val="20"/>
                <w:lang w:val="es-GT" w:eastAsia="es-GT"/>
              </w:rPr>
              <w:t>% Ejec</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noWrap/>
            <w:vAlign w:val="center"/>
            <w:hideMark/>
          </w:tcPr>
          <w:p w:rsidR="00AD5632" w:rsidRPr="007349DE" w:rsidRDefault="00AD5632" w:rsidP="00BA0B4B">
            <w:pPr>
              <w:rPr>
                <w:b/>
                <w:bCs/>
                <w:color w:val="333333"/>
                <w:sz w:val="14"/>
                <w:szCs w:val="20"/>
                <w:lang w:val="es-GT" w:eastAsia="es-GT"/>
              </w:rPr>
            </w:pPr>
            <w:r w:rsidRPr="007349DE">
              <w:rPr>
                <w:b/>
                <w:bCs/>
                <w:color w:val="333333"/>
                <w:sz w:val="14"/>
                <w:szCs w:val="20"/>
                <w:lang w:val="es-GT" w:eastAsia="es-GT"/>
              </w:rPr>
              <w:t>MINISTERIO DE COMUNICACIONES, INFRAESTRUCTURA Y VIVIENDA</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b/>
                <w:bCs/>
                <w:color w:val="333333"/>
                <w:sz w:val="14"/>
                <w:szCs w:val="20"/>
                <w:lang w:val="es-GT" w:eastAsia="es-GT"/>
              </w:rPr>
            </w:pPr>
            <w:r w:rsidRPr="007349DE">
              <w:rPr>
                <w:b/>
                <w:bCs/>
                <w:color w:val="333333"/>
                <w:sz w:val="14"/>
                <w:szCs w:val="20"/>
                <w:lang w:val="es-GT" w:eastAsia="es-GT"/>
              </w:rPr>
              <w:t>6,777.4</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b/>
                <w:bCs/>
                <w:color w:val="333333"/>
                <w:sz w:val="14"/>
                <w:szCs w:val="20"/>
                <w:lang w:val="es-GT" w:eastAsia="es-GT"/>
              </w:rPr>
            </w:pPr>
            <w:r w:rsidRPr="007349DE">
              <w:rPr>
                <w:b/>
                <w:bCs/>
                <w:color w:val="333333"/>
                <w:sz w:val="14"/>
                <w:szCs w:val="20"/>
                <w:lang w:val="es-GT" w:eastAsia="es-GT"/>
              </w:rPr>
              <w:t>6,424.6</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b/>
                <w:bCs/>
                <w:color w:val="333333"/>
                <w:sz w:val="14"/>
                <w:szCs w:val="20"/>
                <w:lang w:val="es-GT" w:eastAsia="es-GT"/>
              </w:rPr>
            </w:pPr>
            <w:r w:rsidRPr="007349DE">
              <w:rPr>
                <w:b/>
                <w:bCs/>
                <w:color w:val="333333"/>
                <w:sz w:val="14"/>
                <w:szCs w:val="20"/>
                <w:lang w:val="es-GT" w:eastAsia="es-GT"/>
              </w:rPr>
              <w:t>352.8</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b/>
                <w:bCs/>
                <w:color w:val="333333"/>
                <w:sz w:val="14"/>
                <w:szCs w:val="20"/>
                <w:lang w:val="es-GT" w:eastAsia="es-GT"/>
              </w:rPr>
            </w:pPr>
            <w:r w:rsidRPr="007349DE">
              <w:rPr>
                <w:b/>
                <w:bCs/>
                <w:color w:val="333333"/>
                <w:sz w:val="14"/>
                <w:szCs w:val="20"/>
                <w:lang w:val="es-GT" w:eastAsia="es-GT"/>
              </w:rPr>
              <w:t>94.8%</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DESARROLLO DE LA INFRAESTRUCTURA VIAL</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4,879.6</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4,660.3</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219.3</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95.5%</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noWrap/>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ATENCION POR DESASTRES NATURALES Y CALAMIDADES PUBLICAS</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279.3</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521.2</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-241.9</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186.6%</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noWrap/>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DESARROLLO DE LA VIVIENDA</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619.6</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373.2</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246.5</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60.2%</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noWrap/>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CONSTRUCCION DE OBRA PUBLICA</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241.9</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363.3</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-121.4</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150.2%</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noWrap/>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SERVICIOS AERONAUTICOS Y AEROPORTUARIOS</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269.3</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203.2</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66.1</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75.5%</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SERVS URBANIZAC, LEGALIZAC, CONSTRUC MEJORAMIENTO DE B</w:t>
            </w:r>
            <w:r w:rsidR="00CE154E">
              <w:rPr>
                <w:color w:val="333333"/>
                <w:sz w:val="14"/>
                <w:szCs w:val="20"/>
                <w:lang w:val="es-GT" w:eastAsia="es-GT"/>
              </w:rPr>
              <w:t>.</w:t>
            </w:r>
            <w:r w:rsidRPr="007349DE">
              <w:rPr>
                <w:color w:val="333333"/>
                <w:sz w:val="14"/>
                <w:szCs w:val="20"/>
                <w:lang w:val="es-GT" w:eastAsia="es-GT"/>
              </w:rPr>
              <w:t xml:space="preserve"> INMUEBLES</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125.4</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61.6</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63.9</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49.1%</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noWrap/>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SERVICIOS DE PROTECCION Y SEGURIDAD VIAL</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92.6</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54.2</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38.4</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58.5%</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SERVS INFORMACION SISMOLOGICA, CLIMATICA</w:t>
            </w:r>
            <w:r w:rsidR="00CE154E">
              <w:rPr>
                <w:color w:val="333333"/>
                <w:sz w:val="14"/>
                <w:szCs w:val="20"/>
                <w:lang w:val="es-GT" w:eastAsia="es-GT"/>
              </w:rPr>
              <w:t xml:space="preserve">, </w:t>
            </w:r>
            <w:r w:rsidRPr="007349DE">
              <w:rPr>
                <w:color w:val="333333"/>
                <w:sz w:val="14"/>
                <w:szCs w:val="20"/>
                <w:lang w:val="es-GT" w:eastAsia="es-GT"/>
              </w:rPr>
              <w:t>MET</w:t>
            </w:r>
            <w:r w:rsidR="00CE154E">
              <w:rPr>
                <w:color w:val="333333"/>
                <w:sz w:val="14"/>
                <w:szCs w:val="20"/>
                <w:lang w:val="es-GT" w:eastAsia="es-GT"/>
              </w:rPr>
              <w:t>.</w:t>
            </w:r>
            <w:r w:rsidRPr="007349DE">
              <w:rPr>
                <w:color w:val="333333"/>
                <w:sz w:val="14"/>
                <w:szCs w:val="20"/>
                <w:lang w:val="es-GT" w:eastAsia="es-GT"/>
              </w:rPr>
              <w:t xml:space="preserve"> E HIDROLOGICA</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96.1</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49.6</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46.5</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51.6%</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noWrap/>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ACTIVIDADES CENTRALES</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53.8</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43.0</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10.8</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79.9%</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SERVICIOS DE CORREOS Y TELEGRAFOS</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42.8</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29.0</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13.8</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67.8%</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noWrap/>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REGULACION DE TELECOMUNICACIONES</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20.0</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14.9</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5.0</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74.8%</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PARTIDAS NO ASIGNABLES A PROGRAMAS</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11.7</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13.4</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-1.7</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114.4%</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noWrap/>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REGULACION DE TRANSPORTE EXTRAURBANO POR CARRETERA</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18.2</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13.3</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4.9</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73.0%</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noWrap/>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SERVICIOS DE RADIODIFUSION Y TELEVISION</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12.0</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12.1</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-0.1</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101.0%</w:t>
            </w:r>
          </w:p>
        </w:tc>
      </w:tr>
      <w:tr w:rsidR="00AD5632" w:rsidRPr="007349DE" w:rsidTr="00CE154E">
        <w:trPr>
          <w:trHeight w:val="165"/>
        </w:trPr>
        <w:tc>
          <w:tcPr>
            <w:tcW w:w="5802" w:type="dxa"/>
            <w:tcBorders>
              <w:top w:val="nil"/>
              <w:left w:val="single" w:sz="8" w:space="0" w:color="auto"/>
              <w:bottom w:val="nil"/>
              <w:right w:val="single" w:sz="4" w:space="0" w:color="auto"/>
            </w:tcBorders>
            <w:shd w:val="clear" w:color="FFFFFF" w:fill="FFFFFF"/>
            <w:noWrap/>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SERVICIOS DE CABLE POR TELEVISION</w:t>
            </w:r>
          </w:p>
        </w:tc>
        <w:tc>
          <w:tcPr>
            <w:tcW w:w="99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7.2</w:t>
            </w:r>
          </w:p>
        </w:tc>
        <w:tc>
          <w:tcPr>
            <w:tcW w:w="993"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6.8</w:t>
            </w:r>
          </w:p>
        </w:tc>
        <w:tc>
          <w:tcPr>
            <w:tcW w:w="872" w:type="dxa"/>
            <w:tcBorders>
              <w:top w:val="nil"/>
              <w:left w:val="nil"/>
              <w:bottom w:val="nil"/>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0.4</w:t>
            </w:r>
          </w:p>
        </w:tc>
        <w:tc>
          <w:tcPr>
            <w:tcW w:w="677" w:type="dxa"/>
            <w:tcBorders>
              <w:top w:val="nil"/>
              <w:left w:val="nil"/>
              <w:bottom w:val="nil"/>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94.5%</w:t>
            </w:r>
          </w:p>
        </w:tc>
      </w:tr>
      <w:tr w:rsidR="00AD5632" w:rsidRPr="007349DE" w:rsidTr="00CE154E">
        <w:trPr>
          <w:trHeight w:val="165"/>
        </w:trPr>
        <w:tc>
          <w:tcPr>
            <w:tcW w:w="5802" w:type="dxa"/>
            <w:tcBorders>
              <w:top w:val="nil"/>
              <w:left w:val="single" w:sz="8" w:space="0" w:color="auto"/>
              <w:bottom w:val="single" w:sz="8" w:space="0" w:color="auto"/>
              <w:right w:val="single" w:sz="4" w:space="0" w:color="auto"/>
            </w:tcBorders>
            <w:shd w:val="clear" w:color="FFFFFF" w:fill="FFFFFF"/>
            <w:noWrap/>
            <w:vAlign w:val="center"/>
            <w:hideMark/>
          </w:tcPr>
          <w:p w:rsidR="00AD5632" w:rsidRPr="007349DE" w:rsidRDefault="00AD5632" w:rsidP="00BA0B4B">
            <w:pPr>
              <w:ind w:firstLineChars="200" w:firstLine="280"/>
              <w:rPr>
                <w:color w:val="333333"/>
                <w:sz w:val="14"/>
                <w:szCs w:val="20"/>
                <w:lang w:val="es-GT" w:eastAsia="es-GT"/>
              </w:rPr>
            </w:pPr>
            <w:r w:rsidRPr="007349DE">
              <w:rPr>
                <w:color w:val="333333"/>
                <w:sz w:val="14"/>
                <w:szCs w:val="20"/>
                <w:lang w:val="es-GT" w:eastAsia="es-GT"/>
              </w:rPr>
              <w:t>SERVICIOS PARA EL DESARROLLO DE LA TELEFONIA</w:t>
            </w:r>
          </w:p>
        </w:tc>
        <w:tc>
          <w:tcPr>
            <w:tcW w:w="992" w:type="dxa"/>
            <w:tcBorders>
              <w:top w:val="nil"/>
              <w:left w:val="single" w:sz="4" w:space="0" w:color="auto"/>
              <w:bottom w:val="single" w:sz="8" w:space="0" w:color="auto"/>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8.0</w:t>
            </w:r>
          </w:p>
        </w:tc>
        <w:tc>
          <w:tcPr>
            <w:tcW w:w="993" w:type="dxa"/>
            <w:tcBorders>
              <w:top w:val="nil"/>
              <w:left w:val="nil"/>
              <w:bottom w:val="single" w:sz="8" w:space="0" w:color="auto"/>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5.7</w:t>
            </w:r>
          </w:p>
        </w:tc>
        <w:tc>
          <w:tcPr>
            <w:tcW w:w="872" w:type="dxa"/>
            <w:tcBorders>
              <w:top w:val="nil"/>
              <w:left w:val="nil"/>
              <w:bottom w:val="single" w:sz="8" w:space="0" w:color="auto"/>
              <w:right w:val="single" w:sz="4"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2.3</w:t>
            </w:r>
          </w:p>
        </w:tc>
        <w:tc>
          <w:tcPr>
            <w:tcW w:w="677" w:type="dxa"/>
            <w:tcBorders>
              <w:top w:val="nil"/>
              <w:left w:val="nil"/>
              <w:bottom w:val="single" w:sz="8" w:space="0" w:color="auto"/>
              <w:right w:val="single" w:sz="8" w:space="0" w:color="auto"/>
            </w:tcBorders>
            <w:shd w:val="clear" w:color="FFFFFF" w:fill="FFFFFF"/>
            <w:noWrap/>
            <w:vAlign w:val="center"/>
            <w:hideMark/>
          </w:tcPr>
          <w:p w:rsidR="00AD5632" w:rsidRPr="007349DE" w:rsidRDefault="00AD5632" w:rsidP="00BA0B4B">
            <w:pPr>
              <w:jc w:val="right"/>
              <w:rPr>
                <w:color w:val="333333"/>
                <w:sz w:val="14"/>
                <w:szCs w:val="20"/>
                <w:lang w:val="es-GT" w:eastAsia="es-GT"/>
              </w:rPr>
            </w:pPr>
            <w:r w:rsidRPr="007349DE">
              <w:rPr>
                <w:color w:val="333333"/>
                <w:sz w:val="14"/>
                <w:szCs w:val="20"/>
                <w:lang w:val="es-GT" w:eastAsia="es-GT"/>
              </w:rPr>
              <w:t>71.5%</w:t>
            </w:r>
          </w:p>
        </w:tc>
      </w:tr>
    </w:tbl>
    <w:p w:rsidR="00AD5632" w:rsidRPr="004E678D" w:rsidRDefault="00AD5632" w:rsidP="00AD5632">
      <w:pPr>
        <w:jc w:val="both"/>
        <w:rPr>
          <w:sz w:val="18"/>
        </w:rPr>
      </w:pPr>
      <w:r>
        <w:rPr>
          <w:sz w:val="18"/>
        </w:rPr>
        <w:fldChar w:fldCharType="end"/>
      </w:r>
      <w:r w:rsidR="00CE154E">
        <w:rPr>
          <w:sz w:val="18"/>
        </w:rPr>
        <w:t xml:space="preserve"> </w:t>
      </w:r>
      <w:r w:rsidRPr="004E678D">
        <w:rPr>
          <w:sz w:val="18"/>
        </w:rPr>
        <w:t>Fuente: Ministerio de Finanzas Públicas</w:t>
      </w:r>
      <w:r>
        <w:rPr>
          <w:sz w:val="18"/>
        </w:rPr>
        <w:t>.</w:t>
      </w:r>
    </w:p>
    <w:p w:rsidR="00AD5632" w:rsidRPr="00006FBB" w:rsidRDefault="00AD5632" w:rsidP="00AD5632">
      <w:pPr>
        <w:jc w:val="both"/>
        <w:rPr>
          <w:sz w:val="4"/>
        </w:rPr>
      </w:pPr>
    </w:p>
    <w:p w:rsidR="00AD5632" w:rsidRPr="00B179BA" w:rsidRDefault="00AD5632" w:rsidP="00AD5632">
      <w:pPr>
        <w:jc w:val="both"/>
        <w:rPr>
          <w:sz w:val="36"/>
        </w:rPr>
      </w:pPr>
    </w:p>
    <w:p w:rsidR="00B179BA" w:rsidRPr="00D108FD" w:rsidRDefault="00B179BA" w:rsidP="00AD5632">
      <w:pPr>
        <w:jc w:val="both"/>
      </w:pPr>
    </w:p>
    <w:p w:rsidR="00AD5632" w:rsidRDefault="00AD5632" w:rsidP="00AD5632">
      <w:pPr>
        <w:jc w:val="both"/>
        <w:rPr>
          <w:b/>
        </w:rPr>
      </w:pPr>
      <w:r>
        <w:rPr>
          <w:b/>
        </w:rPr>
        <w:t>M</w:t>
      </w:r>
      <w:r w:rsidRPr="00D108FD">
        <w:rPr>
          <w:b/>
        </w:rPr>
        <w:t>inisterio de Energía y Minas</w:t>
      </w:r>
      <w:r>
        <w:rPr>
          <w:b/>
        </w:rPr>
        <w:t>:</w:t>
      </w:r>
    </w:p>
    <w:p w:rsidR="00AD5632" w:rsidRPr="00D108FD" w:rsidRDefault="00AD5632" w:rsidP="00AD5632">
      <w:pPr>
        <w:jc w:val="both"/>
        <w:rPr>
          <w:b/>
        </w:rPr>
      </w:pPr>
    </w:p>
    <w:p w:rsidR="00AD5632" w:rsidRDefault="00AD5632" w:rsidP="00AD5632">
      <w:pPr>
        <w:jc w:val="both"/>
      </w:pPr>
      <w:r w:rsidRPr="00D108FD">
        <w:t xml:space="preserve">Este </w:t>
      </w:r>
      <w:r>
        <w:t>M</w:t>
      </w:r>
      <w:r w:rsidRPr="00D108FD">
        <w:t xml:space="preserve">inisterio </w:t>
      </w:r>
      <w:r>
        <w:t>contó con un</w:t>
      </w:r>
      <w:r w:rsidRPr="00D108FD">
        <w:t xml:space="preserve"> presupuesto</w:t>
      </w:r>
      <w:r>
        <w:t xml:space="preserve"> aprobado</w:t>
      </w:r>
      <w:r w:rsidRPr="00D108FD">
        <w:t xml:space="preserve"> de </w:t>
      </w:r>
      <w:r>
        <w:t>Q.81.0</w:t>
      </w:r>
      <w:r w:rsidRPr="00D108FD">
        <w:t xml:space="preserve"> millones y una ejecución presupuestaria de </w:t>
      </w:r>
      <w:r>
        <w:t>Q.96.0</w:t>
      </w:r>
      <w:r w:rsidRPr="00D108FD">
        <w:t xml:space="preserve"> millones</w:t>
      </w:r>
      <w:r>
        <w:t xml:space="preserve">, los cuales superaron el presupuesto en </w:t>
      </w:r>
      <w:r w:rsidR="00641E65">
        <w:t>1</w:t>
      </w:r>
      <w:r>
        <w:t>18.5</w:t>
      </w:r>
      <w:r w:rsidRPr="00D108FD">
        <w:t>%</w:t>
      </w:r>
      <w:r>
        <w:t>.</w:t>
      </w:r>
    </w:p>
    <w:p w:rsidR="00AD5632" w:rsidRPr="00D108FD" w:rsidRDefault="00AD5632" w:rsidP="00AD5632">
      <w:pPr>
        <w:jc w:val="both"/>
      </w:pPr>
    </w:p>
    <w:p w:rsidR="00AD5632" w:rsidRDefault="00AD5632" w:rsidP="00AD5632">
      <w:pPr>
        <w:jc w:val="both"/>
      </w:pPr>
      <w:r w:rsidRPr="00D108FD">
        <w:t>D</w:t>
      </w:r>
      <w:r>
        <w:t>entr</w:t>
      </w:r>
      <w:r w:rsidRPr="00D108FD">
        <w:t>o</w:t>
      </w:r>
      <w:r>
        <w:t xml:space="preserve"> de </w:t>
      </w:r>
      <w:r w:rsidRPr="00D108FD">
        <w:t>los programas prioritarios de</w:t>
      </w:r>
      <w:r>
        <w:t xml:space="preserve"> este Ministerio se ubica el de </w:t>
      </w:r>
      <w:r w:rsidRPr="00D108FD">
        <w:t>“Exploración, Explotación y Comercialización Petrolera” con un presupuesto</w:t>
      </w:r>
      <w:r>
        <w:t xml:space="preserve"> aprobado</w:t>
      </w:r>
      <w:r w:rsidRPr="00D108FD">
        <w:t xml:space="preserve"> de </w:t>
      </w:r>
      <w:r>
        <w:t>Q.</w:t>
      </w:r>
      <w:r w:rsidRPr="00D108FD">
        <w:t>1</w:t>
      </w:r>
      <w:r>
        <w:t>7.4</w:t>
      </w:r>
      <w:r w:rsidRPr="00D108FD">
        <w:t xml:space="preserve"> millones y una ejecución presupuestaria de </w:t>
      </w:r>
      <w:r>
        <w:t>Q.36.5</w:t>
      </w:r>
      <w:r w:rsidRPr="00D108FD">
        <w:t xml:space="preserve"> millones</w:t>
      </w:r>
      <w:r>
        <w:t xml:space="preserve">, los cuales superaron el presupuesto en </w:t>
      </w:r>
      <w:r w:rsidR="00641E65">
        <w:t>2</w:t>
      </w:r>
      <w:r>
        <w:t>09.4</w:t>
      </w:r>
      <w:r w:rsidRPr="00D108FD">
        <w:t>%</w:t>
      </w:r>
      <w:r>
        <w:t>.</w:t>
      </w:r>
    </w:p>
    <w:p w:rsidR="00AD5632" w:rsidRDefault="00AD5632" w:rsidP="00AD5632">
      <w:pPr>
        <w:jc w:val="both"/>
      </w:pPr>
    </w:p>
    <w:p w:rsidR="00AD5632" w:rsidRDefault="00AD5632" w:rsidP="00AD5632">
      <w:pPr>
        <w:jc w:val="both"/>
      </w:pPr>
      <w:r>
        <w:t xml:space="preserve">El programa de </w:t>
      </w:r>
      <w:r w:rsidRPr="00D108FD">
        <w:t xml:space="preserve">Actividades Centrales que iniciaron con un presupuesto de </w:t>
      </w:r>
      <w:r>
        <w:t>Q.25.8</w:t>
      </w:r>
      <w:r w:rsidRPr="00D108FD">
        <w:t xml:space="preserve"> millones</w:t>
      </w:r>
      <w:r>
        <w:t>, alcanzaron u</w:t>
      </w:r>
      <w:r w:rsidRPr="00D108FD">
        <w:t xml:space="preserve">na ejecución presupuestaria de </w:t>
      </w:r>
      <w:r>
        <w:t>Q.30.7</w:t>
      </w:r>
      <w:r w:rsidRPr="00D108FD">
        <w:t xml:space="preserve"> millones</w:t>
      </w:r>
      <w:r>
        <w:t xml:space="preserve">, sobrepasando lo presupuestado en </w:t>
      </w:r>
      <w:r w:rsidR="00641E65">
        <w:t>1</w:t>
      </w:r>
      <w:r>
        <w:t>19.0</w:t>
      </w:r>
      <w:r w:rsidRPr="00D108FD">
        <w:t>%.</w:t>
      </w:r>
    </w:p>
    <w:p w:rsidR="00AD5632" w:rsidRDefault="00AD5632" w:rsidP="00AD5632">
      <w:pPr>
        <w:jc w:val="both"/>
      </w:pPr>
    </w:p>
    <w:p w:rsidR="00AD5632" w:rsidRDefault="00AD5632" w:rsidP="00AD5632">
      <w:pPr>
        <w:jc w:val="both"/>
      </w:pPr>
      <w:r>
        <w:t>Seguidamente se tiene el programa de “Exploración y Explotación Minera”, el cual tuvo un presupuesto aprobado de Q</w:t>
      </w:r>
      <w:r w:rsidR="00641E65">
        <w:t>.</w:t>
      </w:r>
      <w:r>
        <w:t>12.1 millones y una ejecución de Q</w:t>
      </w:r>
      <w:r w:rsidR="00641E65">
        <w:t>.</w:t>
      </w:r>
      <w:r>
        <w:t xml:space="preserve">10.9 millones, equivalentes </w:t>
      </w:r>
      <w:r w:rsidR="00641E65">
        <w:t xml:space="preserve">al </w:t>
      </w:r>
      <w:r>
        <w:t>90.4% del presupuesto aprobado.</w:t>
      </w:r>
    </w:p>
    <w:p w:rsidR="00AD5632" w:rsidRDefault="00AD5632" w:rsidP="00AD5632">
      <w:pPr>
        <w:jc w:val="both"/>
      </w:pPr>
    </w:p>
    <w:p w:rsidR="00AD5632" w:rsidRPr="004E678D" w:rsidRDefault="00AD5632" w:rsidP="00AD5632">
      <w:pPr>
        <w:jc w:val="both"/>
        <w:rPr>
          <w:sz w:val="18"/>
        </w:rPr>
      </w:pPr>
      <w:r w:rsidRPr="00D108FD">
        <w:t>Seguidamente el S</w:t>
      </w:r>
      <w:r>
        <w:t>ICOIN</w:t>
      </w:r>
      <w:r w:rsidRPr="00D108FD">
        <w:t xml:space="preserve"> reporta </w:t>
      </w:r>
      <w:r>
        <w:t>5</w:t>
      </w:r>
      <w:r w:rsidRPr="00D108FD">
        <w:t xml:space="preserve"> programas más con una ejecución </w:t>
      </w:r>
      <w:r w:rsidR="00641E65">
        <w:t xml:space="preserve">global de </w:t>
      </w:r>
      <w:r>
        <w:t>Q.1</w:t>
      </w:r>
      <w:r w:rsidR="00641E65">
        <w:t>7.8</w:t>
      </w:r>
      <w:r w:rsidRPr="00D108FD">
        <w:t xml:space="preserve"> millones</w:t>
      </w:r>
      <w:r>
        <w:t>, tal como se muestra en el siguiente cuadro.</w:t>
      </w:r>
    </w:p>
    <w:p w:rsidR="00B179BA" w:rsidRDefault="00B179BA" w:rsidP="00AD5632">
      <w:pPr>
        <w:jc w:val="both"/>
        <w:rPr>
          <w:sz w:val="18"/>
        </w:rPr>
      </w:pPr>
    </w:p>
    <w:p w:rsidR="00AD5632" w:rsidRDefault="00AD5632" w:rsidP="00AD5632">
      <w:pPr>
        <w:jc w:val="both"/>
        <w:rPr>
          <w:rFonts w:ascii="Calibri" w:eastAsia="Calibri" w:hAnsi="Calibri"/>
          <w:sz w:val="20"/>
          <w:szCs w:val="20"/>
          <w:lang w:val="es-GT" w:eastAsia="es-GT"/>
        </w:rPr>
      </w:pPr>
      <w:r>
        <w:rPr>
          <w:sz w:val="18"/>
        </w:rPr>
        <w:fldChar w:fldCharType="begin"/>
      </w:r>
      <w:r>
        <w:rPr>
          <w:sz w:val="18"/>
        </w:rPr>
        <w:instrText xml:space="preserve"> LINK Excel.Sheet.12 "C:\\Users\\deefoper12\\Documents\\Mis Documentos\\2022\\DTF 2022\\Informe fin de año 2021\\Cuadros para Informe de Fin de Año 2021..xlsx" "Entidad Programa!F133C2:F142C6" \a \f 4 \h  \* MERGEFORMAT </w:instrText>
      </w:r>
      <w:r>
        <w:rPr>
          <w:sz w:val="18"/>
        </w:rPr>
        <w:fldChar w:fldCharType="separate"/>
      </w:r>
    </w:p>
    <w:tbl>
      <w:tblPr>
        <w:tblW w:w="9336" w:type="dxa"/>
        <w:tblCellMar>
          <w:left w:w="70" w:type="dxa"/>
          <w:right w:w="70" w:type="dxa"/>
        </w:tblCellMar>
        <w:tblLook w:val="04A0" w:firstRow="1" w:lastRow="0" w:firstColumn="1" w:lastColumn="0" w:noHBand="0" w:noVBand="1"/>
      </w:tblPr>
      <w:tblGrid>
        <w:gridCol w:w="5944"/>
        <w:gridCol w:w="992"/>
        <w:gridCol w:w="992"/>
        <w:gridCol w:w="743"/>
        <w:gridCol w:w="665"/>
      </w:tblGrid>
      <w:tr w:rsidR="00AD5632" w:rsidRPr="008B0EFA" w:rsidTr="00DA1B8E">
        <w:trPr>
          <w:trHeight w:val="165"/>
        </w:trPr>
        <w:tc>
          <w:tcPr>
            <w:tcW w:w="5944" w:type="dxa"/>
            <w:tcBorders>
              <w:top w:val="single" w:sz="8" w:space="0" w:color="auto"/>
              <w:left w:val="single" w:sz="8" w:space="0" w:color="auto"/>
              <w:bottom w:val="single" w:sz="4" w:space="0" w:color="auto"/>
              <w:right w:val="single" w:sz="4" w:space="0" w:color="auto"/>
            </w:tcBorders>
            <w:shd w:val="clear" w:color="000000" w:fill="8DB4E2"/>
            <w:noWrap/>
            <w:hideMark/>
          </w:tcPr>
          <w:p w:rsidR="00AD5632" w:rsidRPr="008B0EFA" w:rsidRDefault="00AD5632" w:rsidP="00BA0B4B">
            <w:pPr>
              <w:jc w:val="center"/>
              <w:rPr>
                <w:b/>
                <w:bCs/>
                <w:color w:val="000000"/>
                <w:sz w:val="16"/>
                <w:szCs w:val="20"/>
                <w:lang w:val="es-GT" w:eastAsia="es-GT"/>
              </w:rPr>
            </w:pPr>
            <w:r w:rsidRPr="008B0EFA">
              <w:rPr>
                <w:b/>
                <w:bCs/>
                <w:color w:val="000000"/>
                <w:sz w:val="16"/>
                <w:szCs w:val="20"/>
                <w:lang w:val="es-GT" w:eastAsia="es-GT"/>
              </w:rPr>
              <w:t>DESCRIPCI</w:t>
            </w:r>
            <w:r w:rsidR="00DA1B8E">
              <w:rPr>
                <w:b/>
                <w:bCs/>
                <w:color w:val="000000"/>
                <w:sz w:val="16"/>
                <w:szCs w:val="20"/>
                <w:lang w:val="es-GT" w:eastAsia="es-GT"/>
              </w:rPr>
              <w:t>Ó</w:t>
            </w:r>
            <w:r w:rsidRPr="008B0EFA">
              <w:rPr>
                <w:b/>
                <w:bCs/>
                <w:color w:val="000000"/>
                <w:sz w:val="16"/>
                <w:szCs w:val="20"/>
                <w:lang w:val="es-GT" w:eastAsia="es-GT"/>
              </w:rPr>
              <w:t>N</w:t>
            </w:r>
          </w:p>
        </w:tc>
        <w:tc>
          <w:tcPr>
            <w:tcW w:w="992" w:type="dxa"/>
            <w:tcBorders>
              <w:top w:val="single" w:sz="8" w:space="0" w:color="auto"/>
              <w:left w:val="nil"/>
              <w:bottom w:val="single" w:sz="4" w:space="0" w:color="auto"/>
              <w:right w:val="single" w:sz="4" w:space="0" w:color="auto"/>
            </w:tcBorders>
            <w:shd w:val="clear" w:color="000000" w:fill="8DB4E2"/>
            <w:noWrap/>
            <w:hideMark/>
          </w:tcPr>
          <w:p w:rsidR="00AD5632" w:rsidRPr="008B0EFA" w:rsidRDefault="00AD5632" w:rsidP="00BA0B4B">
            <w:pPr>
              <w:jc w:val="center"/>
              <w:rPr>
                <w:b/>
                <w:bCs/>
                <w:color w:val="000000"/>
                <w:sz w:val="16"/>
                <w:szCs w:val="20"/>
                <w:lang w:val="es-GT" w:eastAsia="es-GT"/>
              </w:rPr>
            </w:pPr>
            <w:r w:rsidRPr="008B0EFA">
              <w:rPr>
                <w:b/>
                <w:bCs/>
                <w:color w:val="000000"/>
                <w:sz w:val="16"/>
                <w:szCs w:val="20"/>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hideMark/>
          </w:tcPr>
          <w:p w:rsidR="00AD5632" w:rsidRPr="008B0EFA" w:rsidRDefault="00AD5632" w:rsidP="00BA0B4B">
            <w:pPr>
              <w:jc w:val="center"/>
              <w:rPr>
                <w:b/>
                <w:bCs/>
                <w:color w:val="000000"/>
                <w:sz w:val="16"/>
                <w:szCs w:val="20"/>
                <w:lang w:val="es-GT" w:eastAsia="es-GT"/>
              </w:rPr>
            </w:pPr>
            <w:r w:rsidRPr="00C84E6B">
              <w:rPr>
                <w:b/>
                <w:bCs/>
                <w:color w:val="000000"/>
                <w:sz w:val="14"/>
                <w:szCs w:val="20"/>
                <w:lang w:val="es-GT" w:eastAsia="es-GT"/>
              </w:rPr>
              <w:t>Ejecu</w:t>
            </w:r>
            <w:r w:rsidR="00DA1B8E">
              <w:rPr>
                <w:b/>
                <w:bCs/>
                <w:color w:val="000000"/>
                <w:sz w:val="14"/>
                <w:szCs w:val="20"/>
                <w:lang w:val="es-GT" w:eastAsia="es-GT"/>
              </w:rPr>
              <w:t>tado</w:t>
            </w:r>
          </w:p>
        </w:tc>
        <w:tc>
          <w:tcPr>
            <w:tcW w:w="743" w:type="dxa"/>
            <w:tcBorders>
              <w:top w:val="single" w:sz="8" w:space="0" w:color="auto"/>
              <w:left w:val="nil"/>
              <w:bottom w:val="single" w:sz="4" w:space="0" w:color="auto"/>
              <w:right w:val="single" w:sz="4" w:space="0" w:color="auto"/>
            </w:tcBorders>
            <w:shd w:val="clear" w:color="000000" w:fill="8DB4E2"/>
            <w:noWrap/>
            <w:hideMark/>
          </w:tcPr>
          <w:p w:rsidR="00AD5632" w:rsidRPr="008B0EFA" w:rsidRDefault="00AD5632" w:rsidP="00BA0B4B">
            <w:pPr>
              <w:jc w:val="center"/>
              <w:rPr>
                <w:b/>
                <w:bCs/>
                <w:color w:val="000000"/>
                <w:sz w:val="16"/>
                <w:szCs w:val="20"/>
                <w:lang w:val="es-GT" w:eastAsia="es-GT"/>
              </w:rPr>
            </w:pPr>
            <w:r w:rsidRPr="008B0EFA">
              <w:rPr>
                <w:b/>
                <w:bCs/>
                <w:color w:val="000000"/>
                <w:sz w:val="16"/>
                <w:szCs w:val="20"/>
                <w:lang w:val="es-GT" w:eastAsia="es-GT"/>
              </w:rPr>
              <w:t>Dif</w:t>
            </w:r>
          </w:p>
        </w:tc>
        <w:tc>
          <w:tcPr>
            <w:tcW w:w="665" w:type="dxa"/>
            <w:tcBorders>
              <w:top w:val="single" w:sz="8" w:space="0" w:color="auto"/>
              <w:left w:val="nil"/>
              <w:bottom w:val="single" w:sz="4" w:space="0" w:color="auto"/>
              <w:right w:val="single" w:sz="8" w:space="0" w:color="auto"/>
            </w:tcBorders>
            <w:shd w:val="clear" w:color="000000" w:fill="8DB4E2"/>
            <w:noWrap/>
            <w:hideMark/>
          </w:tcPr>
          <w:p w:rsidR="00AD5632" w:rsidRPr="008B0EFA" w:rsidRDefault="00AD5632" w:rsidP="00BA0B4B">
            <w:pPr>
              <w:jc w:val="center"/>
              <w:rPr>
                <w:b/>
                <w:bCs/>
                <w:color w:val="000000"/>
                <w:sz w:val="16"/>
                <w:szCs w:val="20"/>
                <w:lang w:val="es-GT" w:eastAsia="es-GT"/>
              </w:rPr>
            </w:pPr>
            <w:r w:rsidRPr="008B0EFA">
              <w:rPr>
                <w:b/>
                <w:bCs/>
                <w:color w:val="000000"/>
                <w:sz w:val="16"/>
                <w:szCs w:val="20"/>
                <w:lang w:val="es-GT" w:eastAsia="es-GT"/>
              </w:rPr>
              <w:t>% Ejec</w:t>
            </w:r>
          </w:p>
        </w:tc>
      </w:tr>
      <w:tr w:rsidR="00AD5632" w:rsidRPr="008B0EFA" w:rsidTr="00DA1B8E">
        <w:trPr>
          <w:trHeight w:val="165"/>
        </w:trPr>
        <w:tc>
          <w:tcPr>
            <w:tcW w:w="5944" w:type="dxa"/>
            <w:tcBorders>
              <w:top w:val="nil"/>
              <w:left w:val="single" w:sz="8" w:space="0" w:color="auto"/>
              <w:bottom w:val="nil"/>
              <w:right w:val="single" w:sz="4" w:space="0" w:color="auto"/>
            </w:tcBorders>
            <w:shd w:val="clear" w:color="FFFFFF" w:fill="FFFFFF"/>
            <w:noWrap/>
            <w:vAlign w:val="center"/>
            <w:hideMark/>
          </w:tcPr>
          <w:p w:rsidR="00AD5632" w:rsidRPr="008B0EFA" w:rsidRDefault="00AD5632" w:rsidP="00BA0B4B">
            <w:pPr>
              <w:rPr>
                <w:b/>
                <w:bCs/>
                <w:color w:val="333333"/>
                <w:sz w:val="16"/>
                <w:szCs w:val="20"/>
                <w:lang w:val="es-GT" w:eastAsia="es-GT"/>
              </w:rPr>
            </w:pPr>
            <w:r w:rsidRPr="008B0EFA">
              <w:rPr>
                <w:b/>
                <w:bCs/>
                <w:color w:val="333333"/>
                <w:sz w:val="16"/>
                <w:szCs w:val="20"/>
                <w:lang w:val="es-GT" w:eastAsia="es-GT"/>
              </w:rPr>
              <w:t>MINISTERIO DE ENERGÍA Y MINAS</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b/>
                <w:bCs/>
                <w:color w:val="333333"/>
                <w:sz w:val="16"/>
                <w:szCs w:val="20"/>
                <w:lang w:val="es-GT" w:eastAsia="es-GT"/>
              </w:rPr>
            </w:pPr>
            <w:r w:rsidRPr="008B0EFA">
              <w:rPr>
                <w:b/>
                <w:bCs/>
                <w:color w:val="333333"/>
                <w:sz w:val="16"/>
                <w:szCs w:val="20"/>
                <w:lang w:val="es-GT" w:eastAsia="es-GT"/>
              </w:rPr>
              <w:t>81.0</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b/>
                <w:bCs/>
                <w:color w:val="333333"/>
                <w:sz w:val="16"/>
                <w:szCs w:val="20"/>
                <w:lang w:val="es-GT" w:eastAsia="es-GT"/>
              </w:rPr>
            </w:pPr>
            <w:r w:rsidRPr="008B0EFA">
              <w:rPr>
                <w:b/>
                <w:bCs/>
                <w:color w:val="333333"/>
                <w:sz w:val="16"/>
                <w:szCs w:val="20"/>
                <w:lang w:val="es-GT" w:eastAsia="es-GT"/>
              </w:rPr>
              <w:t>96.0</w:t>
            </w:r>
          </w:p>
        </w:tc>
        <w:tc>
          <w:tcPr>
            <w:tcW w:w="743"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b/>
                <w:bCs/>
                <w:color w:val="333333"/>
                <w:sz w:val="16"/>
                <w:szCs w:val="20"/>
                <w:lang w:val="es-GT" w:eastAsia="es-GT"/>
              </w:rPr>
            </w:pPr>
            <w:r w:rsidRPr="008B0EFA">
              <w:rPr>
                <w:b/>
                <w:bCs/>
                <w:color w:val="333333"/>
                <w:sz w:val="16"/>
                <w:szCs w:val="20"/>
                <w:lang w:val="es-GT" w:eastAsia="es-GT"/>
              </w:rPr>
              <w:t>-15.0</w:t>
            </w:r>
          </w:p>
        </w:tc>
        <w:tc>
          <w:tcPr>
            <w:tcW w:w="665" w:type="dxa"/>
            <w:tcBorders>
              <w:top w:val="nil"/>
              <w:left w:val="nil"/>
              <w:bottom w:val="nil"/>
              <w:right w:val="single" w:sz="8" w:space="0" w:color="auto"/>
            </w:tcBorders>
            <w:shd w:val="clear" w:color="FFFFFF" w:fill="FFFFFF"/>
            <w:noWrap/>
            <w:vAlign w:val="center"/>
            <w:hideMark/>
          </w:tcPr>
          <w:p w:rsidR="00AD5632" w:rsidRPr="008B0EFA" w:rsidRDefault="00AD5632" w:rsidP="00BA0B4B">
            <w:pPr>
              <w:jc w:val="right"/>
              <w:rPr>
                <w:b/>
                <w:bCs/>
                <w:color w:val="333333"/>
                <w:sz w:val="16"/>
                <w:szCs w:val="20"/>
                <w:lang w:val="es-GT" w:eastAsia="es-GT"/>
              </w:rPr>
            </w:pPr>
            <w:r w:rsidRPr="008B0EFA">
              <w:rPr>
                <w:b/>
                <w:bCs/>
                <w:color w:val="333333"/>
                <w:sz w:val="16"/>
                <w:szCs w:val="20"/>
                <w:lang w:val="es-GT" w:eastAsia="es-GT"/>
              </w:rPr>
              <w:t>118.5%</w:t>
            </w:r>
          </w:p>
        </w:tc>
      </w:tr>
      <w:tr w:rsidR="00AD5632" w:rsidRPr="008B0EFA" w:rsidTr="00DA1B8E">
        <w:trPr>
          <w:trHeight w:val="165"/>
        </w:trPr>
        <w:tc>
          <w:tcPr>
            <w:tcW w:w="5944" w:type="dxa"/>
            <w:tcBorders>
              <w:top w:val="nil"/>
              <w:left w:val="single" w:sz="8" w:space="0" w:color="auto"/>
              <w:bottom w:val="nil"/>
              <w:right w:val="single" w:sz="4" w:space="0" w:color="auto"/>
            </w:tcBorders>
            <w:shd w:val="clear" w:color="FFFFFF" w:fill="FFFFFF"/>
            <w:noWrap/>
            <w:vAlign w:val="center"/>
            <w:hideMark/>
          </w:tcPr>
          <w:p w:rsidR="00AD5632" w:rsidRPr="008B0EFA" w:rsidRDefault="00AD5632" w:rsidP="00BA0B4B">
            <w:pPr>
              <w:ind w:firstLineChars="200" w:firstLine="320"/>
              <w:rPr>
                <w:color w:val="333333"/>
                <w:sz w:val="16"/>
                <w:szCs w:val="20"/>
                <w:lang w:val="es-GT" w:eastAsia="es-GT"/>
              </w:rPr>
            </w:pPr>
            <w:r w:rsidRPr="008B0EFA">
              <w:rPr>
                <w:color w:val="333333"/>
                <w:sz w:val="16"/>
                <w:szCs w:val="20"/>
                <w:lang w:val="es-GT" w:eastAsia="es-GT"/>
              </w:rPr>
              <w:t>EXPLORACION, EXPLOTACION Y COMERCIALIZACION PETROLERA</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17.4</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36.5</w:t>
            </w:r>
          </w:p>
        </w:tc>
        <w:tc>
          <w:tcPr>
            <w:tcW w:w="743"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-19.1</w:t>
            </w:r>
          </w:p>
        </w:tc>
        <w:tc>
          <w:tcPr>
            <w:tcW w:w="665" w:type="dxa"/>
            <w:tcBorders>
              <w:top w:val="nil"/>
              <w:left w:val="nil"/>
              <w:bottom w:val="nil"/>
              <w:right w:val="single" w:sz="8"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209.4%</w:t>
            </w:r>
          </w:p>
        </w:tc>
      </w:tr>
      <w:tr w:rsidR="00AD5632" w:rsidRPr="008B0EFA" w:rsidTr="00DA1B8E">
        <w:trPr>
          <w:trHeight w:val="165"/>
        </w:trPr>
        <w:tc>
          <w:tcPr>
            <w:tcW w:w="5944" w:type="dxa"/>
            <w:tcBorders>
              <w:top w:val="nil"/>
              <w:left w:val="single" w:sz="8" w:space="0" w:color="auto"/>
              <w:bottom w:val="nil"/>
              <w:right w:val="single" w:sz="4" w:space="0" w:color="auto"/>
            </w:tcBorders>
            <w:shd w:val="clear" w:color="FFFFFF" w:fill="FFFFFF"/>
            <w:noWrap/>
            <w:vAlign w:val="center"/>
            <w:hideMark/>
          </w:tcPr>
          <w:p w:rsidR="00AD5632" w:rsidRPr="008B0EFA" w:rsidRDefault="00AD5632" w:rsidP="00BA0B4B">
            <w:pPr>
              <w:ind w:firstLineChars="200" w:firstLine="320"/>
              <w:rPr>
                <w:color w:val="333333"/>
                <w:sz w:val="16"/>
                <w:szCs w:val="20"/>
                <w:lang w:val="es-GT" w:eastAsia="es-GT"/>
              </w:rPr>
            </w:pPr>
            <w:r w:rsidRPr="008B0EFA">
              <w:rPr>
                <w:color w:val="333333"/>
                <w:sz w:val="16"/>
                <w:szCs w:val="20"/>
                <w:lang w:val="es-GT" w:eastAsia="es-GT"/>
              </w:rPr>
              <w:t>ACTIVIDADES CENTRALES</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25.8</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30.7</w:t>
            </w:r>
          </w:p>
        </w:tc>
        <w:tc>
          <w:tcPr>
            <w:tcW w:w="743"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-4.9</w:t>
            </w:r>
          </w:p>
        </w:tc>
        <w:tc>
          <w:tcPr>
            <w:tcW w:w="665" w:type="dxa"/>
            <w:tcBorders>
              <w:top w:val="nil"/>
              <w:left w:val="nil"/>
              <w:bottom w:val="nil"/>
              <w:right w:val="single" w:sz="8"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119.0%</w:t>
            </w:r>
          </w:p>
        </w:tc>
      </w:tr>
      <w:tr w:rsidR="00AD5632" w:rsidRPr="008B0EFA" w:rsidTr="00DA1B8E">
        <w:trPr>
          <w:trHeight w:val="165"/>
        </w:trPr>
        <w:tc>
          <w:tcPr>
            <w:tcW w:w="5944" w:type="dxa"/>
            <w:tcBorders>
              <w:top w:val="nil"/>
              <w:left w:val="single" w:sz="8" w:space="0" w:color="auto"/>
              <w:bottom w:val="nil"/>
              <w:right w:val="single" w:sz="4" w:space="0" w:color="auto"/>
            </w:tcBorders>
            <w:shd w:val="clear" w:color="FFFFFF" w:fill="FFFFFF"/>
            <w:vAlign w:val="center"/>
            <w:hideMark/>
          </w:tcPr>
          <w:p w:rsidR="00AD5632" w:rsidRPr="008B0EFA" w:rsidRDefault="00AD5632" w:rsidP="00BA0B4B">
            <w:pPr>
              <w:ind w:firstLineChars="200" w:firstLine="320"/>
              <w:rPr>
                <w:color w:val="333333"/>
                <w:sz w:val="16"/>
                <w:szCs w:val="20"/>
                <w:lang w:val="es-GT" w:eastAsia="es-GT"/>
              </w:rPr>
            </w:pPr>
            <w:r w:rsidRPr="008B0EFA">
              <w:rPr>
                <w:color w:val="333333"/>
                <w:sz w:val="16"/>
                <w:szCs w:val="20"/>
                <w:lang w:val="es-GT" w:eastAsia="es-GT"/>
              </w:rPr>
              <w:t>EXPLORACION Y EXPLOTACION MINERA</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12.1</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10.9</w:t>
            </w:r>
          </w:p>
        </w:tc>
        <w:tc>
          <w:tcPr>
            <w:tcW w:w="743"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1.2</w:t>
            </w:r>
          </w:p>
        </w:tc>
        <w:tc>
          <w:tcPr>
            <w:tcW w:w="665" w:type="dxa"/>
            <w:tcBorders>
              <w:top w:val="nil"/>
              <w:left w:val="nil"/>
              <w:bottom w:val="nil"/>
              <w:right w:val="single" w:sz="8"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90.4%</w:t>
            </w:r>
          </w:p>
        </w:tc>
      </w:tr>
      <w:tr w:rsidR="00AD5632" w:rsidRPr="008B0EFA" w:rsidTr="00DA1B8E">
        <w:trPr>
          <w:trHeight w:val="165"/>
        </w:trPr>
        <w:tc>
          <w:tcPr>
            <w:tcW w:w="5944" w:type="dxa"/>
            <w:tcBorders>
              <w:top w:val="nil"/>
              <w:left w:val="single" w:sz="8" w:space="0" w:color="auto"/>
              <w:bottom w:val="nil"/>
              <w:right w:val="single" w:sz="4" w:space="0" w:color="auto"/>
            </w:tcBorders>
            <w:shd w:val="clear" w:color="FFFFFF" w:fill="FFFFFF"/>
            <w:noWrap/>
            <w:vAlign w:val="center"/>
            <w:hideMark/>
          </w:tcPr>
          <w:p w:rsidR="00AD5632" w:rsidRPr="008B0EFA" w:rsidRDefault="00AD5632" w:rsidP="00BA0B4B">
            <w:pPr>
              <w:ind w:firstLineChars="200" w:firstLine="320"/>
              <w:rPr>
                <w:color w:val="333333"/>
                <w:sz w:val="16"/>
                <w:szCs w:val="20"/>
                <w:lang w:val="es-GT" w:eastAsia="es-GT"/>
              </w:rPr>
            </w:pPr>
            <w:r w:rsidRPr="008B0EFA">
              <w:rPr>
                <w:color w:val="333333"/>
                <w:sz w:val="16"/>
                <w:szCs w:val="20"/>
                <w:lang w:val="es-GT" w:eastAsia="es-GT"/>
              </w:rPr>
              <w:t>INCREMENTO DE ENERGIA RENOVABLE EN LA MATRIZ ENERGETICA</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10.9</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6.4</w:t>
            </w:r>
          </w:p>
        </w:tc>
        <w:tc>
          <w:tcPr>
            <w:tcW w:w="743"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4.5</w:t>
            </w:r>
          </w:p>
        </w:tc>
        <w:tc>
          <w:tcPr>
            <w:tcW w:w="665" w:type="dxa"/>
            <w:tcBorders>
              <w:top w:val="nil"/>
              <w:left w:val="nil"/>
              <w:bottom w:val="nil"/>
              <w:right w:val="single" w:sz="8"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58.6%</w:t>
            </w:r>
          </w:p>
        </w:tc>
      </w:tr>
      <w:tr w:rsidR="00AD5632" w:rsidRPr="008B0EFA" w:rsidTr="00DA1B8E">
        <w:trPr>
          <w:trHeight w:val="165"/>
        </w:trPr>
        <w:tc>
          <w:tcPr>
            <w:tcW w:w="5944" w:type="dxa"/>
            <w:tcBorders>
              <w:top w:val="nil"/>
              <w:left w:val="single" w:sz="8" w:space="0" w:color="auto"/>
              <w:bottom w:val="nil"/>
              <w:right w:val="single" w:sz="4" w:space="0" w:color="auto"/>
            </w:tcBorders>
            <w:shd w:val="clear" w:color="FFFFFF" w:fill="FFFFFF"/>
            <w:vAlign w:val="center"/>
            <w:hideMark/>
          </w:tcPr>
          <w:p w:rsidR="00AD5632" w:rsidRPr="008B0EFA" w:rsidRDefault="00AD5632" w:rsidP="00BA0B4B">
            <w:pPr>
              <w:ind w:firstLineChars="200" w:firstLine="320"/>
              <w:rPr>
                <w:color w:val="333333"/>
                <w:sz w:val="16"/>
                <w:szCs w:val="20"/>
                <w:lang w:val="es-GT" w:eastAsia="es-GT"/>
              </w:rPr>
            </w:pPr>
            <w:r w:rsidRPr="008B0EFA">
              <w:rPr>
                <w:color w:val="333333"/>
                <w:sz w:val="16"/>
                <w:szCs w:val="20"/>
                <w:lang w:val="es-GT" w:eastAsia="es-GT"/>
              </w:rPr>
              <w:t>DESA</w:t>
            </w:r>
            <w:r>
              <w:rPr>
                <w:color w:val="333333"/>
                <w:sz w:val="16"/>
                <w:szCs w:val="20"/>
                <w:lang w:val="es-GT" w:eastAsia="es-GT"/>
              </w:rPr>
              <w:t>R</w:t>
            </w:r>
            <w:r w:rsidRPr="008B0EFA">
              <w:rPr>
                <w:color w:val="333333"/>
                <w:sz w:val="16"/>
                <w:szCs w:val="20"/>
                <w:lang w:val="es-GT" w:eastAsia="es-GT"/>
              </w:rPr>
              <w:t xml:space="preserve"> SOSTENIBLE SECTOR ENERGETICO, MINERO </w:t>
            </w:r>
            <w:r w:rsidR="00DA1B8E">
              <w:rPr>
                <w:color w:val="333333"/>
                <w:sz w:val="16"/>
                <w:szCs w:val="20"/>
                <w:lang w:val="es-GT" w:eastAsia="es-GT"/>
              </w:rPr>
              <w:t>E</w:t>
            </w:r>
            <w:r w:rsidRPr="008B0EFA">
              <w:rPr>
                <w:color w:val="333333"/>
                <w:sz w:val="16"/>
                <w:szCs w:val="20"/>
                <w:lang w:val="es-GT" w:eastAsia="es-GT"/>
              </w:rPr>
              <w:t xml:space="preserve"> HIDROCARBUROS </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5.8</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4.4</w:t>
            </w:r>
          </w:p>
        </w:tc>
        <w:tc>
          <w:tcPr>
            <w:tcW w:w="743"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1.4</w:t>
            </w:r>
          </w:p>
        </w:tc>
        <w:tc>
          <w:tcPr>
            <w:tcW w:w="665" w:type="dxa"/>
            <w:tcBorders>
              <w:top w:val="nil"/>
              <w:left w:val="nil"/>
              <w:bottom w:val="nil"/>
              <w:right w:val="single" w:sz="8"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76.1%</w:t>
            </w:r>
          </w:p>
        </w:tc>
      </w:tr>
      <w:tr w:rsidR="00AD5632" w:rsidRPr="008B0EFA" w:rsidTr="00DA1B8E">
        <w:trPr>
          <w:trHeight w:val="165"/>
        </w:trPr>
        <w:tc>
          <w:tcPr>
            <w:tcW w:w="5944" w:type="dxa"/>
            <w:tcBorders>
              <w:top w:val="nil"/>
              <w:left w:val="single" w:sz="8" w:space="0" w:color="auto"/>
              <w:bottom w:val="nil"/>
              <w:right w:val="single" w:sz="4" w:space="0" w:color="auto"/>
            </w:tcBorders>
            <w:shd w:val="clear" w:color="FFFFFF" w:fill="FFFFFF"/>
            <w:vAlign w:val="center"/>
            <w:hideMark/>
          </w:tcPr>
          <w:p w:rsidR="00AD5632" w:rsidRPr="008B0EFA" w:rsidRDefault="00AD5632" w:rsidP="00BA0B4B">
            <w:pPr>
              <w:ind w:firstLineChars="200" w:firstLine="320"/>
              <w:rPr>
                <w:color w:val="333333"/>
                <w:sz w:val="16"/>
                <w:szCs w:val="20"/>
                <w:lang w:val="es-GT" w:eastAsia="es-GT"/>
              </w:rPr>
            </w:pPr>
            <w:r w:rsidRPr="008B0EFA">
              <w:rPr>
                <w:color w:val="333333"/>
                <w:sz w:val="16"/>
                <w:szCs w:val="20"/>
                <w:lang w:val="es-GT" w:eastAsia="es-GT"/>
              </w:rPr>
              <w:t>SERVICIOS TECNICOS DE LABORATORIO</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4.2</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4.2</w:t>
            </w:r>
          </w:p>
        </w:tc>
        <w:tc>
          <w:tcPr>
            <w:tcW w:w="743"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0.0</w:t>
            </w:r>
          </w:p>
        </w:tc>
        <w:tc>
          <w:tcPr>
            <w:tcW w:w="665" w:type="dxa"/>
            <w:tcBorders>
              <w:top w:val="nil"/>
              <w:left w:val="nil"/>
              <w:bottom w:val="nil"/>
              <w:right w:val="single" w:sz="8"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100.4%</w:t>
            </w:r>
          </w:p>
        </w:tc>
      </w:tr>
      <w:tr w:rsidR="00AD5632" w:rsidRPr="008B0EFA" w:rsidTr="00DA1B8E">
        <w:trPr>
          <w:trHeight w:val="165"/>
        </w:trPr>
        <w:tc>
          <w:tcPr>
            <w:tcW w:w="5944" w:type="dxa"/>
            <w:tcBorders>
              <w:top w:val="nil"/>
              <w:left w:val="single" w:sz="8" w:space="0" w:color="auto"/>
              <w:bottom w:val="nil"/>
              <w:right w:val="single" w:sz="4" w:space="0" w:color="auto"/>
            </w:tcBorders>
            <w:shd w:val="clear" w:color="FFFFFF" w:fill="FFFFFF"/>
            <w:noWrap/>
            <w:vAlign w:val="center"/>
            <w:hideMark/>
          </w:tcPr>
          <w:p w:rsidR="00AD5632" w:rsidRPr="008B0EFA" w:rsidRDefault="00AD5632" w:rsidP="00BA0B4B">
            <w:pPr>
              <w:ind w:firstLineChars="200" w:firstLine="320"/>
              <w:rPr>
                <w:color w:val="333333"/>
                <w:sz w:val="16"/>
                <w:szCs w:val="20"/>
                <w:lang w:val="es-GT" w:eastAsia="es-GT"/>
              </w:rPr>
            </w:pPr>
            <w:r w:rsidRPr="008B0EFA">
              <w:rPr>
                <w:color w:val="333333"/>
                <w:sz w:val="16"/>
                <w:szCs w:val="20"/>
                <w:lang w:val="es-GT" w:eastAsia="es-GT"/>
              </w:rPr>
              <w:t>SEGURIDAD RADIOLOGICA</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4.4</w:t>
            </w:r>
          </w:p>
        </w:tc>
        <w:tc>
          <w:tcPr>
            <w:tcW w:w="992"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2.5</w:t>
            </w:r>
          </w:p>
        </w:tc>
        <w:tc>
          <w:tcPr>
            <w:tcW w:w="743" w:type="dxa"/>
            <w:tcBorders>
              <w:top w:val="nil"/>
              <w:left w:val="nil"/>
              <w:bottom w:val="nil"/>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1.9</w:t>
            </w:r>
          </w:p>
        </w:tc>
        <w:tc>
          <w:tcPr>
            <w:tcW w:w="665" w:type="dxa"/>
            <w:tcBorders>
              <w:top w:val="nil"/>
              <w:left w:val="nil"/>
              <w:bottom w:val="nil"/>
              <w:right w:val="single" w:sz="8"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57.5%</w:t>
            </w:r>
          </w:p>
        </w:tc>
      </w:tr>
      <w:tr w:rsidR="00AD5632" w:rsidRPr="008B0EFA" w:rsidTr="00DA1B8E">
        <w:trPr>
          <w:trHeight w:val="165"/>
        </w:trPr>
        <w:tc>
          <w:tcPr>
            <w:tcW w:w="5944" w:type="dxa"/>
            <w:tcBorders>
              <w:top w:val="nil"/>
              <w:left w:val="single" w:sz="8" w:space="0" w:color="auto"/>
              <w:bottom w:val="single" w:sz="8" w:space="0" w:color="auto"/>
              <w:right w:val="single" w:sz="4" w:space="0" w:color="auto"/>
            </w:tcBorders>
            <w:shd w:val="clear" w:color="FFFFFF" w:fill="FFFFFF"/>
            <w:noWrap/>
            <w:vAlign w:val="center"/>
            <w:hideMark/>
          </w:tcPr>
          <w:p w:rsidR="00AD5632" w:rsidRPr="008B0EFA" w:rsidRDefault="00AD5632" w:rsidP="00BA0B4B">
            <w:pPr>
              <w:ind w:firstLineChars="200" w:firstLine="320"/>
              <w:rPr>
                <w:color w:val="333333"/>
                <w:sz w:val="16"/>
                <w:szCs w:val="20"/>
                <w:lang w:val="es-GT" w:eastAsia="es-GT"/>
              </w:rPr>
            </w:pPr>
            <w:r w:rsidRPr="008B0EFA">
              <w:rPr>
                <w:color w:val="333333"/>
                <w:sz w:val="16"/>
                <w:szCs w:val="20"/>
                <w:lang w:val="es-GT" w:eastAsia="es-GT"/>
              </w:rPr>
              <w:t>PARTIDAS NO ASIGNABLES A PROGRAMAS</w:t>
            </w:r>
          </w:p>
        </w:tc>
        <w:tc>
          <w:tcPr>
            <w:tcW w:w="992" w:type="dxa"/>
            <w:tcBorders>
              <w:top w:val="nil"/>
              <w:left w:val="single" w:sz="4" w:space="0" w:color="auto"/>
              <w:bottom w:val="single" w:sz="8" w:space="0" w:color="auto"/>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0.3</w:t>
            </w:r>
          </w:p>
        </w:tc>
        <w:tc>
          <w:tcPr>
            <w:tcW w:w="992" w:type="dxa"/>
            <w:tcBorders>
              <w:top w:val="nil"/>
              <w:left w:val="nil"/>
              <w:bottom w:val="single" w:sz="8" w:space="0" w:color="auto"/>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0.2</w:t>
            </w:r>
          </w:p>
        </w:tc>
        <w:tc>
          <w:tcPr>
            <w:tcW w:w="743" w:type="dxa"/>
            <w:tcBorders>
              <w:top w:val="nil"/>
              <w:left w:val="nil"/>
              <w:bottom w:val="single" w:sz="8" w:space="0" w:color="auto"/>
              <w:right w:val="single" w:sz="4"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0.0</w:t>
            </w:r>
          </w:p>
        </w:tc>
        <w:tc>
          <w:tcPr>
            <w:tcW w:w="665" w:type="dxa"/>
            <w:tcBorders>
              <w:top w:val="nil"/>
              <w:left w:val="nil"/>
              <w:bottom w:val="single" w:sz="8" w:space="0" w:color="auto"/>
              <w:right w:val="single" w:sz="8" w:space="0" w:color="auto"/>
            </w:tcBorders>
            <w:shd w:val="clear" w:color="FFFFFF" w:fill="FFFFFF"/>
            <w:noWrap/>
            <w:vAlign w:val="center"/>
            <w:hideMark/>
          </w:tcPr>
          <w:p w:rsidR="00AD5632" w:rsidRPr="008B0EFA" w:rsidRDefault="00AD5632" w:rsidP="00BA0B4B">
            <w:pPr>
              <w:jc w:val="right"/>
              <w:rPr>
                <w:color w:val="333333"/>
                <w:sz w:val="16"/>
                <w:szCs w:val="20"/>
                <w:lang w:val="es-GT" w:eastAsia="es-GT"/>
              </w:rPr>
            </w:pPr>
            <w:r w:rsidRPr="008B0EFA">
              <w:rPr>
                <w:color w:val="333333"/>
                <w:sz w:val="16"/>
                <w:szCs w:val="20"/>
                <w:lang w:val="es-GT" w:eastAsia="es-GT"/>
              </w:rPr>
              <w:t>89.1%</w:t>
            </w:r>
          </w:p>
        </w:tc>
      </w:tr>
    </w:tbl>
    <w:p w:rsidR="00AD5632" w:rsidRPr="004E678D" w:rsidRDefault="00AD5632" w:rsidP="00AD5632">
      <w:pPr>
        <w:jc w:val="both"/>
        <w:rPr>
          <w:sz w:val="18"/>
        </w:rPr>
      </w:pPr>
      <w:r>
        <w:rPr>
          <w:sz w:val="18"/>
        </w:rPr>
        <w:fldChar w:fldCharType="end"/>
      </w:r>
      <w:r w:rsidRPr="004E678D">
        <w:rPr>
          <w:sz w:val="18"/>
        </w:rPr>
        <w:t>Fuente: Ministerio de Finanzas Públicas</w:t>
      </w:r>
      <w:r>
        <w:rPr>
          <w:sz w:val="18"/>
        </w:rPr>
        <w:t>.</w:t>
      </w:r>
    </w:p>
    <w:p w:rsidR="00AD5632" w:rsidRDefault="00AD5632" w:rsidP="00AD5632">
      <w:pPr>
        <w:jc w:val="both"/>
      </w:pPr>
    </w:p>
    <w:p w:rsidR="006941A5" w:rsidRDefault="006941A5" w:rsidP="00AD5632">
      <w:pPr>
        <w:jc w:val="both"/>
      </w:pPr>
    </w:p>
    <w:p w:rsidR="00AD5632" w:rsidRDefault="00AD5632" w:rsidP="00AD5632">
      <w:pPr>
        <w:jc w:val="both"/>
        <w:rPr>
          <w:b/>
        </w:rPr>
      </w:pPr>
      <w:r w:rsidRPr="00D108FD">
        <w:rPr>
          <w:b/>
        </w:rPr>
        <w:t>Ministerio de Cultura y Deportes</w:t>
      </w:r>
      <w:r>
        <w:rPr>
          <w:b/>
        </w:rPr>
        <w:t>:</w:t>
      </w:r>
    </w:p>
    <w:p w:rsidR="00AD5632" w:rsidRPr="00D108FD" w:rsidRDefault="00AD5632" w:rsidP="00AD5632">
      <w:pPr>
        <w:jc w:val="both"/>
        <w:rPr>
          <w:b/>
        </w:rPr>
      </w:pPr>
    </w:p>
    <w:p w:rsidR="00AD5632" w:rsidRDefault="00AD5632" w:rsidP="00AD5632">
      <w:pPr>
        <w:jc w:val="both"/>
      </w:pPr>
      <w:r w:rsidRPr="00D108FD">
        <w:t xml:space="preserve">Este </w:t>
      </w:r>
      <w:r>
        <w:t>M</w:t>
      </w:r>
      <w:r w:rsidRPr="00D108FD">
        <w:t xml:space="preserve">inisterio </w:t>
      </w:r>
      <w:r>
        <w:t>contó</w:t>
      </w:r>
      <w:r w:rsidRPr="00D108FD">
        <w:t xml:space="preserve"> con un presupuesto</w:t>
      </w:r>
      <w:r>
        <w:t xml:space="preserve"> aprobado</w:t>
      </w:r>
      <w:r w:rsidRPr="00D108FD">
        <w:t xml:space="preserve"> de </w:t>
      </w:r>
      <w:r>
        <w:t>Q.623.0</w:t>
      </w:r>
      <w:r w:rsidRPr="00D108FD">
        <w:t xml:space="preserve"> millones y una ejecución presupuestaria de </w:t>
      </w:r>
      <w:r>
        <w:t>Q.489.6</w:t>
      </w:r>
      <w:r w:rsidRPr="00D108FD">
        <w:t xml:space="preserve"> millones</w:t>
      </w:r>
      <w:r w:rsidR="00AA2B03">
        <w:t>,</w:t>
      </w:r>
      <w:r w:rsidRPr="00D108FD">
        <w:t xml:space="preserve"> equivalente</w:t>
      </w:r>
      <w:r>
        <w:t>s</w:t>
      </w:r>
      <w:r w:rsidRPr="00D108FD">
        <w:t xml:space="preserve"> al </w:t>
      </w:r>
      <w:r>
        <w:t>78.6</w:t>
      </w:r>
      <w:r w:rsidRPr="00D108FD">
        <w:t>%.</w:t>
      </w:r>
    </w:p>
    <w:p w:rsidR="00AD5632" w:rsidRPr="00D108FD" w:rsidRDefault="00AD5632" w:rsidP="00AD5632">
      <w:pPr>
        <w:jc w:val="both"/>
      </w:pPr>
    </w:p>
    <w:p w:rsidR="00AD5632" w:rsidRDefault="00AD5632" w:rsidP="00AD5632">
      <w:pPr>
        <w:jc w:val="both"/>
      </w:pPr>
      <w:r w:rsidRPr="00D108FD">
        <w:t xml:space="preserve">Dentro de los programas con mayor cantidad de recursos ejecutados, se ubica “Fomento al Deporte No Federado y a la Recreación” con un presupuesto de </w:t>
      </w:r>
      <w:r>
        <w:t>Q.</w:t>
      </w:r>
      <w:r w:rsidRPr="00D108FD">
        <w:t>2</w:t>
      </w:r>
      <w:r>
        <w:t>9</w:t>
      </w:r>
      <w:r w:rsidRPr="00D108FD">
        <w:t>1</w:t>
      </w:r>
      <w:r>
        <w:t>.9</w:t>
      </w:r>
      <w:r w:rsidRPr="00D108FD">
        <w:t xml:space="preserve"> millones y su ejecución fue de </w:t>
      </w:r>
      <w:r>
        <w:t>Q.174.3</w:t>
      </w:r>
      <w:r w:rsidRPr="00D108FD">
        <w:t xml:space="preserve"> millones</w:t>
      </w:r>
      <w:r w:rsidR="00AA2B03">
        <w:t>,</w:t>
      </w:r>
      <w:r w:rsidRPr="00D108FD">
        <w:t xml:space="preserve"> equivalente</w:t>
      </w:r>
      <w:r>
        <w:t>s</w:t>
      </w:r>
      <w:r w:rsidRPr="00D108FD">
        <w:t xml:space="preserve"> al </w:t>
      </w:r>
      <w:r>
        <w:t>59.7</w:t>
      </w:r>
      <w:r w:rsidRPr="00D108FD">
        <w:t>%.</w:t>
      </w:r>
    </w:p>
    <w:p w:rsidR="00AD5632" w:rsidRPr="00D108FD" w:rsidRDefault="00AD5632" w:rsidP="00AD5632">
      <w:pPr>
        <w:jc w:val="both"/>
      </w:pPr>
    </w:p>
    <w:p w:rsidR="00AD5632" w:rsidRDefault="00AD5632" w:rsidP="00AD5632">
      <w:pPr>
        <w:jc w:val="both"/>
      </w:pPr>
      <w:r w:rsidRPr="00D108FD">
        <w:t>El siguiente programa fue “Restauración, Preservación y Protección del Patrimonio Cultural y Natural” el cual tuvo un presupuesto</w:t>
      </w:r>
      <w:r>
        <w:t xml:space="preserve"> inicial</w:t>
      </w:r>
      <w:r w:rsidRPr="00D108FD">
        <w:t xml:space="preserve"> de </w:t>
      </w:r>
      <w:r>
        <w:t>Q.</w:t>
      </w:r>
      <w:r w:rsidRPr="00D108FD">
        <w:t>15</w:t>
      </w:r>
      <w:r>
        <w:t>4.3</w:t>
      </w:r>
      <w:r w:rsidRPr="00D108FD">
        <w:t xml:space="preserve"> millones y una ejecución presupuestaria de </w:t>
      </w:r>
      <w:r>
        <w:t>Q.</w:t>
      </w:r>
      <w:r w:rsidRPr="00D108FD">
        <w:t>1</w:t>
      </w:r>
      <w:r>
        <w:t>28.7</w:t>
      </w:r>
      <w:r w:rsidRPr="00D108FD">
        <w:t xml:space="preserve"> millones</w:t>
      </w:r>
      <w:r w:rsidR="00AA2B03">
        <w:t>,</w:t>
      </w:r>
      <w:r w:rsidRPr="00D108FD">
        <w:t xml:space="preserve"> equivalente</w:t>
      </w:r>
      <w:r>
        <w:t>s</w:t>
      </w:r>
      <w:r w:rsidRPr="00D108FD">
        <w:t xml:space="preserve"> al </w:t>
      </w:r>
      <w:r>
        <w:t>83.4</w:t>
      </w:r>
      <w:r w:rsidRPr="00D108FD">
        <w:t>%</w:t>
      </w:r>
      <w:r>
        <w:t>.</w:t>
      </w:r>
    </w:p>
    <w:p w:rsidR="00AD5632" w:rsidRPr="00D108FD" w:rsidRDefault="00AD5632" w:rsidP="00AD5632">
      <w:pPr>
        <w:jc w:val="both"/>
      </w:pPr>
    </w:p>
    <w:p w:rsidR="00AD5632" w:rsidRDefault="00AD5632" w:rsidP="00AD5632">
      <w:pPr>
        <w:jc w:val="both"/>
      </w:pPr>
      <w:r w:rsidRPr="00D108FD">
        <w:lastRenderedPageBreak/>
        <w:t xml:space="preserve">Finalmente, dentro de los programas con mayor asignación se ubica el programa de “Formación, Fomento y Difusión de las Artes” con un presupuesto de </w:t>
      </w:r>
      <w:r>
        <w:t>Q.</w:t>
      </w:r>
      <w:r w:rsidRPr="00D108FD">
        <w:t>1</w:t>
      </w:r>
      <w:r>
        <w:t>07.0</w:t>
      </w:r>
      <w:r w:rsidRPr="00D108FD">
        <w:t xml:space="preserve"> millones y una ejecución presupuestaria de </w:t>
      </w:r>
      <w:r>
        <w:t>Q.106.5</w:t>
      </w:r>
      <w:r w:rsidRPr="00D108FD">
        <w:t xml:space="preserve"> millones</w:t>
      </w:r>
      <w:r w:rsidR="00AA2B03">
        <w:t>,</w:t>
      </w:r>
      <w:r w:rsidRPr="00D108FD">
        <w:t xml:space="preserve"> equivalente</w:t>
      </w:r>
      <w:r>
        <w:t>s al 99.5%</w:t>
      </w:r>
      <w:r w:rsidRPr="00D108FD">
        <w:t>.</w:t>
      </w:r>
    </w:p>
    <w:p w:rsidR="00AD5632" w:rsidRPr="00D108FD" w:rsidRDefault="00AD5632" w:rsidP="00AD5632">
      <w:pPr>
        <w:jc w:val="both"/>
      </w:pPr>
    </w:p>
    <w:p w:rsidR="00AD5632" w:rsidRDefault="00AD5632" w:rsidP="00AD5632">
      <w:pPr>
        <w:jc w:val="both"/>
      </w:pPr>
      <w:r w:rsidRPr="00D108FD">
        <w:t xml:space="preserve">Quedan </w:t>
      </w:r>
      <w:r>
        <w:t>4</w:t>
      </w:r>
      <w:r w:rsidRPr="00D108FD">
        <w:t xml:space="preserve"> programas restantes para completar la ejecución presupuestaria, los cuales se ubicaron </w:t>
      </w:r>
      <w:r w:rsidR="00AA2B03">
        <w:t>alrededor de</w:t>
      </w:r>
      <w:r w:rsidRPr="00D108FD">
        <w:t xml:space="preserve"> </w:t>
      </w:r>
      <w:r>
        <w:t>Q.</w:t>
      </w:r>
      <w:r w:rsidR="00AA2B03">
        <w:t>80.1</w:t>
      </w:r>
      <w:r w:rsidRPr="00D108FD">
        <w:t xml:space="preserve"> millones, según se observa en el cuadro que se presenta a continuación</w:t>
      </w:r>
      <w:r>
        <w:t>:</w:t>
      </w:r>
    </w:p>
    <w:p w:rsidR="00AD5632" w:rsidRDefault="00AD5632" w:rsidP="00AD5632">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Programa!F144C2:F151C6" \a \f 4 \h  \* MERGEFORMAT </w:instrText>
      </w:r>
      <w:r>
        <w:rPr>
          <w:noProof/>
          <w:lang w:val="es-GT" w:eastAsia="es-GT"/>
        </w:rPr>
        <w:fldChar w:fldCharType="separate"/>
      </w:r>
    </w:p>
    <w:p w:rsidR="00AD5632" w:rsidRDefault="00AD5632" w:rsidP="00AD5632">
      <w:pPr>
        <w:jc w:val="both"/>
        <w:rPr>
          <w:rFonts w:ascii="Calibri" w:eastAsia="Calibri" w:hAnsi="Calibri"/>
          <w:sz w:val="20"/>
          <w:szCs w:val="20"/>
          <w:lang w:val="es-GT" w:eastAsia="es-GT"/>
        </w:rPr>
      </w:pPr>
      <w:r>
        <w:rPr>
          <w:noProof/>
          <w:lang w:val="es-GT" w:eastAsia="es-GT"/>
        </w:rPr>
        <w:fldChar w:fldCharType="end"/>
      </w:r>
      <w:r>
        <w:fldChar w:fldCharType="begin"/>
      </w:r>
      <w:r>
        <w:instrText xml:space="preserve"> LINK Excel.Sheet.12 "C:\\Users\\deefoper12\\Documents\\Mis Documentos\\2022\\DTF 2022\\Informe fin de año 2021\\Cuadros para Informe de Fin de Año 2021..xlsx" "Entidad Programa!F144C2:F152C6" \a \f 4 \h  \* MERGEFORMAT </w:instrText>
      </w:r>
      <w:r>
        <w:fldChar w:fldCharType="separate"/>
      </w:r>
    </w:p>
    <w:tbl>
      <w:tblPr>
        <w:tblW w:w="9488" w:type="dxa"/>
        <w:tblCellMar>
          <w:left w:w="70" w:type="dxa"/>
          <w:right w:w="70" w:type="dxa"/>
        </w:tblCellMar>
        <w:tblLook w:val="04A0" w:firstRow="1" w:lastRow="0" w:firstColumn="1" w:lastColumn="0" w:noHBand="0" w:noVBand="1"/>
      </w:tblPr>
      <w:tblGrid>
        <w:gridCol w:w="5944"/>
        <w:gridCol w:w="1134"/>
        <w:gridCol w:w="992"/>
        <w:gridCol w:w="709"/>
        <w:gridCol w:w="709"/>
      </w:tblGrid>
      <w:tr w:rsidR="00AD5632" w:rsidRPr="008F2036" w:rsidTr="00DA1B8E">
        <w:trPr>
          <w:trHeight w:val="180"/>
        </w:trPr>
        <w:tc>
          <w:tcPr>
            <w:tcW w:w="5944" w:type="dxa"/>
            <w:tcBorders>
              <w:top w:val="single" w:sz="8" w:space="0" w:color="auto"/>
              <w:left w:val="single" w:sz="8" w:space="0" w:color="auto"/>
              <w:bottom w:val="single" w:sz="4" w:space="0" w:color="auto"/>
              <w:right w:val="single" w:sz="4" w:space="0" w:color="auto"/>
            </w:tcBorders>
            <w:shd w:val="clear" w:color="000000" w:fill="8DB4E2"/>
            <w:noWrap/>
            <w:hideMark/>
          </w:tcPr>
          <w:p w:rsidR="00AD5632" w:rsidRPr="008F2036" w:rsidRDefault="00AD5632" w:rsidP="00BA0B4B">
            <w:pPr>
              <w:jc w:val="center"/>
              <w:rPr>
                <w:b/>
                <w:bCs/>
                <w:color w:val="000000"/>
                <w:sz w:val="16"/>
                <w:szCs w:val="20"/>
                <w:lang w:val="es-GT" w:eastAsia="es-GT"/>
              </w:rPr>
            </w:pPr>
            <w:r w:rsidRPr="008F2036">
              <w:rPr>
                <w:b/>
                <w:bCs/>
                <w:color w:val="000000"/>
                <w:sz w:val="16"/>
                <w:szCs w:val="20"/>
                <w:lang w:val="es-GT" w:eastAsia="es-GT"/>
              </w:rPr>
              <w:t>DESCRIPCI</w:t>
            </w:r>
            <w:r w:rsidR="00DA1B8E">
              <w:rPr>
                <w:b/>
                <w:bCs/>
                <w:color w:val="000000"/>
                <w:sz w:val="16"/>
                <w:szCs w:val="20"/>
                <w:lang w:val="es-GT" w:eastAsia="es-GT"/>
              </w:rPr>
              <w:t>Ó</w:t>
            </w:r>
            <w:r w:rsidRPr="008F2036">
              <w:rPr>
                <w:b/>
                <w:bCs/>
                <w:color w:val="000000"/>
                <w:sz w:val="16"/>
                <w:szCs w:val="20"/>
                <w:lang w:val="es-GT" w:eastAsia="es-GT"/>
              </w:rPr>
              <w:t>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AD5632" w:rsidRPr="008F2036" w:rsidRDefault="00AD5632" w:rsidP="00BA0B4B">
            <w:pPr>
              <w:jc w:val="center"/>
              <w:rPr>
                <w:b/>
                <w:bCs/>
                <w:color w:val="000000"/>
                <w:sz w:val="16"/>
                <w:szCs w:val="20"/>
                <w:lang w:val="es-GT" w:eastAsia="es-GT"/>
              </w:rPr>
            </w:pPr>
            <w:r w:rsidRPr="008F2036">
              <w:rPr>
                <w:b/>
                <w:bCs/>
                <w:color w:val="000000"/>
                <w:sz w:val="14"/>
                <w:szCs w:val="20"/>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hideMark/>
          </w:tcPr>
          <w:p w:rsidR="00AD5632" w:rsidRPr="008F2036" w:rsidRDefault="00AD5632" w:rsidP="00BA0B4B">
            <w:pPr>
              <w:jc w:val="center"/>
              <w:rPr>
                <w:b/>
                <w:bCs/>
                <w:color w:val="000000"/>
                <w:sz w:val="16"/>
                <w:szCs w:val="20"/>
                <w:lang w:val="es-GT" w:eastAsia="es-GT"/>
              </w:rPr>
            </w:pPr>
            <w:r w:rsidRPr="008F2036">
              <w:rPr>
                <w:b/>
                <w:bCs/>
                <w:color w:val="000000"/>
                <w:sz w:val="14"/>
                <w:szCs w:val="20"/>
                <w:lang w:val="es-GT" w:eastAsia="es-GT"/>
              </w:rPr>
              <w:t>Ejecu</w:t>
            </w:r>
            <w:r w:rsidR="00DA1B8E">
              <w:rPr>
                <w:b/>
                <w:bCs/>
                <w:color w:val="000000"/>
                <w:sz w:val="14"/>
                <w:szCs w:val="20"/>
                <w:lang w:val="es-GT" w:eastAsia="es-GT"/>
              </w:rPr>
              <w:t>tado</w:t>
            </w:r>
          </w:p>
        </w:tc>
        <w:tc>
          <w:tcPr>
            <w:tcW w:w="709" w:type="dxa"/>
            <w:tcBorders>
              <w:top w:val="single" w:sz="8" w:space="0" w:color="auto"/>
              <w:left w:val="nil"/>
              <w:bottom w:val="single" w:sz="4" w:space="0" w:color="auto"/>
              <w:right w:val="single" w:sz="4" w:space="0" w:color="auto"/>
            </w:tcBorders>
            <w:shd w:val="clear" w:color="000000" w:fill="8DB4E2"/>
            <w:noWrap/>
            <w:hideMark/>
          </w:tcPr>
          <w:p w:rsidR="00AD5632" w:rsidRPr="008F2036" w:rsidRDefault="00AD5632" w:rsidP="00BA0B4B">
            <w:pPr>
              <w:jc w:val="center"/>
              <w:rPr>
                <w:b/>
                <w:bCs/>
                <w:color w:val="000000"/>
                <w:sz w:val="16"/>
                <w:szCs w:val="20"/>
                <w:lang w:val="es-GT" w:eastAsia="es-GT"/>
              </w:rPr>
            </w:pPr>
            <w:r w:rsidRPr="008F2036">
              <w:rPr>
                <w:b/>
                <w:bCs/>
                <w:color w:val="000000"/>
                <w:sz w:val="16"/>
                <w:szCs w:val="20"/>
                <w:lang w:val="es-GT" w:eastAsia="es-GT"/>
              </w:rPr>
              <w:t>Dif</w:t>
            </w:r>
          </w:p>
        </w:tc>
        <w:tc>
          <w:tcPr>
            <w:tcW w:w="709" w:type="dxa"/>
            <w:tcBorders>
              <w:top w:val="single" w:sz="8" w:space="0" w:color="auto"/>
              <w:left w:val="nil"/>
              <w:bottom w:val="single" w:sz="4" w:space="0" w:color="auto"/>
              <w:right w:val="single" w:sz="8" w:space="0" w:color="auto"/>
            </w:tcBorders>
            <w:shd w:val="clear" w:color="000000" w:fill="8DB4E2"/>
            <w:noWrap/>
            <w:hideMark/>
          </w:tcPr>
          <w:p w:rsidR="00AD5632" w:rsidRPr="008F2036" w:rsidRDefault="00AD5632" w:rsidP="00BA0B4B">
            <w:pPr>
              <w:jc w:val="center"/>
              <w:rPr>
                <w:b/>
                <w:bCs/>
                <w:color w:val="000000"/>
                <w:sz w:val="16"/>
                <w:szCs w:val="20"/>
                <w:lang w:val="es-GT" w:eastAsia="es-GT"/>
              </w:rPr>
            </w:pPr>
            <w:r w:rsidRPr="008F2036">
              <w:rPr>
                <w:b/>
                <w:bCs/>
                <w:color w:val="000000"/>
                <w:sz w:val="16"/>
                <w:szCs w:val="20"/>
                <w:lang w:val="es-GT" w:eastAsia="es-GT"/>
              </w:rPr>
              <w:t>% Ejec</w:t>
            </w:r>
          </w:p>
        </w:tc>
      </w:tr>
      <w:tr w:rsidR="00AD5632" w:rsidRPr="008F2036" w:rsidTr="00DA1B8E">
        <w:trPr>
          <w:trHeight w:val="180"/>
        </w:trPr>
        <w:tc>
          <w:tcPr>
            <w:tcW w:w="5944" w:type="dxa"/>
            <w:tcBorders>
              <w:top w:val="nil"/>
              <w:left w:val="single" w:sz="8" w:space="0" w:color="auto"/>
              <w:bottom w:val="nil"/>
              <w:right w:val="single" w:sz="4" w:space="0" w:color="auto"/>
            </w:tcBorders>
            <w:shd w:val="clear" w:color="FFFFFF" w:fill="FFFFFF"/>
            <w:noWrap/>
            <w:vAlign w:val="bottom"/>
            <w:hideMark/>
          </w:tcPr>
          <w:p w:rsidR="00AD5632" w:rsidRPr="008F2036" w:rsidRDefault="00AD5632" w:rsidP="00BA0B4B">
            <w:pPr>
              <w:rPr>
                <w:b/>
                <w:bCs/>
                <w:color w:val="333333"/>
                <w:sz w:val="16"/>
                <w:szCs w:val="20"/>
                <w:lang w:val="es-GT" w:eastAsia="es-GT"/>
              </w:rPr>
            </w:pPr>
            <w:r w:rsidRPr="008F2036">
              <w:rPr>
                <w:b/>
                <w:bCs/>
                <w:color w:val="333333"/>
                <w:sz w:val="16"/>
                <w:szCs w:val="20"/>
                <w:lang w:val="es-GT" w:eastAsia="es-GT"/>
              </w:rPr>
              <w:t>MINISTERIO DE CULTURA Y DEPORTES</w:t>
            </w:r>
          </w:p>
        </w:tc>
        <w:tc>
          <w:tcPr>
            <w:tcW w:w="1134"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b/>
                <w:bCs/>
                <w:color w:val="333333"/>
                <w:sz w:val="16"/>
                <w:szCs w:val="20"/>
                <w:lang w:val="es-GT" w:eastAsia="es-GT"/>
              </w:rPr>
            </w:pPr>
            <w:r w:rsidRPr="008F2036">
              <w:rPr>
                <w:b/>
                <w:bCs/>
                <w:color w:val="333333"/>
                <w:sz w:val="16"/>
                <w:szCs w:val="20"/>
                <w:lang w:val="es-GT" w:eastAsia="es-GT"/>
              </w:rPr>
              <w:t>623.0</w:t>
            </w:r>
          </w:p>
        </w:tc>
        <w:tc>
          <w:tcPr>
            <w:tcW w:w="992"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b/>
                <w:bCs/>
                <w:color w:val="333333"/>
                <w:sz w:val="16"/>
                <w:szCs w:val="20"/>
                <w:lang w:val="es-GT" w:eastAsia="es-GT"/>
              </w:rPr>
            </w:pPr>
            <w:r w:rsidRPr="008F2036">
              <w:rPr>
                <w:b/>
                <w:bCs/>
                <w:color w:val="333333"/>
                <w:sz w:val="16"/>
                <w:szCs w:val="20"/>
                <w:lang w:val="es-GT" w:eastAsia="es-GT"/>
              </w:rPr>
              <w:t>489.6</w:t>
            </w:r>
          </w:p>
        </w:tc>
        <w:tc>
          <w:tcPr>
            <w:tcW w:w="709"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b/>
                <w:bCs/>
                <w:color w:val="333333"/>
                <w:sz w:val="16"/>
                <w:szCs w:val="20"/>
                <w:lang w:val="es-GT" w:eastAsia="es-GT"/>
              </w:rPr>
            </w:pPr>
            <w:r w:rsidRPr="008F2036">
              <w:rPr>
                <w:b/>
                <w:bCs/>
                <w:color w:val="333333"/>
                <w:sz w:val="16"/>
                <w:szCs w:val="20"/>
                <w:lang w:val="es-GT" w:eastAsia="es-GT"/>
              </w:rPr>
              <w:t>133.4</w:t>
            </w:r>
          </w:p>
        </w:tc>
        <w:tc>
          <w:tcPr>
            <w:tcW w:w="709" w:type="dxa"/>
            <w:tcBorders>
              <w:top w:val="nil"/>
              <w:left w:val="nil"/>
              <w:bottom w:val="nil"/>
              <w:right w:val="single" w:sz="8" w:space="0" w:color="auto"/>
            </w:tcBorders>
            <w:shd w:val="clear" w:color="FFFFFF" w:fill="FFFFFF"/>
            <w:noWrap/>
            <w:vAlign w:val="bottom"/>
            <w:hideMark/>
          </w:tcPr>
          <w:p w:rsidR="00AD5632" w:rsidRPr="008F2036" w:rsidRDefault="00AD5632" w:rsidP="00BA0B4B">
            <w:pPr>
              <w:jc w:val="right"/>
              <w:rPr>
                <w:b/>
                <w:bCs/>
                <w:color w:val="333333"/>
                <w:sz w:val="16"/>
                <w:szCs w:val="20"/>
                <w:lang w:val="es-GT" w:eastAsia="es-GT"/>
              </w:rPr>
            </w:pPr>
            <w:r w:rsidRPr="008F2036">
              <w:rPr>
                <w:b/>
                <w:bCs/>
                <w:color w:val="333333"/>
                <w:sz w:val="16"/>
                <w:szCs w:val="20"/>
                <w:lang w:val="es-GT" w:eastAsia="es-GT"/>
              </w:rPr>
              <w:t>78.6%</w:t>
            </w:r>
          </w:p>
        </w:tc>
      </w:tr>
      <w:tr w:rsidR="00AD5632" w:rsidRPr="008F2036" w:rsidTr="00DA1B8E">
        <w:trPr>
          <w:trHeight w:val="180"/>
        </w:trPr>
        <w:tc>
          <w:tcPr>
            <w:tcW w:w="5944" w:type="dxa"/>
            <w:tcBorders>
              <w:top w:val="nil"/>
              <w:left w:val="single" w:sz="8" w:space="0" w:color="auto"/>
              <w:bottom w:val="nil"/>
              <w:right w:val="single" w:sz="4" w:space="0" w:color="auto"/>
            </w:tcBorders>
            <w:shd w:val="clear" w:color="FFFFFF" w:fill="FFFFFF"/>
            <w:noWrap/>
            <w:vAlign w:val="bottom"/>
            <w:hideMark/>
          </w:tcPr>
          <w:p w:rsidR="00AD5632" w:rsidRPr="008F2036" w:rsidRDefault="00AD5632" w:rsidP="00BA0B4B">
            <w:pPr>
              <w:ind w:firstLineChars="200" w:firstLine="320"/>
              <w:rPr>
                <w:color w:val="333333"/>
                <w:sz w:val="16"/>
                <w:szCs w:val="20"/>
                <w:lang w:val="es-GT" w:eastAsia="es-GT"/>
              </w:rPr>
            </w:pPr>
            <w:r w:rsidRPr="008F2036">
              <w:rPr>
                <w:color w:val="333333"/>
                <w:sz w:val="16"/>
                <w:szCs w:val="20"/>
                <w:lang w:val="es-GT" w:eastAsia="es-GT"/>
              </w:rPr>
              <w:t>FOMENTO AL DEPORTE NO FEDERADO Y A LA RECREACIÓN</w:t>
            </w:r>
          </w:p>
        </w:tc>
        <w:tc>
          <w:tcPr>
            <w:tcW w:w="1134"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291.9</w:t>
            </w:r>
          </w:p>
        </w:tc>
        <w:tc>
          <w:tcPr>
            <w:tcW w:w="992"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174.3</w:t>
            </w:r>
          </w:p>
        </w:tc>
        <w:tc>
          <w:tcPr>
            <w:tcW w:w="709"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117.6</w:t>
            </w:r>
          </w:p>
        </w:tc>
        <w:tc>
          <w:tcPr>
            <w:tcW w:w="709" w:type="dxa"/>
            <w:tcBorders>
              <w:top w:val="nil"/>
              <w:left w:val="nil"/>
              <w:bottom w:val="nil"/>
              <w:right w:val="single" w:sz="8"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59.7%</w:t>
            </w:r>
          </w:p>
        </w:tc>
      </w:tr>
      <w:tr w:rsidR="00AD5632" w:rsidRPr="008F2036" w:rsidTr="00DA1B8E">
        <w:trPr>
          <w:trHeight w:val="180"/>
        </w:trPr>
        <w:tc>
          <w:tcPr>
            <w:tcW w:w="5944" w:type="dxa"/>
            <w:tcBorders>
              <w:top w:val="nil"/>
              <w:left w:val="single" w:sz="8" w:space="0" w:color="auto"/>
              <w:bottom w:val="nil"/>
              <w:right w:val="single" w:sz="4" w:space="0" w:color="auto"/>
            </w:tcBorders>
            <w:shd w:val="clear" w:color="FFFFFF" w:fill="FFFFFF"/>
            <w:vAlign w:val="bottom"/>
            <w:hideMark/>
          </w:tcPr>
          <w:p w:rsidR="00AD5632" w:rsidRPr="008F2036" w:rsidRDefault="00AD5632" w:rsidP="00BA0B4B">
            <w:pPr>
              <w:ind w:firstLineChars="200" w:firstLine="320"/>
              <w:rPr>
                <w:color w:val="333333"/>
                <w:sz w:val="16"/>
                <w:szCs w:val="20"/>
                <w:lang w:val="es-GT" w:eastAsia="es-GT"/>
              </w:rPr>
            </w:pPr>
            <w:r w:rsidRPr="008F2036">
              <w:rPr>
                <w:color w:val="333333"/>
                <w:sz w:val="16"/>
                <w:szCs w:val="20"/>
                <w:lang w:val="es-GT" w:eastAsia="es-GT"/>
              </w:rPr>
              <w:t>RESTAU, PRESERV Y PROTECCIÓN DEL PATRIMONIO CULTURAL</w:t>
            </w:r>
          </w:p>
        </w:tc>
        <w:tc>
          <w:tcPr>
            <w:tcW w:w="1134"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154.3</w:t>
            </w:r>
          </w:p>
        </w:tc>
        <w:tc>
          <w:tcPr>
            <w:tcW w:w="992"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128.7</w:t>
            </w:r>
          </w:p>
        </w:tc>
        <w:tc>
          <w:tcPr>
            <w:tcW w:w="709"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25.5</w:t>
            </w:r>
          </w:p>
        </w:tc>
        <w:tc>
          <w:tcPr>
            <w:tcW w:w="709" w:type="dxa"/>
            <w:tcBorders>
              <w:top w:val="nil"/>
              <w:left w:val="nil"/>
              <w:bottom w:val="nil"/>
              <w:right w:val="single" w:sz="8"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83.4%</w:t>
            </w:r>
          </w:p>
        </w:tc>
      </w:tr>
      <w:tr w:rsidR="00AD5632" w:rsidRPr="008F2036" w:rsidTr="00DA1B8E">
        <w:trPr>
          <w:trHeight w:val="180"/>
        </w:trPr>
        <w:tc>
          <w:tcPr>
            <w:tcW w:w="5944" w:type="dxa"/>
            <w:tcBorders>
              <w:top w:val="nil"/>
              <w:left w:val="single" w:sz="8" w:space="0" w:color="auto"/>
              <w:bottom w:val="nil"/>
              <w:right w:val="single" w:sz="4" w:space="0" w:color="auto"/>
            </w:tcBorders>
            <w:shd w:val="clear" w:color="FFFFFF" w:fill="FFFFFF"/>
            <w:vAlign w:val="bottom"/>
            <w:hideMark/>
          </w:tcPr>
          <w:p w:rsidR="00AD5632" w:rsidRPr="008F2036" w:rsidRDefault="00AD5632" w:rsidP="00BA0B4B">
            <w:pPr>
              <w:ind w:firstLineChars="200" w:firstLine="320"/>
              <w:rPr>
                <w:color w:val="333333"/>
                <w:sz w:val="16"/>
                <w:szCs w:val="20"/>
                <w:lang w:val="es-GT" w:eastAsia="es-GT"/>
              </w:rPr>
            </w:pPr>
            <w:r w:rsidRPr="008F2036">
              <w:rPr>
                <w:color w:val="333333"/>
                <w:sz w:val="16"/>
                <w:szCs w:val="20"/>
                <w:lang w:val="es-GT" w:eastAsia="es-GT"/>
              </w:rPr>
              <w:t>FORMACIÓN, FOMENTO Y DIFUSIÓN DE LAS ARTES</w:t>
            </w:r>
          </w:p>
        </w:tc>
        <w:tc>
          <w:tcPr>
            <w:tcW w:w="1134"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107.0</w:t>
            </w:r>
          </w:p>
        </w:tc>
        <w:tc>
          <w:tcPr>
            <w:tcW w:w="992"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106.5</w:t>
            </w:r>
          </w:p>
        </w:tc>
        <w:tc>
          <w:tcPr>
            <w:tcW w:w="709"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0.6</w:t>
            </w:r>
          </w:p>
        </w:tc>
        <w:tc>
          <w:tcPr>
            <w:tcW w:w="709" w:type="dxa"/>
            <w:tcBorders>
              <w:top w:val="nil"/>
              <w:left w:val="nil"/>
              <w:bottom w:val="nil"/>
              <w:right w:val="single" w:sz="8"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99.5%</w:t>
            </w:r>
          </w:p>
        </w:tc>
      </w:tr>
      <w:tr w:rsidR="00AD5632" w:rsidRPr="008F2036" w:rsidTr="00DA1B8E">
        <w:trPr>
          <w:trHeight w:val="180"/>
        </w:trPr>
        <w:tc>
          <w:tcPr>
            <w:tcW w:w="5944" w:type="dxa"/>
            <w:tcBorders>
              <w:top w:val="nil"/>
              <w:left w:val="single" w:sz="8" w:space="0" w:color="auto"/>
              <w:bottom w:val="nil"/>
              <w:right w:val="single" w:sz="4" w:space="0" w:color="auto"/>
            </w:tcBorders>
            <w:shd w:val="clear" w:color="FFFFFF" w:fill="FFFFFF"/>
            <w:noWrap/>
            <w:vAlign w:val="bottom"/>
            <w:hideMark/>
          </w:tcPr>
          <w:p w:rsidR="00AD5632" w:rsidRPr="008F2036" w:rsidRDefault="00AD5632" w:rsidP="00BA0B4B">
            <w:pPr>
              <w:ind w:firstLineChars="200" w:firstLine="320"/>
              <w:rPr>
                <w:color w:val="333333"/>
                <w:sz w:val="16"/>
                <w:szCs w:val="20"/>
                <w:lang w:val="es-GT" w:eastAsia="es-GT"/>
              </w:rPr>
            </w:pPr>
            <w:r w:rsidRPr="008F2036">
              <w:rPr>
                <w:color w:val="333333"/>
                <w:sz w:val="16"/>
                <w:szCs w:val="20"/>
                <w:lang w:val="es-GT" w:eastAsia="es-GT"/>
              </w:rPr>
              <w:t>GESTIÓN DEL DESARROLLO CULTURAL</w:t>
            </w:r>
          </w:p>
        </w:tc>
        <w:tc>
          <w:tcPr>
            <w:tcW w:w="1134"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20.5</w:t>
            </w:r>
          </w:p>
        </w:tc>
        <w:tc>
          <w:tcPr>
            <w:tcW w:w="992"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30.8</w:t>
            </w:r>
          </w:p>
        </w:tc>
        <w:tc>
          <w:tcPr>
            <w:tcW w:w="709"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-10.3</w:t>
            </w:r>
          </w:p>
        </w:tc>
        <w:tc>
          <w:tcPr>
            <w:tcW w:w="709" w:type="dxa"/>
            <w:tcBorders>
              <w:top w:val="nil"/>
              <w:left w:val="nil"/>
              <w:bottom w:val="nil"/>
              <w:right w:val="single" w:sz="8"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150.0%</w:t>
            </w:r>
          </w:p>
        </w:tc>
      </w:tr>
      <w:tr w:rsidR="00AD5632" w:rsidRPr="008F2036" w:rsidTr="00DA1B8E">
        <w:trPr>
          <w:trHeight w:val="180"/>
        </w:trPr>
        <w:tc>
          <w:tcPr>
            <w:tcW w:w="5944" w:type="dxa"/>
            <w:tcBorders>
              <w:top w:val="nil"/>
              <w:left w:val="single" w:sz="8" w:space="0" w:color="auto"/>
              <w:bottom w:val="nil"/>
              <w:right w:val="single" w:sz="4" w:space="0" w:color="auto"/>
            </w:tcBorders>
            <w:shd w:val="clear" w:color="FFFFFF" w:fill="FFFFFF"/>
            <w:vAlign w:val="bottom"/>
            <w:hideMark/>
          </w:tcPr>
          <w:p w:rsidR="00AD5632" w:rsidRPr="008F2036" w:rsidRDefault="00AD5632" w:rsidP="00BA0B4B">
            <w:pPr>
              <w:ind w:firstLineChars="200" w:firstLine="320"/>
              <w:rPr>
                <w:color w:val="333333"/>
                <w:sz w:val="16"/>
                <w:szCs w:val="20"/>
                <w:lang w:val="es-GT" w:eastAsia="es-GT"/>
              </w:rPr>
            </w:pPr>
            <w:r w:rsidRPr="008F2036">
              <w:rPr>
                <w:color w:val="333333"/>
                <w:sz w:val="16"/>
                <w:szCs w:val="20"/>
                <w:lang w:val="es-GT" w:eastAsia="es-GT"/>
              </w:rPr>
              <w:t>ADMINISTRACIÓN INSTITUCIONAL</w:t>
            </w:r>
          </w:p>
        </w:tc>
        <w:tc>
          <w:tcPr>
            <w:tcW w:w="1134"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25.6</w:t>
            </w:r>
          </w:p>
        </w:tc>
        <w:tc>
          <w:tcPr>
            <w:tcW w:w="992"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27.4</w:t>
            </w:r>
          </w:p>
        </w:tc>
        <w:tc>
          <w:tcPr>
            <w:tcW w:w="709"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-1.9</w:t>
            </w:r>
          </w:p>
        </w:tc>
        <w:tc>
          <w:tcPr>
            <w:tcW w:w="709" w:type="dxa"/>
            <w:tcBorders>
              <w:top w:val="nil"/>
              <w:left w:val="nil"/>
              <w:bottom w:val="nil"/>
              <w:right w:val="single" w:sz="8"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107.3%</w:t>
            </w:r>
          </w:p>
        </w:tc>
      </w:tr>
      <w:tr w:rsidR="00AD5632" w:rsidRPr="008F2036" w:rsidTr="00DA1B8E">
        <w:trPr>
          <w:trHeight w:val="180"/>
        </w:trPr>
        <w:tc>
          <w:tcPr>
            <w:tcW w:w="5944" w:type="dxa"/>
            <w:tcBorders>
              <w:top w:val="nil"/>
              <w:left w:val="single" w:sz="8" w:space="0" w:color="auto"/>
              <w:bottom w:val="nil"/>
              <w:right w:val="single" w:sz="4" w:space="0" w:color="auto"/>
            </w:tcBorders>
            <w:shd w:val="clear" w:color="FFFFFF" w:fill="FFFFFF"/>
            <w:noWrap/>
            <w:vAlign w:val="bottom"/>
            <w:hideMark/>
          </w:tcPr>
          <w:p w:rsidR="00AD5632" w:rsidRPr="008F2036" w:rsidRDefault="00AD5632" w:rsidP="00BA0B4B">
            <w:pPr>
              <w:ind w:firstLineChars="200" w:firstLine="320"/>
              <w:rPr>
                <w:color w:val="333333"/>
                <w:sz w:val="16"/>
                <w:szCs w:val="20"/>
                <w:lang w:val="es-GT" w:eastAsia="es-GT"/>
              </w:rPr>
            </w:pPr>
            <w:r w:rsidRPr="008F2036">
              <w:rPr>
                <w:color w:val="333333"/>
                <w:sz w:val="16"/>
                <w:szCs w:val="20"/>
                <w:lang w:val="es-GT" w:eastAsia="es-GT"/>
              </w:rPr>
              <w:t>PARTIDAS NO ASIGNABLES A PROGRAMAS</w:t>
            </w:r>
          </w:p>
        </w:tc>
        <w:tc>
          <w:tcPr>
            <w:tcW w:w="1134"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23.7</w:t>
            </w:r>
          </w:p>
        </w:tc>
        <w:tc>
          <w:tcPr>
            <w:tcW w:w="992"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20.1</w:t>
            </w:r>
          </w:p>
        </w:tc>
        <w:tc>
          <w:tcPr>
            <w:tcW w:w="709" w:type="dxa"/>
            <w:tcBorders>
              <w:top w:val="nil"/>
              <w:left w:val="nil"/>
              <w:bottom w:val="nil"/>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3.6</w:t>
            </w:r>
          </w:p>
        </w:tc>
        <w:tc>
          <w:tcPr>
            <w:tcW w:w="709" w:type="dxa"/>
            <w:tcBorders>
              <w:top w:val="nil"/>
              <w:left w:val="nil"/>
              <w:bottom w:val="nil"/>
              <w:right w:val="single" w:sz="8"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84.7%</w:t>
            </w:r>
          </w:p>
        </w:tc>
      </w:tr>
      <w:tr w:rsidR="00AD5632" w:rsidRPr="008F2036" w:rsidTr="00DA1B8E">
        <w:trPr>
          <w:trHeight w:val="180"/>
        </w:trPr>
        <w:tc>
          <w:tcPr>
            <w:tcW w:w="5944" w:type="dxa"/>
            <w:tcBorders>
              <w:top w:val="nil"/>
              <w:left w:val="single" w:sz="8" w:space="0" w:color="auto"/>
              <w:bottom w:val="single" w:sz="8" w:space="0" w:color="auto"/>
              <w:right w:val="single" w:sz="4" w:space="0" w:color="auto"/>
            </w:tcBorders>
            <w:shd w:val="clear" w:color="FFFFFF" w:fill="FFFFFF"/>
            <w:noWrap/>
            <w:vAlign w:val="bottom"/>
            <w:hideMark/>
          </w:tcPr>
          <w:p w:rsidR="00AD5632" w:rsidRPr="008F2036" w:rsidRDefault="00AD5632" w:rsidP="00BA0B4B">
            <w:pPr>
              <w:ind w:firstLineChars="200" w:firstLine="320"/>
              <w:rPr>
                <w:color w:val="333333"/>
                <w:sz w:val="16"/>
                <w:szCs w:val="20"/>
                <w:lang w:val="es-GT" w:eastAsia="es-GT"/>
              </w:rPr>
            </w:pPr>
            <w:r w:rsidRPr="008F2036">
              <w:rPr>
                <w:color w:val="333333"/>
                <w:sz w:val="16"/>
                <w:szCs w:val="20"/>
                <w:lang w:val="es-GT" w:eastAsia="es-GT"/>
              </w:rPr>
              <w:t>ATENCIÓN POR DESASTRES NATURALES Y CALAMIDADES PÚBLICAS</w:t>
            </w:r>
          </w:p>
        </w:tc>
        <w:tc>
          <w:tcPr>
            <w:tcW w:w="1134" w:type="dxa"/>
            <w:tcBorders>
              <w:top w:val="nil"/>
              <w:left w:val="single" w:sz="4" w:space="0" w:color="auto"/>
              <w:bottom w:val="single" w:sz="8" w:space="0" w:color="auto"/>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0.0</w:t>
            </w:r>
          </w:p>
        </w:tc>
        <w:tc>
          <w:tcPr>
            <w:tcW w:w="992" w:type="dxa"/>
            <w:tcBorders>
              <w:top w:val="nil"/>
              <w:left w:val="nil"/>
              <w:bottom w:val="single" w:sz="8" w:space="0" w:color="auto"/>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1.8</w:t>
            </w:r>
          </w:p>
        </w:tc>
        <w:tc>
          <w:tcPr>
            <w:tcW w:w="709" w:type="dxa"/>
            <w:tcBorders>
              <w:top w:val="nil"/>
              <w:left w:val="nil"/>
              <w:bottom w:val="single" w:sz="8" w:space="0" w:color="auto"/>
              <w:right w:val="single" w:sz="4" w:space="0" w:color="auto"/>
            </w:tcBorders>
            <w:shd w:val="clear" w:color="FFFFFF" w:fill="FFFFFF"/>
            <w:noWrap/>
            <w:vAlign w:val="bottom"/>
            <w:hideMark/>
          </w:tcPr>
          <w:p w:rsidR="00AD5632" w:rsidRPr="008F2036" w:rsidRDefault="00AD5632" w:rsidP="00BA0B4B">
            <w:pPr>
              <w:jc w:val="right"/>
              <w:rPr>
                <w:color w:val="333333"/>
                <w:sz w:val="16"/>
                <w:szCs w:val="20"/>
                <w:lang w:val="es-GT" w:eastAsia="es-GT"/>
              </w:rPr>
            </w:pPr>
            <w:r w:rsidRPr="008F2036">
              <w:rPr>
                <w:color w:val="333333"/>
                <w:sz w:val="16"/>
                <w:szCs w:val="20"/>
                <w:lang w:val="es-GT" w:eastAsia="es-GT"/>
              </w:rPr>
              <w:t>-1.8</w:t>
            </w:r>
          </w:p>
        </w:tc>
        <w:tc>
          <w:tcPr>
            <w:tcW w:w="709" w:type="dxa"/>
            <w:tcBorders>
              <w:top w:val="nil"/>
              <w:left w:val="nil"/>
              <w:bottom w:val="single" w:sz="8" w:space="0" w:color="auto"/>
              <w:right w:val="single" w:sz="8" w:space="0" w:color="auto"/>
            </w:tcBorders>
            <w:shd w:val="clear" w:color="FFFFFF" w:fill="FFFFFF"/>
            <w:noWrap/>
            <w:vAlign w:val="bottom"/>
            <w:hideMark/>
          </w:tcPr>
          <w:p w:rsidR="00AD5632" w:rsidRPr="008F2036" w:rsidRDefault="00AD5632" w:rsidP="00BA0B4B">
            <w:pPr>
              <w:jc w:val="right"/>
              <w:rPr>
                <w:color w:val="FFFFFF"/>
                <w:sz w:val="16"/>
                <w:szCs w:val="20"/>
                <w:lang w:val="es-GT" w:eastAsia="es-GT"/>
              </w:rPr>
            </w:pPr>
            <w:r w:rsidRPr="008F2036">
              <w:rPr>
                <w:color w:val="FFFFFF"/>
                <w:sz w:val="16"/>
                <w:szCs w:val="20"/>
                <w:lang w:val="es-GT" w:eastAsia="es-GT"/>
              </w:rPr>
              <w:t>######</w:t>
            </w:r>
          </w:p>
        </w:tc>
      </w:tr>
    </w:tbl>
    <w:p w:rsidR="00AD5632" w:rsidRPr="004E678D" w:rsidRDefault="00AD5632" w:rsidP="00AD5632">
      <w:pPr>
        <w:jc w:val="both"/>
        <w:rPr>
          <w:sz w:val="18"/>
        </w:rPr>
      </w:pPr>
      <w:r>
        <w:rPr>
          <w:sz w:val="18"/>
        </w:rPr>
        <w:fldChar w:fldCharType="end"/>
      </w:r>
      <w:r w:rsidR="00DA1B8E">
        <w:rPr>
          <w:sz w:val="18"/>
        </w:rPr>
        <w:t xml:space="preserve"> </w:t>
      </w:r>
      <w:r w:rsidRPr="004E678D">
        <w:rPr>
          <w:sz w:val="18"/>
        </w:rPr>
        <w:t>Fuente: Ministerio de Finanzas Públicas</w:t>
      </w:r>
      <w:r>
        <w:rPr>
          <w:sz w:val="18"/>
        </w:rPr>
        <w:t>.</w:t>
      </w:r>
    </w:p>
    <w:p w:rsidR="00AD5632" w:rsidRDefault="00AD5632" w:rsidP="00AD5632">
      <w:pPr>
        <w:jc w:val="both"/>
      </w:pPr>
    </w:p>
    <w:p w:rsidR="00AD5632" w:rsidRPr="00D108FD" w:rsidRDefault="00AD5632" w:rsidP="00AD5632">
      <w:pPr>
        <w:jc w:val="both"/>
      </w:pPr>
    </w:p>
    <w:p w:rsidR="00AD5632" w:rsidRDefault="00AD5632" w:rsidP="00AD5632">
      <w:pPr>
        <w:jc w:val="both"/>
        <w:rPr>
          <w:b/>
        </w:rPr>
      </w:pPr>
      <w:r w:rsidRPr="00D108FD">
        <w:rPr>
          <w:b/>
        </w:rPr>
        <w:t>Ministerio de Ambiente y Recursos Naturales</w:t>
      </w:r>
      <w:r>
        <w:rPr>
          <w:b/>
        </w:rPr>
        <w:t>:</w:t>
      </w:r>
    </w:p>
    <w:p w:rsidR="00AD5632" w:rsidRPr="00D108FD" w:rsidRDefault="00AD5632" w:rsidP="00AD5632">
      <w:pPr>
        <w:jc w:val="both"/>
        <w:rPr>
          <w:b/>
        </w:rPr>
      </w:pPr>
    </w:p>
    <w:p w:rsidR="00AD5632" w:rsidRDefault="00AD5632" w:rsidP="00AD5632">
      <w:pPr>
        <w:jc w:val="both"/>
      </w:pPr>
      <w:r w:rsidRPr="00D108FD">
        <w:t xml:space="preserve">El </w:t>
      </w:r>
      <w:r w:rsidRPr="00B21910">
        <w:t>Ministerio de Ambiente y Recursos Naturales</w:t>
      </w:r>
      <w:r w:rsidRPr="00D108FD">
        <w:t xml:space="preserve"> tuvo un presupuesto </w:t>
      </w:r>
      <w:r>
        <w:t xml:space="preserve">aprobado </w:t>
      </w:r>
      <w:r w:rsidRPr="00D108FD">
        <w:t xml:space="preserve">de </w:t>
      </w:r>
      <w:r>
        <w:t>Q.</w:t>
      </w:r>
      <w:r w:rsidRPr="00D108FD">
        <w:t>1</w:t>
      </w:r>
      <w:r>
        <w:t>27.3</w:t>
      </w:r>
      <w:r w:rsidRPr="00D108FD">
        <w:t xml:space="preserve"> millones, y una ejecución presupuestaria de </w:t>
      </w:r>
      <w:r>
        <w:t>Q.</w:t>
      </w:r>
      <w:r w:rsidRPr="00D108FD">
        <w:t>1</w:t>
      </w:r>
      <w:r>
        <w:t>56.9</w:t>
      </w:r>
      <w:r w:rsidRPr="00D108FD">
        <w:t xml:space="preserve"> millones</w:t>
      </w:r>
      <w:r w:rsidR="00034A57">
        <w:t>,</w:t>
      </w:r>
      <w:r w:rsidRPr="00D108FD">
        <w:t xml:space="preserve"> equivalente</w:t>
      </w:r>
      <w:r>
        <w:t>s</w:t>
      </w:r>
      <w:r w:rsidRPr="00D108FD">
        <w:t xml:space="preserve"> al </w:t>
      </w:r>
      <w:r>
        <w:t>123.3</w:t>
      </w:r>
      <w:r w:rsidRPr="00D108FD">
        <w:t>%</w:t>
      </w:r>
      <w:r w:rsidR="00034A57">
        <w:t>.</w:t>
      </w:r>
    </w:p>
    <w:p w:rsidR="00AD5632" w:rsidRPr="00D108FD" w:rsidRDefault="00AD5632" w:rsidP="00AD5632">
      <w:pPr>
        <w:jc w:val="both"/>
      </w:pPr>
    </w:p>
    <w:p w:rsidR="00AD5632" w:rsidRDefault="00AD5632" w:rsidP="00AD5632">
      <w:pPr>
        <w:jc w:val="both"/>
      </w:pPr>
      <w:r w:rsidRPr="00D108FD">
        <w:t xml:space="preserve">Este </w:t>
      </w:r>
      <w:r>
        <w:t>M</w:t>
      </w:r>
      <w:r w:rsidRPr="00D108FD">
        <w:t>inisterio operó durante 20</w:t>
      </w:r>
      <w:r>
        <w:t>21</w:t>
      </w:r>
      <w:r w:rsidRPr="00D108FD">
        <w:t xml:space="preserve"> con dos programas principales de acuerdo al monto observado en su ejecución presupuestaria, dentro de </w:t>
      </w:r>
      <w:r w:rsidR="00034A57">
        <w:t>é</w:t>
      </w:r>
      <w:r w:rsidRPr="00D108FD">
        <w:t>s</w:t>
      </w:r>
      <w:r>
        <w:t>t</w:t>
      </w:r>
      <w:r w:rsidRPr="00D108FD">
        <w:t>os</w:t>
      </w:r>
      <w:r>
        <w:t>,</w:t>
      </w:r>
      <w:r w:rsidRPr="00D108FD">
        <w:t xml:space="preserve"> el primero es “</w:t>
      </w:r>
      <w:r>
        <w:t>Gestión Ambiental con Énfasis en e</w:t>
      </w:r>
      <w:r w:rsidRPr="00D108FD">
        <w:t xml:space="preserve">l Cambio Climático” con un presupuesto </w:t>
      </w:r>
      <w:r>
        <w:t xml:space="preserve">aprobado </w:t>
      </w:r>
      <w:r w:rsidRPr="00D108FD">
        <w:t xml:space="preserve">de </w:t>
      </w:r>
      <w:r>
        <w:t>Q.45.8</w:t>
      </w:r>
      <w:r w:rsidRPr="00D108FD">
        <w:t xml:space="preserve"> millones y una ejecución presupuestaria de </w:t>
      </w:r>
      <w:r>
        <w:t>Q.78.2</w:t>
      </w:r>
      <w:r w:rsidRPr="00D108FD">
        <w:t xml:space="preserve"> millones</w:t>
      </w:r>
      <w:r w:rsidR="00034A57">
        <w:t>,</w:t>
      </w:r>
      <w:r w:rsidRPr="00D108FD">
        <w:t xml:space="preserve"> equivalente</w:t>
      </w:r>
      <w:r>
        <w:t>s</w:t>
      </w:r>
      <w:r w:rsidRPr="00D108FD">
        <w:t xml:space="preserve"> al </w:t>
      </w:r>
      <w:r>
        <w:t>170.7</w:t>
      </w:r>
      <w:r w:rsidRPr="00D108FD">
        <w:t>%</w:t>
      </w:r>
      <w:r w:rsidR="00034A57">
        <w:t xml:space="preserve"> del presupuesto inicial</w:t>
      </w:r>
      <w:r>
        <w:t>.</w:t>
      </w:r>
    </w:p>
    <w:p w:rsidR="00AD5632" w:rsidRPr="00D108FD" w:rsidRDefault="00AD5632" w:rsidP="00AD5632">
      <w:pPr>
        <w:jc w:val="both"/>
      </w:pPr>
    </w:p>
    <w:p w:rsidR="00AD5632" w:rsidRDefault="00AD5632" w:rsidP="00AD5632">
      <w:pPr>
        <w:jc w:val="both"/>
      </w:pPr>
      <w:r w:rsidRPr="00D108FD">
        <w:t>El segundo fue el de “Administración Institucional” con un presupuesto</w:t>
      </w:r>
      <w:r>
        <w:t xml:space="preserve"> aprobado</w:t>
      </w:r>
      <w:r w:rsidRPr="00D108FD">
        <w:t xml:space="preserve"> </w:t>
      </w:r>
      <w:r>
        <w:t>de Q.49.9</w:t>
      </w:r>
      <w:r w:rsidRPr="00D108FD">
        <w:t xml:space="preserve"> millones y una ejecución presupuestaria de </w:t>
      </w:r>
      <w:r>
        <w:t>Q.54.2</w:t>
      </w:r>
      <w:r w:rsidRPr="00D108FD">
        <w:t xml:space="preserve"> millones</w:t>
      </w:r>
      <w:r w:rsidR="00034A57">
        <w:t>,</w:t>
      </w:r>
      <w:r w:rsidRPr="00D108FD">
        <w:t xml:space="preserve"> equivalente</w:t>
      </w:r>
      <w:r w:rsidR="00034A57">
        <w:t>s</w:t>
      </w:r>
      <w:r w:rsidRPr="00D108FD">
        <w:t xml:space="preserve"> al </w:t>
      </w:r>
      <w:r>
        <w:t>108.7</w:t>
      </w:r>
      <w:r w:rsidRPr="00D108FD">
        <w:t>%</w:t>
      </w:r>
      <w:r>
        <w:t>.</w:t>
      </w:r>
    </w:p>
    <w:p w:rsidR="00AD5632" w:rsidRDefault="00AD5632" w:rsidP="00AD5632">
      <w:pPr>
        <w:jc w:val="both"/>
      </w:pPr>
    </w:p>
    <w:p w:rsidR="00AD5632" w:rsidRDefault="00AD5632" w:rsidP="00AD5632">
      <w:pPr>
        <w:jc w:val="both"/>
      </w:pPr>
      <w:r>
        <w:t xml:space="preserve">Los 3 programas restantes tuvieron una ejecución </w:t>
      </w:r>
      <w:r w:rsidR="00034A57">
        <w:t xml:space="preserve">global </w:t>
      </w:r>
      <w:r>
        <w:t>al cierre preliminar de 2021 por Q.2</w:t>
      </w:r>
      <w:r w:rsidR="00034A57">
        <w:t>4.5</w:t>
      </w:r>
      <w:r>
        <w:t xml:space="preserve"> millones, ejecutados según se observa en el siguiente cuadro.</w:t>
      </w:r>
    </w:p>
    <w:p w:rsidR="00AD5632" w:rsidRPr="004E678D" w:rsidRDefault="00AD5632" w:rsidP="00AD5632">
      <w:pPr>
        <w:jc w:val="both"/>
        <w:rPr>
          <w:sz w:val="18"/>
        </w:rPr>
      </w:pPr>
    </w:p>
    <w:p w:rsidR="00AD5632" w:rsidRDefault="00AD5632" w:rsidP="00AD5632">
      <w:pPr>
        <w:jc w:val="both"/>
        <w:rPr>
          <w:rFonts w:ascii="Calibri" w:eastAsia="Calibri" w:hAnsi="Calibri"/>
          <w:sz w:val="20"/>
          <w:szCs w:val="20"/>
          <w:lang w:val="es-GT" w:eastAsia="es-GT"/>
        </w:rPr>
      </w:pPr>
      <w:r>
        <w:rPr>
          <w:sz w:val="18"/>
        </w:rPr>
        <w:fldChar w:fldCharType="begin"/>
      </w:r>
      <w:r>
        <w:rPr>
          <w:sz w:val="18"/>
        </w:rPr>
        <w:instrText xml:space="preserve"> LINK Excel.Sheet.12 "C:\\Users\\deefoper12\\Documents\\Mis Documentos\\2022\\DTF 2022\\Informe fin de año 2021\\Cuadros para Informe de Fin de Año 2021..xlsx" "Entidad Programa!F187C2:F193C6" \a \f 4 \h  \* MERGEFORMAT </w:instrText>
      </w:r>
      <w:r>
        <w:rPr>
          <w:sz w:val="18"/>
        </w:rPr>
        <w:fldChar w:fldCharType="separate"/>
      </w:r>
    </w:p>
    <w:tbl>
      <w:tblPr>
        <w:tblW w:w="9336" w:type="dxa"/>
        <w:tblCellMar>
          <w:left w:w="70" w:type="dxa"/>
          <w:right w:w="70" w:type="dxa"/>
        </w:tblCellMar>
        <w:tblLook w:val="04A0" w:firstRow="1" w:lastRow="0" w:firstColumn="1" w:lastColumn="0" w:noHBand="0" w:noVBand="1"/>
      </w:tblPr>
      <w:tblGrid>
        <w:gridCol w:w="5944"/>
        <w:gridCol w:w="992"/>
        <w:gridCol w:w="992"/>
        <w:gridCol w:w="672"/>
        <w:gridCol w:w="736"/>
      </w:tblGrid>
      <w:tr w:rsidR="00AD5632" w:rsidRPr="00A63D3D" w:rsidTr="00AF58B8">
        <w:trPr>
          <w:trHeight w:val="165"/>
        </w:trPr>
        <w:tc>
          <w:tcPr>
            <w:tcW w:w="5944" w:type="dxa"/>
            <w:tcBorders>
              <w:top w:val="single" w:sz="8" w:space="0" w:color="auto"/>
              <w:left w:val="single" w:sz="8" w:space="0" w:color="auto"/>
              <w:bottom w:val="single" w:sz="4" w:space="0" w:color="auto"/>
              <w:right w:val="single" w:sz="4" w:space="0" w:color="auto"/>
            </w:tcBorders>
            <w:shd w:val="clear" w:color="000000" w:fill="8DB4E2"/>
            <w:noWrap/>
            <w:hideMark/>
          </w:tcPr>
          <w:p w:rsidR="00AD5632" w:rsidRPr="00A63D3D" w:rsidRDefault="00AD5632" w:rsidP="00BA0B4B">
            <w:pPr>
              <w:jc w:val="center"/>
              <w:rPr>
                <w:b/>
                <w:bCs/>
                <w:color w:val="000000"/>
                <w:sz w:val="16"/>
                <w:szCs w:val="20"/>
                <w:lang w:val="es-GT" w:eastAsia="es-GT"/>
              </w:rPr>
            </w:pPr>
            <w:r w:rsidRPr="00A63D3D">
              <w:rPr>
                <w:b/>
                <w:bCs/>
                <w:color w:val="000000"/>
                <w:sz w:val="16"/>
                <w:szCs w:val="20"/>
                <w:lang w:val="es-GT" w:eastAsia="es-GT"/>
              </w:rPr>
              <w:t>DESCRIPCI</w:t>
            </w:r>
            <w:r w:rsidR="00AF58B8">
              <w:rPr>
                <w:b/>
                <w:bCs/>
                <w:color w:val="000000"/>
                <w:sz w:val="16"/>
                <w:szCs w:val="20"/>
                <w:lang w:val="es-GT" w:eastAsia="es-GT"/>
              </w:rPr>
              <w:t>Ó</w:t>
            </w:r>
            <w:r w:rsidRPr="00A63D3D">
              <w:rPr>
                <w:b/>
                <w:bCs/>
                <w:color w:val="000000"/>
                <w:sz w:val="16"/>
                <w:szCs w:val="20"/>
                <w:lang w:val="es-GT" w:eastAsia="es-GT"/>
              </w:rPr>
              <w:t>N</w:t>
            </w:r>
          </w:p>
        </w:tc>
        <w:tc>
          <w:tcPr>
            <w:tcW w:w="992" w:type="dxa"/>
            <w:tcBorders>
              <w:top w:val="single" w:sz="8" w:space="0" w:color="auto"/>
              <w:left w:val="nil"/>
              <w:bottom w:val="single" w:sz="4" w:space="0" w:color="auto"/>
              <w:right w:val="single" w:sz="4" w:space="0" w:color="auto"/>
            </w:tcBorders>
            <w:shd w:val="clear" w:color="000000" w:fill="8DB4E2"/>
            <w:noWrap/>
            <w:hideMark/>
          </w:tcPr>
          <w:p w:rsidR="00AD5632" w:rsidRPr="00A63D3D" w:rsidRDefault="00AD5632" w:rsidP="00BA0B4B">
            <w:pPr>
              <w:jc w:val="center"/>
              <w:rPr>
                <w:b/>
                <w:bCs/>
                <w:color w:val="000000"/>
                <w:sz w:val="16"/>
                <w:szCs w:val="20"/>
                <w:lang w:val="es-GT" w:eastAsia="es-GT"/>
              </w:rPr>
            </w:pPr>
            <w:r w:rsidRPr="00A63D3D">
              <w:rPr>
                <w:b/>
                <w:bCs/>
                <w:color w:val="000000"/>
                <w:sz w:val="14"/>
                <w:szCs w:val="20"/>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hideMark/>
          </w:tcPr>
          <w:p w:rsidR="00AD5632" w:rsidRPr="00A63D3D" w:rsidRDefault="00AD5632" w:rsidP="00BA0B4B">
            <w:pPr>
              <w:jc w:val="center"/>
              <w:rPr>
                <w:b/>
                <w:bCs/>
                <w:color w:val="000000"/>
                <w:sz w:val="16"/>
                <w:szCs w:val="20"/>
                <w:lang w:val="es-GT" w:eastAsia="es-GT"/>
              </w:rPr>
            </w:pPr>
            <w:r w:rsidRPr="00A63D3D">
              <w:rPr>
                <w:b/>
                <w:bCs/>
                <w:color w:val="000000"/>
                <w:sz w:val="14"/>
                <w:szCs w:val="20"/>
                <w:lang w:val="es-GT" w:eastAsia="es-GT"/>
              </w:rPr>
              <w:t>Ejecu</w:t>
            </w:r>
            <w:r w:rsidR="00AF58B8">
              <w:rPr>
                <w:b/>
                <w:bCs/>
                <w:color w:val="000000"/>
                <w:sz w:val="14"/>
                <w:szCs w:val="20"/>
                <w:lang w:val="es-GT" w:eastAsia="es-GT"/>
              </w:rPr>
              <w:t>tado</w:t>
            </w:r>
          </w:p>
        </w:tc>
        <w:tc>
          <w:tcPr>
            <w:tcW w:w="672" w:type="dxa"/>
            <w:tcBorders>
              <w:top w:val="single" w:sz="8" w:space="0" w:color="auto"/>
              <w:left w:val="nil"/>
              <w:bottom w:val="single" w:sz="4" w:space="0" w:color="auto"/>
              <w:right w:val="single" w:sz="4" w:space="0" w:color="auto"/>
            </w:tcBorders>
            <w:shd w:val="clear" w:color="000000" w:fill="8DB4E2"/>
            <w:noWrap/>
            <w:hideMark/>
          </w:tcPr>
          <w:p w:rsidR="00AD5632" w:rsidRPr="00A63D3D" w:rsidRDefault="00AD5632" w:rsidP="00BA0B4B">
            <w:pPr>
              <w:jc w:val="center"/>
              <w:rPr>
                <w:b/>
                <w:bCs/>
                <w:color w:val="000000"/>
                <w:sz w:val="16"/>
                <w:szCs w:val="20"/>
                <w:lang w:val="es-GT" w:eastAsia="es-GT"/>
              </w:rPr>
            </w:pPr>
            <w:r w:rsidRPr="00A63D3D">
              <w:rPr>
                <w:b/>
                <w:bCs/>
                <w:color w:val="000000"/>
                <w:sz w:val="16"/>
                <w:szCs w:val="20"/>
                <w:lang w:val="es-GT" w:eastAsia="es-GT"/>
              </w:rPr>
              <w:t>Dif</w:t>
            </w:r>
          </w:p>
        </w:tc>
        <w:tc>
          <w:tcPr>
            <w:tcW w:w="736" w:type="dxa"/>
            <w:tcBorders>
              <w:top w:val="single" w:sz="8" w:space="0" w:color="auto"/>
              <w:left w:val="nil"/>
              <w:bottom w:val="single" w:sz="4" w:space="0" w:color="auto"/>
              <w:right w:val="single" w:sz="8" w:space="0" w:color="auto"/>
            </w:tcBorders>
            <w:shd w:val="clear" w:color="000000" w:fill="8DB4E2"/>
            <w:noWrap/>
            <w:hideMark/>
          </w:tcPr>
          <w:p w:rsidR="00AD5632" w:rsidRPr="00A63D3D" w:rsidRDefault="00AD5632" w:rsidP="00BA0B4B">
            <w:pPr>
              <w:jc w:val="center"/>
              <w:rPr>
                <w:b/>
                <w:bCs/>
                <w:color w:val="000000"/>
                <w:sz w:val="16"/>
                <w:szCs w:val="20"/>
                <w:lang w:val="es-GT" w:eastAsia="es-GT"/>
              </w:rPr>
            </w:pPr>
            <w:r w:rsidRPr="00A63D3D">
              <w:rPr>
                <w:b/>
                <w:bCs/>
                <w:color w:val="000000"/>
                <w:sz w:val="16"/>
                <w:szCs w:val="20"/>
                <w:lang w:val="es-GT" w:eastAsia="es-GT"/>
              </w:rPr>
              <w:t>% Ejec</w:t>
            </w:r>
          </w:p>
        </w:tc>
      </w:tr>
      <w:tr w:rsidR="00AD5632" w:rsidRPr="00A63D3D" w:rsidTr="00AF58B8">
        <w:trPr>
          <w:trHeight w:val="165"/>
        </w:trPr>
        <w:tc>
          <w:tcPr>
            <w:tcW w:w="5944" w:type="dxa"/>
            <w:tcBorders>
              <w:top w:val="nil"/>
              <w:left w:val="single" w:sz="8" w:space="0" w:color="auto"/>
              <w:bottom w:val="nil"/>
              <w:right w:val="single" w:sz="4" w:space="0" w:color="auto"/>
            </w:tcBorders>
            <w:shd w:val="clear" w:color="FFFFFF" w:fill="FFFFFF"/>
            <w:noWrap/>
            <w:vAlign w:val="bottom"/>
            <w:hideMark/>
          </w:tcPr>
          <w:p w:rsidR="00AD5632" w:rsidRPr="00A63D3D" w:rsidRDefault="00AD5632" w:rsidP="00BA0B4B">
            <w:pPr>
              <w:rPr>
                <w:b/>
                <w:bCs/>
                <w:color w:val="333333"/>
                <w:sz w:val="16"/>
                <w:szCs w:val="20"/>
                <w:lang w:val="es-GT" w:eastAsia="es-GT"/>
              </w:rPr>
            </w:pPr>
            <w:r w:rsidRPr="00A63D3D">
              <w:rPr>
                <w:b/>
                <w:bCs/>
                <w:color w:val="333333"/>
                <w:sz w:val="16"/>
                <w:szCs w:val="20"/>
                <w:lang w:val="es-GT" w:eastAsia="es-GT"/>
              </w:rPr>
              <w:t>MINISTERIO DE AMBIENTE Y RECURSOS NATURALES</w:t>
            </w:r>
          </w:p>
        </w:tc>
        <w:tc>
          <w:tcPr>
            <w:tcW w:w="99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b/>
                <w:bCs/>
                <w:color w:val="333333"/>
                <w:sz w:val="16"/>
                <w:szCs w:val="20"/>
                <w:lang w:val="es-GT" w:eastAsia="es-GT"/>
              </w:rPr>
            </w:pPr>
            <w:r w:rsidRPr="00A63D3D">
              <w:rPr>
                <w:b/>
                <w:bCs/>
                <w:color w:val="333333"/>
                <w:sz w:val="16"/>
                <w:szCs w:val="20"/>
                <w:lang w:val="es-GT" w:eastAsia="es-GT"/>
              </w:rPr>
              <w:t>127.3</w:t>
            </w:r>
          </w:p>
        </w:tc>
        <w:tc>
          <w:tcPr>
            <w:tcW w:w="99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b/>
                <w:bCs/>
                <w:color w:val="333333"/>
                <w:sz w:val="16"/>
                <w:szCs w:val="20"/>
                <w:lang w:val="es-GT" w:eastAsia="es-GT"/>
              </w:rPr>
            </w:pPr>
            <w:r w:rsidRPr="00A63D3D">
              <w:rPr>
                <w:b/>
                <w:bCs/>
                <w:color w:val="333333"/>
                <w:sz w:val="16"/>
                <w:szCs w:val="20"/>
                <w:lang w:val="es-GT" w:eastAsia="es-GT"/>
              </w:rPr>
              <w:t>156.9</w:t>
            </w:r>
          </w:p>
        </w:tc>
        <w:tc>
          <w:tcPr>
            <w:tcW w:w="67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b/>
                <w:bCs/>
                <w:color w:val="333333"/>
                <w:sz w:val="16"/>
                <w:szCs w:val="20"/>
                <w:lang w:val="es-GT" w:eastAsia="es-GT"/>
              </w:rPr>
            </w:pPr>
            <w:r w:rsidRPr="00A63D3D">
              <w:rPr>
                <w:b/>
                <w:bCs/>
                <w:color w:val="333333"/>
                <w:sz w:val="16"/>
                <w:szCs w:val="20"/>
                <w:lang w:val="es-GT" w:eastAsia="es-GT"/>
              </w:rPr>
              <w:t>-29.6</w:t>
            </w:r>
          </w:p>
        </w:tc>
        <w:tc>
          <w:tcPr>
            <w:tcW w:w="736" w:type="dxa"/>
            <w:tcBorders>
              <w:top w:val="nil"/>
              <w:left w:val="nil"/>
              <w:bottom w:val="nil"/>
              <w:right w:val="single" w:sz="8" w:space="0" w:color="auto"/>
            </w:tcBorders>
            <w:shd w:val="clear" w:color="FFFFFF" w:fill="FFFFFF"/>
            <w:noWrap/>
            <w:vAlign w:val="center"/>
            <w:hideMark/>
          </w:tcPr>
          <w:p w:rsidR="00AD5632" w:rsidRPr="00A63D3D" w:rsidRDefault="00AD5632" w:rsidP="00BA0B4B">
            <w:pPr>
              <w:jc w:val="right"/>
              <w:rPr>
                <w:b/>
                <w:bCs/>
                <w:color w:val="333333"/>
                <w:sz w:val="16"/>
                <w:szCs w:val="20"/>
                <w:lang w:val="es-GT" w:eastAsia="es-GT"/>
              </w:rPr>
            </w:pPr>
            <w:r w:rsidRPr="00A63D3D">
              <w:rPr>
                <w:b/>
                <w:bCs/>
                <w:color w:val="333333"/>
                <w:sz w:val="16"/>
                <w:szCs w:val="20"/>
                <w:lang w:val="es-GT" w:eastAsia="es-GT"/>
              </w:rPr>
              <w:t>123.3%</w:t>
            </w:r>
          </w:p>
        </w:tc>
      </w:tr>
      <w:tr w:rsidR="00AD5632" w:rsidRPr="00A63D3D" w:rsidTr="00AF58B8">
        <w:trPr>
          <w:trHeight w:val="165"/>
        </w:trPr>
        <w:tc>
          <w:tcPr>
            <w:tcW w:w="5944" w:type="dxa"/>
            <w:tcBorders>
              <w:top w:val="nil"/>
              <w:left w:val="single" w:sz="8" w:space="0" w:color="auto"/>
              <w:bottom w:val="nil"/>
              <w:right w:val="single" w:sz="4" w:space="0" w:color="auto"/>
            </w:tcBorders>
            <w:shd w:val="clear" w:color="FFFFFF" w:fill="FFFFFF"/>
            <w:vAlign w:val="bottom"/>
            <w:hideMark/>
          </w:tcPr>
          <w:p w:rsidR="00AD5632" w:rsidRPr="00A63D3D" w:rsidRDefault="00AD5632" w:rsidP="00BA0B4B">
            <w:pPr>
              <w:ind w:firstLineChars="200" w:firstLine="320"/>
              <w:rPr>
                <w:color w:val="333333"/>
                <w:sz w:val="16"/>
                <w:szCs w:val="20"/>
                <w:lang w:val="es-GT" w:eastAsia="es-GT"/>
              </w:rPr>
            </w:pPr>
            <w:r w:rsidRPr="00A63D3D">
              <w:rPr>
                <w:color w:val="333333"/>
                <w:sz w:val="16"/>
                <w:szCs w:val="20"/>
                <w:lang w:val="es-GT" w:eastAsia="es-GT"/>
              </w:rPr>
              <w:t>GESTIÓN AMBIENTAL CON ÉNFASIS EN EL CAMBIO CLIMÁTICO</w:t>
            </w:r>
          </w:p>
        </w:tc>
        <w:tc>
          <w:tcPr>
            <w:tcW w:w="99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45.8</w:t>
            </w:r>
          </w:p>
        </w:tc>
        <w:tc>
          <w:tcPr>
            <w:tcW w:w="99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78.2</w:t>
            </w:r>
          </w:p>
        </w:tc>
        <w:tc>
          <w:tcPr>
            <w:tcW w:w="67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-32.4</w:t>
            </w:r>
          </w:p>
        </w:tc>
        <w:tc>
          <w:tcPr>
            <w:tcW w:w="736" w:type="dxa"/>
            <w:tcBorders>
              <w:top w:val="nil"/>
              <w:left w:val="nil"/>
              <w:bottom w:val="nil"/>
              <w:right w:val="single" w:sz="8"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170.7%</w:t>
            </w:r>
          </w:p>
        </w:tc>
      </w:tr>
      <w:tr w:rsidR="00AD5632" w:rsidRPr="00A63D3D" w:rsidTr="00AF58B8">
        <w:trPr>
          <w:trHeight w:val="165"/>
        </w:trPr>
        <w:tc>
          <w:tcPr>
            <w:tcW w:w="5944" w:type="dxa"/>
            <w:tcBorders>
              <w:top w:val="nil"/>
              <w:left w:val="single" w:sz="8" w:space="0" w:color="auto"/>
              <w:bottom w:val="nil"/>
              <w:right w:val="single" w:sz="4" w:space="0" w:color="auto"/>
            </w:tcBorders>
            <w:shd w:val="clear" w:color="FFFFFF" w:fill="FFFFFF"/>
            <w:vAlign w:val="bottom"/>
            <w:hideMark/>
          </w:tcPr>
          <w:p w:rsidR="00AD5632" w:rsidRPr="00A63D3D" w:rsidRDefault="00AD5632" w:rsidP="00BA0B4B">
            <w:pPr>
              <w:ind w:firstLineChars="200" w:firstLine="320"/>
              <w:rPr>
                <w:color w:val="333333"/>
                <w:sz w:val="16"/>
                <w:szCs w:val="20"/>
                <w:lang w:val="es-GT" w:eastAsia="es-GT"/>
              </w:rPr>
            </w:pPr>
            <w:r w:rsidRPr="00A63D3D">
              <w:rPr>
                <w:color w:val="333333"/>
                <w:sz w:val="16"/>
                <w:szCs w:val="20"/>
                <w:lang w:val="es-GT" w:eastAsia="es-GT"/>
              </w:rPr>
              <w:t>ADMINISTRACIÓN INSTITUCIONAL</w:t>
            </w:r>
          </w:p>
        </w:tc>
        <w:tc>
          <w:tcPr>
            <w:tcW w:w="99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49.9</w:t>
            </w:r>
          </w:p>
        </w:tc>
        <w:tc>
          <w:tcPr>
            <w:tcW w:w="99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54.2</w:t>
            </w:r>
          </w:p>
        </w:tc>
        <w:tc>
          <w:tcPr>
            <w:tcW w:w="67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-4.3</w:t>
            </w:r>
          </w:p>
        </w:tc>
        <w:tc>
          <w:tcPr>
            <w:tcW w:w="736" w:type="dxa"/>
            <w:tcBorders>
              <w:top w:val="nil"/>
              <w:left w:val="nil"/>
              <w:bottom w:val="nil"/>
              <w:right w:val="single" w:sz="8"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108.7%</w:t>
            </w:r>
          </w:p>
        </w:tc>
      </w:tr>
      <w:tr w:rsidR="00AD5632" w:rsidRPr="00A63D3D" w:rsidTr="00AF58B8">
        <w:trPr>
          <w:trHeight w:val="165"/>
        </w:trPr>
        <w:tc>
          <w:tcPr>
            <w:tcW w:w="5944" w:type="dxa"/>
            <w:tcBorders>
              <w:top w:val="nil"/>
              <w:left w:val="single" w:sz="8" w:space="0" w:color="auto"/>
              <w:bottom w:val="nil"/>
              <w:right w:val="single" w:sz="4" w:space="0" w:color="auto"/>
            </w:tcBorders>
            <w:shd w:val="clear" w:color="FFFFFF" w:fill="FFFFFF"/>
            <w:vAlign w:val="bottom"/>
            <w:hideMark/>
          </w:tcPr>
          <w:p w:rsidR="00AD5632" w:rsidRPr="00A63D3D" w:rsidRDefault="00AD5632" w:rsidP="00BA0B4B">
            <w:pPr>
              <w:ind w:firstLineChars="200" w:firstLine="320"/>
              <w:rPr>
                <w:color w:val="333333"/>
                <w:sz w:val="16"/>
                <w:szCs w:val="20"/>
                <w:lang w:val="es-GT" w:eastAsia="es-GT"/>
              </w:rPr>
            </w:pPr>
            <w:r w:rsidRPr="00A63D3D">
              <w:rPr>
                <w:color w:val="333333"/>
                <w:sz w:val="16"/>
                <w:szCs w:val="20"/>
                <w:lang w:val="es-GT" w:eastAsia="es-GT"/>
              </w:rPr>
              <w:t>CONSERVACIÓN Y PROTECCIÓN DE LOS RECURSOS NAT</w:t>
            </w:r>
            <w:r w:rsidR="00AF58B8">
              <w:rPr>
                <w:color w:val="333333"/>
                <w:sz w:val="16"/>
                <w:szCs w:val="20"/>
                <w:lang w:val="es-GT" w:eastAsia="es-GT"/>
              </w:rPr>
              <w:t>.</w:t>
            </w:r>
            <w:r w:rsidRPr="00A63D3D">
              <w:rPr>
                <w:color w:val="333333"/>
                <w:sz w:val="16"/>
                <w:szCs w:val="20"/>
                <w:lang w:val="es-GT" w:eastAsia="es-GT"/>
              </w:rPr>
              <w:t xml:space="preserve"> Y AMBIENTE</w:t>
            </w:r>
          </w:p>
        </w:tc>
        <w:tc>
          <w:tcPr>
            <w:tcW w:w="99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19.1</w:t>
            </w:r>
          </w:p>
        </w:tc>
        <w:tc>
          <w:tcPr>
            <w:tcW w:w="99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15.2</w:t>
            </w:r>
          </w:p>
        </w:tc>
        <w:tc>
          <w:tcPr>
            <w:tcW w:w="67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3.9</w:t>
            </w:r>
          </w:p>
        </w:tc>
        <w:tc>
          <w:tcPr>
            <w:tcW w:w="736" w:type="dxa"/>
            <w:tcBorders>
              <w:top w:val="nil"/>
              <w:left w:val="nil"/>
              <w:bottom w:val="nil"/>
              <w:right w:val="single" w:sz="8"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79.7%</w:t>
            </w:r>
          </w:p>
        </w:tc>
      </w:tr>
      <w:tr w:rsidR="00AD5632" w:rsidRPr="00A63D3D" w:rsidTr="00AF58B8">
        <w:trPr>
          <w:trHeight w:val="165"/>
        </w:trPr>
        <w:tc>
          <w:tcPr>
            <w:tcW w:w="5944" w:type="dxa"/>
            <w:tcBorders>
              <w:top w:val="nil"/>
              <w:left w:val="single" w:sz="8" w:space="0" w:color="auto"/>
              <w:bottom w:val="nil"/>
              <w:right w:val="single" w:sz="4" w:space="0" w:color="auto"/>
            </w:tcBorders>
            <w:shd w:val="clear" w:color="FFFFFF" w:fill="FFFFFF"/>
            <w:noWrap/>
            <w:vAlign w:val="bottom"/>
            <w:hideMark/>
          </w:tcPr>
          <w:p w:rsidR="00AD5632" w:rsidRPr="00A63D3D" w:rsidRDefault="00AD5632" w:rsidP="00BA0B4B">
            <w:pPr>
              <w:ind w:firstLineChars="200" w:firstLine="320"/>
              <w:rPr>
                <w:color w:val="333333"/>
                <w:sz w:val="16"/>
                <w:szCs w:val="20"/>
                <w:lang w:val="es-GT" w:eastAsia="es-GT"/>
              </w:rPr>
            </w:pPr>
            <w:r w:rsidRPr="00A63D3D">
              <w:rPr>
                <w:color w:val="333333"/>
                <w:sz w:val="16"/>
                <w:szCs w:val="20"/>
                <w:lang w:val="es-GT" w:eastAsia="es-GT"/>
              </w:rPr>
              <w:t>SENSIBILIZACIÓN SOCIO AMBIENTAL Y PARTICIPACIÓN CIUDADANA</w:t>
            </w:r>
          </w:p>
        </w:tc>
        <w:tc>
          <w:tcPr>
            <w:tcW w:w="99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11.6</w:t>
            </w:r>
          </w:p>
        </w:tc>
        <w:tc>
          <w:tcPr>
            <w:tcW w:w="99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8.0</w:t>
            </w:r>
          </w:p>
        </w:tc>
        <w:tc>
          <w:tcPr>
            <w:tcW w:w="672" w:type="dxa"/>
            <w:tcBorders>
              <w:top w:val="nil"/>
              <w:left w:val="nil"/>
              <w:bottom w:val="nil"/>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3.6</w:t>
            </w:r>
          </w:p>
        </w:tc>
        <w:tc>
          <w:tcPr>
            <w:tcW w:w="736" w:type="dxa"/>
            <w:tcBorders>
              <w:top w:val="nil"/>
              <w:left w:val="nil"/>
              <w:bottom w:val="nil"/>
              <w:right w:val="single" w:sz="8"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68.8%</w:t>
            </w:r>
          </w:p>
        </w:tc>
      </w:tr>
      <w:tr w:rsidR="00AD5632" w:rsidRPr="00A63D3D" w:rsidTr="00AF58B8">
        <w:trPr>
          <w:trHeight w:val="165"/>
        </w:trPr>
        <w:tc>
          <w:tcPr>
            <w:tcW w:w="5944" w:type="dxa"/>
            <w:tcBorders>
              <w:top w:val="nil"/>
              <w:left w:val="single" w:sz="8" w:space="0" w:color="auto"/>
              <w:bottom w:val="single" w:sz="8" w:space="0" w:color="auto"/>
              <w:right w:val="single" w:sz="4" w:space="0" w:color="auto"/>
            </w:tcBorders>
            <w:shd w:val="clear" w:color="FFFFFF" w:fill="FFFFFF"/>
            <w:noWrap/>
            <w:vAlign w:val="bottom"/>
            <w:hideMark/>
          </w:tcPr>
          <w:p w:rsidR="00AD5632" w:rsidRPr="00A63D3D" w:rsidRDefault="00AD5632" w:rsidP="00BA0B4B">
            <w:pPr>
              <w:ind w:firstLineChars="200" w:firstLine="320"/>
              <w:rPr>
                <w:color w:val="333333"/>
                <w:sz w:val="16"/>
                <w:szCs w:val="20"/>
                <w:lang w:val="es-GT" w:eastAsia="es-GT"/>
              </w:rPr>
            </w:pPr>
            <w:r w:rsidRPr="00A63D3D">
              <w:rPr>
                <w:color w:val="333333"/>
                <w:sz w:val="16"/>
                <w:szCs w:val="20"/>
                <w:lang w:val="es-GT" w:eastAsia="es-GT"/>
              </w:rPr>
              <w:t>PARTIDAS NO ASIGNABLES A PROGRAMAS</w:t>
            </w:r>
          </w:p>
        </w:tc>
        <w:tc>
          <w:tcPr>
            <w:tcW w:w="992" w:type="dxa"/>
            <w:tcBorders>
              <w:top w:val="nil"/>
              <w:left w:val="single" w:sz="4" w:space="0" w:color="auto"/>
              <w:bottom w:val="single" w:sz="8" w:space="0" w:color="auto"/>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0.8</w:t>
            </w:r>
          </w:p>
        </w:tc>
        <w:tc>
          <w:tcPr>
            <w:tcW w:w="992" w:type="dxa"/>
            <w:tcBorders>
              <w:top w:val="nil"/>
              <w:left w:val="nil"/>
              <w:bottom w:val="single" w:sz="8" w:space="0" w:color="auto"/>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1.2</w:t>
            </w:r>
          </w:p>
        </w:tc>
        <w:tc>
          <w:tcPr>
            <w:tcW w:w="672" w:type="dxa"/>
            <w:tcBorders>
              <w:top w:val="nil"/>
              <w:left w:val="nil"/>
              <w:bottom w:val="single" w:sz="8" w:space="0" w:color="auto"/>
              <w:right w:val="single" w:sz="4"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-0.4</w:t>
            </w:r>
          </w:p>
        </w:tc>
        <w:tc>
          <w:tcPr>
            <w:tcW w:w="736" w:type="dxa"/>
            <w:tcBorders>
              <w:top w:val="nil"/>
              <w:left w:val="nil"/>
              <w:bottom w:val="single" w:sz="8" w:space="0" w:color="auto"/>
              <w:right w:val="single" w:sz="8" w:space="0" w:color="auto"/>
            </w:tcBorders>
            <w:shd w:val="clear" w:color="FFFFFF" w:fill="FFFFFF"/>
            <w:noWrap/>
            <w:vAlign w:val="center"/>
            <w:hideMark/>
          </w:tcPr>
          <w:p w:rsidR="00AD5632" w:rsidRPr="00A63D3D" w:rsidRDefault="00AD5632" w:rsidP="00BA0B4B">
            <w:pPr>
              <w:jc w:val="right"/>
              <w:rPr>
                <w:color w:val="333333"/>
                <w:sz w:val="16"/>
                <w:szCs w:val="20"/>
                <w:lang w:val="es-GT" w:eastAsia="es-GT"/>
              </w:rPr>
            </w:pPr>
            <w:r w:rsidRPr="00A63D3D">
              <w:rPr>
                <w:color w:val="333333"/>
                <w:sz w:val="16"/>
                <w:szCs w:val="20"/>
                <w:lang w:val="es-GT" w:eastAsia="es-GT"/>
              </w:rPr>
              <w:t>152.0%</w:t>
            </w:r>
          </w:p>
        </w:tc>
      </w:tr>
    </w:tbl>
    <w:p w:rsidR="00AD5632" w:rsidRDefault="00AD5632" w:rsidP="00AD5632">
      <w:pPr>
        <w:jc w:val="both"/>
        <w:rPr>
          <w:sz w:val="18"/>
        </w:rPr>
      </w:pPr>
      <w:r>
        <w:rPr>
          <w:sz w:val="18"/>
        </w:rPr>
        <w:fldChar w:fldCharType="end"/>
      </w:r>
      <w:r w:rsidR="00AF58B8">
        <w:rPr>
          <w:sz w:val="18"/>
        </w:rPr>
        <w:t xml:space="preserve"> </w:t>
      </w:r>
      <w:r w:rsidRPr="004E678D">
        <w:rPr>
          <w:sz w:val="18"/>
        </w:rPr>
        <w:t>Fuente: Ministerio de Finanzas Públicas</w:t>
      </w:r>
      <w:r>
        <w:rPr>
          <w:sz w:val="18"/>
        </w:rPr>
        <w:t>.</w:t>
      </w:r>
    </w:p>
    <w:p w:rsidR="00AD5632" w:rsidRDefault="00AD5632" w:rsidP="00AD5632">
      <w:pPr>
        <w:jc w:val="both"/>
      </w:pPr>
    </w:p>
    <w:p w:rsidR="00B179BA" w:rsidRPr="00B179BA" w:rsidRDefault="00B179BA" w:rsidP="00AD5632">
      <w:pPr>
        <w:jc w:val="both"/>
        <w:rPr>
          <w:sz w:val="36"/>
        </w:rPr>
      </w:pPr>
    </w:p>
    <w:p w:rsidR="00AD5632" w:rsidRDefault="00AD5632" w:rsidP="00AD5632">
      <w:pPr>
        <w:jc w:val="both"/>
        <w:rPr>
          <w:b/>
        </w:rPr>
      </w:pPr>
      <w:r w:rsidRPr="00D108FD">
        <w:rPr>
          <w:b/>
        </w:rPr>
        <w:t>Ministerio de Desarrollo Social</w:t>
      </w:r>
      <w:r>
        <w:rPr>
          <w:b/>
        </w:rPr>
        <w:t>:</w:t>
      </w:r>
    </w:p>
    <w:p w:rsidR="00AD5632" w:rsidRPr="00B179BA" w:rsidRDefault="00AD5632" w:rsidP="00AD5632">
      <w:pPr>
        <w:jc w:val="both"/>
        <w:rPr>
          <w:b/>
          <w:sz w:val="28"/>
        </w:rPr>
      </w:pPr>
    </w:p>
    <w:p w:rsidR="00AD5632" w:rsidRDefault="00AD5632" w:rsidP="00AD5632">
      <w:pPr>
        <w:jc w:val="both"/>
      </w:pPr>
      <w:r w:rsidRPr="00D108FD">
        <w:t>El Min</w:t>
      </w:r>
      <w:r>
        <w:t xml:space="preserve">isterio de </w:t>
      </w:r>
      <w:r w:rsidRPr="00D108FD">
        <w:t>Des</w:t>
      </w:r>
      <w:r>
        <w:t>arrollo Social</w:t>
      </w:r>
      <w:r w:rsidRPr="00D108FD">
        <w:t xml:space="preserve"> tuvo una asignación</w:t>
      </w:r>
      <w:r>
        <w:t xml:space="preserve"> inicial</w:t>
      </w:r>
      <w:r w:rsidRPr="00D108FD">
        <w:t xml:space="preserve"> de </w:t>
      </w:r>
      <w:r>
        <w:t>Q.7</w:t>
      </w:r>
      <w:r w:rsidRPr="00D108FD">
        <w:t>,</w:t>
      </w:r>
      <w:r>
        <w:t>509.1</w:t>
      </w:r>
      <w:r w:rsidRPr="00D108FD">
        <w:t xml:space="preserve"> millones y una ejecución presupuestaria de </w:t>
      </w:r>
      <w:r>
        <w:t>Q.1,057.3</w:t>
      </w:r>
      <w:r w:rsidRPr="00D108FD">
        <w:t xml:space="preserve"> millones</w:t>
      </w:r>
      <w:r w:rsidR="00034A57">
        <w:t>,</w:t>
      </w:r>
      <w:r w:rsidRPr="00D108FD">
        <w:t xml:space="preserve"> equivalente</w:t>
      </w:r>
      <w:r>
        <w:t>s</w:t>
      </w:r>
      <w:r w:rsidRPr="00D108FD">
        <w:t xml:space="preserve"> al </w:t>
      </w:r>
      <w:r>
        <w:t>14.1</w:t>
      </w:r>
      <w:r w:rsidRPr="00D108FD">
        <w:t>%</w:t>
      </w:r>
      <w:r>
        <w:t xml:space="preserve">, como resultado que el presupuesto base fue el vigente de 2020, ya que el proyecto de presupuesto presentado al Congreso </w:t>
      </w:r>
      <w:r>
        <w:lastRenderedPageBreak/>
        <w:t xml:space="preserve">de la República, para 2021 no fue aprobado y el vigente de 2020 incluyó la atención de la pandemia y a </w:t>
      </w:r>
      <w:r w:rsidR="00034A57">
        <w:t xml:space="preserve">los </w:t>
      </w:r>
      <w:r>
        <w:t>desastres naturales</w:t>
      </w:r>
      <w:r w:rsidR="00034A57">
        <w:t xml:space="preserve"> suscitados en ese año</w:t>
      </w:r>
      <w:r>
        <w:t>.</w:t>
      </w:r>
    </w:p>
    <w:p w:rsidR="00AD5632" w:rsidRPr="00B179BA" w:rsidRDefault="00AD5632" w:rsidP="00AD5632">
      <w:pPr>
        <w:jc w:val="both"/>
        <w:rPr>
          <w:sz w:val="28"/>
        </w:rPr>
      </w:pPr>
    </w:p>
    <w:p w:rsidR="00AD5632" w:rsidRDefault="00AD5632" w:rsidP="00AD5632">
      <w:pPr>
        <w:jc w:val="both"/>
      </w:pPr>
      <w:r w:rsidRPr="00D108FD">
        <w:t>El programa</w:t>
      </w:r>
      <w:r>
        <w:t xml:space="preserve"> con mayor ejecución al cierre preliminar de 2021 fue</w:t>
      </w:r>
      <w:r w:rsidRPr="00D108FD">
        <w:t xml:space="preserve"> “Transferencias Monetarias Condicionadas en Salud y Educación”</w:t>
      </w:r>
      <w:r>
        <w:t xml:space="preserve"> el cual reporta un presupuesto aprobado</w:t>
      </w:r>
      <w:r w:rsidRPr="00D108FD">
        <w:t xml:space="preserve"> de </w:t>
      </w:r>
      <w:r>
        <w:t>Q.</w:t>
      </w:r>
      <w:r w:rsidRPr="00D108FD">
        <w:t>3</w:t>
      </w:r>
      <w:r>
        <w:t>52.9</w:t>
      </w:r>
      <w:r w:rsidRPr="00D108FD">
        <w:t xml:space="preserve"> millones y una ejecución presupuestaria de </w:t>
      </w:r>
      <w:r>
        <w:t>Q.349.6</w:t>
      </w:r>
      <w:r w:rsidRPr="00D108FD">
        <w:t xml:space="preserve"> millones</w:t>
      </w:r>
      <w:r w:rsidR="00232498">
        <w:t>,</w:t>
      </w:r>
      <w:r w:rsidRPr="00D108FD">
        <w:t xml:space="preserve"> equivalente</w:t>
      </w:r>
      <w:r>
        <w:t>s</w:t>
      </w:r>
      <w:r w:rsidRPr="00D108FD">
        <w:t xml:space="preserve"> al </w:t>
      </w:r>
      <w:r>
        <w:t>99.1%.</w:t>
      </w:r>
    </w:p>
    <w:p w:rsidR="00AD5632" w:rsidRPr="00B179BA" w:rsidRDefault="00AD5632" w:rsidP="00AD5632">
      <w:pPr>
        <w:jc w:val="both"/>
        <w:rPr>
          <w:sz w:val="28"/>
        </w:rPr>
      </w:pPr>
    </w:p>
    <w:p w:rsidR="00AD5632" w:rsidRDefault="00AD5632" w:rsidP="00AD5632">
      <w:pPr>
        <w:jc w:val="both"/>
      </w:pPr>
      <w:r>
        <w:t>Le sigue e</w:t>
      </w:r>
      <w:r w:rsidRPr="00D108FD">
        <w:t>l programa “</w:t>
      </w:r>
      <w:r>
        <w:t>Dotación, Servicios e Infraestructura para el Desarrollo Social</w:t>
      </w:r>
      <w:r w:rsidRPr="00D108FD">
        <w:t xml:space="preserve">” con un presupuesto de </w:t>
      </w:r>
      <w:r>
        <w:t>Q.467.6</w:t>
      </w:r>
      <w:r w:rsidRPr="00D108FD">
        <w:t xml:space="preserve"> millones y una ejecución presupuestaria de </w:t>
      </w:r>
      <w:r>
        <w:t>Q.195.3</w:t>
      </w:r>
      <w:r w:rsidRPr="00D108FD">
        <w:t xml:space="preserve"> millones</w:t>
      </w:r>
      <w:r w:rsidR="00DC71CF">
        <w:t>,</w:t>
      </w:r>
      <w:r w:rsidRPr="00D108FD">
        <w:t xml:space="preserve"> equivalente</w:t>
      </w:r>
      <w:r>
        <w:t>s</w:t>
      </w:r>
      <w:r w:rsidRPr="00D108FD">
        <w:t xml:space="preserve"> al </w:t>
      </w:r>
      <w:r>
        <w:t>41.8%.</w:t>
      </w:r>
    </w:p>
    <w:p w:rsidR="00AD5632" w:rsidRPr="00B179BA" w:rsidRDefault="00AD5632" w:rsidP="00AD5632">
      <w:pPr>
        <w:jc w:val="both"/>
        <w:rPr>
          <w:sz w:val="28"/>
        </w:rPr>
      </w:pPr>
    </w:p>
    <w:p w:rsidR="00AD5632" w:rsidRDefault="00AD5632" w:rsidP="00AD5632">
      <w:pPr>
        <w:jc w:val="both"/>
      </w:pPr>
      <w:r>
        <w:t>Con base a las prioridades de 2021, le siguió el programa “Apoyo para el Consumo Adecuado de Alimentos” que tuvo un presupuesto aprobado de Q</w:t>
      </w:r>
      <w:r w:rsidR="00DC71CF">
        <w:t>.</w:t>
      </w:r>
      <w:r>
        <w:t>87.7 millones y una ejecución de Q172.8 millones</w:t>
      </w:r>
      <w:r w:rsidR="00DC71CF">
        <w:t>,</w:t>
      </w:r>
      <w:r>
        <w:t xml:space="preserve"> equivalentes al 197.0%.</w:t>
      </w:r>
    </w:p>
    <w:p w:rsidR="00AD5632" w:rsidRPr="00B179BA" w:rsidRDefault="00AD5632" w:rsidP="00AD5632">
      <w:pPr>
        <w:jc w:val="both"/>
        <w:rPr>
          <w:sz w:val="28"/>
        </w:rPr>
      </w:pPr>
    </w:p>
    <w:p w:rsidR="00AD5632" w:rsidRDefault="00AD5632" w:rsidP="00AD5632">
      <w:pPr>
        <w:jc w:val="both"/>
      </w:pPr>
      <w:r>
        <w:t>Dentro de la ejecución presupuestaria de este Ministerio, resaltó para 2020 el programa de “</w:t>
      </w:r>
      <w:r w:rsidRPr="00557291">
        <w:rPr>
          <w:i/>
        </w:rPr>
        <w:t>Atención por Desastres Naturales y Calamidades Públicas</w:t>
      </w:r>
      <w:r>
        <w:rPr>
          <w:i/>
        </w:rPr>
        <w:t>”</w:t>
      </w:r>
      <w:r>
        <w:t>, sub programa “</w:t>
      </w:r>
      <w:r w:rsidRPr="00557291">
        <w:rPr>
          <w:i/>
        </w:rPr>
        <w:t>Estado de Calamidad Pública por Emergencia C</w:t>
      </w:r>
      <w:r w:rsidR="00DC71CF">
        <w:rPr>
          <w:i/>
        </w:rPr>
        <w:t>ovid</w:t>
      </w:r>
      <w:r w:rsidRPr="00557291">
        <w:rPr>
          <w:i/>
        </w:rPr>
        <w:t>-19 (DG 5-2020)</w:t>
      </w:r>
      <w:r>
        <w:rPr>
          <w:i/>
        </w:rPr>
        <w:t xml:space="preserve">” </w:t>
      </w:r>
      <w:r>
        <w:t xml:space="preserve">con una </w:t>
      </w:r>
      <w:r w:rsidR="00DC71CF">
        <w:t>asignación</w:t>
      </w:r>
      <w:r>
        <w:t xml:space="preserve"> presupuestaria de Q.6,350.0 millones, como consecuencia de las crisis provocadas por la pandemia del C</w:t>
      </w:r>
      <w:r w:rsidR="00DC71CF">
        <w:t>ovid</w:t>
      </w:r>
      <w:r>
        <w:t>-19 y los desastres provocados por los huracanes, los cuales para 2021 ya no se dieron, por lo que la ejecución fue de Q</w:t>
      </w:r>
      <w:r w:rsidR="00DC71CF">
        <w:t>.</w:t>
      </w:r>
      <w:r>
        <w:t>104.7 millones.</w:t>
      </w:r>
    </w:p>
    <w:p w:rsidR="00AD5632" w:rsidRPr="00B179BA" w:rsidRDefault="00AD5632" w:rsidP="00AD5632">
      <w:pPr>
        <w:jc w:val="both"/>
        <w:rPr>
          <w:sz w:val="28"/>
        </w:rPr>
      </w:pPr>
    </w:p>
    <w:p w:rsidR="00AD5632" w:rsidRDefault="00AD5632" w:rsidP="00AD5632">
      <w:pPr>
        <w:jc w:val="both"/>
      </w:pPr>
      <w:r w:rsidRPr="00D108FD">
        <w:t>El programa “</w:t>
      </w:r>
      <w:r>
        <w:t xml:space="preserve">Servicios de </w:t>
      </w:r>
      <w:r w:rsidRPr="00D108FD">
        <w:t xml:space="preserve">Apoyo </w:t>
      </w:r>
      <w:r>
        <w:t>a los Programas Sociales</w:t>
      </w:r>
      <w:r w:rsidRPr="00D108FD">
        <w:t xml:space="preserve">” inició con un presupuesto de </w:t>
      </w:r>
      <w:r>
        <w:t>Q.</w:t>
      </w:r>
      <w:r w:rsidRPr="00D108FD">
        <w:t>1</w:t>
      </w:r>
      <w:r>
        <w:t>00.5</w:t>
      </w:r>
      <w:r w:rsidRPr="00D108FD">
        <w:t xml:space="preserve"> millones y una ejecución presupuestaria de </w:t>
      </w:r>
      <w:r>
        <w:t>Q.99.9</w:t>
      </w:r>
      <w:r w:rsidRPr="00D108FD">
        <w:t xml:space="preserve"> millones</w:t>
      </w:r>
      <w:r w:rsidR="002D53D9">
        <w:t>,</w:t>
      </w:r>
      <w:r w:rsidRPr="00D108FD">
        <w:t xml:space="preserve"> equivalente</w:t>
      </w:r>
      <w:r>
        <w:t>s</w:t>
      </w:r>
      <w:r w:rsidRPr="00D108FD">
        <w:t xml:space="preserve"> al </w:t>
      </w:r>
      <w:r>
        <w:t>99.5</w:t>
      </w:r>
      <w:r w:rsidRPr="00D108FD">
        <w:t>%</w:t>
      </w:r>
      <w:r>
        <w:t>.</w:t>
      </w:r>
    </w:p>
    <w:p w:rsidR="00AD5632" w:rsidRPr="00B179BA" w:rsidRDefault="00AD5632" w:rsidP="00AD5632">
      <w:pPr>
        <w:jc w:val="both"/>
        <w:rPr>
          <w:sz w:val="28"/>
        </w:rPr>
      </w:pPr>
    </w:p>
    <w:p w:rsidR="00AD5632" w:rsidRDefault="00AD5632" w:rsidP="00AD5632">
      <w:pPr>
        <w:jc w:val="both"/>
        <w:rPr>
          <w:rFonts w:ascii="Calibri" w:eastAsia="Calibri" w:hAnsi="Calibri"/>
          <w:sz w:val="20"/>
          <w:szCs w:val="20"/>
          <w:lang w:val="es-GT" w:eastAsia="es-GT"/>
        </w:rPr>
      </w:pPr>
      <w:r>
        <w:t xml:space="preserve">El programa “Administración Institucional” tuvo un presupuesto aprobado de Q.68.1 millones y una ejecución presupuestaria de Q.75.2 millones, equivalentes a 110.4%, mientras que los restantes 2 programas estuvieron por debajo, según se aprecia en el cuadro que se presenta a </w:t>
      </w:r>
      <w:r w:rsidR="002D53D9">
        <w:t>continuación</w:t>
      </w:r>
      <w:r>
        <w:t>.</w:t>
      </w: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Programa!F197C2:F206C6" \a \f 4 \h  \* MERGEFORMAT </w:instrText>
      </w:r>
      <w:r>
        <w:rPr>
          <w:noProof/>
          <w:lang w:val="es-GT" w:eastAsia="es-GT"/>
        </w:rPr>
        <w:fldChar w:fldCharType="separate"/>
      </w:r>
    </w:p>
    <w:p w:rsidR="00AD5632" w:rsidRPr="004E678D" w:rsidRDefault="00AD5632" w:rsidP="00AD5632">
      <w:pPr>
        <w:jc w:val="both"/>
        <w:rPr>
          <w:sz w:val="18"/>
        </w:rPr>
      </w:pPr>
      <w:r>
        <w:rPr>
          <w:noProof/>
          <w:lang w:val="es-GT" w:eastAsia="es-GT"/>
        </w:rPr>
        <w:fldChar w:fldCharType="end"/>
      </w:r>
    </w:p>
    <w:p w:rsidR="00AD5632" w:rsidRPr="004E678D" w:rsidRDefault="00AD5632" w:rsidP="00AD5632">
      <w:pPr>
        <w:jc w:val="both"/>
        <w:rPr>
          <w:sz w:val="18"/>
        </w:rPr>
      </w:pPr>
    </w:p>
    <w:tbl>
      <w:tblPr>
        <w:tblW w:w="9488" w:type="dxa"/>
        <w:tblCellMar>
          <w:left w:w="70" w:type="dxa"/>
          <w:right w:w="70" w:type="dxa"/>
        </w:tblCellMar>
        <w:tblLook w:val="04A0" w:firstRow="1" w:lastRow="0" w:firstColumn="1" w:lastColumn="0" w:noHBand="0" w:noVBand="1"/>
      </w:tblPr>
      <w:tblGrid>
        <w:gridCol w:w="5873"/>
        <w:gridCol w:w="1063"/>
        <w:gridCol w:w="992"/>
        <w:gridCol w:w="851"/>
        <w:gridCol w:w="709"/>
      </w:tblGrid>
      <w:tr w:rsidR="00AD5632" w:rsidRPr="00892A34" w:rsidTr="00C44989">
        <w:trPr>
          <w:trHeight w:val="195"/>
        </w:trPr>
        <w:tc>
          <w:tcPr>
            <w:tcW w:w="5873" w:type="dxa"/>
            <w:tcBorders>
              <w:top w:val="single" w:sz="8" w:space="0" w:color="auto"/>
              <w:left w:val="single" w:sz="8" w:space="0" w:color="auto"/>
              <w:bottom w:val="single" w:sz="4" w:space="0" w:color="auto"/>
              <w:right w:val="single" w:sz="4" w:space="0" w:color="auto"/>
            </w:tcBorders>
            <w:shd w:val="clear" w:color="000000" w:fill="8DB4E2"/>
            <w:noWrap/>
            <w:hideMark/>
          </w:tcPr>
          <w:p w:rsidR="00AD5632" w:rsidRPr="00892A34" w:rsidRDefault="00AD5632" w:rsidP="00BA0B4B">
            <w:pPr>
              <w:jc w:val="center"/>
              <w:rPr>
                <w:b/>
                <w:bCs/>
                <w:color w:val="000000"/>
                <w:sz w:val="16"/>
                <w:szCs w:val="20"/>
                <w:lang w:val="es-GT" w:eastAsia="es-GT"/>
              </w:rPr>
            </w:pPr>
            <w:r w:rsidRPr="00892A34">
              <w:rPr>
                <w:b/>
                <w:bCs/>
                <w:color w:val="000000"/>
                <w:sz w:val="16"/>
                <w:szCs w:val="20"/>
                <w:lang w:val="es-GT" w:eastAsia="es-GT"/>
              </w:rPr>
              <w:t>DESCRIPCI</w:t>
            </w:r>
            <w:r w:rsidR="00241D54">
              <w:rPr>
                <w:b/>
                <w:bCs/>
                <w:color w:val="000000"/>
                <w:sz w:val="16"/>
                <w:szCs w:val="20"/>
                <w:lang w:val="es-GT" w:eastAsia="es-GT"/>
              </w:rPr>
              <w:t>Ó</w:t>
            </w:r>
            <w:r w:rsidRPr="00892A34">
              <w:rPr>
                <w:b/>
                <w:bCs/>
                <w:color w:val="000000"/>
                <w:sz w:val="16"/>
                <w:szCs w:val="20"/>
                <w:lang w:val="es-GT" w:eastAsia="es-GT"/>
              </w:rPr>
              <w:t>N</w:t>
            </w:r>
          </w:p>
        </w:tc>
        <w:tc>
          <w:tcPr>
            <w:tcW w:w="1063" w:type="dxa"/>
            <w:tcBorders>
              <w:top w:val="single" w:sz="8" w:space="0" w:color="auto"/>
              <w:left w:val="nil"/>
              <w:bottom w:val="single" w:sz="4" w:space="0" w:color="auto"/>
              <w:right w:val="single" w:sz="4" w:space="0" w:color="auto"/>
            </w:tcBorders>
            <w:shd w:val="clear" w:color="000000" w:fill="8DB4E2"/>
            <w:noWrap/>
            <w:hideMark/>
          </w:tcPr>
          <w:p w:rsidR="00AD5632" w:rsidRPr="00892A34" w:rsidRDefault="00AD5632" w:rsidP="00BA0B4B">
            <w:pPr>
              <w:jc w:val="center"/>
              <w:rPr>
                <w:b/>
                <w:bCs/>
                <w:color w:val="000000"/>
                <w:sz w:val="16"/>
                <w:szCs w:val="20"/>
                <w:lang w:val="es-GT" w:eastAsia="es-GT"/>
              </w:rPr>
            </w:pPr>
            <w:r w:rsidRPr="00892A34">
              <w:rPr>
                <w:b/>
                <w:bCs/>
                <w:color w:val="000000"/>
                <w:sz w:val="16"/>
                <w:szCs w:val="20"/>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hideMark/>
          </w:tcPr>
          <w:p w:rsidR="00AD5632" w:rsidRPr="00892A34" w:rsidRDefault="00AD5632" w:rsidP="00BA0B4B">
            <w:pPr>
              <w:jc w:val="center"/>
              <w:rPr>
                <w:b/>
                <w:bCs/>
                <w:color w:val="000000"/>
                <w:sz w:val="16"/>
                <w:szCs w:val="20"/>
                <w:lang w:val="es-GT" w:eastAsia="es-GT"/>
              </w:rPr>
            </w:pPr>
            <w:r w:rsidRPr="00892A34">
              <w:rPr>
                <w:b/>
                <w:bCs/>
                <w:color w:val="000000"/>
                <w:sz w:val="16"/>
                <w:szCs w:val="20"/>
                <w:lang w:val="es-GT" w:eastAsia="es-GT"/>
              </w:rPr>
              <w:t>Ejecu</w:t>
            </w:r>
            <w:r w:rsidR="00241D54">
              <w:rPr>
                <w:b/>
                <w:bCs/>
                <w:color w:val="000000"/>
                <w:sz w:val="16"/>
                <w:szCs w:val="20"/>
                <w:lang w:val="es-GT" w:eastAsia="es-GT"/>
              </w:rPr>
              <w:t>tado</w:t>
            </w:r>
          </w:p>
        </w:tc>
        <w:tc>
          <w:tcPr>
            <w:tcW w:w="851" w:type="dxa"/>
            <w:tcBorders>
              <w:top w:val="single" w:sz="8" w:space="0" w:color="auto"/>
              <w:left w:val="nil"/>
              <w:bottom w:val="single" w:sz="4" w:space="0" w:color="auto"/>
              <w:right w:val="single" w:sz="4" w:space="0" w:color="auto"/>
            </w:tcBorders>
            <w:shd w:val="clear" w:color="000000" w:fill="8DB4E2"/>
            <w:noWrap/>
            <w:hideMark/>
          </w:tcPr>
          <w:p w:rsidR="00AD5632" w:rsidRPr="00892A34" w:rsidRDefault="00AD5632" w:rsidP="00BA0B4B">
            <w:pPr>
              <w:jc w:val="center"/>
              <w:rPr>
                <w:b/>
                <w:bCs/>
                <w:color w:val="000000"/>
                <w:sz w:val="16"/>
                <w:szCs w:val="20"/>
                <w:lang w:val="es-GT" w:eastAsia="es-GT"/>
              </w:rPr>
            </w:pPr>
            <w:r w:rsidRPr="00892A34">
              <w:rPr>
                <w:b/>
                <w:bCs/>
                <w:color w:val="000000"/>
                <w:sz w:val="16"/>
                <w:szCs w:val="20"/>
                <w:lang w:val="es-GT" w:eastAsia="es-GT"/>
              </w:rPr>
              <w:t>Dif</w:t>
            </w:r>
          </w:p>
        </w:tc>
        <w:tc>
          <w:tcPr>
            <w:tcW w:w="709" w:type="dxa"/>
            <w:tcBorders>
              <w:top w:val="single" w:sz="8" w:space="0" w:color="auto"/>
              <w:left w:val="nil"/>
              <w:bottom w:val="single" w:sz="4" w:space="0" w:color="auto"/>
              <w:right w:val="single" w:sz="8" w:space="0" w:color="auto"/>
            </w:tcBorders>
            <w:shd w:val="clear" w:color="000000" w:fill="8DB4E2"/>
            <w:noWrap/>
            <w:hideMark/>
          </w:tcPr>
          <w:p w:rsidR="00AD5632" w:rsidRPr="00892A34" w:rsidRDefault="00AD5632" w:rsidP="00BA0B4B">
            <w:pPr>
              <w:jc w:val="center"/>
              <w:rPr>
                <w:b/>
                <w:bCs/>
                <w:color w:val="000000"/>
                <w:sz w:val="16"/>
                <w:szCs w:val="20"/>
                <w:lang w:val="es-GT" w:eastAsia="es-GT"/>
              </w:rPr>
            </w:pPr>
            <w:r w:rsidRPr="00892A34">
              <w:rPr>
                <w:b/>
                <w:bCs/>
                <w:color w:val="000000"/>
                <w:sz w:val="16"/>
                <w:szCs w:val="20"/>
                <w:lang w:val="es-GT" w:eastAsia="es-GT"/>
              </w:rPr>
              <w:t>% Ejec</w:t>
            </w:r>
          </w:p>
        </w:tc>
      </w:tr>
      <w:tr w:rsidR="00AD5632" w:rsidRPr="00892A34" w:rsidTr="00C44989">
        <w:trPr>
          <w:trHeight w:val="195"/>
        </w:trPr>
        <w:tc>
          <w:tcPr>
            <w:tcW w:w="5873" w:type="dxa"/>
            <w:tcBorders>
              <w:top w:val="nil"/>
              <w:left w:val="single" w:sz="8" w:space="0" w:color="auto"/>
              <w:bottom w:val="nil"/>
              <w:right w:val="single" w:sz="4" w:space="0" w:color="auto"/>
            </w:tcBorders>
            <w:shd w:val="clear" w:color="FFFFFF" w:fill="FFFFFF"/>
            <w:noWrap/>
            <w:vAlign w:val="bottom"/>
            <w:hideMark/>
          </w:tcPr>
          <w:p w:rsidR="00AD5632" w:rsidRPr="00892A34" w:rsidRDefault="00AD5632" w:rsidP="00BA0B4B">
            <w:pPr>
              <w:rPr>
                <w:b/>
                <w:bCs/>
                <w:color w:val="333333"/>
                <w:sz w:val="16"/>
                <w:szCs w:val="20"/>
                <w:lang w:val="es-GT" w:eastAsia="es-GT"/>
              </w:rPr>
            </w:pPr>
            <w:r w:rsidRPr="00892A34">
              <w:rPr>
                <w:b/>
                <w:bCs/>
                <w:color w:val="333333"/>
                <w:sz w:val="16"/>
                <w:szCs w:val="20"/>
                <w:lang w:val="es-GT" w:eastAsia="es-GT"/>
              </w:rPr>
              <w:t>MINISTERIO DE DESARROLLO SOCIAL</w:t>
            </w:r>
          </w:p>
        </w:tc>
        <w:tc>
          <w:tcPr>
            <w:tcW w:w="1063"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b/>
                <w:bCs/>
                <w:color w:val="333333"/>
                <w:sz w:val="16"/>
                <w:szCs w:val="20"/>
                <w:lang w:val="es-GT" w:eastAsia="es-GT"/>
              </w:rPr>
            </w:pPr>
            <w:r w:rsidRPr="00892A34">
              <w:rPr>
                <w:b/>
                <w:bCs/>
                <w:color w:val="333333"/>
                <w:sz w:val="16"/>
                <w:szCs w:val="20"/>
                <w:lang w:val="es-GT" w:eastAsia="es-GT"/>
              </w:rPr>
              <w:t>7,509.1</w:t>
            </w:r>
          </w:p>
        </w:tc>
        <w:tc>
          <w:tcPr>
            <w:tcW w:w="992"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b/>
                <w:bCs/>
                <w:color w:val="333333"/>
                <w:sz w:val="16"/>
                <w:szCs w:val="20"/>
                <w:lang w:val="es-GT" w:eastAsia="es-GT"/>
              </w:rPr>
            </w:pPr>
            <w:r w:rsidRPr="00892A34">
              <w:rPr>
                <w:b/>
                <w:bCs/>
                <w:color w:val="333333"/>
                <w:sz w:val="16"/>
                <w:szCs w:val="20"/>
                <w:lang w:val="es-GT" w:eastAsia="es-GT"/>
              </w:rPr>
              <w:t>1,057.3</w:t>
            </w:r>
          </w:p>
        </w:tc>
        <w:tc>
          <w:tcPr>
            <w:tcW w:w="851"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b/>
                <w:bCs/>
                <w:color w:val="333333"/>
                <w:sz w:val="16"/>
                <w:szCs w:val="20"/>
                <w:lang w:val="es-GT" w:eastAsia="es-GT"/>
              </w:rPr>
            </w:pPr>
            <w:r w:rsidRPr="00892A34">
              <w:rPr>
                <w:b/>
                <w:bCs/>
                <w:color w:val="333333"/>
                <w:sz w:val="16"/>
                <w:szCs w:val="20"/>
                <w:lang w:val="es-GT" w:eastAsia="es-GT"/>
              </w:rPr>
              <w:t>6,451.8</w:t>
            </w:r>
          </w:p>
        </w:tc>
        <w:tc>
          <w:tcPr>
            <w:tcW w:w="709" w:type="dxa"/>
            <w:tcBorders>
              <w:top w:val="nil"/>
              <w:left w:val="nil"/>
              <w:bottom w:val="nil"/>
              <w:right w:val="single" w:sz="8" w:space="0" w:color="auto"/>
            </w:tcBorders>
            <w:shd w:val="clear" w:color="FFFFFF" w:fill="FFFFFF"/>
            <w:noWrap/>
            <w:vAlign w:val="center"/>
            <w:hideMark/>
          </w:tcPr>
          <w:p w:rsidR="00AD5632" w:rsidRPr="00892A34" w:rsidRDefault="00AD5632" w:rsidP="00BA0B4B">
            <w:pPr>
              <w:jc w:val="right"/>
              <w:rPr>
                <w:b/>
                <w:bCs/>
                <w:color w:val="333333"/>
                <w:sz w:val="16"/>
                <w:szCs w:val="20"/>
                <w:lang w:val="es-GT" w:eastAsia="es-GT"/>
              </w:rPr>
            </w:pPr>
            <w:r w:rsidRPr="00892A34">
              <w:rPr>
                <w:b/>
                <w:bCs/>
                <w:color w:val="333333"/>
                <w:sz w:val="16"/>
                <w:szCs w:val="20"/>
                <w:lang w:val="es-GT" w:eastAsia="es-GT"/>
              </w:rPr>
              <w:t>14.1%</w:t>
            </w:r>
          </w:p>
        </w:tc>
      </w:tr>
      <w:tr w:rsidR="00AD5632" w:rsidRPr="00892A34" w:rsidTr="00C44989">
        <w:trPr>
          <w:trHeight w:val="195"/>
        </w:trPr>
        <w:tc>
          <w:tcPr>
            <w:tcW w:w="5873" w:type="dxa"/>
            <w:tcBorders>
              <w:top w:val="nil"/>
              <w:left w:val="single" w:sz="8" w:space="0" w:color="auto"/>
              <w:bottom w:val="nil"/>
              <w:right w:val="single" w:sz="4" w:space="0" w:color="auto"/>
            </w:tcBorders>
            <w:shd w:val="clear" w:color="FFFFFF" w:fill="FFFFFF"/>
            <w:vAlign w:val="bottom"/>
            <w:hideMark/>
          </w:tcPr>
          <w:p w:rsidR="00AD5632" w:rsidRPr="00892A34" w:rsidRDefault="00AD5632" w:rsidP="00BA0B4B">
            <w:pPr>
              <w:ind w:firstLineChars="200" w:firstLine="320"/>
              <w:rPr>
                <w:color w:val="333333"/>
                <w:sz w:val="16"/>
                <w:szCs w:val="20"/>
                <w:lang w:val="es-GT" w:eastAsia="es-GT"/>
              </w:rPr>
            </w:pPr>
            <w:r w:rsidRPr="00892A34">
              <w:rPr>
                <w:color w:val="333333"/>
                <w:sz w:val="16"/>
                <w:szCs w:val="20"/>
                <w:lang w:val="es-GT" w:eastAsia="es-GT"/>
              </w:rPr>
              <w:t>TRANS MONETARIAS CONDICIONADAS EN SALUD Y EDUCACIÓN</w:t>
            </w:r>
          </w:p>
        </w:tc>
        <w:tc>
          <w:tcPr>
            <w:tcW w:w="1063"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352.9</w:t>
            </w:r>
          </w:p>
        </w:tc>
        <w:tc>
          <w:tcPr>
            <w:tcW w:w="992"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349.6</w:t>
            </w:r>
          </w:p>
        </w:tc>
        <w:tc>
          <w:tcPr>
            <w:tcW w:w="851"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3.3</w:t>
            </w:r>
          </w:p>
        </w:tc>
        <w:tc>
          <w:tcPr>
            <w:tcW w:w="709" w:type="dxa"/>
            <w:tcBorders>
              <w:top w:val="nil"/>
              <w:left w:val="nil"/>
              <w:bottom w:val="nil"/>
              <w:right w:val="single" w:sz="8"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99.1%</w:t>
            </w:r>
          </w:p>
        </w:tc>
      </w:tr>
      <w:tr w:rsidR="00AD5632" w:rsidRPr="00892A34" w:rsidTr="00C44989">
        <w:trPr>
          <w:trHeight w:val="195"/>
        </w:trPr>
        <w:tc>
          <w:tcPr>
            <w:tcW w:w="5873" w:type="dxa"/>
            <w:tcBorders>
              <w:top w:val="nil"/>
              <w:left w:val="single" w:sz="8" w:space="0" w:color="auto"/>
              <w:bottom w:val="nil"/>
              <w:right w:val="single" w:sz="4" w:space="0" w:color="auto"/>
            </w:tcBorders>
            <w:shd w:val="clear" w:color="FFFFFF" w:fill="FFFFFF"/>
            <w:vAlign w:val="bottom"/>
            <w:hideMark/>
          </w:tcPr>
          <w:p w:rsidR="00AD5632" w:rsidRPr="00892A34" w:rsidRDefault="00AD5632" w:rsidP="00BA0B4B">
            <w:pPr>
              <w:ind w:firstLineChars="200" w:firstLine="320"/>
              <w:rPr>
                <w:color w:val="333333"/>
                <w:sz w:val="16"/>
                <w:szCs w:val="20"/>
                <w:lang w:val="es-GT" w:eastAsia="es-GT"/>
              </w:rPr>
            </w:pPr>
            <w:r w:rsidRPr="00892A34">
              <w:rPr>
                <w:color w:val="333333"/>
                <w:sz w:val="16"/>
                <w:szCs w:val="20"/>
                <w:lang w:val="es-GT" w:eastAsia="es-GT"/>
              </w:rPr>
              <w:t>DOTACIONES, SERVS E INFRAESTRUC PARA EL DESARROLLO SOCIAL</w:t>
            </w:r>
          </w:p>
        </w:tc>
        <w:tc>
          <w:tcPr>
            <w:tcW w:w="1063"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467.6</w:t>
            </w:r>
          </w:p>
        </w:tc>
        <w:tc>
          <w:tcPr>
            <w:tcW w:w="992"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195.3</w:t>
            </w:r>
          </w:p>
        </w:tc>
        <w:tc>
          <w:tcPr>
            <w:tcW w:w="851"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272.3</w:t>
            </w:r>
          </w:p>
        </w:tc>
        <w:tc>
          <w:tcPr>
            <w:tcW w:w="709" w:type="dxa"/>
            <w:tcBorders>
              <w:top w:val="nil"/>
              <w:left w:val="nil"/>
              <w:bottom w:val="nil"/>
              <w:right w:val="single" w:sz="8"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41.8%</w:t>
            </w:r>
          </w:p>
        </w:tc>
      </w:tr>
      <w:tr w:rsidR="00AD5632" w:rsidRPr="00892A34" w:rsidTr="00C44989">
        <w:trPr>
          <w:trHeight w:val="195"/>
        </w:trPr>
        <w:tc>
          <w:tcPr>
            <w:tcW w:w="5873" w:type="dxa"/>
            <w:tcBorders>
              <w:top w:val="nil"/>
              <w:left w:val="single" w:sz="8" w:space="0" w:color="auto"/>
              <w:bottom w:val="nil"/>
              <w:right w:val="single" w:sz="4" w:space="0" w:color="auto"/>
            </w:tcBorders>
            <w:shd w:val="clear" w:color="FFFFFF" w:fill="FFFFFF"/>
            <w:vAlign w:val="bottom"/>
            <w:hideMark/>
          </w:tcPr>
          <w:p w:rsidR="00AD5632" w:rsidRPr="00892A34" w:rsidRDefault="00AD5632" w:rsidP="00BA0B4B">
            <w:pPr>
              <w:ind w:firstLineChars="200" w:firstLine="320"/>
              <w:rPr>
                <w:color w:val="333333"/>
                <w:sz w:val="16"/>
                <w:szCs w:val="20"/>
                <w:lang w:val="es-GT" w:eastAsia="es-GT"/>
              </w:rPr>
            </w:pPr>
            <w:r w:rsidRPr="00892A34">
              <w:rPr>
                <w:color w:val="333333"/>
                <w:sz w:val="16"/>
                <w:szCs w:val="20"/>
                <w:lang w:val="es-GT" w:eastAsia="es-GT"/>
              </w:rPr>
              <w:t>APOYO PARA EL CONSUMO ADECUADO DE ALIMENTOS</w:t>
            </w:r>
          </w:p>
        </w:tc>
        <w:tc>
          <w:tcPr>
            <w:tcW w:w="1063"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87.7</w:t>
            </w:r>
          </w:p>
        </w:tc>
        <w:tc>
          <w:tcPr>
            <w:tcW w:w="992"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172.8</w:t>
            </w:r>
          </w:p>
        </w:tc>
        <w:tc>
          <w:tcPr>
            <w:tcW w:w="851"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-85.1</w:t>
            </w:r>
          </w:p>
        </w:tc>
        <w:tc>
          <w:tcPr>
            <w:tcW w:w="709" w:type="dxa"/>
            <w:tcBorders>
              <w:top w:val="nil"/>
              <w:left w:val="nil"/>
              <w:bottom w:val="nil"/>
              <w:right w:val="single" w:sz="8"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197.0%</w:t>
            </w:r>
          </w:p>
        </w:tc>
      </w:tr>
      <w:tr w:rsidR="00AD5632" w:rsidRPr="00892A34" w:rsidTr="00C44989">
        <w:trPr>
          <w:trHeight w:val="195"/>
        </w:trPr>
        <w:tc>
          <w:tcPr>
            <w:tcW w:w="5873" w:type="dxa"/>
            <w:tcBorders>
              <w:top w:val="nil"/>
              <w:left w:val="single" w:sz="8" w:space="0" w:color="auto"/>
              <w:bottom w:val="nil"/>
              <w:right w:val="single" w:sz="4" w:space="0" w:color="auto"/>
            </w:tcBorders>
            <w:shd w:val="clear" w:color="FFFFFF" w:fill="FFFFFF"/>
            <w:noWrap/>
            <w:vAlign w:val="bottom"/>
            <w:hideMark/>
          </w:tcPr>
          <w:p w:rsidR="00AD5632" w:rsidRPr="00892A34" w:rsidRDefault="00AD5632" w:rsidP="00BA0B4B">
            <w:pPr>
              <w:ind w:firstLineChars="200" w:firstLine="320"/>
              <w:rPr>
                <w:color w:val="333333"/>
                <w:sz w:val="16"/>
                <w:szCs w:val="20"/>
                <w:lang w:val="es-GT" w:eastAsia="es-GT"/>
              </w:rPr>
            </w:pPr>
            <w:r w:rsidRPr="00892A34">
              <w:rPr>
                <w:color w:val="333333"/>
                <w:sz w:val="16"/>
                <w:szCs w:val="20"/>
                <w:lang w:val="es-GT" w:eastAsia="es-GT"/>
              </w:rPr>
              <w:t>ATENCIÓN POR DESASTRES NATURALES Y CALAMIDADES PÚBLICAS</w:t>
            </w:r>
          </w:p>
        </w:tc>
        <w:tc>
          <w:tcPr>
            <w:tcW w:w="1063"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6,350.0</w:t>
            </w:r>
          </w:p>
        </w:tc>
        <w:tc>
          <w:tcPr>
            <w:tcW w:w="992"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104.7</w:t>
            </w:r>
          </w:p>
        </w:tc>
        <w:tc>
          <w:tcPr>
            <w:tcW w:w="851"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6,245.3</w:t>
            </w:r>
          </w:p>
        </w:tc>
        <w:tc>
          <w:tcPr>
            <w:tcW w:w="709" w:type="dxa"/>
            <w:tcBorders>
              <w:top w:val="nil"/>
              <w:left w:val="nil"/>
              <w:bottom w:val="nil"/>
              <w:right w:val="single" w:sz="8"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1.6%</w:t>
            </w:r>
          </w:p>
        </w:tc>
      </w:tr>
      <w:tr w:rsidR="00AD5632" w:rsidRPr="00892A34" w:rsidTr="00C44989">
        <w:trPr>
          <w:trHeight w:val="195"/>
        </w:trPr>
        <w:tc>
          <w:tcPr>
            <w:tcW w:w="5873" w:type="dxa"/>
            <w:tcBorders>
              <w:top w:val="nil"/>
              <w:left w:val="single" w:sz="8" w:space="0" w:color="auto"/>
              <w:bottom w:val="nil"/>
              <w:right w:val="single" w:sz="4" w:space="0" w:color="auto"/>
            </w:tcBorders>
            <w:shd w:val="clear" w:color="FFFFFF" w:fill="FFFFFF"/>
            <w:vAlign w:val="bottom"/>
            <w:hideMark/>
          </w:tcPr>
          <w:p w:rsidR="00AD5632" w:rsidRPr="00892A34" w:rsidRDefault="00AD5632" w:rsidP="00BA0B4B">
            <w:pPr>
              <w:ind w:firstLineChars="200" w:firstLine="320"/>
              <w:rPr>
                <w:color w:val="333333"/>
                <w:sz w:val="16"/>
                <w:szCs w:val="20"/>
                <w:lang w:val="es-GT" w:eastAsia="es-GT"/>
              </w:rPr>
            </w:pPr>
            <w:r w:rsidRPr="00892A34">
              <w:rPr>
                <w:color w:val="333333"/>
                <w:sz w:val="16"/>
                <w:szCs w:val="20"/>
                <w:lang w:val="es-GT" w:eastAsia="es-GT"/>
              </w:rPr>
              <w:t xml:space="preserve">SERVICIOS DE APOYO A LOS PROGRAMAS SOCIALES </w:t>
            </w:r>
          </w:p>
        </w:tc>
        <w:tc>
          <w:tcPr>
            <w:tcW w:w="1063"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100.5</w:t>
            </w:r>
          </w:p>
        </w:tc>
        <w:tc>
          <w:tcPr>
            <w:tcW w:w="992"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99.9</w:t>
            </w:r>
          </w:p>
        </w:tc>
        <w:tc>
          <w:tcPr>
            <w:tcW w:w="851"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0.5</w:t>
            </w:r>
          </w:p>
        </w:tc>
        <w:tc>
          <w:tcPr>
            <w:tcW w:w="709" w:type="dxa"/>
            <w:tcBorders>
              <w:top w:val="nil"/>
              <w:left w:val="nil"/>
              <w:bottom w:val="nil"/>
              <w:right w:val="single" w:sz="8"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99.5%</w:t>
            </w:r>
          </w:p>
        </w:tc>
      </w:tr>
      <w:tr w:rsidR="00AD5632" w:rsidRPr="00892A34" w:rsidTr="00C44989">
        <w:trPr>
          <w:trHeight w:val="195"/>
        </w:trPr>
        <w:tc>
          <w:tcPr>
            <w:tcW w:w="5873" w:type="dxa"/>
            <w:tcBorders>
              <w:top w:val="nil"/>
              <w:left w:val="single" w:sz="8" w:space="0" w:color="auto"/>
              <w:bottom w:val="nil"/>
              <w:right w:val="single" w:sz="4" w:space="0" w:color="auto"/>
            </w:tcBorders>
            <w:shd w:val="clear" w:color="FFFFFF" w:fill="FFFFFF"/>
            <w:vAlign w:val="bottom"/>
            <w:hideMark/>
          </w:tcPr>
          <w:p w:rsidR="00AD5632" w:rsidRPr="00892A34" w:rsidRDefault="00AD5632" w:rsidP="00BA0B4B">
            <w:pPr>
              <w:ind w:firstLineChars="200" w:firstLine="320"/>
              <w:rPr>
                <w:color w:val="333333"/>
                <w:sz w:val="16"/>
                <w:szCs w:val="20"/>
                <w:lang w:val="es-GT" w:eastAsia="es-GT"/>
              </w:rPr>
            </w:pPr>
            <w:r w:rsidRPr="00892A34">
              <w:rPr>
                <w:color w:val="333333"/>
                <w:sz w:val="16"/>
                <w:szCs w:val="20"/>
                <w:lang w:val="es-GT" w:eastAsia="es-GT"/>
              </w:rPr>
              <w:t>ADMINISTRACIÓN INSTITUCIONAL</w:t>
            </w:r>
          </w:p>
        </w:tc>
        <w:tc>
          <w:tcPr>
            <w:tcW w:w="1063"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68.1</w:t>
            </w:r>
          </w:p>
        </w:tc>
        <w:tc>
          <w:tcPr>
            <w:tcW w:w="992"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75.2</w:t>
            </w:r>
          </w:p>
        </w:tc>
        <w:tc>
          <w:tcPr>
            <w:tcW w:w="851"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-7.1</w:t>
            </w:r>
          </w:p>
        </w:tc>
        <w:tc>
          <w:tcPr>
            <w:tcW w:w="709" w:type="dxa"/>
            <w:tcBorders>
              <w:top w:val="nil"/>
              <w:left w:val="nil"/>
              <w:bottom w:val="nil"/>
              <w:right w:val="single" w:sz="8"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110.4%</w:t>
            </w:r>
          </w:p>
        </w:tc>
      </w:tr>
      <w:tr w:rsidR="00AD5632" w:rsidRPr="00892A34" w:rsidTr="00C44989">
        <w:trPr>
          <w:trHeight w:val="195"/>
        </w:trPr>
        <w:tc>
          <w:tcPr>
            <w:tcW w:w="5873" w:type="dxa"/>
            <w:tcBorders>
              <w:top w:val="nil"/>
              <w:left w:val="single" w:sz="8" w:space="0" w:color="auto"/>
              <w:bottom w:val="nil"/>
              <w:right w:val="single" w:sz="4" w:space="0" w:color="auto"/>
            </w:tcBorders>
            <w:shd w:val="clear" w:color="FFFFFF" w:fill="FFFFFF"/>
            <w:noWrap/>
            <w:vAlign w:val="bottom"/>
            <w:hideMark/>
          </w:tcPr>
          <w:p w:rsidR="00AD5632" w:rsidRPr="00892A34" w:rsidRDefault="00AD5632" w:rsidP="00BA0B4B">
            <w:pPr>
              <w:ind w:firstLineChars="200" w:firstLine="320"/>
              <w:rPr>
                <w:color w:val="333333"/>
                <w:sz w:val="16"/>
                <w:szCs w:val="20"/>
                <w:lang w:val="es-GT" w:eastAsia="es-GT"/>
              </w:rPr>
            </w:pPr>
            <w:r w:rsidRPr="00892A34">
              <w:rPr>
                <w:color w:val="333333"/>
                <w:sz w:val="16"/>
                <w:szCs w:val="20"/>
                <w:lang w:val="es-GT" w:eastAsia="es-GT"/>
              </w:rPr>
              <w:t>PREVENCIÓN DE LA DELINCUENCIA EN ADOLESCENTES Y JÓVENES</w:t>
            </w:r>
          </w:p>
        </w:tc>
        <w:tc>
          <w:tcPr>
            <w:tcW w:w="1063"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57.2</w:t>
            </w:r>
          </w:p>
        </w:tc>
        <w:tc>
          <w:tcPr>
            <w:tcW w:w="992"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31.7</w:t>
            </w:r>
          </w:p>
        </w:tc>
        <w:tc>
          <w:tcPr>
            <w:tcW w:w="851" w:type="dxa"/>
            <w:tcBorders>
              <w:top w:val="nil"/>
              <w:left w:val="nil"/>
              <w:bottom w:val="nil"/>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25.6</w:t>
            </w:r>
          </w:p>
        </w:tc>
        <w:tc>
          <w:tcPr>
            <w:tcW w:w="709" w:type="dxa"/>
            <w:tcBorders>
              <w:top w:val="nil"/>
              <w:left w:val="nil"/>
              <w:bottom w:val="nil"/>
              <w:right w:val="single" w:sz="8"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55.3%</w:t>
            </w:r>
          </w:p>
        </w:tc>
      </w:tr>
      <w:tr w:rsidR="00AD5632" w:rsidRPr="00892A34" w:rsidTr="00C44989">
        <w:trPr>
          <w:trHeight w:val="195"/>
        </w:trPr>
        <w:tc>
          <w:tcPr>
            <w:tcW w:w="5873" w:type="dxa"/>
            <w:tcBorders>
              <w:top w:val="nil"/>
              <w:left w:val="single" w:sz="8" w:space="0" w:color="auto"/>
              <w:bottom w:val="single" w:sz="8" w:space="0" w:color="auto"/>
              <w:right w:val="single" w:sz="4" w:space="0" w:color="auto"/>
            </w:tcBorders>
            <w:shd w:val="clear" w:color="FFFFFF" w:fill="FFFFFF"/>
            <w:vAlign w:val="bottom"/>
            <w:hideMark/>
          </w:tcPr>
          <w:p w:rsidR="00AD5632" w:rsidRPr="00892A34" w:rsidRDefault="00AD5632" w:rsidP="00BA0B4B">
            <w:pPr>
              <w:ind w:firstLineChars="200" w:firstLine="320"/>
              <w:rPr>
                <w:color w:val="333333"/>
                <w:sz w:val="16"/>
                <w:szCs w:val="20"/>
                <w:lang w:val="es-GT" w:eastAsia="es-GT"/>
              </w:rPr>
            </w:pPr>
            <w:r w:rsidRPr="00892A34">
              <w:rPr>
                <w:color w:val="333333"/>
                <w:sz w:val="16"/>
                <w:szCs w:val="20"/>
                <w:lang w:val="es-GT" w:eastAsia="es-GT"/>
              </w:rPr>
              <w:t>PARTIDAS NO ASIGNABLES A PROGRAMAS</w:t>
            </w:r>
          </w:p>
        </w:tc>
        <w:tc>
          <w:tcPr>
            <w:tcW w:w="1063" w:type="dxa"/>
            <w:tcBorders>
              <w:top w:val="nil"/>
              <w:left w:val="single" w:sz="4" w:space="0" w:color="auto"/>
              <w:bottom w:val="single" w:sz="8" w:space="0" w:color="auto"/>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25.2</w:t>
            </w:r>
          </w:p>
        </w:tc>
        <w:tc>
          <w:tcPr>
            <w:tcW w:w="992" w:type="dxa"/>
            <w:tcBorders>
              <w:top w:val="nil"/>
              <w:left w:val="nil"/>
              <w:bottom w:val="single" w:sz="8" w:space="0" w:color="auto"/>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28.2</w:t>
            </w:r>
          </w:p>
        </w:tc>
        <w:tc>
          <w:tcPr>
            <w:tcW w:w="851" w:type="dxa"/>
            <w:tcBorders>
              <w:top w:val="nil"/>
              <w:left w:val="nil"/>
              <w:bottom w:val="single" w:sz="8" w:space="0" w:color="auto"/>
              <w:right w:val="single" w:sz="4" w:space="0" w:color="auto"/>
            </w:tcBorders>
            <w:shd w:val="clear" w:color="FFFFFF" w:fill="FFFFFF"/>
            <w:noWrap/>
            <w:vAlign w:val="center"/>
            <w:hideMark/>
          </w:tcPr>
          <w:p w:rsidR="00AD5632" w:rsidRPr="00892A34" w:rsidRDefault="00AD5632" w:rsidP="00BA0B4B">
            <w:pPr>
              <w:jc w:val="right"/>
              <w:rPr>
                <w:color w:val="333333"/>
                <w:sz w:val="16"/>
                <w:szCs w:val="20"/>
                <w:lang w:val="es-GT" w:eastAsia="es-GT"/>
              </w:rPr>
            </w:pPr>
            <w:r w:rsidRPr="00892A34">
              <w:rPr>
                <w:color w:val="333333"/>
                <w:sz w:val="16"/>
                <w:szCs w:val="20"/>
                <w:lang w:val="es-GT" w:eastAsia="es-GT"/>
              </w:rPr>
              <w:t>-3.0</w:t>
            </w:r>
          </w:p>
        </w:tc>
        <w:tc>
          <w:tcPr>
            <w:tcW w:w="709" w:type="dxa"/>
            <w:tcBorders>
              <w:top w:val="nil"/>
              <w:left w:val="nil"/>
              <w:bottom w:val="single" w:sz="8" w:space="0" w:color="auto"/>
              <w:right w:val="single" w:sz="8" w:space="0" w:color="auto"/>
            </w:tcBorders>
            <w:shd w:val="clear" w:color="FFFFFF" w:fill="FFFFFF"/>
            <w:noWrap/>
            <w:vAlign w:val="center"/>
            <w:hideMark/>
          </w:tcPr>
          <w:p w:rsidR="00AD5632" w:rsidRPr="00892A34" w:rsidRDefault="00AD5632" w:rsidP="00BA0B4B">
            <w:pPr>
              <w:jc w:val="right"/>
              <w:rPr>
                <w:color w:val="000000"/>
                <w:sz w:val="16"/>
                <w:szCs w:val="20"/>
                <w:lang w:val="es-GT" w:eastAsia="es-GT"/>
              </w:rPr>
            </w:pPr>
            <w:r w:rsidRPr="00892A34">
              <w:rPr>
                <w:color w:val="000000"/>
                <w:sz w:val="16"/>
                <w:szCs w:val="20"/>
                <w:lang w:val="es-GT" w:eastAsia="es-GT"/>
              </w:rPr>
              <w:t>111.9%</w:t>
            </w:r>
          </w:p>
        </w:tc>
      </w:tr>
    </w:tbl>
    <w:p w:rsidR="00AD5632" w:rsidRPr="004E678D" w:rsidRDefault="00241D54" w:rsidP="00AD5632">
      <w:pPr>
        <w:jc w:val="both"/>
        <w:rPr>
          <w:sz w:val="18"/>
        </w:rPr>
      </w:pPr>
      <w:r>
        <w:rPr>
          <w:sz w:val="18"/>
        </w:rPr>
        <w:t xml:space="preserve"> </w:t>
      </w:r>
      <w:r w:rsidR="00AD5632" w:rsidRPr="004E678D">
        <w:rPr>
          <w:sz w:val="18"/>
        </w:rPr>
        <w:t>Fuente: Ministerio de Finanzas Públicas</w:t>
      </w:r>
      <w:r w:rsidR="00AD5632">
        <w:rPr>
          <w:sz w:val="18"/>
        </w:rPr>
        <w:t>.</w:t>
      </w:r>
    </w:p>
    <w:p w:rsidR="00AD5632" w:rsidRDefault="00AD5632" w:rsidP="00AD5632">
      <w:pPr>
        <w:jc w:val="both"/>
      </w:pPr>
    </w:p>
    <w:p w:rsidR="006941A5" w:rsidRPr="00D108FD" w:rsidRDefault="006941A5" w:rsidP="00AD5632">
      <w:pPr>
        <w:jc w:val="both"/>
      </w:pPr>
    </w:p>
    <w:p w:rsidR="00AD5632" w:rsidRDefault="00AD5632" w:rsidP="00AD5632">
      <w:pPr>
        <w:jc w:val="both"/>
        <w:rPr>
          <w:b/>
        </w:rPr>
      </w:pPr>
      <w:r w:rsidRPr="00D108FD">
        <w:rPr>
          <w:b/>
        </w:rPr>
        <w:t>Procuraduría General de la Nación</w:t>
      </w:r>
      <w:r>
        <w:rPr>
          <w:b/>
        </w:rPr>
        <w:t>:</w:t>
      </w:r>
    </w:p>
    <w:p w:rsidR="00AD5632" w:rsidRPr="00D108FD" w:rsidRDefault="00AD5632" w:rsidP="00AD5632">
      <w:pPr>
        <w:jc w:val="both"/>
        <w:rPr>
          <w:b/>
        </w:rPr>
      </w:pPr>
    </w:p>
    <w:p w:rsidR="00AD5632" w:rsidRDefault="00AD5632" w:rsidP="00AD5632">
      <w:pPr>
        <w:jc w:val="both"/>
      </w:pPr>
      <w:r w:rsidRPr="00D108FD">
        <w:t xml:space="preserve">Esta entidad </w:t>
      </w:r>
      <w:r>
        <w:t>tuvo</w:t>
      </w:r>
      <w:r w:rsidRPr="00D108FD">
        <w:t xml:space="preserve"> un presupuesto</w:t>
      </w:r>
      <w:r>
        <w:t xml:space="preserve"> aprobado</w:t>
      </w:r>
      <w:r w:rsidRPr="00D108FD">
        <w:t xml:space="preserve"> de </w:t>
      </w:r>
      <w:r>
        <w:t>Q.</w:t>
      </w:r>
      <w:r w:rsidRPr="00D108FD">
        <w:t>1</w:t>
      </w:r>
      <w:r>
        <w:t>17.3</w:t>
      </w:r>
      <w:r w:rsidRPr="00D108FD">
        <w:t xml:space="preserve"> millones y una ejecución presupuestaria de </w:t>
      </w:r>
      <w:r>
        <w:t>Q.</w:t>
      </w:r>
      <w:r w:rsidRPr="00D108FD">
        <w:t>1</w:t>
      </w:r>
      <w:r>
        <w:t>37.8</w:t>
      </w:r>
      <w:r w:rsidRPr="00D108FD">
        <w:t xml:space="preserve"> millones</w:t>
      </w:r>
      <w:r w:rsidR="004D3E7D">
        <w:t>,</w:t>
      </w:r>
      <w:r w:rsidRPr="00D108FD">
        <w:t xml:space="preserve"> equivalente</w:t>
      </w:r>
      <w:r>
        <w:t>s</w:t>
      </w:r>
      <w:r w:rsidRPr="00D108FD">
        <w:t xml:space="preserve"> al </w:t>
      </w:r>
      <w:r>
        <w:t>117.5%.</w:t>
      </w:r>
    </w:p>
    <w:p w:rsidR="00AD5632" w:rsidRDefault="00AD5632" w:rsidP="00AD5632">
      <w:pPr>
        <w:jc w:val="both"/>
      </w:pPr>
    </w:p>
    <w:p w:rsidR="00AD5632" w:rsidRDefault="00AD5632" w:rsidP="00AD5632">
      <w:pPr>
        <w:jc w:val="both"/>
      </w:pPr>
      <w:r w:rsidRPr="00D108FD">
        <w:lastRenderedPageBreak/>
        <w:t>El programa con mayor cantidad de recursos ejecutados fue “Protección de los Derechos de la Familia” con un presupuesto</w:t>
      </w:r>
      <w:r>
        <w:t xml:space="preserve"> inicial</w:t>
      </w:r>
      <w:r w:rsidRPr="00D108FD">
        <w:t xml:space="preserve"> de </w:t>
      </w:r>
      <w:r>
        <w:t>Q.40</w:t>
      </w:r>
      <w:r w:rsidRPr="00D108FD">
        <w:t xml:space="preserve">.0 millones y una ejecución presupuestaria de </w:t>
      </w:r>
      <w:r>
        <w:t>Q.52.6</w:t>
      </w:r>
      <w:r w:rsidRPr="00D108FD">
        <w:t xml:space="preserve"> millones equivalente</w:t>
      </w:r>
      <w:r>
        <w:t>s</w:t>
      </w:r>
      <w:r w:rsidRPr="00D108FD">
        <w:t xml:space="preserve"> al 1</w:t>
      </w:r>
      <w:r>
        <w:t>31.6</w:t>
      </w:r>
      <w:r w:rsidRPr="00D108FD">
        <w:t>%</w:t>
      </w:r>
      <w:r>
        <w:t>.</w:t>
      </w:r>
    </w:p>
    <w:p w:rsidR="00AD5632" w:rsidRPr="00D108FD" w:rsidRDefault="00AD5632" w:rsidP="00AD5632">
      <w:pPr>
        <w:jc w:val="both"/>
      </w:pPr>
    </w:p>
    <w:p w:rsidR="00AD5632" w:rsidRDefault="00AD5632" w:rsidP="00AD5632">
      <w:pPr>
        <w:jc w:val="both"/>
      </w:pPr>
      <w:r w:rsidRPr="00D108FD">
        <w:t xml:space="preserve">El programa “Representación y Defensa de los Intereses del Estado” </w:t>
      </w:r>
      <w:r>
        <w:t>reporta un presupuesto aprobado de Q.</w:t>
      </w:r>
      <w:r w:rsidRPr="00D108FD">
        <w:t>34.</w:t>
      </w:r>
      <w:r>
        <w:t>4</w:t>
      </w:r>
      <w:r w:rsidRPr="00D108FD">
        <w:t xml:space="preserve"> millones y una ejecución presupuestaria de </w:t>
      </w:r>
      <w:r>
        <w:t>Q.42.2</w:t>
      </w:r>
      <w:r w:rsidRPr="00D108FD">
        <w:t xml:space="preserve"> millones</w:t>
      </w:r>
      <w:r w:rsidR="004D3E7D">
        <w:t>,</w:t>
      </w:r>
      <w:r w:rsidRPr="00D108FD">
        <w:t xml:space="preserve"> equivalente</w:t>
      </w:r>
      <w:r>
        <w:t>s</w:t>
      </w:r>
      <w:r w:rsidRPr="00D108FD">
        <w:t xml:space="preserve"> al </w:t>
      </w:r>
      <w:r>
        <w:t>122.8</w:t>
      </w:r>
      <w:r w:rsidRPr="00D108FD">
        <w:t>%</w:t>
      </w:r>
      <w:r>
        <w:t>.</w:t>
      </w:r>
    </w:p>
    <w:p w:rsidR="00AD5632" w:rsidRPr="00D108FD" w:rsidRDefault="00AD5632" w:rsidP="00AD5632">
      <w:pPr>
        <w:jc w:val="both"/>
      </w:pPr>
    </w:p>
    <w:p w:rsidR="00AD5632" w:rsidRDefault="00AD5632" w:rsidP="00AD5632">
      <w:pPr>
        <w:jc w:val="both"/>
      </w:pPr>
      <w:r w:rsidRPr="00D108FD">
        <w:t xml:space="preserve">Las Actividades Centrales </w:t>
      </w:r>
      <w:r>
        <w:t>se ubican con un presupuesto asignado de Q.</w:t>
      </w:r>
      <w:r w:rsidRPr="00D108FD">
        <w:t>3</w:t>
      </w:r>
      <w:r>
        <w:t>8.6</w:t>
      </w:r>
      <w:r w:rsidRPr="00D108FD">
        <w:t xml:space="preserve"> millones y una ejecución presupuestaria de </w:t>
      </w:r>
      <w:r>
        <w:t>Q.38.0</w:t>
      </w:r>
      <w:r w:rsidRPr="00D108FD">
        <w:t xml:space="preserve"> millones</w:t>
      </w:r>
      <w:r w:rsidR="004D3E7D">
        <w:t>,</w:t>
      </w:r>
      <w:r w:rsidRPr="00D108FD">
        <w:t xml:space="preserve"> equivalente</w:t>
      </w:r>
      <w:r>
        <w:t>s</w:t>
      </w:r>
      <w:r w:rsidRPr="00D108FD">
        <w:t xml:space="preserve"> al 9</w:t>
      </w:r>
      <w:r>
        <w:t>8.6</w:t>
      </w:r>
      <w:r w:rsidRPr="00D108FD">
        <w:t>%.</w:t>
      </w:r>
    </w:p>
    <w:p w:rsidR="00AD5632" w:rsidRPr="00D108FD" w:rsidRDefault="00AD5632" w:rsidP="00AD5632">
      <w:pPr>
        <w:jc w:val="both"/>
      </w:pPr>
    </w:p>
    <w:p w:rsidR="00AD5632" w:rsidRDefault="00AD5632" w:rsidP="00AD5632">
      <w:pPr>
        <w:jc w:val="both"/>
      </w:pPr>
      <w:r>
        <w:t>Finalmente aparece el programa de “Consultoría y Asesoría del Estado” con un presupuesto aprobado Q.4.3 millones y una ejecución presupuestaria de Q.4.9 millones, equivalentes al 114.1%</w:t>
      </w:r>
      <w:r w:rsidRPr="00D108FD">
        <w:t>.</w:t>
      </w:r>
    </w:p>
    <w:p w:rsidR="00AD5632" w:rsidRDefault="00AD5632" w:rsidP="00AD5632">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Programa!F208C2:F213C6" \a \f 4 \h  \* MERGEFORMAT </w:instrText>
      </w:r>
      <w:r>
        <w:rPr>
          <w:noProof/>
          <w:lang w:val="es-GT" w:eastAsia="es-GT"/>
        </w:rPr>
        <w:fldChar w:fldCharType="separate"/>
      </w:r>
    </w:p>
    <w:p w:rsidR="00AD5632" w:rsidRPr="004E678D" w:rsidRDefault="00AD5632" w:rsidP="00AD5632">
      <w:pPr>
        <w:jc w:val="both"/>
        <w:rPr>
          <w:sz w:val="18"/>
        </w:rPr>
      </w:pPr>
      <w:r>
        <w:rPr>
          <w:noProof/>
          <w:lang w:val="es-GT" w:eastAsia="es-GT"/>
        </w:rPr>
        <w:fldChar w:fldCharType="end"/>
      </w:r>
    </w:p>
    <w:tbl>
      <w:tblPr>
        <w:tblW w:w="9204" w:type="dxa"/>
        <w:jc w:val="center"/>
        <w:tblCellMar>
          <w:left w:w="70" w:type="dxa"/>
          <w:right w:w="70" w:type="dxa"/>
        </w:tblCellMar>
        <w:tblLook w:val="04A0" w:firstRow="1" w:lastRow="0" w:firstColumn="1" w:lastColumn="0" w:noHBand="0" w:noVBand="1"/>
      </w:tblPr>
      <w:tblGrid>
        <w:gridCol w:w="5377"/>
        <w:gridCol w:w="1134"/>
        <w:gridCol w:w="1008"/>
        <w:gridCol w:w="670"/>
        <w:gridCol w:w="1015"/>
      </w:tblGrid>
      <w:tr w:rsidR="00AD5632" w:rsidRPr="005C2FE5" w:rsidTr="004876D4">
        <w:trPr>
          <w:trHeight w:val="300"/>
          <w:jc w:val="center"/>
        </w:trPr>
        <w:tc>
          <w:tcPr>
            <w:tcW w:w="5377"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AD5632" w:rsidRPr="005C2FE5" w:rsidRDefault="00AD5632" w:rsidP="004876D4">
            <w:pPr>
              <w:jc w:val="center"/>
              <w:rPr>
                <w:b/>
                <w:bCs/>
                <w:color w:val="000000"/>
                <w:sz w:val="16"/>
                <w:szCs w:val="20"/>
                <w:lang w:val="es-GT" w:eastAsia="es-GT"/>
              </w:rPr>
            </w:pPr>
            <w:r w:rsidRPr="005C2FE5">
              <w:rPr>
                <w:b/>
                <w:bCs/>
                <w:color w:val="000000"/>
                <w:sz w:val="16"/>
                <w:szCs w:val="20"/>
                <w:lang w:val="es-GT" w:eastAsia="es-GT"/>
              </w:rPr>
              <w:t>DESCRIPCI</w:t>
            </w:r>
            <w:r w:rsidR="00241D54">
              <w:rPr>
                <w:b/>
                <w:bCs/>
                <w:color w:val="000000"/>
                <w:sz w:val="16"/>
                <w:szCs w:val="20"/>
                <w:lang w:val="es-GT" w:eastAsia="es-GT"/>
              </w:rPr>
              <w:t>Ó</w:t>
            </w:r>
            <w:r w:rsidRPr="005C2FE5">
              <w:rPr>
                <w:b/>
                <w:bCs/>
                <w:color w:val="000000"/>
                <w:sz w:val="16"/>
                <w:szCs w:val="20"/>
                <w:lang w:val="es-GT" w:eastAsia="es-GT"/>
              </w:rPr>
              <w:t>N</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5C2FE5" w:rsidRDefault="00AD5632" w:rsidP="004876D4">
            <w:pPr>
              <w:jc w:val="center"/>
              <w:rPr>
                <w:b/>
                <w:bCs/>
                <w:color w:val="000000"/>
                <w:sz w:val="16"/>
                <w:szCs w:val="20"/>
                <w:lang w:val="es-GT" w:eastAsia="es-GT"/>
              </w:rPr>
            </w:pPr>
            <w:r w:rsidRPr="005C2FE5">
              <w:rPr>
                <w:b/>
                <w:bCs/>
                <w:color w:val="000000"/>
                <w:sz w:val="16"/>
                <w:szCs w:val="20"/>
                <w:lang w:val="es-GT" w:eastAsia="es-GT"/>
              </w:rPr>
              <w:t>Asignado</w:t>
            </w:r>
          </w:p>
        </w:tc>
        <w:tc>
          <w:tcPr>
            <w:tcW w:w="1008"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5C2FE5" w:rsidRDefault="00AD5632" w:rsidP="004876D4">
            <w:pPr>
              <w:jc w:val="center"/>
              <w:rPr>
                <w:b/>
                <w:bCs/>
                <w:color w:val="000000"/>
                <w:sz w:val="16"/>
                <w:szCs w:val="20"/>
                <w:lang w:val="es-GT" w:eastAsia="es-GT"/>
              </w:rPr>
            </w:pPr>
            <w:r w:rsidRPr="005C2FE5">
              <w:rPr>
                <w:b/>
                <w:bCs/>
                <w:color w:val="000000"/>
                <w:sz w:val="16"/>
                <w:szCs w:val="20"/>
                <w:lang w:val="es-GT" w:eastAsia="es-GT"/>
              </w:rPr>
              <w:t>Ejecu</w:t>
            </w:r>
            <w:r w:rsidR="00241D54">
              <w:rPr>
                <w:b/>
                <w:bCs/>
                <w:color w:val="000000"/>
                <w:sz w:val="16"/>
                <w:szCs w:val="20"/>
                <w:lang w:val="es-GT" w:eastAsia="es-GT"/>
              </w:rPr>
              <w:t>tado</w:t>
            </w:r>
          </w:p>
        </w:tc>
        <w:tc>
          <w:tcPr>
            <w:tcW w:w="670"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5C2FE5" w:rsidRDefault="00AD5632" w:rsidP="004876D4">
            <w:pPr>
              <w:jc w:val="center"/>
              <w:rPr>
                <w:b/>
                <w:bCs/>
                <w:color w:val="000000"/>
                <w:sz w:val="16"/>
                <w:szCs w:val="20"/>
                <w:lang w:val="es-GT" w:eastAsia="es-GT"/>
              </w:rPr>
            </w:pPr>
            <w:r w:rsidRPr="005C2FE5">
              <w:rPr>
                <w:b/>
                <w:bCs/>
                <w:color w:val="000000"/>
                <w:sz w:val="16"/>
                <w:szCs w:val="20"/>
                <w:lang w:val="es-GT" w:eastAsia="es-GT"/>
              </w:rPr>
              <w:t>Dif</w:t>
            </w:r>
          </w:p>
        </w:tc>
        <w:tc>
          <w:tcPr>
            <w:tcW w:w="1015" w:type="dxa"/>
            <w:tcBorders>
              <w:top w:val="single" w:sz="8" w:space="0" w:color="auto"/>
              <w:left w:val="nil"/>
              <w:bottom w:val="single" w:sz="4" w:space="0" w:color="auto"/>
              <w:right w:val="single" w:sz="8" w:space="0" w:color="auto"/>
            </w:tcBorders>
            <w:shd w:val="clear" w:color="000000" w:fill="8DB4E2"/>
            <w:noWrap/>
            <w:vAlign w:val="center"/>
            <w:hideMark/>
          </w:tcPr>
          <w:p w:rsidR="00AD5632" w:rsidRPr="005C2FE5" w:rsidRDefault="00AD5632" w:rsidP="004876D4">
            <w:pPr>
              <w:jc w:val="center"/>
              <w:rPr>
                <w:b/>
                <w:bCs/>
                <w:color w:val="000000"/>
                <w:sz w:val="16"/>
                <w:szCs w:val="20"/>
                <w:lang w:val="es-GT" w:eastAsia="es-GT"/>
              </w:rPr>
            </w:pPr>
            <w:r w:rsidRPr="005C2FE5">
              <w:rPr>
                <w:b/>
                <w:bCs/>
                <w:color w:val="000000"/>
                <w:sz w:val="16"/>
                <w:szCs w:val="20"/>
                <w:lang w:val="es-GT" w:eastAsia="es-GT"/>
              </w:rPr>
              <w:t>% Ejec</w:t>
            </w:r>
          </w:p>
        </w:tc>
      </w:tr>
      <w:tr w:rsidR="00AD5632" w:rsidRPr="005C2FE5" w:rsidTr="004D3E7D">
        <w:trPr>
          <w:trHeight w:val="300"/>
          <w:jc w:val="center"/>
        </w:trPr>
        <w:tc>
          <w:tcPr>
            <w:tcW w:w="5377" w:type="dxa"/>
            <w:tcBorders>
              <w:top w:val="nil"/>
              <w:left w:val="single" w:sz="8" w:space="0" w:color="auto"/>
              <w:bottom w:val="nil"/>
              <w:right w:val="single" w:sz="4" w:space="0" w:color="auto"/>
            </w:tcBorders>
            <w:shd w:val="clear" w:color="FFFFFF" w:fill="FFFFFF"/>
            <w:noWrap/>
            <w:vAlign w:val="bottom"/>
            <w:hideMark/>
          </w:tcPr>
          <w:p w:rsidR="00AD5632" w:rsidRPr="005C2FE5" w:rsidRDefault="00AD5632" w:rsidP="00BA0B4B">
            <w:pPr>
              <w:rPr>
                <w:b/>
                <w:bCs/>
                <w:color w:val="333333"/>
                <w:sz w:val="16"/>
                <w:szCs w:val="20"/>
                <w:lang w:val="es-GT" w:eastAsia="es-GT"/>
              </w:rPr>
            </w:pPr>
            <w:r w:rsidRPr="005C2FE5">
              <w:rPr>
                <w:b/>
                <w:bCs/>
                <w:color w:val="333333"/>
                <w:sz w:val="16"/>
                <w:szCs w:val="20"/>
                <w:lang w:val="es-GT" w:eastAsia="es-GT"/>
              </w:rPr>
              <w:t>PROCURADURÍA GENERAL DE LA NACIÓN</w:t>
            </w:r>
          </w:p>
        </w:tc>
        <w:tc>
          <w:tcPr>
            <w:tcW w:w="1134" w:type="dxa"/>
            <w:tcBorders>
              <w:top w:val="nil"/>
              <w:left w:val="nil"/>
              <w:bottom w:val="nil"/>
              <w:right w:val="single" w:sz="4" w:space="0" w:color="auto"/>
            </w:tcBorders>
            <w:shd w:val="clear" w:color="FFFFFF" w:fill="FFFFFF"/>
            <w:noWrap/>
            <w:vAlign w:val="bottom"/>
            <w:hideMark/>
          </w:tcPr>
          <w:p w:rsidR="00AD5632" w:rsidRPr="005C2FE5" w:rsidRDefault="00AD5632" w:rsidP="00BA0B4B">
            <w:pPr>
              <w:jc w:val="right"/>
              <w:rPr>
                <w:b/>
                <w:bCs/>
                <w:color w:val="333333"/>
                <w:sz w:val="16"/>
                <w:szCs w:val="20"/>
                <w:lang w:val="es-GT" w:eastAsia="es-GT"/>
              </w:rPr>
            </w:pPr>
            <w:r w:rsidRPr="005C2FE5">
              <w:rPr>
                <w:b/>
                <w:bCs/>
                <w:color w:val="333333"/>
                <w:sz w:val="16"/>
                <w:szCs w:val="20"/>
                <w:lang w:val="es-GT" w:eastAsia="es-GT"/>
              </w:rPr>
              <w:t>117.3</w:t>
            </w:r>
          </w:p>
        </w:tc>
        <w:tc>
          <w:tcPr>
            <w:tcW w:w="1008" w:type="dxa"/>
            <w:tcBorders>
              <w:top w:val="nil"/>
              <w:left w:val="nil"/>
              <w:bottom w:val="nil"/>
              <w:right w:val="single" w:sz="4" w:space="0" w:color="auto"/>
            </w:tcBorders>
            <w:shd w:val="clear" w:color="FFFFFF" w:fill="FFFFFF"/>
            <w:noWrap/>
            <w:vAlign w:val="bottom"/>
            <w:hideMark/>
          </w:tcPr>
          <w:p w:rsidR="00AD5632" w:rsidRPr="005C2FE5" w:rsidRDefault="00AD5632" w:rsidP="00BA0B4B">
            <w:pPr>
              <w:jc w:val="right"/>
              <w:rPr>
                <w:b/>
                <w:bCs/>
                <w:color w:val="333333"/>
                <w:sz w:val="16"/>
                <w:szCs w:val="20"/>
                <w:lang w:val="es-GT" w:eastAsia="es-GT"/>
              </w:rPr>
            </w:pPr>
            <w:r w:rsidRPr="005C2FE5">
              <w:rPr>
                <w:b/>
                <w:bCs/>
                <w:color w:val="333333"/>
                <w:sz w:val="16"/>
                <w:szCs w:val="20"/>
                <w:lang w:val="es-GT" w:eastAsia="es-GT"/>
              </w:rPr>
              <w:t>137.8</w:t>
            </w:r>
          </w:p>
        </w:tc>
        <w:tc>
          <w:tcPr>
            <w:tcW w:w="670" w:type="dxa"/>
            <w:tcBorders>
              <w:top w:val="nil"/>
              <w:left w:val="nil"/>
              <w:bottom w:val="nil"/>
              <w:right w:val="single" w:sz="4" w:space="0" w:color="auto"/>
            </w:tcBorders>
            <w:shd w:val="clear" w:color="FFFFFF" w:fill="FFFFFF"/>
            <w:noWrap/>
            <w:vAlign w:val="bottom"/>
            <w:hideMark/>
          </w:tcPr>
          <w:p w:rsidR="00AD5632" w:rsidRPr="005C2FE5" w:rsidRDefault="00AD5632" w:rsidP="00BA0B4B">
            <w:pPr>
              <w:jc w:val="right"/>
              <w:rPr>
                <w:b/>
                <w:bCs/>
                <w:color w:val="333333"/>
                <w:sz w:val="16"/>
                <w:szCs w:val="20"/>
                <w:lang w:val="es-GT" w:eastAsia="es-GT"/>
              </w:rPr>
            </w:pPr>
            <w:r w:rsidRPr="005C2FE5">
              <w:rPr>
                <w:b/>
                <w:bCs/>
                <w:color w:val="333333"/>
                <w:sz w:val="16"/>
                <w:szCs w:val="20"/>
                <w:lang w:val="es-GT" w:eastAsia="es-GT"/>
              </w:rPr>
              <w:t>-20.5</w:t>
            </w:r>
          </w:p>
        </w:tc>
        <w:tc>
          <w:tcPr>
            <w:tcW w:w="1015" w:type="dxa"/>
            <w:tcBorders>
              <w:top w:val="nil"/>
              <w:left w:val="nil"/>
              <w:bottom w:val="nil"/>
              <w:right w:val="single" w:sz="8" w:space="0" w:color="auto"/>
            </w:tcBorders>
            <w:shd w:val="clear" w:color="FFFFFF" w:fill="FFFFFF"/>
            <w:noWrap/>
            <w:vAlign w:val="bottom"/>
            <w:hideMark/>
          </w:tcPr>
          <w:p w:rsidR="00AD5632" w:rsidRPr="005C2FE5" w:rsidRDefault="00AD5632" w:rsidP="00BA0B4B">
            <w:pPr>
              <w:jc w:val="right"/>
              <w:rPr>
                <w:b/>
                <w:bCs/>
                <w:color w:val="333333"/>
                <w:sz w:val="16"/>
                <w:szCs w:val="20"/>
                <w:lang w:val="es-GT" w:eastAsia="es-GT"/>
              </w:rPr>
            </w:pPr>
            <w:r w:rsidRPr="005C2FE5">
              <w:rPr>
                <w:b/>
                <w:bCs/>
                <w:color w:val="333333"/>
                <w:sz w:val="16"/>
                <w:szCs w:val="20"/>
                <w:lang w:val="es-GT" w:eastAsia="es-GT"/>
              </w:rPr>
              <w:t>117.5%</w:t>
            </w:r>
          </w:p>
        </w:tc>
      </w:tr>
      <w:tr w:rsidR="00AD5632" w:rsidRPr="005C2FE5" w:rsidTr="004D3E7D">
        <w:trPr>
          <w:trHeight w:val="300"/>
          <w:jc w:val="center"/>
        </w:trPr>
        <w:tc>
          <w:tcPr>
            <w:tcW w:w="5377" w:type="dxa"/>
            <w:tcBorders>
              <w:top w:val="nil"/>
              <w:left w:val="single" w:sz="8" w:space="0" w:color="auto"/>
              <w:bottom w:val="nil"/>
              <w:right w:val="single" w:sz="4" w:space="0" w:color="auto"/>
            </w:tcBorders>
            <w:shd w:val="clear" w:color="FFFFFF" w:fill="FFFFFF"/>
            <w:noWrap/>
            <w:vAlign w:val="bottom"/>
            <w:hideMark/>
          </w:tcPr>
          <w:p w:rsidR="00AD5632" w:rsidRPr="005C2FE5" w:rsidRDefault="00AD5632" w:rsidP="00BA0B4B">
            <w:pPr>
              <w:ind w:firstLineChars="200" w:firstLine="320"/>
              <w:rPr>
                <w:color w:val="333333"/>
                <w:sz w:val="16"/>
                <w:szCs w:val="20"/>
                <w:lang w:val="es-GT" w:eastAsia="es-GT"/>
              </w:rPr>
            </w:pPr>
            <w:r w:rsidRPr="005C2FE5">
              <w:rPr>
                <w:color w:val="333333"/>
                <w:sz w:val="16"/>
                <w:szCs w:val="20"/>
                <w:lang w:val="es-GT" w:eastAsia="es-GT"/>
              </w:rPr>
              <w:t>PROTECCIÓN DE LOS DERECHOS DE LA FAMILIA</w:t>
            </w:r>
          </w:p>
        </w:tc>
        <w:tc>
          <w:tcPr>
            <w:tcW w:w="1134" w:type="dxa"/>
            <w:tcBorders>
              <w:top w:val="nil"/>
              <w:left w:val="nil"/>
              <w:bottom w:val="nil"/>
              <w:right w:val="single" w:sz="4"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40.0</w:t>
            </w:r>
          </w:p>
        </w:tc>
        <w:tc>
          <w:tcPr>
            <w:tcW w:w="1008" w:type="dxa"/>
            <w:tcBorders>
              <w:top w:val="nil"/>
              <w:left w:val="nil"/>
              <w:bottom w:val="nil"/>
              <w:right w:val="single" w:sz="4"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52.6</w:t>
            </w:r>
          </w:p>
        </w:tc>
        <w:tc>
          <w:tcPr>
            <w:tcW w:w="670" w:type="dxa"/>
            <w:tcBorders>
              <w:top w:val="nil"/>
              <w:left w:val="nil"/>
              <w:bottom w:val="nil"/>
              <w:right w:val="single" w:sz="4"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-12.6</w:t>
            </w:r>
          </w:p>
        </w:tc>
        <w:tc>
          <w:tcPr>
            <w:tcW w:w="1015" w:type="dxa"/>
            <w:tcBorders>
              <w:top w:val="nil"/>
              <w:left w:val="nil"/>
              <w:bottom w:val="nil"/>
              <w:right w:val="single" w:sz="8"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131.6%</w:t>
            </w:r>
          </w:p>
        </w:tc>
      </w:tr>
      <w:tr w:rsidR="00AD5632" w:rsidRPr="005C2FE5" w:rsidTr="004D3E7D">
        <w:trPr>
          <w:trHeight w:val="300"/>
          <w:jc w:val="center"/>
        </w:trPr>
        <w:tc>
          <w:tcPr>
            <w:tcW w:w="5377" w:type="dxa"/>
            <w:tcBorders>
              <w:top w:val="nil"/>
              <w:left w:val="single" w:sz="8" w:space="0" w:color="auto"/>
              <w:bottom w:val="nil"/>
              <w:right w:val="single" w:sz="4" w:space="0" w:color="auto"/>
            </w:tcBorders>
            <w:shd w:val="clear" w:color="FFFFFF" w:fill="FFFFFF"/>
            <w:noWrap/>
            <w:vAlign w:val="bottom"/>
            <w:hideMark/>
          </w:tcPr>
          <w:p w:rsidR="00AD5632" w:rsidRPr="005C2FE5" w:rsidRDefault="00AD5632" w:rsidP="00BA0B4B">
            <w:pPr>
              <w:ind w:firstLineChars="200" w:firstLine="320"/>
              <w:rPr>
                <w:color w:val="333333"/>
                <w:sz w:val="16"/>
                <w:szCs w:val="20"/>
                <w:lang w:val="es-GT" w:eastAsia="es-GT"/>
              </w:rPr>
            </w:pPr>
            <w:r w:rsidRPr="005C2FE5">
              <w:rPr>
                <w:color w:val="333333"/>
                <w:sz w:val="16"/>
                <w:szCs w:val="20"/>
                <w:lang w:val="es-GT" w:eastAsia="es-GT"/>
              </w:rPr>
              <w:t>REPRESENTACIÓN Y DEFENSA DE LOS INTERESES DEL ESTADO</w:t>
            </w:r>
          </w:p>
        </w:tc>
        <w:tc>
          <w:tcPr>
            <w:tcW w:w="1134" w:type="dxa"/>
            <w:tcBorders>
              <w:top w:val="nil"/>
              <w:left w:val="nil"/>
              <w:bottom w:val="nil"/>
              <w:right w:val="single" w:sz="4"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34.4</w:t>
            </w:r>
          </w:p>
        </w:tc>
        <w:tc>
          <w:tcPr>
            <w:tcW w:w="1008" w:type="dxa"/>
            <w:tcBorders>
              <w:top w:val="nil"/>
              <w:left w:val="nil"/>
              <w:bottom w:val="nil"/>
              <w:right w:val="single" w:sz="4"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42.2</w:t>
            </w:r>
          </w:p>
        </w:tc>
        <w:tc>
          <w:tcPr>
            <w:tcW w:w="670" w:type="dxa"/>
            <w:tcBorders>
              <w:top w:val="nil"/>
              <w:left w:val="nil"/>
              <w:bottom w:val="nil"/>
              <w:right w:val="single" w:sz="4"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-7.8</w:t>
            </w:r>
          </w:p>
        </w:tc>
        <w:tc>
          <w:tcPr>
            <w:tcW w:w="1015" w:type="dxa"/>
            <w:tcBorders>
              <w:top w:val="nil"/>
              <w:left w:val="nil"/>
              <w:bottom w:val="nil"/>
              <w:right w:val="single" w:sz="8"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122.8%</w:t>
            </w:r>
          </w:p>
        </w:tc>
      </w:tr>
      <w:tr w:rsidR="00AD5632" w:rsidRPr="005C2FE5" w:rsidTr="004D3E7D">
        <w:trPr>
          <w:trHeight w:val="300"/>
          <w:jc w:val="center"/>
        </w:trPr>
        <w:tc>
          <w:tcPr>
            <w:tcW w:w="5377" w:type="dxa"/>
            <w:tcBorders>
              <w:top w:val="nil"/>
              <w:left w:val="single" w:sz="8" w:space="0" w:color="auto"/>
              <w:bottom w:val="nil"/>
              <w:right w:val="single" w:sz="4" w:space="0" w:color="auto"/>
            </w:tcBorders>
            <w:shd w:val="clear" w:color="FFFFFF" w:fill="FFFFFF"/>
            <w:noWrap/>
            <w:vAlign w:val="bottom"/>
            <w:hideMark/>
          </w:tcPr>
          <w:p w:rsidR="00AD5632" w:rsidRPr="005C2FE5" w:rsidRDefault="00AD5632" w:rsidP="00BA0B4B">
            <w:pPr>
              <w:ind w:firstLineChars="200" w:firstLine="320"/>
              <w:rPr>
                <w:color w:val="333333"/>
                <w:sz w:val="16"/>
                <w:szCs w:val="20"/>
                <w:lang w:val="es-GT" w:eastAsia="es-GT"/>
              </w:rPr>
            </w:pPr>
            <w:r w:rsidRPr="005C2FE5">
              <w:rPr>
                <w:color w:val="333333"/>
                <w:sz w:val="16"/>
                <w:szCs w:val="20"/>
                <w:lang w:val="es-GT" w:eastAsia="es-GT"/>
              </w:rPr>
              <w:t>ACTIVIDADES CENTRALES</w:t>
            </w:r>
          </w:p>
        </w:tc>
        <w:tc>
          <w:tcPr>
            <w:tcW w:w="1134" w:type="dxa"/>
            <w:tcBorders>
              <w:top w:val="nil"/>
              <w:left w:val="nil"/>
              <w:bottom w:val="nil"/>
              <w:right w:val="single" w:sz="4"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38.6</w:t>
            </w:r>
          </w:p>
        </w:tc>
        <w:tc>
          <w:tcPr>
            <w:tcW w:w="1008" w:type="dxa"/>
            <w:tcBorders>
              <w:top w:val="nil"/>
              <w:left w:val="nil"/>
              <w:bottom w:val="nil"/>
              <w:right w:val="single" w:sz="4"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38.0</w:t>
            </w:r>
          </w:p>
        </w:tc>
        <w:tc>
          <w:tcPr>
            <w:tcW w:w="670" w:type="dxa"/>
            <w:tcBorders>
              <w:top w:val="nil"/>
              <w:left w:val="nil"/>
              <w:bottom w:val="nil"/>
              <w:right w:val="single" w:sz="4"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0.5</w:t>
            </w:r>
          </w:p>
        </w:tc>
        <w:tc>
          <w:tcPr>
            <w:tcW w:w="1015" w:type="dxa"/>
            <w:tcBorders>
              <w:top w:val="nil"/>
              <w:left w:val="nil"/>
              <w:bottom w:val="nil"/>
              <w:right w:val="single" w:sz="8"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98.6%</w:t>
            </w:r>
          </w:p>
        </w:tc>
      </w:tr>
      <w:tr w:rsidR="00AD5632" w:rsidRPr="005C2FE5" w:rsidTr="004D3E7D">
        <w:trPr>
          <w:trHeight w:val="315"/>
          <w:jc w:val="center"/>
        </w:trPr>
        <w:tc>
          <w:tcPr>
            <w:tcW w:w="5377" w:type="dxa"/>
            <w:tcBorders>
              <w:top w:val="nil"/>
              <w:left w:val="single" w:sz="8" w:space="0" w:color="auto"/>
              <w:bottom w:val="single" w:sz="8" w:space="0" w:color="auto"/>
              <w:right w:val="single" w:sz="4" w:space="0" w:color="auto"/>
            </w:tcBorders>
            <w:shd w:val="clear" w:color="FFFFFF" w:fill="FFFFFF"/>
            <w:noWrap/>
            <w:vAlign w:val="bottom"/>
            <w:hideMark/>
          </w:tcPr>
          <w:p w:rsidR="00AD5632" w:rsidRPr="005C2FE5" w:rsidRDefault="00AD5632" w:rsidP="00BA0B4B">
            <w:pPr>
              <w:ind w:firstLineChars="200" w:firstLine="320"/>
              <w:rPr>
                <w:color w:val="333333"/>
                <w:sz w:val="16"/>
                <w:szCs w:val="20"/>
                <w:lang w:val="es-GT" w:eastAsia="es-GT"/>
              </w:rPr>
            </w:pPr>
            <w:r w:rsidRPr="005C2FE5">
              <w:rPr>
                <w:color w:val="333333"/>
                <w:sz w:val="16"/>
                <w:szCs w:val="20"/>
                <w:lang w:val="es-GT" w:eastAsia="es-GT"/>
              </w:rPr>
              <w:t>CONSULTORÍA Y ASESORÍA DEL ESTADO</w:t>
            </w:r>
          </w:p>
        </w:tc>
        <w:tc>
          <w:tcPr>
            <w:tcW w:w="1134" w:type="dxa"/>
            <w:tcBorders>
              <w:top w:val="nil"/>
              <w:left w:val="single" w:sz="4" w:space="0" w:color="auto"/>
              <w:bottom w:val="single" w:sz="8" w:space="0" w:color="auto"/>
              <w:right w:val="single" w:sz="4"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4.3</w:t>
            </w:r>
          </w:p>
        </w:tc>
        <w:tc>
          <w:tcPr>
            <w:tcW w:w="1008" w:type="dxa"/>
            <w:tcBorders>
              <w:top w:val="nil"/>
              <w:left w:val="nil"/>
              <w:bottom w:val="single" w:sz="8" w:space="0" w:color="auto"/>
              <w:right w:val="single" w:sz="4"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4.9</w:t>
            </w:r>
          </w:p>
        </w:tc>
        <w:tc>
          <w:tcPr>
            <w:tcW w:w="670" w:type="dxa"/>
            <w:tcBorders>
              <w:top w:val="nil"/>
              <w:left w:val="nil"/>
              <w:bottom w:val="single" w:sz="8" w:space="0" w:color="auto"/>
              <w:right w:val="single" w:sz="4"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-0.6</w:t>
            </w:r>
          </w:p>
        </w:tc>
        <w:tc>
          <w:tcPr>
            <w:tcW w:w="1015" w:type="dxa"/>
            <w:tcBorders>
              <w:top w:val="nil"/>
              <w:left w:val="nil"/>
              <w:bottom w:val="single" w:sz="8" w:space="0" w:color="auto"/>
              <w:right w:val="single" w:sz="8" w:space="0" w:color="auto"/>
            </w:tcBorders>
            <w:shd w:val="clear" w:color="FFFFFF" w:fill="FFFFFF"/>
            <w:noWrap/>
            <w:vAlign w:val="bottom"/>
            <w:hideMark/>
          </w:tcPr>
          <w:p w:rsidR="00AD5632" w:rsidRPr="005C2FE5" w:rsidRDefault="00AD5632" w:rsidP="00BA0B4B">
            <w:pPr>
              <w:jc w:val="right"/>
              <w:rPr>
                <w:color w:val="333333"/>
                <w:sz w:val="16"/>
                <w:szCs w:val="20"/>
                <w:lang w:val="es-GT" w:eastAsia="es-GT"/>
              </w:rPr>
            </w:pPr>
            <w:r w:rsidRPr="005C2FE5">
              <w:rPr>
                <w:color w:val="333333"/>
                <w:sz w:val="16"/>
                <w:szCs w:val="20"/>
                <w:lang w:val="es-GT" w:eastAsia="es-GT"/>
              </w:rPr>
              <w:t>114.1%</w:t>
            </w:r>
          </w:p>
        </w:tc>
      </w:tr>
    </w:tbl>
    <w:p w:rsidR="00AD5632" w:rsidRPr="004E678D" w:rsidRDefault="00241D54" w:rsidP="00AD5632">
      <w:pPr>
        <w:jc w:val="both"/>
        <w:rPr>
          <w:sz w:val="18"/>
        </w:rPr>
      </w:pPr>
      <w:r>
        <w:rPr>
          <w:sz w:val="18"/>
        </w:rPr>
        <w:t xml:space="preserve"> </w:t>
      </w:r>
      <w:r w:rsidR="00AD5632" w:rsidRPr="004E678D">
        <w:rPr>
          <w:sz w:val="18"/>
        </w:rPr>
        <w:t>Fuente: Ministerio de Finanzas Públicas</w:t>
      </w:r>
      <w:r w:rsidR="00AD5632">
        <w:rPr>
          <w:sz w:val="18"/>
        </w:rPr>
        <w:t>.</w:t>
      </w:r>
    </w:p>
    <w:p w:rsidR="00AD5632" w:rsidRDefault="00AD5632" w:rsidP="00AD5632">
      <w:pPr>
        <w:jc w:val="both"/>
      </w:pPr>
    </w:p>
    <w:p w:rsidR="00AD5632" w:rsidRPr="00D108FD" w:rsidRDefault="00AD5632" w:rsidP="00AD5632">
      <w:pPr>
        <w:jc w:val="both"/>
      </w:pPr>
    </w:p>
    <w:p w:rsidR="00AD5632" w:rsidRDefault="00AD5632" w:rsidP="00AD5632">
      <w:pPr>
        <w:jc w:val="both"/>
        <w:rPr>
          <w:b/>
        </w:rPr>
      </w:pPr>
      <w:r w:rsidRPr="0049429F">
        <w:rPr>
          <w:b/>
        </w:rPr>
        <w:t>Secretarías y Otras Dependencias del Ejecutivo</w:t>
      </w:r>
      <w:r>
        <w:rPr>
          <w:b/>
        </w:rPr>
        <w:t>:</w:t>
      </w:r>
    </w:p>
    <w:p w:rsidR="00AD5632" w:rsidRDefault="00AD5632" w:rsidP="00AD5632">
      <w:pPr>
        <w:jc w:val="both"/>
        <w:rPr>
          <w:b/>
        </w:rPr>
      </w:pPr>
    </w:p>
    <w:p w:rsidR="00677B6D" w:rsidRDefault="00677B6D" w:rsidP="00677B6D">
      <w:pPr>
        <w:jc w:val="both"/>
      </w:pPr>
      <w:r>
        <w:t>Las Secretarías en su conjunto tuvieron un presupuesto aprobado de Q.1,526.7 millones, de los cuales ejecutaron Q.1,120.2 millones, equivalentes al 73.4%.</w:t>
      </w:r>
    </w:p>
    <w:p w:rsidR="00677B6D" w:rsidRDefault="00677B6D" w:rsidP="00677B6D">
      <w:pPr>
        <w:jc w:val="both"/>
      </w:pPr>
    </w:p>
    <w:p w:rsidR="00677B6D" w:rsidRDefault="00677B6D" w:rsidP="00677B6D">
      <w:pPr>
        <w:jc w:val="both"/>
      </w:pPr>
      <w:r w:rsidRPr="00D108FD">
        <w:t>Dentro de las Secretarías</w:t>
      </w:r>
      <w:r>
        <w:t>,</w:t>
      </w:r>
      <w:r w:rsidRPr="00D108FD">
        <w:t xml:space="preserve"> por el nivel de recursos ejecutados, resalta como primer punto la Secretaría de Bienestar Social de la Presidencia de la República que contó con </w:t>
      </w:r>
      <w:r>
        <w:t>Q.</w:t>
      </w:r>
      <w:r w:rsidRPr="00D108FD">
        <w:t>2</w:t>
      </w:r>
      <w:r>
        <w:t>95.3</w:t>
      </w:r>
      <w:r w:rsidRPr="00D108FD">
        <w:t xml:space="preserve"> millones de presupuesto</w:t>
      </w:r>
      <w:r>
        <w:t xml:space="preserve"> aprobado</w:t>
      </w:r>
      <w:r w:rsidRPr="00D108FD">
        <w:t xml:space="preserve"> y una ejecución de </w:t>
      </w:r>
      <w:r>
        <w:t>Q.</w:t>
      </w:r>
      <w:r w:rsidRPr="00D108FD">
        <w:t>2</w:t>
      </w:r>
      <w:r>
        <w:t>74.8</w:t>
      </w:r>
      <w:r w:rsidRPr="00D108FD">
        <w:t xml:space="preserve"> millones</w:t>
      </w:r>
      <w:r w:rsidR="00912C09">
        <w:t>,</w:t>
      </w:r>
      <w:r w:rsidRPr="00D108FD">
        <w:t xml:space="preserve"> equivalente</w:t>
      </w:r>
      <w:r>
        <w:t>s</w:t>
      </w:r>
      <w:r w:rsidRPr="00D108FD">
        <w:t xml:space="preserve"> al </w:t>
      </w:r>
      <w:r>
        <w:t>93.1</w:t>
      </w:r>
      <w:r w:rsidRPr="00D108FD">
        <w:t>%</w:t>
      </w:r>
      <w:r>
        <w:t>.</w:t>
      </w:r>
      <w:r w:rsidRPr="00D108FD">
        <w:t xml:space="preserve"> </w:t>
      </w:r>
      <w:r>
        <w:t>B</w:t>
      </w:r>
      <w:r w:rsidRPr="00D108FD">
        <w:t xml:space="preserve">ajo el programa </w:t>
      </w:r>
      <w:r>
        <w:t>“</w:t>
      </w:r>
      <w:r w:rsidRPr="00D108FD">
        <w:t>Actividades de Bienes</w:t>
      </w:r>
      <w:r>
        <w:t>tar</w:t>
      </w:r>
      <w:r w:rsidRPr="00D108FD">
        <w:t xml:space="preserve"> Social</w:t>
      </w:r>
      <w:r>
        <w:t>”</w:t>
      </w:r>
      <w:r w:rsidRPr="00D108FD">
        <w:t>.</w:t>
      </w:r>
    </w:p>
    <w:p w:rsidR="00677B6D" w:rsidRPr="00D108FD" w:rsidRDefault="00677B6D" w:rsidP="00677B6D">
      <w:pPr>
        <w:jc w:val="both"/>
      </w:pPr>
    </w:p>
    <w:p w:rsidR="00677B6D" w:rsidRDefault="00677B6D" w:rsidP="00677B6D">
      <w:pPr>
        <w:jc w:val="both"/>
      </w:pPr>
      <w:r w:rsidRPr="00D108FD">
        <w:t xml:space="preserve">Seguidamente se puede observar que, dentro de los montos importantes de ejecución, se ubica la Secretaría de Obras Sociales de la Esposa del </w:t>
      </w:r>
      <w:r>
        <w:t>presidente</w:t>
      </w:r>
      <w:r w:rsidRPr="00D108FD">
        <w:t>, que alcanzó un presupuesto</w:t>
      </w:r>
      <w:r>
        <w:t xml:space="preserve"> aprobado</w:t>
      </w:r>
      <w:r w:rsidRPr="00D108FD">
        <w:t xml:space="preserve"> de </w:t>
      </w:r>
      <w:r>
        <w:t>Q.200.4</w:t>
      </w:r>
      <w:r w:rsidRPr="00D108FD">
        <w:t xml:space="preserve"> millones y una ejecución presupuestaria de </w:t>
      </w:r>
      <w:r>
        <w:t>Q.</w:t>
      </w:r>
      <w:r w:rsidRPr="00D108FD">
        <w:t>1</w:t>
      </w:r>
      <w:r>
        <w:t>44.0</w:t>
      </w:r>
      <w:r w:rsidRPr="00D108FD">
        <w:t xml:space="preserve"> millones</w:t>
      </w:r>
      <w:r w:rsidR="00DB12D2">
        <w:t>,</w:t>
      </w:r>
      <w:r w:rsidRPr="00D108FD">
        <w:t xml:space="preserve"> equivalente</w:t>
      </w:r>
      <w:r>
        <w:t>s</w:t>
      </w:r>
      <w:r w:rsidRPr="00D108FD">
        <w:t xml:space="preserve"> al </w:t>
      </w:r>
      <w:r>
        <w:t xml:space="preserve">71.9%, </w:t>
      </w:r>
      <w:r w:rsidRPr="00D108FD">
        <w:t xml:space="preserve">bajo el programa de </w:t>
      </w:r>
      <w:r>
        <w:t>“</w:t>
      </w:r>
      <w:r w:rsidRPr="00D108FD">
        <w:t>Ob</w:t>
      </w:r>
      <w:r>
        <w:t>r</w:t>
      </w:r>
      <w:r w:rsidRPr="00D108FD">
        <w:t>as Sociales</w:t>
      </w:r>
      <w:r>
        <w:t>”</w:t>
      </w:r>
      <w:r w:rsidRPr="00D108FD">
        <w:t>.</w:t>
      </w:r>
    </w:p>
    <w:p w:rsidR="00677B6D" w:rsidRDefault="00677B6D" w:rsidP="00677B6D">
      <w:pPr>
        <w:jc w:val="both"/>
      </w:pPr>
    </w:p>
    <w:p w:rsidR="00677B6D" w:rsidRDefault="00677B6D" w:rsidP="00677B6D">
      <w:pPr>
        <w:jc w:val="both"/>
      </w:pPr>
      <w:r w:rsidRPr="00D108FD">
        <w:t xml:space="preserve">También resalta el Consejo Nacional de Áreas Protegidas con un presupuesto de </w:t>
      </w:r>
      <w:r>
        <w:t>Q.</w:t>
      </w:r>
      <w:r w:rsidRPr="00D108FD">
        <w:t>1</w:t>
      </w:r>
      <w:r>
        <w:t>23.0</w:t>
      </w:r>
      <w:r w:rsidRPr="00D108FD">
        <w:t xml:space="preserve"> millones y una ejecución de </w:t>
      </w:r>
      <w:r>
        <w:t>Q.102.7</w:t>
      </w:r>
      <w:r w:rsidRPr="00D108FD">
        <w:t xml:space="preserve"> millones equivalente</w:t>
      </w:r>
      <w:r>
        <w:t>s</w:t>
      </w:r>
      <w:r w:rsidRPr="00D108FD">
        <w:t xml:space="preserve"> al </w:t>
      </w:r>
      <w:r>
        <w:t>83.5</w:t>
      </w:r>
      <w:r w:rsidRPr="00D108FD">
        <w:t xml:space="preserve">% bajo el programa </w:t>
      </w:r>
      <w:r>
        <w:t>“Restauración, Protección, Conservación de Áreas Protegidas y Diversidad Biológica”</w:t>
      </w:r>
      <w:r w:rsidRPr="00D108FD">
        <w:t>.</w:t>
      </w:r>
    </w:p>
    <w:p w:rsidR="00677B6D" w:rsidRPr="00AB2D0A" w:rsidRDefault="00677B6D" w:rsidP="00677B6D">
      <w:pPr>
        <w:jc w:val="both"/>
        <w:rPr>
          <w:sz w:val="32"/>
        </w:rPr>
      </w:pPr>
    </w:p>
    <w:p w:rsidR="00677B6D" w:rsidRDefault="00677B6D" w:rsidP="00677B6D">
      <w:pPr>
        <w:jc w:val="both"/>
      </w:pPr>
      <w:r w:rsidRPr="00D108FD">
        <w:t xml:space="preserve">Otra </w:t>
      </w:r>
      <w:r>
        <w:t xml:space="preserve">entidad </w:t>
      </w:r>
      <w:r w:rsidRPr="00D108FD">
        <w:t>que destin</w:t>
      </w:r>
      <w:r>
        <w:t>ó</w:t>
      </w:r>
      <w:r w:rsidRPr="00D108FD">
        <w:t xml:space="preserve"> un monto considerable en su ejecución durante 20</w:t>
      </w:r>
      <w:r>
        <w:t xml:space="preserve">21 </w:t>
      </w:r>
      <w:r w:rsidRPr="00D108FD">
        <w:t xml:space="preserve">fue la Secretaría de Planificación y Programación de la Presidencia con un presupuesto de </w:t>
      </w:r>
      <w:r>
        <w:t>Q.102.</w:t>
      </w:r>
      <w:r w:rsidRPr="00D108FD">
        <w:t xml:space="preserve">9 millones y una </w:t>
      </w:r>
      <w:r w:rsidRPr="00D108FD">
        <w:lastRenderedPageBreak/>
        <w:t xml:space="preserve">ejecución presupuestaria de </w:t>
      </w:r>
      <w:r>
        <w:t>Q.92.8</w:t>
      </w:r>
      <w:r w:rsidRPr="00D108FD">
        <w:t xml:space="preserve"> millones</w:t>
      </w:r>
      <w:r w:rsidR="00DB12D2">
        <w:t>,</w:t>
      </w:r>
      <w:r w:rsidRPr="00D108FD">
        <w:t xml:space="preserve"> equivalentes al </w:t>
      </w:r>
      <w:r>
        <w:t>90.2</w:t>
      </w:r>
      <w:r w:rsidRPr="00D108FD">
        <w:t xml:space="preserve">%, bajo el programa </w:t>
      </w:r>
      <w:r w:rsidR="00DB12D2">
        <w:t>“</w:t>
      </w:r>
      <w:r w:rsidRPr="00D108FD">
        <w:t>Planificación, Monitoreo y Evaluación de la Gestión Pública</w:t>
      </w:r>
      <w:r w:rsidR="00DB12D2">
        <w:t>”</w:t>
      </w:r>
      <w:r w:rsidRPr="00D108FD">
        <w:t>.</w:t>
      </w:r>
    </w:p>
    <w:p w:rsidR="00677B6D" w:rsidRPr="00AB2D0A" w:rsidRDefault="00677B6D" w:rsidP="00677B6D">
      <w:pPr>
        <w:jc w:val="both"/>
        <w:rPr>
          <w:sz w:val="32"/>
        </w:rPr>
      </w:pPr>
    </w:p>
    <w:p w:rsidR="00677B6D" w:rsidRDefault="00677B6D" w:rsidP="00677B6D">
      <w:pPr>
        <w:jc w:val="both"/>
      </w:pPr>
      <w:r w:rsidRPr="00D108FD">
        <w:t xml:space="preserve">Por su parte la Secretaría de Coordinación Ejecutiva de la Presidencia </w:t>
      </w:r>
      <w:r>
        <w:t>con</w:t>
      </w:r>
      <w:r w:rsidRPr="00D108FD">
        <w:t xml:space="preserve"> presupuesto</w:t>
      </w:r>
      <w:r>
        <w:t xml:space="preserve"> aprobado</w:t>
      </w:r>
      <w:r w:rsidRPr="00D108FD">
        <w:t xml:space="preserve"> de </w:t>
      </w:r>
      <w:r>
        <w:t>Q.</w:t>
      </w:r>
      <w:r w:rsidRPr="00D108FD">
        <w:t>6</w:t>
      </w:r>
      <w:r>
        <w:t>3.0</w:t>
      </w:r>
      <w:r w:rsidRPr="00D108FD">
        <w:t xml:space="preserve"> millones, en tanto que su ejecución presupuestaria fue de </w:t>
      </w:r>
      <w:r>
        <w:t>Q.</w:t>
      </w:r>
      <w:r w:rsidRPr="00D108FD">
        <w:t>6</w:t>
      </w:r>
      <w:r>
        <w:t>5.5</w:t>
      </w:r>
      <w:r w:rsidRPr="00D108FD">
        <w:t xml:space="preserve"> millones</w:t>
      </w:r>
      <w:r w:rsidR="00DB12D2">
        <w:t>,</w:t>
      </w:r>
      <w:r w:rsidRPr="00D108FD">
        <w:t xml:space="preserve"> equivalente</w:t>
      </w:r>
      <w:r>
        <w:t>s</w:t>
      </w:r>
      <w:r w:rsidRPr="00D108FD">
        <w:t xml:space="preserve"> al </w:t>
      </w:r>
      <w:r>
        <w:t>104.0</w:t>
      </w:r>
      <w:r w:rsidRPr="00D108FD">
        <w:t>%</w:t>
      </w:r>
      <w:r w:rsidR="00DB12D2">
        <w:t>, b</w:t>
      </w:r>
      <w:r w:rsidRPr="00D108FD">
        <w:t xml:space="preserve">ajo el programa </w:t>
      </w:r>
      <w:r w:rsidR="00DB12D2">
        <w:t>“</w:t>
      </w:r>
      <w:r w:rsidRPr="00D108FD">
        <w:t>Coordinación de Políticas y Proyectos de Desarrollo</w:t>
      </w:r>
      <w:r w:rsidR="00DB12D2">
        <w:t>”</w:t>
      </w:r>
      <w:r w:rsidRPr="00D108FD">
        <w:t>.</w:t>
      </w:r>
    </w:p>
    <w:p w:rsidR="00677B6D" w:rsidRDefault="00677B6D" w:rsidP="00677B6D">
      <w:pPr>
        <w:jc w:val="both"/>
      </w:pPr>
    </w:p>
    <w:p w:rsidR="00677B6D" w:rsidRDefault="00677B6D" w:rsidP="00677B6D">
      <w:pPr>
        <w:jc w:val="both"/>
      </w:pPr>
      <w:r>
        <w:t>La Secretaría de Comunicación Social de la Presidencia tuvo un presupuesto aprobado de Q</w:t>
      </w:r>
      <w:r w:rsidR="006211BB">
        <w:t>.</w:t>
      </w:r>
      <w:r>
        <w:t>40.0 millones y ejecutó Q</w:t>
      </w:r>
      <w:r w:rsidR="006211BB">
        <w:t>.</w:t>
      </w:r>
      <w:r>
        <w:t xml:space="preserve">54.9 millones equivalentes al 137.1%, bajo los programas </w:t>
      </w:r>
      <w:r w:rsidR="006211BB">
        <w:t>“</w:t>
      </w:r>
      <w:r>
        <w:t>Información y Divulgación Documental</w:t>
      </w:r>
      <w:r w:rsidR="006211BB">
        <w:t>”</w:t>
      </w:r>
      <w:r>
        <w:t xml:space="preserve"> y el de </w:t>
      </w:r>
      <w:r w:rsidR="006211BB">
        <w:t>“</w:t>
      </w:r>
      <w:r>
        <w:t>Atención por Desastres Naturales y Calamidades Públicas</w:t>
      </w:r>
      <w:r w:rsidR="006211BB">
        <w:t>”</w:t>
      </w:r>
      <w:r>
        <w:t>.</w:t>
      </w:r>
    </w:p>
    <w:p w:rsidR="00677B6D" w:rsidRDefault="00677B6D" w:rsidP="00677B6D">
      <w:pPr>
        <w:jc w:val="both"/>
      </w:pPr>
    </w:p>
    <w:p w:rsidR="00677B6D" w:rsidRDefault="00677B6D" w:rsidP="00677B6D">
      <w:pPr>
        <w:jc w:val="both"/>
      </w:pPr>
      <w:r w:rsidRPr="00D108FD">
        <w:t>La Oficina Nacional de Servicio Civil tuvo un presupuesto</w:t>
      </w:r>
      <w:r>
        <w:t xml:space="preserve"> inicial</w:t>
      </w:r>
      <w:r w:rsidRPr="00D108FD">
        <w:t xml:space="preserve"> de </w:t>
      </w:r>
      <w:r>
        <w:t>Q.</w:t>
      </w:r>
      <w:r w:rsidRPr="00D108FD">
        <w:t>5</w:t>
      </w:r>
      <w:r>
        <w:t>2.</w:t>
      </w:r>
      <w:r w:rsidRPr="00D108FD">
        <w:t xml:space="preserve">1 millones, y alcanzó una ejecución de </w:t>
      </w:r>
      <w:r>
        <w:t>Q.</w:t>
      </w:r>
      <w:r w:rsidRPr="00D108FD">
        <w:t>5</w:t>
      </w:r>
      <w:r>
        <w:t>1.2</w:t>
      </w:r>
      <w:r w:rsidRPr="00D108FD">
        <w:t xml:space="preserve"> millones</w:t>
      </w:r>
      <w:r w:rsidR="00E92F0D">
        <w:t>,</w:t>
      </w:r>
      <w:r w:rsidRPr="00D108FD">
        <w:t xml:space="preserve"> equivalente</w:t>
      </w:r>
      <w:r>
        <w:t>s</w:t>
      </w:r>
      <w:r w:rsidRPr="00D108FD">
        <w:t xml:space="preserve"> al 9</w:t>
      </w:r>
      <w:r>
        <w:t>8.3</w:t>
      </w:r>
      <w:r w:rsidRPr="00D108FD">
        <w:t xml:space="preserve">% bajo el programa </w:t>
      </w:r>
      <w:r w:rsidR="00E92F0D">
        <w:t>“</w:t>
      </w:r>
      <w:r w:rsidRPr="00D108FD">
        <w:t>Administración de Recursos Humanos de la Administración Pública y del Régimen de Clases Pasivas Civiles y del Estado</w:t>
      </w:r>
      <w:r w:rsidR="00E92F0D">
        <w:t>”</w:t>
      </w:r>
      <w:r w:rsidRPr="00D108FD">
        <w:t>.</w:t>
      </w:r>
    </w:p>
    <w:p w:rsidR="00677B6D" w:rsidRDefault="00677B6D" w:rsidP="00677B6D">
      <w:pPr>
        <w:jc w:val="both"/>
      </w:pPr>
    </w:p>
    <w:p w:rsidR="00677B6D" w:rsidRDefault="00677B6D" w:rsidP="00677B6D">
      <w:pPr>
        <w:jc w:val="both"/>
      </w:pPr>
      <w:r w:rsidRPr="00D108FD">
        <w:t xml:space="preserve">Por su parte la Secretaría de Seguridad Alimentaria y Nutricional de la Presidencia de la República tuvo un </w:t>
      </w:r>
      <w:r>
        <w:t xml:space="preserve">presupuesto aprobado </w:t>
      </w:r>
      <w:r w:rsidRPr="00D108FD">
        <w:t xml:space="preserve">de </w:t>
      </w:r>
      <w:r>
        <w:t>Q.50.2</w:t>
      </w:r>
      <w:r w:rsidRPr="00D108FD">
        <w:t xml:space="preserve"> millones y una ejecución presupuestaria de </w:t>
      </w:r>
      <w:r>
        <w:t>Q.46.8</w:t>
      </w:r>
      <w:r w:rsidRPr="00D108FD">
        <w:t xml:space="preserve"> millones equivalente</w:t>
      </w:r>
      <w:r>
        <w:t>s</w:t>
      </w:r>
      <w:r w:rsidRPr="00D108FD">
        <w:t xml:space="preserve"> al </w:t>
      </w:r>
      <w:r>
        <w:t>93.1</w:t>
      </w:r>
      <w:r w:rsidRPr="00D108FD">
        <w:t xml:space="preserve">% bajo el programa </w:t>
      </w:r>
      <w:r w:rsidR="00E92F0D">
        <w:t>“</w:t>
      </w:r>
      <w:r w:rsidRPr="00D108FD">
        <w:t>Asuntos de Seguridad Alimentaria y Nutricional</w:t>
      </w:r>
      <w:r w:rsidR="00E92F0D">
        <w:t>”</w:t>
      </w:r>
      <w:r w:rsidRPr="00D108FD">
        <w:t>.</w:t>
      </w:r>
    </w:p>
    <w:p w:rsidR="00677B6D" w:rsidRDefault="00677B6D" w:rsidP="00677B6D">
      <w:pPr>
        <w:jc w:val="both"/>
      </w:pPr>
    </w:p>
    <w:p w:rsidR="00677B6D" w:rsidRDefault="00677B6D" w:rsidP="00677B6D">
      <w:pPr>
        <w:jc w:val="both"/>
      </w:pPr>
      <w:r>
        <w:t>La Secretaría General de la Presidencia de la República inició el 2021 con un presupuesto aprobado de Q</w:t>
      </w:r>
      <w:r w:rsidR="00E92F0D">
        <w:t>.</w:t>
      </w:r>
      <w:r>
        <w:t>19.0 millones y su ejecución presupuestaria al cierre preliminar fue de Q</w:t>
      </w:r>
      <w:r w:rsidR="00E92F0D">
        <w:t>.</w:t>
      </w:r>
      <w:r>
        <w:t xml:space="preserve">34.2 millones, equivalentes al 180.0%, bajo el programa </w:t>
      </w:r>
      <w:r w:rsidR="00E92F0D">
        <w:t>“</w:t>
      </w:r>
      <w:r>
        <w:t>Servicios Generales de la Presidencia</w:t>
      </w:r>
      <w:r w:rsidR="00E92F0D">
        <w:t>”</w:t>
      </w:r>
      <w:r>
        <w:t>.</w:t>
      </w:r>
    </w:p>
    <w:p w:rsidR="00677B6D" w:rsidRDefault="00677B6D" w:rsidP="00677B6D">
      <w:pPr>
        <w:jc w:val="both"/>
      </w:pPr>
    </w:p>
    <w:p w:rsidR="00677B6D" w:rsidRDefault="00677B6D" w:rsidP="00677B6D">
      <w:pPr>
        <w:jc w:val="both"/>
      </w:pPr>
      <w:r>
        <w:t>La Secretaría de Inteligencia Estratégica del Estado tuvo un presupuesto aprobado de Q</w:t>
      </w:r>
      <w:r w:rsidR="00E92F0D">
        <w:t>.</w:t>
      </w:r>
      <w:r>
        <w:t>35.0 millones y alcanzó una ejecución presupuestaria de Q</w:t>
      </w:r>
      <w:r w:rsidR="00E92F0D">
        <w:t>.</w:t>
      </w:r>
      <w:r>
        <w:t xml:space="preserve">29.1 millones, equivalentes al 83.2%, bajo el programa </w:t>
      </w:r>
      <w:r w:rsidR="00E92F0D">
        <w:t>“</w:t>
      </w:r>
      <w:r>
        <w:t>Acciones de Inteligencia Estratégica</w:t>
      </w:r>
      <w:r w:rsidR="00E92F0D">
        <w:t>”</w:t>
      </w:r>
      <w:r>
        <w:t>.</w:t>
      </w:r>
    </w:p>
    <w:p w:rsidR="00677B6D" w:rsidRDefault="00677B6D" w:rsidP="00677B6D">
      <w:pPr>
        <w:jc w:val="both"/>
      </w:pPr>
    </w:p>
    <w:p w:rsidR="00677B6D" w:rsidRDefault="00677B6D" w:rsidP="00677B6D">
      <w:pPr>
        <w:jc w:val="both"/>
      </w:pPr>
      <w:r>
        <w:t>La Secretaría Técnica del Consejo Nacional de Seguridad inició con un presupuesto de Q</w:t>
      </w:r>
      <w:r w:rsidR="00E92F0D">
        <w:t>.</w:t>
      </w:r>
      <w:r>
        <w:t>28.0 millones y su ejecución llegó a Q</w:t>
      </w:r>
      <w:r w:rsidR="00E92F0D">
        <w:t>.</w:t>
      </w:r>
      <w:r>
        <w:t xml:space="preserve">28.9 millones, equivalentes al 103.3%, bajo los programas </w:t>
      </w:r>
      <w:r w:rsidR="00E92F0D">
        <w:t>“</w:t>
      </w:r>
      <w:r>
        <w:t xml:space="preserve">Fortalecimiento y </w:t>
      </w:r>
      <w:r w:rsidR="00E92F0D">
        <w:t>A</w:t>
      </w:r>
      <w:r>
        <w:t>poyo al Sistema Nacional de Seguridad</w:t>
      </w:r>
      <w:r w:rsidR="00E92F0D">
        <w:t>”</w:t>
      </w:r>
      <w:r>
        <w:t xml:space="preserve">, </w:t>
      </w:r>
      <w:r w:rsidR="00E92F0D">
        <w:t>“</w:t>
      </w:r>
      <w:r>
        <w:t>Inspectoría General del Sistema Nacional de Seguridad</w:t>
      </w:r>
      <w:r w:rsidR="00E92F0D">
        <w:t>”</w:t>
      </w:r>
      <w:r>
        <w:t xml:space="preserve"> y el de </w:t>
      </w:r>
      <w:r w:rsidR="00E92F0D">
        <w:t>“</w:t>
      </w:r>
      <w:r>
        <w:t>Estudios Estratégicos de Seguridad</w:t>
      </w:r>
      <w:r w:rsidR="00E92F0D">
        <w:t>”</w:t>
      </w:r>
      <w:r>
        <w:t>.</w:t>
      </w:r>
    </w:p>
    <w:p w:rsidR="00677B6D" w:rsidRDefault="00677B6D" w:rsidP="00677B6D">
      <w:pPr>
        <w:jc w:val="both"/>
      </w:pPr>
    </w:p>
    <w:p w:rsidR="00677B6D" w:rsidRDefault="00677B6D" w:rsidP="00677B6D">
      <w:pPr>
        <w:jc w:val="both"/>
      </w:pPr>
      <w:r>
        <w:t>La</w:t>
      </w:r>
      <w:r w:rsidRPr="00D108FD">
        <w:t xml:space="preserve"> Comisión Presidencial </w:t>
      </w:r>
      <w:r>
        <w:t xml:space="preserve">por la Paz y los </w:t>
      </w:r>
      <w:r w:rsidRPr="00D108FD">
        <w:t>Derechos Humanos,</w:t>
      </w:r>
      <w:r>
        <w:t xml:space="preserve"> no estaba incluida al inicio del año y al cierre preliminar reporta una ejecución de </w:t>
      </w:r>
      <w:r w:rsidRPr="00D108FD">
        <w:t xml:space="preserve">presupuestaria de </w:t>
      </w:r>
      <w:r>
        <w:t>Q.28.0</w:t>
      </w:r>
      <w:r w:rsidRPr="00D108FD">
        <w:t xml:space="preserve"> millones bajo el programa </w:t>
      </w:r>
      <w:r w:rsidR="004B3874">
        <w:t>“</w:t>
      </w:r>
      <w:r>
        <w:t>Promoción de Acciones y Mecanismos por la Paz, Derechos Humanos y Atención de Conflictividad</w:t>
      </w:r>
      <w:r w:rsidR="004B3874">
        <w:t>”</w:t>
      </w:r>
      <w:r>
        <w:t>.</w:t>
      </w:r>
    </w:p>
    <w:p w:rsidR="004B3874" w:rsidRDefault="004B3874" w:rsidP="00677B6D">
      <w:pPr>
        <w:jc w:val="both"/>
      </w:pPr>
    </w:p>
    <w:p w:rsidR="00677B6D" w:rsidRPr="0026646D" w:rsidRDefault="00677B6D" w:rsidP="00677B6D">
      <w:pPr>
        <w:jc w:val="both"/>
      </w:pPr>
      <w:r w:rsidRPr="0026646D">
        <w:t>La Autoridad para el Manejo Sustentable de la Cuenca del Lago de Amatitlán tuvo un presupuesto asignado de Q</w:t>
      </w:r>
      <w:r w:rsidR="004B3874">
        <w:t>.</w:t>
      </w:r>
      <w:r w:rsidRPr="0026646D">
        <w:t>29.3 millones y al cierre preliminar reporta una ejecución de Q</w:t>
      </w:r>
      <w:r w:rsidR="004B3874">
        <w:t>.</w:t>
      </w:r>
      <w:r w:rsidRPr="0026646D">
        <w:t xml:space="preserve">25.6 millones, equivalentes al 87.2%, bajo el programa </w:t>
      </w:r>
      <w:r w:rsidR="004B3874">
        <w:t>“</w:t>
      </w:r>
      <w:r w:rsidRPr="0026646D">
        <w:t>Manejo Integrado de la Cuenca y del Lago de Amatitlán</w:t>
      </w:r>
      <w:r w:rsidR="004B3874">
        <w:t>”</w:t>
      </w:r>
      <w:r w:rsidRPr="0026646D">
        <w:t>.</w:t>
      </w:r>
    </w:p>
    <w:p w:rsidR="00677B6D" w:rsidRPr="00AB2D0A" w:rsidRDefault="00677B6D" w:rsidP="00677B6D">
      <w:pPr>
        <w:jc w:val="both"/>
        <w:rPr>
          <w:sz w:val="32"/>
        </w:rPr>
      </w:pPr>
    </w:p>
    <w:p w:rsidR="00677B6D" w:rsidRDefault="00677B6D" w:rsidP="00677B6D">
      <w:pPr>
        <w:jc w:val="both"/>
      </w:pPr>
      <w:r w:rsidRPr="00BC2EC7">
        <w:t xml:space="preserve">El resto de las entidades que conforman las Secretarías, ejecutaron </w:t>
      </w:r>
      <w:r w:rsidR="00863300">
        <w:t>globalmente</w:t>
      </w:r>
      <w:r w:rsidRPr="00BC2EC7">
        <w:t xml:space="preserve"> Q.</w:t>
      </w:r>
      <w:r w:rsidR="00863300">
        <w:t>141.6</w:t>
      </w:r>
      <w:r w:rsidRPr="00BC2EC7">
        <w:t xml:space="preserve"> millones, tal como se puede observar en el siguiente cuadro.</w:t>
      </w:r>
    </w:p>
    <w:tbl>
      <w:tblPr>
        <w:tblW w:w="0" w:type="auto"/>
        <w:tblCellMar>
          <w:left w:w="70" w:type="dxa"/>
          <w:right w:w="70" w:type="dxa"/>
        </w:tblCellMar>
        <w:tblLook w:val="04A0" w:firstRow="1" w:lastRow="0" w:firstColumn="1" w:lastColumn="0" w:noHBand="0" w:noVBand="1"/>
      </w:tblPr>
      <w:tblGrid>
        <w:gridCol w:w="6729"/>
        <w:gridCol w:w="701"/>
        <w:gridCol w:w="747"/>
        <w:gridCol w:w="560"/>
        <w:gridCol w:w="580"/>
      </w:tblGrid>
      <w:tr w:rsidR="00677B6D" w:rsidRPr="00C85C3E" w:rsidTr="00912C09">
        <w:trPr>
          <w:trHeight w:val="180"/>
        </w:trPr>
        <w:tc>
          <w:tcPr>
            <w:tcW w:w="0" w:type="auto"/>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77B6D" w:rsidRPr="00C85C3E" w:rsidRDefault="00677B6D" w:rsidP="00912C09">
            <w:pPr>
              <w:jc w:val="center"/>
              <w:rPr>
                <w:b/>
                <w:bCs/>
                <w:color w:val="000000"/>
                <w:sz w:val="14"/>
                <w:szCs w:val="22"/>
                <w:lang w:val="es-GT" w:eastAsia="es-GT"/>
              </w:rPr>
            </w:pPr>
            <w:r w:rsidRPr="00C85C3E">
              <w:rPr>
                <w:b/>
                <w:bCs/>
                <w:color w:val="000000"/>
                <w:sz w:val="14"/>
                <w:szCs w:val="22"/>
                <w:lang w:val="es-GT" w:eastAsia="es-GT"/>
              </w:rPr>
              <w:lastRenderedPageBreak/>
              <w:t>DESCRIPCI</w:t>
            </w:r>
            <w:r w:rsidR="00241D54">
              <w:rPr>
                <w:b/>
                <w:bCs/>
                <w:color w:val="000000"/>
                <w:sz w:val="14"/>
                <w:szCs w:val="22"/>
                <w:lang w:val="es-GT" w:eastAsia="es-GT"/>
              </w:rPr>
              <w:t>Ó</w:t>
            </w:r>
            <w:r w:rsidRPr="00C85C3E">
              <w:rPr>
                <w:b/>
                <w:bCs/>
                <w:color w:val="000000"/>
                <w:sz w:val="14"/>
                <w:szCs w:val="22"/>
                <w:lang w:val="es-GT" w:eastAsia="es-GT"/>
              </w:rPr>
              <w:t>N</w:t>
            </w:r>
          </w:p>
        </w:tc>
        <w:tc>
          <w:tcPr>
            <w:tcW w:w="0" w:type="auto"/>
            <w:tcBorders>
              <w:top w:val="single" w:sz="8" w:space="0" w:color="auto"/>
              <w:left w:val="nil"/>
              <w:bottom w:val="single" w:sz="4" w:space="0" w:color="auto"/>
              <w:right w:val="single" w:sz="4" w:space="0" w:color="auto"/>
            </w:tcBorders>
            <w:shd w:val="clear" w:color="000000" w:fill="8DB4E2"/>
            <w:noWrap/>
            <w:vAlign w:val="center"/>
            <w:hideMark/>
          </w:tcPr>
          <w:p w:rsidR="00677B6D" w:rsidRPr="00C85C3E" w:rsidRDefault="00677B6D" w:rsidP="00912C09">
            <w:pPr>
              <w:jc w:val="center"/>
              <w:rPr>
                <w:b/>
                <w:bCs/>
                <w:color w:val="000000"/>
                <w:sz w:val="14"/>
                <w:szCs w:val="22"/>
                <w:lang w:val="es-GT" w:eastAsia="es-GT"/>
              </w:rPr>
            </w:pPr>
            <w:r w:rsidRPr="00C85C3E">
              <w:rPr>
                <w:b/>
                <w:bCs/>
                <w:color w:val="000000"/>
                <w:sz w:val="14"/>
                <w:szCs w:val="22"/>
                <w:lang w:val="es-GT" w:eastAsia="es-GT"/>
              </w:rPr>
              <w:t>Asignado</w:t>
            </w:r>
          </w:p>
        </w:tc>
        <w:tc>
          <w:tcPr>
            <w:tcW w:w="0" w:type="auto"/>
            <w:tcBorders>
              <w:top w:val="single" w:sz="8" w:space="0" w:color="auto"/>
              <w:left w:val="nil"/>
              <w:bottom w:val="single" w:sz="4" w:space="0" w:color="auto"/>
              <w:right w:val="single" w:sz="4" w:space="0" w:color="auto"/>
            </w:tcBorders>
            <w:shd w:val="clear" w:color="000000" w:fill="8DB4E2"/>
            <w:noWrap/>
            <w:vAlign w:val="center"/>
            <w:hideMark/>
          </w:tcPr>
          <w:p w:rsidR="00677B6D" w:rsidRPr="00C85C3E" w:rsidRDefault="00677B6D" w:rsidP="00912C09">
            <w:pPr>
              <w:jc w:val="center"/>
              <w:rPr>
                <w:b/>
                <w:bCs/>
                <w:color w:val="000000"/>
                <w:sz w:val="14"/>
                <w:szCs w:val="22"/>
                <w:lang w:val="es-GT" w:eastAsia="es-GT"/>
              </w:rPr>
            </w:pPr>
            <w:r w:rsidRPr="00C85C3E">
              <w:rPr>
                <w:b/>
                <w:bCs/>
                <w:color w:val="000000"/>
                <w:sz w:val="14"/>
                <w:szCs w:val="22"/>
                <w:lang w:val="es-GT" w:eastAsia="es-GT"/>
              </w:rPr>
              <w:t>Ejecu</w:t>
            </w:r>
            <w:r w:rsidR="00241D54">
              <w:rPr>
                <w:b/>
                <w:bCs/>
                <w:color w:val="000000"/>
                <w:sz w:val="14"/>
                <w:szCs w:val="22"/>
                <w:lang w:val="es-GT" w:eastAsia="es-GT"/>
              </w:rPr>
              <w:t>tado</w:t>
            </w:r>
          </w:p>
        </w:tc>
        <w:tc>
          <w:tcPr>
            <w:tcW w:w="0" w:type="auto"/>
            <w:tcBorders>
              <w:top w:val="single" w:sz="8" w:space="0" w:color="auto"/>
              <w:left w:val="nil"/>
              <w:bottom w:val="single" w:sz="4" w:space="0" w:color="auto"/>
              <w:right w:val="single" w:sz="4" w:space="0" w:color="auto"/>
            </w:tcBorders>
            <w:shd w:val="clear" w:color="000000" w:fill="8DB4E2"/>
            <w:noWrap/>
            <w:vAlign w:val="center"/>
            <w:hideMark/>
          </w:tcPr>
          <w:p w:rsidR="00677B6D" w:rsidRPr="00C85C3E" w:rsidRDefault="00677B6D" w:rsidP="00912C09">
            <w:pPr>
              <w:jc w:val="center"/>
              <w:rPr>
                <w:b/>
                <w:bCs/>
                <w:color w:val="000000"/>
                <w:sz w:val="14"/>
                <w:szCs w:val="22"/>
                <w:lang w:val="es-GT" w:eastAsia="es-GT"/>
              </w:rPr>
            </w:pPr>
            <w:r w:rsidRPr="00C85C3E">
              <w:rPr>
                <w:b/>
                <w:bCs/>
                <w:color w:val="000000"/>
                <w:sz w:val="14"/>
                <w:szCs w:val="22"/>
                <w:lang w:val="es-GT" w:eastAsia="es-GT"/>
              </w:rPr>
              <w:t>Dif</w:t>
            </w:r>
          </w:p>
        </w:tc>
        <w:tc>
          <w:tcPr>
            <w:tcW w:w="0" w:type="auto"/>
            <w:tcBorders>
              <w:top w:val="single" w:sz="8" w:space="0" w:color="auto"/>
              <w:left w:val="nil"/>
              <w:bottom w:val="single" w:sz="4" w:space="0" w:color="auto"/>
              <w:right w:val="single" w:sz="8" w:space="0" w:color="auto"/>
            </w:tcBorders>
            <w:shd w:val="clear" w:color="000000" w:fill="8DB4E2"/>
            <w:noWrap/>
            <w:vAlign w:val="center"/>
            <w:hideMark/>
          </w:tcPr>
          <w:p w:rsidR="00677B6D" w:rsidRPr="00C85C3E" w:rsidRDefault="00677B6D" w:rsidP="00912C09">
            <w:pPr>
              <w:jc w:val="center"/>
              <w:rPr>
                <w:b/>
                <w:bCs/>
                <w:color w:val="000000"/>
                <w:sz w:val="14"/>
                <w:szCs w:val="22"/>
                <w:lang w:val="es-GT" w:eastAsia="es-GT"/>
              </w:rPr>
            </w:pPr>
            <w:r w:rsidRPr="00C85C3E">
              <w:rPr>
                <w:b/>
                <w:bCs/>
                <w:color w:val="000000"/>
                <w:sz w:val="14"/>
                <w:szCs w:val="22"/>
                <w:lang w:val="es-GT" w:eastAsia="es-GT"/>
              </w:rPr>
              <w:t>% Ejec</w:t>
            </w:r>
          </w:p>
        </w:tc>
      </w:tr>
      <w:tr w:rsidR="00677B6D" w:rsidRPr="00C85C3E" w:rsidTr="00912C09">
        <w:trPr>
          <w:trHeight w:val="180"/>
        </w:trPr>
        <w:tc>
          <w:tcPr>
            <w:tcW w:w="0" w:type="auto"/>
            <w:tcBorders>
              <w:top w:val="nil"/>
              <w:left w:val="single" w:sz="8" w:space="0" w:color="auto"/>
              <w:bottom w:val="nil"/>
              <w:right w:val="nil"/>
            </w:tcBorders>
            <w:shd w:val="clear" w:color="auto" w:fill="auto"/>
            <w:noWrap/>
            <w:vAlign w:val="center"/>
            <w:hideMark/>
          </w:tcPr>
          <w:p w:rsidR="00677B6D" w:rsidRPr="00C85C3E" w:rsidRDefault="00677B6D" w:rsidP="00912C09">
            <w:pPr>
              <w:jc w:val="center"/>
              <w:rPr>
                <w:b/>
                <w:bCs/>
                <w:color w:val="000000"/>
                <w:sz w:val="14"/>
                <w:szCs w:val="22"/>
                <w:lang w:val="es-GT" w:eastAsia="es-GT"/>
              </w:rPr>
            </w:pPr>
            <w:r w:rsidRPr="00C85C3E">
              <w:rPr>
                <w:b/>
                <w:bCs/>
                <w:color w:val="000000"/>
                <w:sz w:val="14"/>
                <w:szCs w:val="22"/>
                <w:lang w:val="es-GT" w:eastAsia="es-GT"/>
              </w:rPr>
              <w:t>Totales</w:t>
            </w:r>
          </w:p>
        </w:tc>
        <w:tc>
          <w:tcPr>
            <w:tcW w:w="0" w:type="auto"/>
            <w:tcBorders>
              <w:top w:val="nil"/>
              <w:left w:val="single" w:sz="4" w:space="0" w:color="auto"/>
              <w:bottom w:val="nil"/>
              <w:right w:val="single" w:sz="4" w:space="0" w:color="auto"/>
            </w:tcBorders>
            <w:shd w:val="clear" w:color="auto" w:fill="auto"/>
            <w:noWrap/>
            <w:vAlign w:val="center"/>
            <w:hideMark/>
          </w:tcPr>
          <w:p w:rsidR="00677B6D" w:rsidRPr="00C85C3E" w:rsidRDefault="00677B6D" w:rsidP="00912C09">
            <w:pPr>
              <w:jc w:val="center"/>
              <w:rPr>
                <w:b/>
                <w:bCs/>
                <w:color w:val="000000"/>
                <w:sz w:val="14"/>
                <w:szCs w:val="22"/>
                <w:lang w:val="es-GT" w:eastAsia="es-GT"/>
              </w:rPr>
            </w:pPr>
            <w:r w:rsidRPr="00C85C3E">
              <w:rPr>
                <w:b/>
                <w:bCs/>
                <w:color w:val="000000"/>
                <w:sz w:val="14"/>
                <w:szCs w:val="22"/>
                <w:lang w:val="es-GT" w:eastAsia="es-GT"/>
              </w:rPr>
              <w:t xml:space="preserve"> 1,526.7 </w:t>
            </w:r>
          </w:p>
        </w:tc>
        <w:tc>
          <w:tcPr>
            <w:tcW w:w="0" w:type="auto"/>
            <w:tcBorders>
              <w:top w:val="nil"/>
              <w:left w:val="nil"/>
              <w:bottom w:val="nil"/>
              <w:right w:val="single" w:sz="4" w:space="0" w:color="auto"/>
            </w:tcBorders>
            <w:shd w:val="clear" w:color="auto" w:fill="auto"/>
            <w:noWrap/>
            <w:vAlign w:val="center"/>
            <w:hideMark/>
          </w:tcPr>
          <w:p w:rsidR="00677B6D" w:rsidRPr="00C85C3E" w:rsidRDefault="00677B6D" w:rsidP="00912C09">
            <w:pPr>
              <w:jc w:val="center"/>
              <w:rPr>
                <w:b/>
                <w:bCs/>
                <w:color w:val="000000"/>
                <w:sz w:val="14"/>
                <w:szCs w:val="22"/>
                <w:lang w:val="es-GT" w:eastAsia="es-GT"/>
              </w:rPr>
            </w:pPr>
            <w:r w:rsidRPr="00C85C3E">
              <w:rPr>
                <w:b/>
                <w:bCs/>
                <w:color w:val="000000"/>
                <w:sz w:val="14"/>
                <w:szCs w:val="22"/>
                <w:lang w:val="es-GT" w:eastAsia="es-GT"/>
              </w:rPr>
              <w:t xml:space="preserve"> 1,120.2 </w:t>
            </w:r>
          </w:p>
        </w:tc>
        <w:tc>
          <w:tcPr>
            <w:tcW w:w="0" w:type="auto"/>
            <w:tcBorders>
              <w:top w:val="nil"/>
              <w:left w:val="nil"/>
              <w:bottom w:val="nil"/>
              <w:right w:val="single" w:sz="4" w:space="0" w:color="auto"/>
            </w:tcBorders>
            <w:shd w:val="clear" w:color="auto" w:fill="auto"/>
            <w:noWrap/>
            <w:vAlign w:val="center"/>
            <w:hideMark/>
          </w:tcPr>
          <w:p w:rsidR="00677B6D" w:rsidRPr="00C85C3E" w:rsidRDefault="00677B6D" w:rsidP="00912C09">
            <w:pPr>
              <w:jc w:val="center"/>
              <w:rPr>
                <w:b/>
                <w:bCs/>
                <w:color w:val="000000"/>
                <w:sz w:val="14"/>
                <w:szCs w:val="22"/>
                <w:lang w:val="es-GT" w:eastAsia="es-GT"/>
              </w:rPr>
            </w:pPr>
            <w:r w:rsidRPr="00C85C3E">
              <w:rPr>
                <w:b/>
                <w:bCs/>
                <w:color w:val="000000"/>
                <w:sz w:val="14"/>
                <w:szCs w:val="22"/>
                <w:lang w:val="es-GT" w:eastAsia="es-GT"/>
              </w:rPr>
              <w:t xml:space="preserve">  406.6 </w:t>
            </w:r>
          </w:p>
        </w:tc>
        <w:tc>
          <w:tcPr>
            <w:tcW w:w="0" w:type="auto"/>
            <w:tcBorders>
              <w:top w:val="nil"/>
              <w:left w:val="nil"/>
              <w:bottom w:val="nil"/>
              <w:right w:val="single" w:sz="8" w:space="0" w:color="auto"/>
            </w:tcBorders>
            <w:shd w:val="clear" w:color="auto" w:fill="auto"/>
            <w:noWrap/>
            <w:vAlign w:val="center"/>
            <w:hideMark/>
          </w:tcPr>
          <w:p w:rsidR="00677B6D" w:rsidRPr="00C85C3E" w:rsidRDefault="00677B6D" w:rsidP="00912C09">
            <w:pPr>
              <w:jc w:val="center"/>
              <w:rPr>
                <w:b/>
                <w:bCs/>
                <w:color w:val="000000"/>
                <w:sz w:val="14"/>
                <w:szCs w:val="22"/>
                <w:lang w:val="es-GT" w:eastAsia="es-GT"/>
              </w:rPr>
            </w:pPr>
            <w:r w:rsidRPr="00C85C3E">
              <w:rPr>
                <w:b/>
                <w:bCs/>
                <w:color w:val="000000"/>
                <w:sz w:val="14"/>
                <w:szCs w:val="22"/>
                <w:lang w:val="es-GT" w:eastAsia="es-GT"/>
              </w:rPr>
              <w:t xml:space="preserve">    73.4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DE BIENESTAR SOCIAL DE LA PRESIDENCIA DE LA REPÚBLICA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295.3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274.8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20.5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93.1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ACTIVIDADES DE BIENESTAR SOCIAL</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295.3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274.8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20.5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93.1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DE OBRAS SOCIALES DE LA ESPOSA DEL PRESIDENTE</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200.4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144.0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56.3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71.9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OBRAS SOCIALES</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200.4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144.0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56.3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71.9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CONSEJO NACIONAL DE ÁREAS PROTEGIDAS</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123.0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102.7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20.3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83.5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RESTAURACIÓN, PROTEC, CONSERVACIÓN DE ÁREAS PROTEGIDAS Y DIVERSIDAD BIOLÓGICA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123.0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102.7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20.3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83.5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DE PLANIFICACIÓN Y PROGRAMACIÓN DE LA PRESIDENCIA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102.9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92.8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10.1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90.2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PLANIFICACIÓN, MONITOREO Y EVALUACIÓN DE LA GESTIÓN PÚBLICA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102.9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92.8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10.1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90.2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DE COORDINACIÓN EJECUTIVA DE LA PRESIDENCIA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63.0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65.5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2.5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104.0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COORDINACIÓN DE POLÍTICAS Y PROYECTOS DE DESARROLLO</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63.0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65.5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2.5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104.0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DE COMUNICACIÓN SOCIAL DE LA PRESIDENCIA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40.0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54.9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14.9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137.1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INFORMACIÓN Y DIVULGACIÓN GUBERNAMENTAL</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40.0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41.1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1.1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102.8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ATENCIÓN POR DESASTRES NATURALES Y CALAMIDADES PÚBLICAS</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13.7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13.7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jc w:val="center"/>
              <w:rPr>
                <w:color w:val="FFFFFF"/>
                <w:sz w:val="14"/>
                <w:szCs w:val="22"/>
                <w:lang w:val="es-GT" w:eastAsia="es-GT"/>
              </w:rPr>
            </w:pPr>
            <w:r w:rsidRPr="00C85C3E">
              <w:rPr>
                <w:color w:val="FFFFFF"/>
                <w:sz w:val="14"/>
                <w:szCs w:val="22"/>
                <w:lang w:val="es-GT" w:eastAsia="es-GT"/>
              </w:rPr>
              <w:t>######</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OFICINA NACIONAL DE SERVICIO CIVIL</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52.1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51.2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0.9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98.3 </w:t>
            </w:r>
          </w:p>
        </w:tc>
      </w:tr>
      <w:tr w:rsidR="00677B6D" w:rsidRPr="00C85C3E" w:rsidTr="00912C09">
        <w:trPr>
          <w:trHeight w:val="180"/>
        </w:trPr>
        <w:tc>
          <w:tcPr>
            <w:tcW w:w="0" w:type="auto"/>
            <w:tcBorders>
              <w:top w:val="nil"/>
              <w:left w:val="single" w:sz="8" w:space="0" w:color="auto"/>
              <w:bottom w:val="nil"/>
              <w:right w:val="nil"/>
            </w:tcBorders>
            <w:shd w:val="clear" w:color="000000" w:fill="FFFFFF"/>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ADMÓN DE R</w:t>
            </w:r>
            <w:r>
              <w:rPr>
                <w:color w:val="000000"/>
                <w:sz w:val="14"/>
                <w:szCs w:val="22"/>
                <w:lang w:val="es-GT" w:eastAsia="es-GT"/>
              </w:rPr>
              <w:t>R</w:t>
            </w:r>
            <w:r w:rsidRPr="00C85C3E">
              <w:rPr>
                <w:color w:val="000000"/>
                <w:sz w:val="14"/>
                <w:szCs w:val="22"/>
                <w:lang w:val="es-GT" w:eastAsia="es-GT"/>
              </w:rPr>
              <w:t xml:space="preserve"> H</w:t>
            </w:r>
            <w:r>
              <w:rPr>
                <w:color w:val="000000"/>
                <w:sz w:val="14"/>
                <w:szCs w:val="22"/>
                <w:lang w:val="es-GT" w:eastAsia="es-GT"/>
              </w:rPr>
              <w:t>H</w:t>
            </w:r>
            <w:r w:rsidRPr="00C85C3E">
              <w:rPr>
                <w:color w:val="000000"/>
                <w:sz w:val="14"/>
                <w:szCs w:val="22"/>
                <w:lang w:val="es-GT" w:eastAsia="es-GT"/>
              </w:rPr>
              <w:t xml:space="preserve"> DE LA ADMÓN PÚB Y DEL RÉGIMEN CLASES PASIVAS CIVILES DEL ESTADO</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52.1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51.2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0.9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98.3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 DE SEG ALIMENTARIA Y NUTRICIONAL DE LA PRESIDENCIA DE LA REPÚBLICA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50.2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46.8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3.5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93.1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ASUNTOS DE SEGURIDAD ALIMENTARIA Y NUTRICIONAL</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50.2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46.8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3.5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93.1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GENERAL DE LA PRESIDENCIA DE LA REPÚBLICA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19.0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34.2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15.2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180.0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SERVICIOS GENERALES DE LA PRESIDENCIA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19.0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34.2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15.2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180.0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DE INTELIGENCIA ESTRATÉGICA DEL ESTADO</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35.0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29.1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5.9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83.2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ACCIONES DE INTELIGENCIA ESTRATÉGICA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35.0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29.1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5.9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83.2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TÉCNICA DEL CONSEJO NACIONAL DE SEGURIDAD</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28.0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28.9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0.9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103.3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FORTALECIMIENTO Y APOYO AL SISTEMA NACIONAL DE SEGURIDAD</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14.1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15.2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1.1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107.9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INSPECTORÍA GENERAL DEL SISTEMA NACIONAL DE SEGURIDAD</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7.1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7.1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0.0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99.8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ESTUDIOS ESTRATÉGICOS EN SEGURIDAD</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6.8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6.6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0.2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97.4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COMISIÓN PRESIDENCIAL POR LA PAZ Y LOS DERECHOS HUMANOS</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28.0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28.0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jc w:val="center"/>
              <w:rPr>
                <w:color w:val="FFFFFF"/>
                <w:sz w:val="14"/>
                <w:szCs w:val="22"/>
                <w:lang w:val="es-GT" w:eastAsia="es-GT"/>
              </w:rPr>
            </w:pPr>
            <w:r w:rsidRPr="00C85C3E">
              <w:rPr>
                <w:color w:val="FFFFFF"/>
                <w:sz w:val="14"/>
                <w:szCs w:val="22"/>
                <w:lang w:val="es-GT" w:eastAsia="es-GT"/>
              </w:rPr>
              <w:t>######</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PROMO ACCIONES POR LA PAZ, DERECHOS HUMANOS Y ATENCIÓN DE CONFLICTIVIDAD</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28.0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28.0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jc w:val="center"/>
              <w:rPr>
                <w:b/>
                <w:bCs/>
                <w:color w:val="FFFFFF"/>
                <w:sz w:val="14"/>
                <w:szCs w:val="22"/>
                <w:lang w:val="es-GT" w:eastAsia="es-GT"/>
              </w:rPr>
            </w:pPr>
            <w:r w:rsidRPr="00C85C3E">
              <w:rPr>
                <w:b/>
                <w:bCs/>
                <w:color w:val="FFFFFF"/>
                <w:sz w:val="14"/>
                <w:szCs w:val="22"/>
                <w:lang w:val="es-GT" w:eastAsia="es-GT"/>
              </w:rPr>
              <w:t>######</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AUTORIDAD PARA EL MANEJO SUSTENTABLE DE LA CUENCA Y DEL LAGO DE AMATITLÁN</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29.3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25.6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3.7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87.2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MANEJO INTEGRADO DE LA CUENCA Y DEL LAGO DE AMATITLÁN</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29.3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25.6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3.7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87.2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NACIONAL DE CIENCIA Y TECNOLOGÍA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34.8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20.0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14.8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57.5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PROMOCIÓN DEL DESARROLLO CIENTÍFICO Y TECNOLÓGICO</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34.8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20.0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14.8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57.5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CONTRA LA VIOLENCIA SEXUAL, EXPLOTACIÓN Y TRATA DE PERSONAS</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21.0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18.6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2.4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88.5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PROTECCIÓN CONTRA LA VIOLENCIA SEXUAL, EXPLOTACIÓN Y TRATA DE PERSONAS</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21.0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18.6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2.4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88.5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FONDO DE DESARROLLO INDÍGENA GUATEMALTECO</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36.0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18.4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17.6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51.0 </w:t>
            </w:r>
          </w:p>
        </w:tc>
      </w:tr>
      <w:tr w:rsidR="00677B6D" w:rsidRPr="00C85C3E" w:rsidTr="00B179BA">
        <w:trPr>
          <w:trHeight w:val="180"/>
        </w:trPr>
        <w:tc>
          <w:tcPr>
            <w:tcW w:w="0" w:type="auto"/>
            <w:tcBorders>
              <w:top w:val="nil"/>
              <w:left w:val="single" w:sz="8" w:space="0" w:color="auto"/>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APOYO Y PARTICIPACIÓN PARA EL DESARROLLO INTEGRAL DE LOS PUEBLOS INDÍGENAS</w:t>
            </w:r>
          </w:p>
        </w:tc>
        <w:tc>
          <w:tcPr>
            <w:tcW w:w="0" w:type="auto"/>
            <w:tcBorders>
              <w:top w:val="nil"/>
              <w:left w:val="single" w:sz="4" w:space="0" w:color="auto"/>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36.0 </w:t>
            </w:r>
          </w:p>
        </w:tc>
        <w:tc>
          <w:tcPr>
            <w:tcW w:w="0" w:type="auto"/>
            <w:tcBorders>
              <w:top w:val="nil"/>
              <w:left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18.4 </w:t>
            </w:r>
          </w:p>
        </w:tc>
        <w:tc>
          <w:tcPr>
            <w:tcW w:w="0" w:type="auto"/>
            <w:tcBorders>
              <w:top w:val="nil"/>
              <w:left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17.6 </w:t>
            </w:r>
          </w:p>
        </w:tc>
        <w:tc>
          <w:tcPr>
            <w:tcW w:w="0" w:type="auto"/>
            <w:tcBorders>
              <w:top w:val="nil"/>
              <w:left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51.0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PRESIDENCIAL DE LA MUJER</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28.6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17.7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10.9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61.8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PROMOCIÓN Y DESARROLLO INTEGRAL DE LA MUJER</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28.6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17.7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10.9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61.8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DEFENSORÍA DE LA MUJER INDÍGENA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19.0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17.2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1.8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90.6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DEFENSORÍA DE LA MUJER INDÍGENA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19.0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17.2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1.8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90.6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CONSEJO NACIONAL DE LA JUVENTUD</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13.0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12.1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0.9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93.2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ORGANIZACIÓN Y FORMACIÓN DE LA JUVENTUD</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13.0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12.1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0.9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93.2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PRIVADA DE LA PRESIDENCIA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15.5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11.8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3.7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76.1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GESTIÓN PRIVADA PRESIDENCIAL</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15.5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11.8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3.7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76.1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AUTORIDAD MANEJO SUSTENTABLE DE LA CUENCA DEL LAGO DE ATITLÁN Y SU ENTORNO</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13.0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11.5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1.5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88.6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MANEJO INTEGRADO DE LA CUENCA DEL LAGO DE ATITLÁN</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13.0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11.5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1.5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88.6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COMISIÓN PRES CONTRA LA DISCRIM Y EL RACISMO CONTRA LOS PUEBLOS INDÍGENAS</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10.5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7.8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2.7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74.0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ACCIONES CONTRA LA DISCRIM Y EL RACISMO PUEBLOS INDÍGENAS EN GUATEMALA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10.5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7.8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2.7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74.0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 EJECUTIVA COMISIÓN CONTRA LAS ADICCIONES Y EL TRÁFICO ILÍCITO DE DROGAS</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8.0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6.6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1.4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82.3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EDUCACIÓN PARA LA PREVENCIÓN Y TRATAMIENTO AL CONSUMO DE DROGAS</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8.0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6.6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1.4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82.3 </w:t>
            </w:r>
          </w:p>
        </w:tc>
      </w:tr>
      <w:tr w:rsidR="00677B6D" w:rsidRPr="00C85C3E" w:rsidTr="00912C09">
        <w:trPr>
          <w:trHeight w:val="180"/>
        </w:trPr>
        <w:tc>
          <w:tcPr>
            <w:tcW w:w="0" w:type="auto"/>
            <w:tcBorders>
              <w:top w:val="nil"/>
              <w:left w:val="single" w:sz="8" w:space="0" w:color="auto"/>
              <w:bottom w:val="nil"/>
              <w:right w:val="nil"/>
            </w:tcBorders>
            <w:shd w:val="clear" w:color="000000" w:fill="FFFFFF"/>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COMISIÓN PRES COOR DE POL</w:t>
            </w:r>
            <w:r w:rsidR="006941A5">
              <w:rPr>
                <w:b/>
                <w:bCs/>
                <w:color w:val="000000"/>
                <w:sz w:val="14"/>
                <w:szCs w:val="22"/>
                <w:lang w:val="es-GT" w:eastAsia="es-GT"/>
              </w:rPr>
              <w:t>ITI</w:t>
            </w:r>
            <w:r w:rsidRPr="00C85C3E">
              <w:rPr>
                <w:b/>
                <w:bCs/>
                <w:color w:val="000000"/>
                <w:sz w:val="14"/>
                <w:szCs w:val="22"/>
                <w:lang w:val="es-GT" w:eastAsia="es-GT"/>
              </w:rPr>
              <w:t>CA DEL EJECUTIVO EN MATERIA DE DERECHOS HUMANOS</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182.7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182.7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COORDINACIÓN DE ACCIONES SOBRE DERECHOS HUMANOS</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182.7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182.7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DE LA PAZ</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68.6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68.6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SEGUIMIENTO DEL CUMPLIMIENTO DE LOS ACUERDOS DE PAZ</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26.5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26.5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PROGRAMA NACIONAL DE RESARCIMIENTO</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42.1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42.1 </w:t>
            </w:r>
          </w:p>
        </w:tc>
        <w:tc>
          <w:tcPr>
            <w:tcW w:w="0" w:type="auto"/>
            <w:tcBorders>
              <w:top w:val="nil"/>
              <w:left w:val="nil"/>
              <w:bottom w:val="nil"/>
              <w:right w:val="single" w:sz="8" w:space="0" w:color="auto"/>
            </w:tcBorders>
            <w:shd w:val="clear" w:color="auto" w:fill="auto"/>
            <w:noWrap/>
            <w:vAlign w:val="center"/>
            <w:hideMark/>
          </w:tcPr>
          <w:p w:rsidR="00677B6D" w:rsidRPr="00C85C3E" w:rsidRDefault="00677B6D" w:rsidP="00912C09">
            <w:pPr>
              <w:jc w:val="center"/>
              <w:rPr>
                <w:color w:val="000000"/>
                <w:sz w:val="14"/>
                <w:szCs w:val="22"/>
                <w:lang w:val="es-GT" w:eastAsia="es-GT"/>
              </w:rPr>
            </w:pPr>
            <w:r w:rsidRPr="00C85C3E">
              <w:rPr>
                <w:color w:val="000000"/>
                <w:sz w:val="14"/>
                <w:szCs w:val="22"/>
                <w:lang w:val="es-GT" w:eastAsia="es-GT"/>
              </w:rPr>
              <w:t xml:space="preserve">       -   </w:t>
            </w:r>
          </w:p>
        </w:tc>
      </w:tr>
      <w:tr w:rsidR="00677B6D" w:rsidRPr="00C85C3E" w:rsidTr="00912C09">
        <w:trPr>
          <w:trHeight w:val="180"/>
        </w:trPr>
        <w:tc>
          <w:tcPr>
            <w:tcW w:w="0" w:type="auto"/>
            <w:tcBorders>
              <w:top w:val="nil"/>
              <w:left w:val="single" w:sz="8" w:space="0" w:color="auto"/>
              <w:bottom w:val="nil"/>
              <w:right w:val="nil"/>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SECRETARÍA DE ASUNTOS AGRARIOS DE LA PRESIDENCIA DE LA REPÚBLICA</w:t>
            </w:r>
          </w:p>
        </w:tc>
        <w:tc>
          <w:tcPr>
            <w:tcW w:w="0" w:type="auto"/>
            <w:tcBorders>
              <w:top w:val="nil"/>
              <w:left w:val="single" w:sz="4" w:space="0" w:color="auto"/>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38.0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   </w:t>
            </w:r>
          </w:p>
        </w:tc>
        <w:tc>
          <w:tcPr>
            <w:tcW w:w="0" w:type="auto"/>
            <w:tcBorders>
              <w:top w:val="nil"/>
              <w:left w:val="nil"/>
              <w:bottom w:val="nil"/>
              <w:right w:val="single" w:sz="4" w:space="0" w:color="auto"/>
            </w:tcBorders>
            <w:shd w:val="clear" w:color="000000" w:fill="FFFFFF"/>
            <w:noWrap/>
            <w:vAlign w:val="bottom"/>
            <w:hideMark/>
          </w:tcPr>
          <w:p w:rsidR="00677B6D" w:rsidRPr="00C85C3E" w:rsidRDefault="00677B6D" w:rsidP="00912C09">
            <w:pPr>
              <w:rPr>
                <w:b/>
                <w:bCs/>
                <w:color w:val="000000"/>
                <w:sz w:val="14"/>
                <w:szCs w:val="22"/>
                <w:lang w:val="es-GT" w:eastAsia="es-GT"/>
              </w:rPr>
            </w:pPr>
            <w:r w:rsidRPr="00C85C3E">
              <w:rPr>
                <w:b/>
                <w:bCs/>
                <w:color w:val="000000"/>
                <w:sz w:val="14"/>
                <w:szCs w:val="22"/>
                <w:lang w:val="es-GT" w:eastAsia="es-GT"/>
              </w:rPr>
              <w:t xml:space="preserve">    38.0 </w:t>
            </w:r>
          </w:p>
        </w:tc>
        <w:tc>
          <w:tcPr>
            <w:tcW w:w="0" w:type="auto"/>
            <w:tcBorders>
              <w:top w:val="nil"/>
              <w:left w:val="nil"/>
              <w:bottom w:val="nil"/>
              <w:right w:val="single" w:sz="8" w:space="0" w:color="auto"/>
            </w:tcBorders>
            <w:shd w:val="clear" w:color="000000" w:fill="FFFFFF"/>
            <w:noWrap/>
            <w:vAlign w:val="bottom"/>
            <w:hideMark/>
          </w:tcPr>
          <w:p w:rsidR="00677B6D" w:rsidRPr="00C85C3E" w:rsidRDefault="00677B6D" w:rsidP="00912C09">
            <w:pPr>
              <w:rPr>
                <w:color w:val="FFFFFF"/>
                <w:sz w:val="14"/>
                <w:szCs w:val="22"/>
                <w:lang w:val="es-GT" w:eastAsia="es-GT"/>
              </w:rPr>
            </w:pPr>
            <w:r w:rsidRPr="00C85C3E">
              <w:rPr>
                <w:color w:val="FFFFFF"/>
                <w:sz w:val="14"/>
                <w:szCs w:val="22"/>
                <w:lang w:val="es-GT" w:eastAsia="es-GT"/>
              </w:rPr>
              <w:t xml:space="preserve">       -   </w:t>
            </w:r>
          </w:p>
        </w:tc>
      </w:tr>
      <w:tr w:rsidR="00677B6D" w:rsidRPr="00C85C3E" w:rsidTr="00912C09">
        <w:trPr>
          <w:trHeight w:val="180"/>
        </w:trPr>
        <w:tc>
          <w:tcPr>
            <w:tcW w:w="0" w:type="auto"/>
            <w:tcBorders>
              <w:top w:val="nil"/>
              <w:left w:val="single" w:sz="8" w:space="0" w:color="auto"/>
              <w:bottom w:val="single" w:sz="8" w:space="0" w:color="auto"/>
              <w:right w:val="nil"/>
            </w:tcBorders>
            <w:shd w:val="clear" w:color="000000" w:fill="FFFFFF"/>
            <w:noWrap/>
            <w:vAlign w:val="bottom"/>
            <w:hideMark/>
          </w:tcPr>
          <w:p w:rsidR="00677B6D" w:rsidRPr="00C85C3E" w:rsidRDefault="00677B6D" w:rsidP="00912C09">
            <w:pPr>
              <w:ind w:firstLineChars="200" w:firstLine="280"/>
              <w:rPr>
                <w:color w:val="000000"/>
                <w:sz w:val="14"/>
                <w:szCs w:val="22"/>
                <w:lang w:val="es-GT" w:eastAsia="es-GT"/>
              </w:rPr>
            </w:pPr>
            <w:r w:rsidRPr="00C85C3E">
              <w:rPr>
                <w:color w:val="000000"/>
                <w:sz w:val="14"/>
                <w:szCs w:val="22"/>
                <w:lang w:val="es-GT" w:eastAsia="es-GT"/>
              </w:rPr>
              <w:t>ATENCIÓN A LA CONFLICTIVIDAD AGRARIA</w:t>
            </w:r>
          </w:p>
        </w:tc>
        <w:tc>
          <w:tcPr>
            <w:tcW w:w="0" w:type="auto"/>
            <w:tcBorders>
              <w:top w:val="nil"/>
              <w:left w:val="single" w:sz="4" w:space="0" w:color="auto"/>
              <w:bottom w:val="single" w:sz="8" w:space="0" w:color="auto"/>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38.0 </w:t>
            </w:r>
          </w:p>
        </w:tc>
        <w:tc>
          <w:tcPr>
            <w:tcW w:w="0" w:type="auto"/>
            <w:tcBorders>
              <w:top w:val="nil"/>
              <w:left w:val="nil"/>
              <w:bottom w:val="single" w:sz="8" w:space="0" w:color="auto"/>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   </w:t>
            </w:r>
          </w:p>
        </w:tc>
        <w:tc>
          <w:tcPr>
            <w:tcW w:w="0" w:type="auto"/>
            <w:tcBorders>
              <w:top w:val="nil"/>
              <w:left w:val="nil"/>
              <w:bottom w:val="single" w:sz="8" w:space="0" w:color="auto"/>
              <w:right w:val="single" w:sz="4" w:space="0" w:color="auto"/>
            </w:tcBorders>
            <w:shd w:val="clear" w:color="000000" w:fill="FFFFFF"/>
            <w:noWrap/>
            <w:vAlign w:val="bottom"/>
            <w:hideMark/>
          </w:tcPr>
          <w:p w:rsidR="00677B6D" w:rsidRPr="00C85C3E" w:rsidRDefault="00677B6D" w:rsidP="00912C09">
            <w:pPr>
              <w:rPr>
                <w:color w:val="000000"/>
                <w:sz w:val="14"/>
                <w:szCs w:val="22"/>
                <w:lang w:val="es-GT" w:eastAsia="es-GT"/>
              </w:rPr>
            </w:pPr>
            <w:r w:rsidRPr="00C85C3E">
              <w:rPr>
                <w:color w:val="000000"/>
                <w:sz w:val="14"/>
                <w:szCs w:val="22"/>
                <w:lang w:val="es-GT" w:eastAsia="es-GT"/>
              </w:rPr>
              <w:t xml:space="preserve">    38.0 </w:t>
            </w:r>
          </w:p>
        </w:tc>
        <w:tc>
          <w:tcPr>
            <w:tcW w:w="0" w:type="auto"/>
            <w:tcBorders>
              <w:top w:val="nil"/>
              <w:left w:val="nil"/>
              <w:bottom w:val="single" w:sz="8" w:space="0" w:color="auto"/>
              <w:right w:val="single" w:sz="8" w:space="0" w:color="auto"/>
            </w:tcBorders>
            <w:shd w:val="clear" w:color="000000" w:fill="FFFFFF"/>
            <w:noWrap/>
            <w:vAlign w:val="bottom"/>
            <w:hideMark/>
          </w:tcPr>
          <w:p w:rsidR="00677B6D" w:rsidRPr="00C85C3E" w:rsidRDefault="00677B6D" w:rsidP="00912C09">
            <w:pPr>
              <w:rPr>
                <w:color w:val="FFFFFF"/>
                <w:sz w:val="14"/>
                <w:szCs w:val="22"/>
                <w:lang w:val="es-GT" w:eastAsia="es-GT"/>
              </w:rPr>
            </w:pPr>
            <w:r w:rsidRPr="00C85C3E">
              <w:rPr>
                <w:color w:val="FFFFFF"/>
                <w:sz w:val="14"/>
                <w:szCs w:val="22"/>
                <w:lang w:val="es-GT" w:eastAsia="es-GT"/>
              </w:rPr>
              <w:t xml:space="preserve">       -   </w:t>
            </w:r>
          </w:p>
        </w:tc>
      </w:tr>
    </w:tbl>
    <w:p w:rsidR="00677B6D" w:rsidRPr="004E678D" w:rsidRDefault="00D92D5F" w:rsidP="00677B6D">
      <w:pPr>
        <w:jc w:val="both"/>
        <w:rPr>
          <w:sz w:val="18"/>
        </w:rPr>
      </w:pPr>
      <w:r>
        <w:rPr>
          <w:sz w:val="18"/>
        </w:rPr>
        <w:t xml:space="preserve"> </w:t>
      </w:r>
      <w:r w:rsidR="00677B6D" w:rsidRPr="004E678D">
        <w:rPr>
          <w:sz w:val="18"/>
        </w:rPr>
        <w:t>Fuente: Ministerio de Finanzas Públicas</w:t>
      </w:r>
      <w:r w:rsidR="00677B6D">
        <w:rPr>
          <w:sz w:val="18"/>
        </w:rPr>
        <w:t>.</w:t>
      </w:r>
    </w:p>
    <w:p w:rsidR="00677B6D" w:rsidRDefault="00677B6D" w:rsidP="00AD5632">
      <w:pPr>
        <w:jc w:val="both"/>
        <w:rPr>
          <w:b/>
        </w:rPr>
      </w:pPr>
    </w:p>
    <w:p w:rsidR="00AD5632" w:rsidRDefault="00AD5632" w:rsidP="00AD5632">
      <w:pPr>
        <w:jc w:val="both"/>
        <w:rPr>
          <w:b/>
        </w:rPr>
      </w:pPr>
    </w:p>
    <w:p w:rsidR="00AD5632" w:rsidRDefault="00AD5632" w:rsidP="00AD5632">
      <w:pPr>
        <w:jc w:val="both"/>
        <w:rPr>
          <w:b/>
        </w:rPr>
      </w:pPr>
      <w:r w:rsidRPr="0049429F">
        <w:rPr>
          <w:b/>
        </w:rPr>
        <w:t>Obligaciones del Estado a Cargo del Tesoro</w:t>
      </w:r>
      <w:r>
        <w:rPr>
          <w:b/>
        </w:rPr>
        <w:t>:</w:t>
      </w:r>
    </w:p>
    <w:p w:rsidR="00AD5632" w:rsidRPr="0049429F" w:rsidRDefault="00AD5632" w:rsidP="00AD5632">
      <w:pPr>
        <w:jc w:val="both"/>
        <w:rPr>
          <w:b/>
        </w:rPr>
      </w:pPr>
    </w:p>
    <w:p w:rsidR="00AD5632" w:rsidRDefault="00AD5632" w:rsidP="00AD5632">
      <w:pPr>
        <w:jc w:val="both"/>
      </w:pPr>
      <w:r w:rsidRPr="00D108FD">
        <w:t xml:space="preserve">Las Obligaciones </w:t>
      </w:r>
      <w:r>
        <w:t xml:space="preserve">del Estado a Cargo del Tesoro </w:t>
      </w:r>
      <w:r w:rsidRPr="00D108FD">
        <w:t xml:space="preserve">es una entidad virtual a través de la cual se ejecuta el presupuesto </w:t>
      </w:r>
      <w:r>
        <w:t>en</w:t>
      </w:r>
      <w:r w:rsidRPr="00D108FD">
        <w:t xml:space="preserve"> </w:t>
      </w:r>
      <w:r>
        <w:t>diferentes conceptos que</w:t>
      </w:r>
      <w:r w:rsidRPr="00D108FD">
        <w:t xml:space="preserve"> en su totalidad tuvieron un presupuesto </w:t>
      </w:r>
      <w:r>
        <w:t xml:space="preserve">aprobado </w:t>
      </w:r>
      <w:r w:rsidRPr="00D108FD">
        <w:t xml:space="preserve">de </w:t>
      </w:r>
      <w:r>
        <w:t>Q.33</w:t>
      </w:r>
      <w:r w:rsidRPr="00D108FD">
        <w:t>,</w:t>
      </w:r>
      <w:r>
        <w:t>594.1</w:t>
      </w:r>
      <w:r w:rsidRPr="00D108FD">
        <w:t xml:space="preserve"> millones y una ejecución presupuestaria de </w:t>
      </w:r>
      <w:r>
        <w:t>Q.28</w:t>
      </w:r>
      <w:r w:rsidRPr="00D108FD">
        <w:t>,</w:t>
      </w:r>
      <w:r>
        <w:t>867.9</w:t>
      </w:r>
      <w:r w:rsidRPr="00D108FD">
        <w:t xml:space="preserve"> millones</w:t>
      </w:r>
      <w:r w:rsidR="008D53DE">
        <w:t>,</w:t>
      </w:r>
      <w:r w:rsidRPr="00D108FD">
        <w:t xml:space="preserve"> equivalentes al </w:t>
      </w:r>
      <w:r>
        <w:t>85.9</w:t>
      </w:r>
      <w:r w:rsidRPr="00D108FD">
        <w:t>%, para lo cual a continuación se detallan l</w:t>
      </w:r>
      <w:r>
        <w:t>a</w:t>
      </w:r>
      <w:r w:rsidRPr="00D108FD">
        <w:t>s diferentes</w:t>
      </w:r>
      <w:r>
        <w:t xml:space="preserve"> formas de ejecución</w:t>
      </w:r>
      <w:r w:rsidRPr="00D108FD">
        <w:t>.</w:t>
      </w:r>
    </w:p>
    <w:p w:rsidR="00AD5632" w:rsidRPr="003178FF" w:rsidRDefault="00AD5632" w:rsidP="00AD5632">
      <w:pPr>
        <w:jc w:val="both"/>
        <w:rPr>
          <w:sz w:val="44"/>
        </w:rPr>
      </w:pPr>
    </w:p>
    <w:p w:rsidR="00AD5632" w:rsidRDefault="00AD5632" w:rsidP="00AD5632">
      <w:pPr>
        <w:jc w:val="both"/>
        <w:rPr>
          <w:b/>
        </w:rPr>
      </w:pPr>
      <w:r w:rsidRPr="00D108FD">
        <w:rPr>
          <w:b/>
        </w:rPr>
        <w:t>Aportes Institucionales</w:t>
      </w:r>
    </w:p>
    <w:p w:rsidR="00B826A8" w:rsidRDefault="00B826A8" w:rsidP="00AD5632">
      <w:pPr>
        <w:jc w:val="both"/>
        <w:rPr>
          <w:b/>
        </w:rPr>
      </w:pPr>
    </w:p>
    <w:p w:rsidR="00AD5632" w:rsidRDefault="00AD5632" w:rsidP="00AD5632">
      <w:pPr>
        <w:jc w:val="both"/>
      </w:pPr>
      <w:r w:rsidRPr="00D108FD">
        <w:t>Este subprograma tuvo un presupuesto</w:t>
      </w:r>
      <w:r>
        <w:t xml:space="preserve"> aprobado</w:t>
      </w:r>
      <w:r w:rsidRPr="00D108FD">
        <w:t xml:space="preserve"> de </w:t>
      </w:r>
      <w:r>
        <w:t>Q.</w:t>
      </w:r>
      <w:r w:rsidRPr="00D108FD">
        <w:t>1</w:t>
      </w:r>
      <w:r>
        <w:t>3</w:t>
      </w:r>
      <w:r w:rsidRPr="00D108FD">
        <w:t>,</w:t>
      </w:r>
      <w:r>
        <w:t>506.4</w:t>
      </w:r>
      <w:r w:rsidRPr="00D108FD">
        <w:t xml:space="preserve"> millones y una ejecución de </w:t>
      </w:r>
      <w:r>
        <w:t>Q.</w:t>
      </w:r>
      <w:r w:rsidRPr="00D108FD">
        <w:t>1</w:t>
      </w:r>
      <w:r>
        <w:t>2</w:t>
      </w:r>
      <w:r w:rsidRPr="00D108FD">
        <w:t>,</w:t>
      </w:r>
      <w:r>
        <w:t>304.2</w:t>
      </w:r>
      <w:r w:rsidRPr="00D108FD">
        <w:t xml:space="preserve"> millones</w:t>
      </w:r>
      <w:r w:rsidR="00E66572">
        <w:t>,</w:t>
      </w:r>
      <w:r w:rsidRPr="00D108FD">
        <w:t xml:space="preserve"> equivalente</w:t>
      </w:r>
      <w:r>
        <w:t>s</w:t>
      </w:r>
      <w:r w:rsidRPr="00D108FD">
        <w:t xml:space="preserve"> al 9</w:t>
      </w:r>
      <w:r>
        <w:t>1.1</w:t>
      </w:r>
      <w:r w:rsidRPr="00D108FD">
        <w:t xml:space="preserve">%, </w:t>
      </w:r>
      <w:r>
        <w:t xml:space="preserve">ejecutados </w:t>
      </w:r>
      <w:r w:rsidRPr="00D108FD">
        <w:t xml:space="preserve">bajo las </w:t>
      </w:r>
      <w:r>
        <w:t xml:space="preserve">siguiente </w:t>
      </w:r>
      <w:r w:rsidR="00E66572">
        <w:t>actividades específicas</w:t>
      </w:r>
      <w:r>
        <w:t>:</w:t>
      </w:r>
      <w:r w:rsidRPr="00D108FD">
        <w:t xml:space="preserve"> </w:t>
      </w:r>
      <w:r>
        <w:t xml:space="preserve">Sistema </w:t>
      </w:r>
      <w:r w:rsidRPr="00D108FD">
        <w:t xml:space="preserve">de </w:t>
      </w:r>
      <w:r>
        <w:t>J</w:t>
      </w:r>
      <w:r w:rsidRPr="00D108FD">
        <w:t xml:space="preserve">usticia con </w:t>
      </w:r>
      <w:r>
        <w:t>Q.</w:t>
      </w:r>
      <w:r w:rsidRPr="00D108FD">
        <w:t>4,</w:t>
      </w:r>
      <w:r>
        <w:t>279.8</w:t>
      </w:r>
      <w:r w:rsidRPr="00D108FD">
        <w:t xml:space="preserve"> millones, Educación</w:t>
      </w:r>
      <w:r>
        <w:t xml:space="preserve"> con</w:t>
      </w:r>
      <w:r w:rsidRPr="00D108FD">
        <w:t xml:space="preserve"> </w:t>
      </w:r>
      <w:r>
        <w:t>Q.2</w:t>
      </w:r>
      <w:r w:rsidRPr="00D108FD">
        <w:t>,</w:t>
      </w:r>
      <w:r>
        <w:t>134.9</w:t>
      </w:r>
      <w:r w:rsidRPr="00D108FD">
        <w:t xml:space="preserve"> millones, Administración Fiscal </w:t>
      </w:r>
      <w:r>
        <w:t>con</w:t>
      </w:r>
      <w:r w:rsidRPr="00D108FD">
        <w:t xml:space="preserve"> </w:t>
      </w:r>
      <w:r>
        <w:t>Q.1,273.9</w:t>
      </w:r>
      <w:r w:rsidRPr="00D108FD">
        <w:t xml:space="preserve"> millones, </w:t>
      </w:r>
      <w:r>
        <w:t xml:space="preserve">Servicios Electorales con Q.176.6 millones, Protección Social con Q.816.1 millones, Administración Legislativa con Q.633.0 millones, Servicios de Fiscalización con una ejecución de Q.477.5 millones, Fomento y Promoción del Deporte con Q.465.4 millones, Servicios de Electricidad con Q.360.0 millones, Apoyo al Sistema de Justicia con Q.295.7 millones, en tanto que el resto de </w:t>
      </w:r>
      <w:r w:rsidR="00E66572">
        <w:t>actividades</w:t>
      </w:r>
      <w:r>
        <w:t xml:space="preserve"> reportan una ejecución </w:t>
      </w:r>
      <w:r w:rsidR="00E66572">
        <w:t>global de Q.1,128.6</w:t>
      </w:r>
      <w:r>
        <w:t xml:space="preserve"> millones</w:t>
      </w:r>
      <w:r w:rsidRPr="00D108FD">
        <w:t>, tal y como se muestra en el cuadro siguiente</w:t>
      </w:r>
      <w:r>
        <w:t>:</w:t>
      </w:r>
    </w:p>
    <w:p w:rsidR="00AD5632" w:rsidRPr="003178FF" w:rsidRDefault="00AD5632" w:rsidP="00AD5632">
      <w:pPr>
        <w:jc w:val="both"/>
        <w:rPr>
          <w:sz w:val="36"/>
        </w:rPr>
      </w:pPr>
    </w:p>
    <w:tbl>
      <w:tblPr>
        <w:tblW w:w="9346" w:type="dxa"/>
        <w:jc w:val="center"/>
        <w:tblCellMar>
          <w:left w:w="70" w:type="dxa"/>
          <w:right w:w="70" w:type="dxa"/>
        </w:tblCellMar>
        <w:tblLook w:val="04A0" w:firstRow="1" w:lastRow="0" w:firstColumn="1" w:lastColumn="0" w:noHBand="0" w:noVBand="1"/>
      </w:tblPr>
      <w:tblGrid>
        <w:gridCol w:w="4810"/>
        <w:gridCol w:w="1276"/>
        <w:gridCol w:w="1134"/>
        <w:gridCol w:w="1134"/>
        <w:gridCol w:w="992"/>
      </w:tblGrid>
      <w:tr w:rsidR="00AD5632" w:rsidRPr="009A6857" w:rsidTr="00994915">
        <w:trPr>
          <w:trHeight w:val="340"/>
          <w:jc w:val="center"/>
        </w:trPr>
        <w:tc>
          <w:tcPr>
            <w:tcW w:w="4810"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AD5632" w:rsidRPr="009A6857" w:rsidRDefault="00AD5632" w:rsidP="00994915">
            <w:pPr>
              <w:jc w:val="center"/>
              <w:rPr>
                <w:b/>
                <w:bCs/>
                <w:color w:val="000000"/>
                <w:sz w:val="16"/>
                <w:szCs w:val="22"/>
                <w:lang w:val="es-GT" w:eastAsia="es-GT"/>
              </w:rPr>
            </w:pPr>
            <w:r w:rsidRPr="009A6857">
              <w:rPr>
                <w:b/>
                <w:bCs/>
                <w:color w:val="000000"/>
                <w:sz w:val="16"/>
                <w:szCs w:val="22"/>
                <w:lang w:val="es-GT" w:eastAsia="es-GT"/>
              </w:rPr>
              <w:t>DESCRIPCI</w:t>
            </w:r>
            <w:r w:rsidR="00D92D5F">
              <w:rPr>
                <w:b/>
                <w:bCs/>
                <w:color w:val="000000"/>
                <w:sz w:val="16"/>
                <w:szCs w:val="22"/>
                <w:lang w:val="es-GT" w:eastAsia="es-GT"/>
              </w:rPr>
              <w:t>Ó</w:t>
            </w:r>
            <w:r w:rsidRPr="009A6857">
              <w:rPr>
                <w:b/>
                <w:bCs/>
                <w:color w:val="000000"/>
                <w:sz w:val="16"/>
                <w:szCs w:val="22"/>
                <w:lang w:val="es-GT" w:eastAsia="es-GT"/>
              </w:rPr>
              <w:t>N</w:t>
            </w:r>
          </w:p>
        </w:tc>
        <w:tc>
          <w:tcPr>
            <w:tcW w:w="1276"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9A6857" w:rsidRDefault="00AD5632" w:rsidP="00994915">
            <w:pPr>
              <w:jc w:val="center"/>
              <w:rPr>
                <w:b/>
                <w:bCs/>
                <w:color w:val="000000"/>
                <w:sz w:val="16"/>
                <w:szCs w:val="22"/>
                <w:lang w:val="es-GT" w:eastAsia="es-GT"/>
              </w:rPr>
            </w:pPr>
            <w:r w:rsidRPr="009A6857">
              <w:rPr>
                <w:b/>
                <w:bCs/>
                <w:color w:val="000000"/>
                <w:sz w:val="16"/>
                <w:szCs w:val="22"/>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9A6857" w:rsidRDefault="00AD5632" w:rsidP="00994915">
            <w:pPr>
              <w:jc w:val="center"/>
              <w:rPr>
                <w:b/>
                <w:bCs/>
                <w:color w:val="000000"/>
                <w:sz w:val="16"/>
                <w:szCs w:val="22"/>
                <w:lang w:val="es-GT" w:eastAsia="es-GT"/>
              </w:rPr>
            </w:pPr>
            <w:r w:rsidRPr="009A6857">
              <w:rPr>
                <w:b/>
                <w:bCs/>
                <w:color w:val="000000"/>
                <w:sz w:val="16"/>
                <w:szCs w:val="22"/>
                <w:lang w:val="es-GT" w:eastAsia="es-GT"/>
              </w:rPr>
              <w:t>Ejecu</w:t>
            </w:r>
            <w:r w:rsidR="00D92D5F">
              <w:rPr>
                <w:b/>
                <w:bCs/>
                <w:color w:val="000000"/>
                <w:sz w:val="16"/>
                <w:szCs w:val="22"/>
                <w:lang w:val="es-GT" w:eastAsia="es-GT"/>
              </w:rPr>
              <w:t>tado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9A6857" w:rsidRDefault="00AD5632" w:rsidP="00994915">
            <w:pPr>
              <w:jc w:val="center"/>
              <w:rPr>
                <w:b/>
                <w:bCs/>
                <w:color w:val="000000"/>
                <w:sz w:val="16"/>
                <w:szCs w:val="22"/>
                <w:lang w:val="es-GT" w:eastAsia="es-GT"/>
              </w:rPr>
            </w:pPr>
            <w:r w:rsidRPr="009A6857">
              <w:rPr>
                <w:b/>
                <w:bCs/>
                <w:color w:val="000000"/>
                <w:sz w:val="16"/>
                <w:szCs w:val="22"/>
                <w:lang w:val="es-GT" w:eastAsia="es-GT"/>
              </w:rPr>
              <w:t>Dif</w:t>
            </w:r>
          </w:p>
        </w:tc>
        <w:tc>
          <w:tcPr>
            <w:tcW w:w="992" w:type="dxa"/>
            <w:tcBorders>
              <w:top w:val="single" w:sz="8" w:space="0" w:color="auto"/>
              <w:left w:val="nil"/>
              <w:bottom w:val="single" w:sz="4" w:space="0" w:color="auto"/>
              <w:right w:val="single" w:sz="8" w:space="0" w:color="auto"/>
            </w:tcBorders>
            <w:shd w:val="clear" w:color="000000" w:fill="8DB4E2"/>
            <w:noWrap/>
            <w:vAlign w:val="center"/>
            <w:hideMark/>
          </w:tcPr>
          <w:p w:rsidR="00AD5632" w:rsidRPr="009A6857" w:rsidRDefault="00AD5632" w:rsidP="00994915">
            <w:pPr>
              <w:jc w:val="center"/>
              <w:rPr>
                <w:b/>
                <w:bCs/>
                <w:color w:val="000000"/>
                <w:sz w:val="16"/>
                <w:szCs w:val="22"/>
                <w:lang w:val="es-GT" w:eastAsia="es-GT"/>
              </w:rPr>
            </w:pPr>
            <w:r w:rsidRPr="009A6857">
              <w:rPr>
                <w:b/>
                <w:bCs/>
                <w:color w:val="000000"/>
                <w:sz w:val="16"/>
                <w:szCs w:val="22"/>
                <w:lang w:val="es-GT" w:eastAsia="es-GT"/>
              </w:rPr>
              <w:t>% Ejec</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rPr>
                <w:b/>
                <w:bCs/>
                <w:color w:val="000000"/>
                <w:sz w:val="16"/>
                <w:szCs w:val="18"/>
                <w:lang w:val="es-GT" w:eastAsia="es-GT"/>
              </w:rPr>
            </w:pPr>
            <w:r w:rsidRPr="009A6857">
              <w:rPr>
                <w:b/>
                <w:bCs/>
                <w:color w:val="000000"/>
                <w:sz w:val="16"/>
                <w:szCs w:val="18"/>
                <w:lang w:val="es-GT" w:eastAsia="es-GT"/>
              </w:rPr>
              <w:t>APORTES INSTITUCIONALES</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b/>
                <w:bCs/>
                <w:color w:val="000000"/>
                <w:sz w:val="16"/>
                <w:szCs w:val="18"/>
                <w:lang w:val="es-GT" w:eastAsia="es-GT"/>
              </w:rPr>
            </w:pPr>
            <w:r w:rsidRPr="009A6857">
              <w:rPr>
                <w:b/>
                <w:bCs/>
                <w:color w:val="000000"/>
                <w:sz w:val="16"/>
                <w:szCs w:val="18"/>
                <w:lang w:val="es-GT" w:eastAsia="es-GT"/>
              </w:rPr>
              <w:t>13,506.4</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b/>
                <w:bCs/>
                <w:color w:val="000000"/>
                <w:sz w:val="16"/>
                <w:szCs w:val="18"/>
                <w:lang w:val="es-GT" w:eastAsia="es-GT"/>
              </w:rPr>
            </w:pPr>
            <w:r w:rsidRPr="009A6857">
              <w:rPr>
                <w:b/>
                <w:bCs/>
                <w:color w:val="000000"/>
                <w:sz w:val="16"/>
                <w:szCs w:val="18"/>
                <w:lang w:val="es-GT" w:eastAsia="es-GT"/>
              </w:rPr>
              <w:t>12,304.2</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b/>
                <w:bCs/>
                <w:color w:val="000000"/>
                <w:sz w:val="16"/>
                <w:szCs w:val="18"/>
                <w:lang w:val="es-GT" w:eastAsia="es-GT"/>
              </w:rPr>
            </w:pPr>
            <w:r w:rsidRPr="009A6857">
              <w:rPr>
                <w:b/>
                <w:bCs/>
                <w:color w:val="000000"/>
                <w:sz w:val="16"/>
                <w:szCs w:val="18"/>
                <w:lang w:val="es-GT" w:eastAsia="es-GT"/>
              </w:rPr>
              <w:t>1,202.2</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b/>
                <w:bCs/>
                <w:color w:val="000000"/>
                <w:sz w:val="16"/>
                <w:szCs w:val="18"/>
                <w:lang w:val="es-GT" w:eastAsia="es-GT"/>
              </w:rPr>
            </w:pPr>
            <w:r w:rsidRPr="009A6857">
              <w:rPr>
                <w:b/>
                <w:bCs/>
                <w:color w:val="000000"/>
                <w:sz w:val="16"/>
                <w:szCs w:val="18"/>
                <w:lang w:val="es-GT" w:eastAsia="es-GT"/>
              </w:rPr>
              <w:t>91.1%</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SISTEMA DE JUSTICIA</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4,597.1</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4,279.8</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317.34</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93.1%</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EDUCACIÓN</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1,952.0</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2,134.9</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-182.92</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109.4%</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ADMINISTRACIÓN FISCAL</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1,393.3</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1,273.9</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119.39</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91.4%</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PROTECCIÓN SOCIAL</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818.0</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816.1</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1.94</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99.8%</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ADMINISTRACIÓN LEGISLATIVA</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715.4</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633.0</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82.40</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88.5%</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SERVICIOS ELECTORALES</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676.2</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176.6</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499.59</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26.1%</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ATENCIÓN A DESASTRES Y GESTIÓN DE RIESGOS</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518.5</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262.9</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255.61</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50.7%</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SERVICIOS DE FISCALIZACIÓN</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477.5</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477.5</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0.00</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100.0%</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FOMENTO Y PROMOCIÓN DEL DEPORTE</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468.7</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465.4</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3.30</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99.3%</w:t>
            </w:r>
          </w:p>
        </w:tc>
      </w:tr>
      <w:tr w:rsidR="00AD5632" w:rsidRPr="009A6857" w:rsidTr="003178FF">
        <w:trPr>
          <w:trHeight w:val="180"/>
          <w:jc w:val="center"/>
        </w:trPr>
        <w:tc>
          <w:tcPr>
            <w:tcW w:w="4810" w:type="dxa"/>
            <w:tcBorders>
              <w:top w:val="nil"/>
              <w:left w:val="single" w:sz="8" w:space="0" w:color="auto"/>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SERVICIOS DE ELECTRICIDAD</w:t>
            </w:r>
          </w:p>
        </w:tc>
        <w:tc>
          <w:tcPr>
            <w:tcW w:w="1276" w:type="dxa"/>
            <w:tcBorders>
              <w:top w:val="nil"/>
              <w:left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360.0</w:t>
            </w:r>
          </w:p>
        </w:tc>
        <w:tc>
          <w:tcPr>
            <w:tcW w:w="1134" w:type="dxa"/>
            <w:tcBorders>
              <w:top w:val="nil"/>
              <w:left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360.0</w:t>
            </w:r>
          </w:p>
        </w:tc>
        <w:tc>
          <w:tcPr>
            <w:tcW w:w="1134" w:type="dxa"/>
            <w:tcBorders>
              <w:top w:val="nil"/>
              <w:left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0.00</w:t>
            </w:r>
          </w:p>
        </w:tc>
        <w:tc>
          <w:tcPr>
            <w:tcW w:w="992" w:type="dxa"/>
            <w:tcBorders>
              <w:top w:val="nil"/>
              <w:left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100.0%</w:t>
            </w:r>
          </w:p>
        </w:tc>
      </w:tr>
      <w:tr w:rsidR="00AD5632" w:rsidRPr="009A6857" w:rsidTr="003178FF">
        <w:trPr>
          <w:trHeight w:val="180"/>
          <w:jc w:val="center"/>
        </w:trPr>
        <w:tc>
          <w:tcPr>
            <w:tcW w:w="4810" w:type="dxa"/>
            <w:tcBorders>
              <w:top w:val="nil"/>
              <w:left w:val="single" w:sz="8" w:space="0" w:color="auto"/>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APOYO AL SISTEMA DE JUSTICIA</w:t>
            </w:r>
          </w:p>
        </w:tc>
        <w:tc>
          <w:tcPr>
            <w:tcW w:w="1276" w:type="dxa"/>
            <w:tcBorders>
              <w:top w:val="nil"/>
              <w:left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318.9</w:t>
            </w:r>
          </w:p>
        </w:tc>
        <w:tc>
          <w:tcPr>
            <w:tcW w:w="1134" w:type="dxa"/>
            <w:tcBorders>
              <w:top w:val="nil"/>
              <w:left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295.7</w:t>
            </w:r>
          </w:p>
        </w:tc>
        <w:tc>
          <w:tcPr>
            <w:tcW w:w="1134" w:type="dxa"/>
            <w:tcBorders>
              <w:top w:val="nil"/>
              <w:left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23.22</w:t>
            </w:r>
          </w:p>
        </w:tc>
        <w:tc>
          <w:tcPr>
            <w:tcW w:w="992" w:type="dxa"/>
            <w:tcBorders>
              <w:top w:val="nil"/>
              <w:left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92.7%</w:t>
            </w:r>
          </w:p>
        </w:tc>
      </w:tr>
      <w:tr w:rsidR="00AD5632" w:rsidRPr="009A6857" w:rsidTr="003178FF">
        <w:trPr>
          <w:trHeight w:val="180"/>
          <w:jc w:val="center"/>
        </w:trPr>
        <w:tc>
          <w:tcPr>
            <w:tcW w:w="4810" w:type="dxa"/>
            <w:tcBorders>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DEFENSORÍA PÚBLICA PENAL</w:t>
            </w:r>
          </w:p>
        </w:tc>
        <w:tc>
          <w:tcPr>
            <w:tcW w:w="1276" w:type="dxa"/>
            <w:tcBorders>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285.1</w:t>
            </w:r>
          </w:p>
        </w:tc>
        <w:tc>
          <w:tcPr>
            <w:tcW w:w="1134" w:type="dxa"/>
            <w:tcBorders>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252.9</w:t>
            </w:r>
          </w:p>
        </w:tc>
        <w:tc>
          <w:tcPr>
            <w:tcW w:w="1134" w:type="dxa"/>
            <w:tcBorders>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32.17</w:t>
            </w:r>
          </w:p>
        </w:tc>
        <w:tc>
          <w:tcPr>
            <w:tcW w:w="992" w:type="dxa"/>
            <w:tcBorders>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88.7%</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TRANSPORTE</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190.0</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179.0</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11.00</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94.2%</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SERVICIOS PÚBLICOS GENERALES</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178.0</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169.5</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8.50</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95.2%</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DESARROLLO COMUNITARIO</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160.7</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124.8</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35.92</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77.7%</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FOMENTO Y DESARROLLO DEL TURISMO</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110.1</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64.2</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45.91</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58.3%</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INFORMACIÓN CATASTRAL</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85.0</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74.6</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10.40</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87.8%</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DEFENSORÍA DE LOS DERECHOS HUMANOS</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78.0</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183.7</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-105.71</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235.5%</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ASUNTOS ECO Y COMERCIALES EN GENERAL</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47.0</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46.1</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0.94</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98.0%</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ACTIVIDADES CULTURALES</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32.0</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29.7</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2.26</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92.9%</w:t>
            </w:r>
          </w:p>
        </w:tc>
      </w:tr>
      <w:tr w:rsidR="00AD5632" w:rsidRPr="009A6857" w:rsidTr="00E25D31">
        <w:trPr>
          <w:trHeight w:val="180"/>
          <w:jc w:val="center"/>
        </w:trPr>
        <w:tc>
          <w:tcPr>
            <w:tcW w:w="4810" w:type="dxa"/>
            <w:tcBorders>
              <w:top w:val="nil"/>
              <w:left w:val="single" w:sz="8" w:space="0" w:color="auto"/>
              <w:bottom w:val="nil"/>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APORTES AL TRIBUNAL SUPREMO ELECTORAL</w:t>
            </w:r>
          </w:p>
        </w:tc>
        <w:tc>
          <w:tcPr>
            <w:tcW w:w="1276"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25.0</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0.0</w:t>
            </w:r>
          </w:p>
        </w:tc>
        <w:tc>
          <w:tcPr>
            <w:tcW w:w="1134" w:type="dxa"/>
            <w:tcBorders>
              <w:top w:val="nil"/>
              <w:left w:val="nil"/>
              <w:bottom w:val="nil"/>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25.00</w:t>
            </w:r>
          </w:p>
        </w:tc>
        <w:tc>
          <w:tcPr>
            <w:tcW w:w="992" w:type="dxa"/>
            <w:tcBorders>
              <w:top w:val="nil"/>
              <w:left w:val="nil"/>
              <w:bottom w:val="nil"/>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0.0%</w:t>
            </w:r>
          </w:p>
        </w:tc>
      </w:tr>
      <w:tr w:rsidR="00AD5632" w:rsidRPr="009A6857" w:rsidTr="00E25D31">
        <w:trPr>
          <w:trHeight w:val="180"/>
          <w:jc w:val="center"/>
        </w:trPr>
        <w:tc>
          <w:tcPr>
            <w:tcW w:w="4810" w:type="dxa"/>
            <w:tcBorders>
              <w:top w:val="nil"/>
              <w:left w:val="single" w:sz="8" w:space="0" w:color="auto"/>
              <w:bottom w:val="single" w:sz="8" w:space="0" w:color="auto"/>
              <w:right w:val="single" w:sz="4" w:space="0" w:color="auto"/>
            </w:tcBorders>
            <w:shd w:val="clear" w:color="000000" w:fill="FFFFFF"/>
            <w:noWrap/>
            <w:hideMark/>
          </w:tcPr>
          <w:p w:rsidR="00AD5632" w:rsidRPr="009A6857" w:rsidRDefault="00AD5632" w:rsidP="00BA0B4B">
            <w:pPr>
              <w:ind w:firstLineChars="200" w:firstLine="320"/>
              <w:rPr>
                <w:color w:val="000000"/>
                <w:sz w:val="16"/>
                <w:szCs w:val="18"/>
                <w:lang w:val="es-GT" w:eastAsia="es-GT"/>
              </w:rPr>
            </w:pPr>
            <w:r w:rsidRPr="009A6857">
              <w:rPr>
                <w:color w:val="000000"/>
                <w:sz w:val="16"/>
                <w:szCs w:val="18"/>
                <w:lang w:val="es-GT" w:eastAsia="es-GT"/>
              </w:rPr>
              <w:t>SEGURO PARAMÉTRICO PARA EVENTOS CLIMÁTICOS</w:t>
            </w:r>
          </w:p>
        </w:tc>
        <w:tc>
          <w:tcPr>
            <w:tcW w:w="1276" w:type="dxa"/>
            <w:tcBorders>
              <w:top w:val="nil"/>
              <w:left w:val="single" w:sz="4" w:space="0" w:color="auto"/>
              <w:bottom w:val="single" w:sz="8" w:space="0" w:color="auto"/>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20.0</w:t>
            </w:r>
          </w:p>
        </w:tc>
        <w:tc>
          <w:tcPr>
            <w:tcW w:w="1134" w:type="dxa"/>
            <w:tcBorders>
              <w:top w:val="nil"/>
              <w:left w:val="nil"/>
              <w:bottom w:val="single" w:sz="8" w:space="0" w:color="auto"/>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4.1</w:t>
            </w:r>
          </w:p>
        </w:tc>
        <w:tc>
          <w:tcPr>
            <w:tcW w:w="1134" w:type="dxa"/>
            <w:tcBorders>
              <w:top w:val="nil"/>
              <w:left w:val="nil"/>
              <w:bottom w:val="single" w:sz="8" w:space="0" w:color="auto"/>
              <w:right w:val="single" w:sz="4"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15.93</w:t>
            </w:r>
          </w:p>
        </w:tc>
        <w:tc>
          <w:tcPr>
            <w:tcW w:w="992" w:type="dxa"/>
            <w:tcBorders>
              <w:top w:val="nil"/>
              <w:left w:val="nil"/>
              <w:bottom w:val="single" w:sz="8" w:space="0" w:color="auto"/>
              <w:right w:val="single" w:sz="8" w:space="0" w:color="auto"/>
            </w:tcBorders>
            <w:shd w:val="clear" w:color="000000" w:fill="FFFFFF"/>
            <w:noWrap/>
            <w:vAlign w:val="center"/>
            <w:hideMark/>
          </w:tcPr>
          <w:p w:rsidR="00AD5632" w:rsidRPr="009A6857" w:rsidRDefault="00AD5632" w:rsidP="00BA0B4B">
            <w:pPr>
              <w:jc w:val="right"/>
              <w:rPr>
                <w:color w:val="000000"/>
                <w:sz w:val="16"/>
                <w:szCs w:val="18"/>
                <w:lang w:val="es-GT" w:eastAsia="es-GT"/>
              </w:rPr>
            </w:pPr>
            <w:r w:rsidRPr="009A6857">
              <w:rPr>
                <w:color w:val="000000"/>
                <w:sz w:val="16"/>
                <w:szCs w:val="18"/>
                <w:lang w:val="es-GT" w:eastAsia="es-GT"/>
              </w:rPr>
              <w:t>20.3%</w:t>
            </w:r>
          </w:p>
        </w:tc>
      </w:tr>
    </w:tbl>
    <w:p w:rsidR="00AD5632" w:rsidRPr="004E678D" w:rsidRDefault="00D92D5F" w:rsidP="00D92D5F">
      <w:pPr>
        <w:rPr>
          <w:sz w:val="18"/>
        </w:rPr>
      </w:pPr>
      <w:r>
        <w:rPr>
          <w:sz w:val="18"/>
        </w:rPr>
        <w:t xml:space="preserve"> </w:t>
      </w:r>
      <w:r w:rsidR="00AD5632" w:rsidRPr="004E678D">
        <w:rPr>
          <w:sz w:val="18"/>
        </w:rPr>
        <w:t>Fuente: Ministerio de Finanzas Públicas</w:t>
      </w:r>
      <w:r w:rsidR="00AD5632">
        <w:rPr>
          <w:sz w:val="18"/>
        </w:rPr>
        <w:t>.</w:t>
      </w:r>
    </w:p>
    <w:p w:rsidR="00AD5632" w:rsidRPr="003178FF" w:rsidRDefault="00AD5632" w:rsidP="00AD5632">
      <w:pPr>
        <w:jc w:val="both"/>
        <w:rPr>
          <w:sz w:val="32"/>
        </w:rPr>
      </w:pPr>
    </w:p>
    <w:p w:rsidR="00B179BA" w:rsidRPr="003178FF" w:rsidRDefault="00B179BA" w:rsidP="00AD5632">
      <w:pPr>
        <w:jc w:val="both"/>
        <w:rPr>
          <w:sz w:val="44"/>
        </w:rPr>
      </w:pPr>
    </w:p>
    <w:p w:rsidR="00AD5632" w:rsidRDefault="00AD5632" w:rsidP="00AD5632">
      <w:pPr>
        <w:jc w:val="both"/>
        <w:rPr>
          <w:b/>
        </w:rPr>
      </w:pPr>
      <w:r w:rsidRPr="0049429F">
        <w:rPr>
          <w:b/>
        </w:rPr>
        <w:t>Aportes a Consejos Departamentales de Desarrollo</w:t>
      </w:r>
    </w:p>
    <w:p w:rsidR="00AD5632" w:rsidRPr="003178FF" w:rsidRDefault="00AD5632" w:rsidP="00AD5632">
      <w:pPr>
        <w:jc w:val="both"/>
        <w:rPr>
          <w:b/>
          <w:sz w:val="28"/>
        </w:rPr>
      </w:pPr>
    </w:p>
    <w:p w:rsidR="00AD5632" w:rsidRDefault="00AD5632" w:rsidP="00AD5632">
      <w:pPr>
        <w:jc w:val="both"/>
      </w:pPr>
      <w:r>
        <w:t xml:space="preserve">Los aportes tuvieron un presupuesto aprobado de Q.3,237.1 millones y se ejecutaron Q.2,702.0 millones, equivalentes al 83.5%. </w:t>
      </w:r>
      <w:r w:rsidR="00445854">
        <w:t>É</w:t>
      </w:r>
      <w:r w:rsidRPr="00D108FD">
        <w:t xml:space="preserve">stos se ejecutaron </w:t>
      </w:r>
      <w:r>
        <w:t xml:space="preserve">de la manera </w:t>
      </w:r>
      <w:r w:rsidRPr="00D108FD">
        <w:t>siguiente:</w:t>
      </w:r>
      <w:r>
        <w:t xml:space="preserve"> Transporte por Carretera Q.1,133.3 millones, </w:t>
      </w:r>
      <w:r w:rsidRPr="00D108FD">
        <w:t xml:space="preserve">Abastecimiento de Agua </w:t>
      </w:r>
      <w:r>
        <w:t>con</w:t>
      </w:r>
      <w:r w:rsidRPr="00D108FD">
        <w:t xml:space="preserve"> </w:t>
      </w:r>
      <w:r>
        <w:t>Q.562.2</w:t>
      </w:r>
      <w:r w:rsidRPr="00D108FD">
        <w:t xml:space="preserve"> millones, Ordenación de Aguas Residuales </w:t>
      </w:r>
      <w:r>
        <w:t>con Q.328.7</w:t>
      </w:r>
      <w:r w:rsidRPr="00D108FD">
        <w:t xml:space="preserve"> millones, Educación Primaria </w:t>
      </w:r>
      <w:r>
        <w:t>con</w:t>
      </w:r>
      <w:r w:rsidRPr="00D108FD">
        <w:t xml:space="preserve"> </w:t>
      </w:r>
      <w:r>
        <w:t>Q.281.7</w:t>
      </w:r>
      <w:r w:rsidRPr="00D108FD">
        <w:t xml:space="preserve"> millones,</w:t>
      </w:r>
      <w:r>
        <w:t xml:space="preserve"> Servicios Hospitalarios Generales con Q.134.3 millones, </w:t>
      </w:r>
      <w:r w:rsidRPr="00D108FD">
        <w:t>Educación</w:t>
      </w:r>
      <w:r>
        <w:t xml:space="preserve"> Básica con</w:t>
      </w:r>
      <w:r w:rsidRPr="00D108FD">
        <w:t xml:space="preserve"> </w:t>
      </w:r>
      <w:r>
        <w:t>Q.95.6</w:t>
      </w:r>
      <w:r w:rsidRPr="00D108FD">
        <w:t xml:space="preserve"> millones,</w:t>
      </w:r>
      <w:r>
        <w:t xml:space="preserve"> mientras que el resto de aportes se ubicó </w:t>
      </w:r>
      <w:r w:rsidR="00445854">
        <w:t>globalmente en Q.166.1</w:t>
      </w:r>
      <w:r>
        <w:t xml:space="preserve"> millones ejecutados por el Fondo para el Desarrollo Económico de la Nación</w:t>
      </w:r>
      <w:r w:rsidRPr="00D108FD">
        <w:t>, lo cual se puede observar en el cuadro que se presenta a continuación</w:t>
      </w:r>
      <w:r>
        <w:t>:</w:t>
      </w:r>
    </w:p>
    <w:p w:rsidR="00B179BA" w:rsidRDefault="00B179BA" w:rsidP="00AD5632">
      <w:pPr>
        <w:jc w:val="both"/>
      </w:pPr>
    </w:p>
    <w:p w:rsidR="003178FF" w:rsidRDefault="003178FF" w:rsidP="00AD5632">
      <w:pPr>
        <w:jc w:val="both"/>
      </w:pPr>
    </w:p>
    <w:p w:rsidR="003178FF" w:rsidRDefault="003178FF" w:rsidP="00AD5632">
      <w:pPr>
        <w:jc w:val="both"/>
      </w:pPr>
    </w:p>
    <w:p w:rsidR="00AD5632" w:rsidRPr="00913BD9" w:rsidRDefault="00AD5632" w:rsidP="00AD5632">
      <w:pPr>
        <w:jc w:val="both"/>
        <w:rPr>
          <w:sz w:val="18"/>
        </w:rPr>
      </w:pPr>
    </w:p>
    <w:tbl>
      <w:tblPr>
        <w:tblW w:w="0" w:type="auto"/>
        <w:jc w:val="center"/>
        <w:tblCellMar>
          <w:left w:w="70" w:type="dxa"/>
          <w:right w:w="70" w:type="dxa"/>
        </w:tblCellMar>
        <w:tblLook w:val="04A0" w:firstRow="1" w:lastRow="0" w:firstColumn="1" w:lastColumn="0" w:noHBand="0" w:noVBand="1"/>
      </w:tblPr>
      <w:tblGrid>
        <w:gridCol w:w="4656"/>
        <w:gridCol w:w="1288"/>
        <w:gridCol w:w="1134"/>
        <w:gridCol w:w="1134"/>
        <w:gridCol w:w="850"/>
      </w:tblGrid>
      <w:tr w:rsidR="00AD5632" w:rsidRPr="002436BC" w:rsidTr="001028BC">
        <w:trPr>
          <w:trHeight w:val="300"/>
          <w:jc w:val="center"/>
        </w:trPr>
        <w:tc>
          <w:tcPr>
            <w:tcW w:w="0" w:type="auto"/>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AD5632" w:rsidRPr="002436BC" w:rsidRDefault="00AD5632" w:rsidP="001028BC">
            <w:pPr>
              <w:jc w:val="center"/>
              <w:rPr>
                <w:b/>
                <w:bCs/>
                <w:color w:val="000000"/>
                <w:sz w:val="14"/>
                <w:szCs w:val="22"/>
                <w:lang w:val="es-GT" w:eastAsia="es-GT"/>
              </w:rPr>
            </w:pPr>
            <w:r w:rsidRPr="002436BC">
              <w:rPr>
                <w:b/>
                <w:bCs/>
                <w:color w:val="000000"/>
                <w:sz w:val="14"/>
                <w:szCs w:val="22"/>
                <w:lang w:val="es-GT" w:eastAsia="es-GT"/>
              </w:rPr>
              <w:t>DESCRIPCI</w:t>
            </w:r>
            <w:r w:rsidR="006D0047">
              <w:rPr>
                <w:b/>
                <w:bCs/>
                <w:color w:val="000000"/>
                <w:sz w:val="14"/>
                <w:szCs w:val="22"/>
                <w:lang w:val="es-GT" w:eastAsia="es-GT"/>
              </w:rPr>
              <w:t>Ó</w:t>
            </w:r>
            <w:r w:rsidRPr="002436BC">
              <w:rPr>
                <w:b/>
                <w:bCs/>
                <w:color w:val="000000"/>
                <w:sz w:val="14"/>
                <w:szCs w:val="22"/>
                <w:lang w:val="es-GT" w:eastAsia="es-GT"/>
              </w:rPr>
              <w:t>N</w:t>
            </w:r>
          </w:p>
        </w:tc>
        <w:tc>
          <w:tcPr>
            <w:tcW w:w="1288"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2436BC" w:rsidRDefault="00AD5632" w:rsidP="001028BC">
            <w:pPr>
              <w:jc w:val="center"/>
              <w:rPr>
                <w:b/>
                <w:bCs/>
                <w:color w:val="000000"/>
                <w:sz w:val="14"/>
                <w:szCs w:val="22"/>
                <w:lang w:val="es-GT" w:eastAsia="es-GT"/>
              </w:rPr>
            </w:pPr>
            <w:r w:rsidRPr="002436BC">
              <w:rPr>
                <w:b/>
                <w:bCs/>
                <w:color w:val="000000"/>
                <w:sz w:val="14"/>
                <w:szCs w:val="22"/>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2436BC" w:rsidRDefault="00AD5632" w:rsidP="001028BC">
            <w:pPr>
              <w:jc w:val="center"/>
              <w:rPr>
                <w:b/>
                <w:bCs/>
                <w:color w:val="000000"/>
                <w:sz w:val="14"/>
                <w:szCs w:val="22"/>
                <w:lang w:val="es-GT" w:eastAsia="es-GT"/>
              </w:rPr>
            </w:pPr>
            <w:r w:rsidRPr="002436BC">
              <w:rPr>
                <w:b/>
                <w:bCs/>
                <w:color w:val="000000"/>
                <w:sz w:val="14"/>
                <w:szCs w:val="22"/>
                <w:lang w:val="es-GT" w:eastAsia="es-GT"/>
              </w:rPr>
              <w:t>Ejecu</w:t>
            </w:r>
            <w:r w:rsidR="006D0047">
              <w:rPr>
                <w:b/>
                <w:bCs/>
                <w:color w:val="000000"/>
                <w:sz w:val="14"/>
                <w:szCs w:val="22"/>
                <w:lang w:val="es-GT" w:eastAsia="es-GT"/>
              </w:rPr>
              <w:t>tado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2436BC" w:rsidRDefault="00AD5632" w:rsidP="001028BC">
            <w:pPr>
              <w:jc w:val="center"/>
              <w:rPr>
                <w:b/>
                <w:bCs/>
                <w:color w:val="000000"/>
                <w:sz w:val="14"/>
                <w:szCs w:val="22"/>
                <w:lang w:val="es-GT" w:eastAsia="es-GT"/>
              </w:rPr>
            </w:pPr>
            <w:r w:rsidRPr="002436BC">
              <w:rPr>
                <w:b/>
                <w:bCs/>
                <w:color w:val="000000"/>
                <w:sz w:val="14"/>
                <w:szCs w:val="22"/>
                <w:lang w:val="es-GT" w:eastAsia="es-GT"/>
              </w:rPr>
              <w:t>Diferencia</w:t>
            </w:r>
          </w:p>
        </w:tc>
        <w:tc>
          <w:tcPr>
            <w:tcW w:w="850" w:type="dxa"/>
            <w:tcBorders>
              <w:top w:val="single" w:sz="8" w:space="0" w:color="auto"/>
              <w:left w:val="nil"/>
              <w:bottom w:val="single" w:sz="4" w:space="0" w:color="auto"/>
              <w:right w:val="single" w:sz="8" w:space="0" w:color="auto"/>
            </w:tcBorders>
            <w:shd w:val="clear" w:color="000000" w:fill="8DB4E2"/>
            <w:noWrap/>
            <w:vAlign w:val="center"/>
            <w:hideMark/>
          </w:tcPr>
          <w:p w:rsidR="00AD5632" w:rsidRPr="002436BC" w:rsidRDefault="00AD5632" w:rsidP="001028BC">
            <w:pPr>
              <w:jc w:val="center"/>
              <w:rPr>
                <w:b/>
                <w:bCs/>
                <w:color w:val="000000"/>
                <w:sz w:val="14"/>
                <w:szCs w:val="22"/>
                <w:lang w:val="es-GT" w:eastAsia="es-GT"/>
              </w:rPr>
            </w:pPr>
            <w:r w:rsidRPr="002436BC">
              <w:rPr>
                <w:b/>
                <w:bCs/>
                <w:color w:val="000000"/>
                <w:sz w:val="14"/>
                <w:szCs w:val="22"/>
                <w:lang w:val="es-GT" w:eastAsia="es-GT"/>
              </w:rPr>
              <w:t>% Ejec</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rPr>
                <w:b/>
                <w:bCs/>
                <w:color w:val="000000"/>
                <w:sz w:val="14"/>
                <w:szCs w:val="18"/>
                <w:lang w:val="es-GT" w:eastAsia="es-GT"/>
              </w:rPr>
            </w:pPr>
            <w:r w:rsidRPr="002436BC">
              <w:rPr>
                <w:b/>
                <w:bCs/>
                <w:color w:val="000000"/>
                <w:sz w:val="14"/>
                <w:szCs w:val="18"/>
                <w:lang w:val="es-GT" w:eastAsia="es-GT"/>
              </w:rPr>
              <w:t>APORTE A CONSEJOS DEPARTAMENTALES DE DESARROLLO</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b/>
                <w:bCs/>
                <w:color w:val="000000"/>
                <w:sz w:val="14"/>
                <w:szCs w:val="18"/>
                <w:lang w:val="es-GT" w:eastAsia="es-GT"/>
              </w:rPr>
            </w:pPr>
            <w:r w:rsidRPr="002436BC">
              <w:rPr>
                <w:b/>
                <w:bCs/>
                <w:color w:val="000000"/>
                <w:sz w:val="14"/>
                <w:szCs w:val="18"/>
                <w:lang w:val="es-GT" w:eastAsia="es-GT"/>
              </w:rPr>
              <w:t>3,237.1</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b/>
                <w:bCs/>
                <w:color w:val="000000"/>
                <w:sz w:val="14"/>
                <w:szCs w:val="18"/>
                <w:lang w:val="es-GT" w:eastAsia="es-GT"/>
              </w:rPr>
            </w:pPr>
            <w:r w:rsidRPr="002436BC">
              <w:rPr>
                <w:b/>
                <w:bCs/>
                <w:color w:val="000000"/>
                <w:sz w:val="14"/>
                <w:szCs w:val="18"/>
                <w:lang w:val="es-GT" w:eastAsia="es-GT"/>
              </w:rPr>
              <w:t>2,702.0</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b/>
                <w:bCs/>
                <w:color w:val="000000"/>
                <w:sz w:val="14"/>
                <w:szCs w:val="18"/>
                <w:lang w:val="es-GT" w:eastAsia="es-GT"/>
              </w:rPr>
            </w:pPr>
            <w:r w:rsidRPr="002436BC">
              <w:rPr>
                <w:b/>
                <w:bCs/>
                <w:color w:val="000000"/>
                <w:sz w:val="14"/>
                <w:szCs w:val="18"/>
                <w:lang w:val="es-GT" w:eastAsia="es-GT"/>
              </w:rPr>
              <w:t>107.1</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b/>
                <w:bCs/>
                <w:color w:val="000000"/>
                <w:sz w:val="14"/>
                <w:szCs w:val="18"/>
                <w:lang w:val="es-GT" w:eastAsia="es-GT"/>
              </w:rPr>
            </w:pPr>
            <w:r w:rsidRPr="002436BC">
              <w:rPr>
                <w:b/>
                <w:bCs/>
                <w:color w:val="000000"/>
                <w:sz w:val="14"/>
                <w:szCs w:val="18"/>
                <w:lang w:val="es-GT" w:eastAsia="es-GT"/>
              </w:rPr>
              <w:t>83.5%</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TRANSPORTE POR CARRETERA</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24.5</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1,133.3</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-1,108.78</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4623.1%</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ABASTECIMIENTO DE AGUA</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689.2</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562.2</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126.96</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81.6%</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ORDENACIÓN DE AGUAS RESIDUALES</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756.7</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328.7</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 </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rPr>
                <w:color w:val="000000"/>
                <w:sz w:val="14"/>
                <w:szCs w:val="18"/>
                <w:lang w:val="es-GT" w:eastAsia="es-GT"/>
              </w:rPr>
            </w:pPr>
            <w:r w:rsidRPr="002436BC">
              <w:rPr>
                <w:color w:val="000000"/>
                <w:sz w:val="14"/>
                <w:szCs w:val="18"/>
                <w:lang w:val="es-GT" w:eastAsia="es-GT"/>
              </w:rPr>
              <w:t> </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EDUCACIÓN PRIMARIA</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531.3</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281.7</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249.55</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53.0%</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SERVICIOS HOSPITALARIOS GENERALES</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187.4</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134.3</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53.17</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71.6%</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EDUCACIÓN BÁSICA</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188.4</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95.6</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92.78</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50.8%</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 xml:space="preserve">FONDO PARA EL DESARROLLO ECONÓMICO DE LA NACIÓN </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47.9</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40.9</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7.04</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85.3%</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EDUCACIÓN PREPRIMARIA</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65.8</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38.0</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27.83</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57.7%</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PRIMERA ETAPA DE LA EDUCACIÓN UNIVERSITARIA O SUPERIOR</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18.3</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25.9</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-7.57</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141.3%</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EDUCACIÓN DIVERSIFICADA</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43.1</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21.9</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21.20</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50.9%</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AGRICULTURA</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1.9</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14.4</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-12.48</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764.2%</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GESTIÓN CORRECTIVA O COMPENSATORIA DE DESASTRES</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3.1</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6.2</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-3.11</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199.6%</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ORDENACIÓN DE DESECHOS</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31.2</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6.1</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25.10</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19.7%</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EDUCACIÓN NO ATRIBUIBLE A NINGÚN NIVEL ESCOLARIZADO</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38.7</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6.1</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32.68</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15.6%</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OTROS SERVICIOS GENERALES</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7.6</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5.3</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2.39</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68.7%</w:t>
            </w:r>
          </w:p>
        </w:tc>
      </w:tr>
      <w:tr w:rsidR="00AD5632" w:rsidRPr="002436BC" w:rsidTr="00DC4970">
        <w:trPr>
          <w:trHeight w:val="300"/>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DESARROLLO COMUNITARIO</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1.7</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1.4</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0.30</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82.0%</w:t>
            </w:r>
          </w:p>
        </w:tc>
      </w:tr>
      <w:tr w:rsidR="00AD5632" w:rsidRPr="002436BC" w:rsidTr="00DC4970">
        <w:trPr>
          <w:trHeight w:val="285"/>
          <w:jc w:val="center"/>
        </w:trPr>
        <w:tc>
          <w:tcPr>
            <w:tcW w:w="0" w:type="auto"/>
            <w:tcBorders>
              <w:top w:val="nil"/>
              <w:left w:val="single" w:sz="8" w:space="0" w:color="auto"/>
              <w:bottom w:val="nil"/>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OTRAS INTERVENCIONES DE DESARROLLO</w:t>
            </w:r>
          </w:p>
        </w:tc>
        <w:tc>
          <w:tcPr>
            <w:tcW w:w="1288"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600.0</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 </w:t>
            </w:r>
          </w:p>
        </w:tc>
        <w:tc>
          <w:tcPr>
            <w:tcW w:w="1134" w:type="dxa"/>
            <w:tcBorders>
              <w:top w:val="nil"/>
              <w:left w:val="nil"/>
              <w:bottom w:val="nil"/>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600.00</w:t>
            </w:r>
          </w:p>
        </w:tc>
        <w:tc>
          <w:tcPr>
            <w:tcW w:w="850" w:type="dxa"/>
            <w:tcBorders>
              <w:top w:val="nil"/>
              <w:left w:val="nil"/>
              <w:bottom w:val="nil"/>
              <w:right w:val="single" w:sz="8"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0.0%</w:t>
            </w:r>
          </w:p>
        </w:tc>
      </w:tr>
      <w:tr w:rsidR="00AD5632" w:rsidRPr="002436BC" w:rsidTr="00DC4970">
        <w:trPr>
          <w:trHeight w:val="135"/>
          <w:jc w:val="center"/>
        </w:trPr>
        <w:tc>
          <w:tcPr>
            <w:tcW w:w="0" w:type="auto"/>
            <w:tcBorders>
              <w:top w:val="nil"/>
              <w:left w:val="single" w:sz="8" w:space="0" w:color="auto"/>
              <w:bottom w:val="single" w:sz="8" w:space="0" w:color="auto"/>
              <w:right w:val="single" w:sz="4" w:space="0" w:color="auto"/>
            </w:tcBorders>
            <w:shd w:val="clear" w:color="000000" w:fill="FFFFFF"/>
            <w:noWrap/>
            <w:vAlign w:val="center"/>
            <w:hideMark/>
          </w:tcPr>
          <w:p w:rsidR="00AD5632" w:rsidRPr="002436BC" w:rsidRDefault="00AD5632" w:rsidP="00BA0B4B">
            <w:pPr>
              <w:ind w:firstLineChars="100" w:firstLine="140"/>
              <w:rPr>
                <w:color w:val="000000"/>
                <w:sz w:val="14"/>
                <w:szCs w:val="18"/>
                <w:lang w:val="es-GT" w:eastAsia="es-GT"/>
              </w:rPr>
            </w:pPr>
            <w:r w:rsidRPr="002436BC">
              <w:rPr>
                <w:color w:val="000000"/>
                <w:sz w:val="14"/>
                <w:szCs w:val="18"/>
                <w:lang w:val="es-GT" w:eastAsia="es-GT"/>
              </w:rPr>
              <w:t> </w:t>
            </w:r>
          </w:p>
        </w:tc>
        <w:tc>
          <w:tcPr>
            <w:tcW w:w="1288" w:type="dxa"/>
            <w:tcBorders>
              <w:top w:val="nil"/>
              <w:left w:val="single" w:sz="4" w:space="0" w:color="auto"/>
              <w:bottom w:val="single" w:sz="8" w:space="0" w:color="auto"/>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 </w:t>
            </w:r>
          </w:p>
        </w:tc>
        <w:tc>
          <w:tcPr>
            <w:tcW w:w="1134" w:type="dxa"/>
            <w:tcBorders>
              <w:top w:val="nil"/>
              <w:left w:val="nil"/>
              <w:bottom w:val="single" w:sz="8" w:space="0" w:color="auto"/>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 </w:t>
            </w:r>
          </w:p>
        </w:tc>
        <w:tc>
          <w:tcPr>
            <w:tcW w:w="1134" w:type="dxa"/>
            <w:tcBorders>
              <w:top w:val="nil"/>
              <w:left w:val="nil"/>
              <w:bottom w:val="single" w:sz="8" w:space="0" w:color="auto"/>
              <w:right w:val="single" w:sz="4" w:space="0" w:color="auto"/>
            </w:tcBorders>
            <w:shd w:val="clear" w:color="000000" w:fill="FFFFFF"/>
            <w:noWrap/>
            <w:vAlign w:val="center"/>
            <w:hideMark/>
          </w:tcPr>
          <w:p w:rsidR="00AD5632" w:rsidRPr="002436BC" w:rsidRDefault="00AD5632" w:rsidP="00BA0B4B">
            <w:pPr>
              <w:jc w:val="right"/>
              <w:rPr>
                <w:color w:val="000000"/>
                <w:sz w:val="14"/>
                <w:szCs w:val="18"/>
                <w:lang w:val="es-GT" w:eastAsia="es-GT"/>
              </w:rPr>
            </w:pPr>
            <w:r w:rsidRPr="002436BC">
              <w:rPr>
                <w:color w:val="000000"/>
                <w:sz w:val="14"/>
                <w:szCs w:val="18"/>
                <w:lang w:val="es-GT" w:eastAsia="es-GT"/>
              </w:rPr>
              <w:t> </w:t>
            </w:r>
          </w:p>
        </w:tc>
        <w:tc>
          <w:tcPr>
            <w:tcW w:w="850" w:type="dxa"/>
            <w:tcBorders>
              <w:top w:val="nil"/>
              <w:left w:val="nil"/>
              <w:bottom w:val="single" w:sz="8" w:space="0" w:color="auto"/>
              <w:right w:val="single" w:sz="8" w:space="0" w:color="auto"/>
            </w:tcBorders>
            <w:shd w:val="clear" w:color="000000" w:fill="FFFFFF"/>
            <w:noWrap/>
            <w:vAlign w:val="center"/>
            <w:hideMark/>
          </w:tcPr>
          <w:p w:rsidR="00AD5632" w:rsidRPr="002436BC" w:rsidRDefault="00AD5632" w:rsidP="00BA0B4B">
            <w:pPr>
              <w:rPr>
                <w:color w:val="000000"/>
                <w:sz w:val="14"/>
                <w:szCs w:val="18"/>
                <w:lang w:val="es-GT" w:eastAsia="es-GT"/>
              </w:rPr>
            </w:pPr>
            <w:r w:rsidRPr="002436BC">
              <w:rPr>
                <w:color w:val="000000"/>
                <w:sz w:val="14"/>
                <w:szCs w:val="18"/>
                <w:lang w:val="es-GT" w:eastAsia="es-GT"/>
              </w:rPr>
              <w:t> </w:t>
            </w:r>
          </w:p>
        </w:tc>
      </w:tr>
    </w:tbl>
    <w:p w:rsidR="00AD5632" w:rsidRPr="004E678D" w:rsidRDefault="006D0047" w:rsidP="006D0047">
      <w:pPr>
        <w:jc w:val="both"/>
        <w:rPr>
          <w:sz w:val="18"/>
        </w:rPr>
      </w:pPr>
      <w:r>
        <w:rPr>
          <w:sz w:val="18"/>
        </w:rPr>
        <w:t xml:space="preserve">   </w:t>
      </w:r>
      <w:r w:rsidR="00AD5632" w:rsidRPr="004E678D">
        <w:rPr>
          <w:sz w:val="18"/>
        </w:rPr>
        <w:t>Fuente: Ministerio de Finanzas Públicas</w:t>
      </w:r>
      <w:r w:rsidR="00AD5632">
        <w:rPr>
          <w:sz w:val="18"/>
        </w:rPr>
        <w:t>.</w:t>
      </w:r>
    </w:p>
    <w:p w:rsidR="00AD5632" w:rsidRDefault="00AD5632" w:rsidP="00AD5632">
      <w:pPr>
        <w:jc w:val="both"/>
      </w:pPr>
    </w:p>
    <w:p w:rsidR="003178FF" w:rsidRPr="003178FF" w:rsidRDefault="003178FF" w:rsidP="00AD5632">
      <w:pPr>
        <w:jc w:val="both"/>
        <w:rPr>
          <w:sz w:val="32"/>
        </w:rPr>
      </w:pPr>
    </w:p>
    <w:p w:rsidR="00AD5632" w:rsidRDefault="00AD5632" w:rsidP="00AD5632">
      <w:pPr>
        <w:jc w:val="both"/>
        <w:rPr>
          <w:b/>
        </w:rPr>
      </w:pPr>
      <w:r w:rsidRPr="005F0315">
        <w:rPr>
          <w:b/>
        </w:rPr>
        <w:t>Otros Aportes</w:t>
      </w:r>
    </w:p>
    <w:p w:rsidR="00B826A8" w:rsidRPr="005F0315" w:rsidRDefault="00B826A8" w:rsidP="00AD5632">
      <w:pPr>
        <w:jc w:val="both"/>
        <w:rPr>
          <w:b/>
        </w:rPr>
      </w:pPr>
    </w:p>
    <w:p w:rsidR="00AD5632" w:rsidRDefault="00AD5632" w:rsidP="00AD5632">
      <w:pPr>
        <w:jc w:val="both"/>
      </w:pPr>
      <w:r w:rsidRPr="00D108FD">
        <w:t xml:space="preserve">En cuanto al Aporte a las Municipalidades, la actividad es la misma en la que el presupuesto asignado </w:t>
      </w:r>
      <w:r>
        <w:t>fue</w:t>
      </w:r>
      <w:r w:rsidRPr="00D108FD">
        <w:t xml:space="preserve"> de </w:t>
      </w:r>
      <w:r>
        <w:t>Q.7</w:t>
      </w:r>
      <w:r w:rsidRPr="00D108FD">
        <w:t>,</w:t>
      </w:r>
      <w:r>
        <w:t>619.9</w:t>
      </w:r>
      <w:r w:rsidRPr="00D108FD">
        <w:t xml:space="preserve"> millones y una ejecución presupuestaria por</w:t>
      </w:r>
      <w:r>
        <w:t xml:space="preserve"> </w:t>
      </w:r>
      <w:r w:rsidRPr="00D108FD">
        <w:t>valor</w:t>
      </w:r>
      <w:r>
        <w:t xml:space="preserve"> de Q.7,578.2 millones</w:t>
      </w:r>
      <w:r w:rsidRPr="00D108FD">
        <w:t xml:space="preserve">, </w:t>
      </w:r>
      <w:r>
        <w:t>habiendo ejecutado el</w:t>
      </w:r>
      <w:r w:rsidRPr="00D108FD">
        <w:t xml:space="preserve"> </w:t>
      </w:r>
      <w:r>
        <w:t>99.5</w:t>
      </w:r>
      <w:r w:rsidRPr="00D108FD">
        <w:t>%.</w:t>
      </w:r>
    </w:p>
    <w:p w:rsidR="00AD5632" w:rsidRPr="003178FF" w:rsidRDefault="00AD5632" w:rsidP="00AD5632">
      <w:pPr>
        <w:jc w:val="both"/>
        <w:rPr>
          <w:sz w:val="32"/>
        </w:rPr>
      </w:pPr>
    </w:p>
    <w:p w:rsidR="00AD5632" w:rsidRDefault="00AD5632" w:rsidP="00AD5632">
      <w:pPr>
        <w:jc w:val="both"/>
      </w:pPr>
      <w:r>
        <w:t>R</w:t>
      </w:r>
      <w:r w:rsidRPr="00D108FD">
        <w:t xml:space="preserve">ecursos destinados a las Clases Pasivas </w:t>
      </w:r>
      <w:r>
        <w:t xml:space="preserve">Civiles </w:t>
      </w:r>
      <w:r w:rsidRPr="00D108FD">
        <w:t xml:space="preserve">del Estado, las cuales tuvieron un presupuesto </w:t>
      </w:r>
      <w:r>
        <w:t xml:space="preserve">aprobado </w:t>
      </w:r>
      <w:r w:rsidRPr="00D108FD">
        <w:t xml:space="preserve">de </w:t>
      </w:r>
      <w:r>
        <w:t>Q.</w:t>
      </w:r>
      <w:r w:rsidRPr="00D108FD">
        <w:t>5,</w:t>
      </w:r>
      <w:r>
        <w:t>195.7</w:t>
      </w:r>
      <w:r w:rsidRPr="00D108FD">
        <w:t xml:space="preserve"> millones y una ejecución presupuestaria de </w:t>
      </w:r>
      <w:r>
        <w:t>Q.</w:t>
      </w:r>
      <w:r w:rsidRPr="00D108FD">
        <w:t>5,</w:t>
      </w:r>
      <w:r>
        <w:t>306.7</w:t>
      </w:r>
      <w:r w:rsidRPr="00D108FD">
        <w:t xml:space="preserve"> millones</w:t>
      </w:r>
      <w:r w:rsidR="008013B8">
        <w:t>,</w:t>
      </w:r>
      <w:r w:rsidRPr="00D108FD">
        <w:t xml:space="preserve"> equivalente</w:t>
      </w:r>
      <w:r>
        <w:t>s</w:t>
      </w:r>
      <w:r w:rsidRPr="00D108FD">
        <w:t xml:space="preserve"> al </w:t>
      </w:r>
      <w:r>
        <w:t>102.1</w:t>
      </w:r>
      <w:r w:rsidRPr="00D108FD">
        <w:t>%</w:t>
      </w:r>
      <w:r>
        <w:t>.</w:t>
      </w:r>
    </w:p>
    <w:p w:rsidR="00AD5632" w:rsidRPr="003178FF" w:rsidRDefault="00AD5632" w:rsidP="00AD5632">
      <w:pPr>
        <w:jc w:val="both"/>
        <w:rPr>
          <w:b/>
          <w:sz w:val="32"/>
        </w:rPr>
      </w:pPr>
    </w:p>
    <w:p w:rsidR="00AD5632" w:rsidRDefault="00AD5632" w:rsidP="00AD5632">
      <w:pPr>
        <w:jc w:val="both"/>
      </w:pPr>
      <w:r>
        <w:t xml:space="preserve">El sub programa denominado Otras Obligaciones reporta un presupuesto aprobado de Q.4,035.1 millones, en virtud que incluye la actividad llamada </w:t>
      </w:r>
      <w:r w:rsidR="008013B8">
        <w:t>“</w:t>
      </w:r>
      <w:r>
        <w:t>Intervenciones Realizadas para la Atención de la Emergencia C</w:t>
      </w:r>
      <w:r w:rsidR="008013B8">
        <w:t>ovid</w:t>
      </w:r>
      <w:r>
        <w:t>-19</w:t>
      </w:r>
      <w:r w:rsidR="008013B8">
        <w:t>”</w:t>
      </w:r>
      <w:r>
        <w:t>, de la cual no se ejecutó nada durante el período</w:t>
      </w:r>
      <w:r w:rsidR="008013B8">
        <w:t xml:space="preserve"> porque fue específica para el 2020</w:t>
      </w:r>
      <w:r>
        <w:t>. As</w:t>
      </w:r>
      <w:r w:rsidR="008013B8">
        <w:t>i</w:t>
      </w:r>
      <w:r>
        <w:t>mismo, aparece la actividad</w:t>
      </w:r>
      <w:r w:rsidRPr="00D108FD">
        <w:t xml:space="preserve"> Protección</w:t>
      </w:r>
      <w:r>
        <w:t xml:space="preserve"> Ambiental con presupuesto aprobado de Q</w:t>
      </w:r>
      <w:r w:rsidR="008013B8">
        <w:t>.</w:t>
      </w:r>
      <w:r>
        <w:t xml:space="preserve">319.9 millones y una ejecución de </w:t>
      </w:r>
      <w:r w:rsidR="008013B8">
        <w:t>Q.</w:t>
      </w:r>
      <w:r>
        <w:t>295.5</w:t>
      </w:r>
      <w:r w:rsidR="008013B8">
        <w:t xml:space="preserve"> millones,</w:t>
      </w:r>
      <w:r>
        <w:t xml:space="preserve"> la de Incentivos Forestales PINPEP la cantidad de Q.3</w:t>
      </w:r>
      <w:r w:rsidR="008013B8">
        <w:t>59.1</w:t>
      </w:r>
      <w:r>
        <w:t xml:space="preserve"> millones (92.1%)</w:t>
      </w:r>
      <w:r w:rsidRPr="00D108FD">
        <w:t xml:space="preserve"> y </w:t>
      </w:r>
      <w:r>
        <w:t>en Otras Obligaciones del Estado con ejecución de Q.35</w:t>
      </w:r>
      <w:r w:rsidR="008013B8">
        <w:t>0</w:t>
      </w:r>
      <w:r>
        <w:t>.5 millones (330.7%).</w:t>
      </w:r>
    </w:p>
    <w:p w:rsidR="00AD5632" w:rsidRDefault="00AD5632" w:rsidP="00AD5632">
      <w:pPr>
        <w:jc w:val="both"/>
      </w:pPr>
    </w:p>
    <w:p w:rsidR="003178FF" w:rsidRDefault="003178FF" w:rsidP="00AD5632">
      <w:pPr>
        <w:jc w:val="both"/>
      </w:pPr>
    </w:p>
    <w:p w:rsidR="003178FF" w:rsidRDefault="003178FF" w:rsidP="00AD5632">
      <w:pPr>
        <w:jc w:val="both"/>
      </w:pPr>
    </w:p>
    <w:p w:rsidR="003178FF" w:rsidRDefault="003178FF" w:rsidP="00AD5632">
      <w:pPr>
        <w:jc w:val="both"/>
      </w:pPr>
    </w:p>
    <w:p w:rsidR="003178FF" w:rsidRDefault="003178FF" w:rsidP="00AD5632">
      <w:pPr>
        <w:jc w:val="both"/>
      </w:pPr>
    </w:p>
    <w:p w:rsidR="00AD5632" w:rsidRDefault="00AD5632" w:rsidP="00AD5632">
      <w:pPr>
        <w:jc w:val="both"/>
      </w:pPr>
    </w:p>
    <w:tbl>
      <w:tblPr>
        <w:tblW w:w="9346" w:type="dxa"/>
        <w:jc w:val="center"/>
        <w:tblLayout w:type="fixed"/>
        <w:tblCellMar>
          <w:left w:w="70" w:type="dxa"/>
          <w:right w:w="70" w:type="dxa"/>
        </w:tblCellMar>
        <w:tblLook w:val="04A0" w:firstRow="1" w:lastRow="0" w:firstColumn="1" w:lastColumn="0" w:noHBand="0" w:noVBand="1"/>
      </w:tblPr>
      <w:tblGrid>
        <w:gridCol w:w="4385"/>
        <w:gridCol w:w="1275"/>
        <w:gridCol w:w="1276"/>
        <w:gridCol w:w="1276"/>
        <w:gridCol w:w="1134"/>
      </w:tblGrid>
      <w:tr w:rsidR="00AD5632" w:rsidRPr="003442B2" w:rsidTr="00BB5466">
        <w:trPr>
          <w:trHeight w:val="495"/>
          <w:jc w:val="center"/>
        </w:trPr>
        <w:tc>
          <w:tcPr>
            <w:tcW w:w="4385"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AD5632" w:rsidRPr="003442B2" w:rsidRDefault="00AD5632" w:rsidP="00BB5466">
            <w:pPr>
              <w:jc w:val="center"/>
              <w:rPr>
                <w:b/>
                <w:bCs/>
                <w:color w:val="000000"/>
                <w:sz w:val="16"/>
                <w:szCs w:val="22"/>
                <w:lang w:val="es-GT" w:eastAsia="es-GT"/>
              </w:rPr>
            </w:pPr>
            <w:r w:rsidRPr="003442B2">
              <w:rPr>
                <w:b/>
                <w:bCs/>
                <w:color w:val="000000"/>
                <w:sz w:val="16"/>
                <w:szCs w:val="22"/>
                <w:lang w:val="es-GT" w:eastAsia="es-GT"/>
              </w:rPr>
              <w:t>DESCRIPCI</w:t>
            </w:r>
            <w:r w:rsidR="006D0047">
              <w:rPr>
                <w:b/>
                <w:bCs/>
                <w:color w:val="000000"/>
                <w:sz w:val="16"/>
                <w:szCs w:val="22"/>
                <w:lang w:val="es-GT" w:eastAsia="es-GT"/>
              </w:rPr>
              <w:t>Ó</w:t>
            </w:r>
            <w:r w:rsidRPr="003442B2">
              <w:rPr>
                <w:b/>
                <w:bCs/>
                <w:color w:val="000000"/>
                <w:sz w:val="16"/>
                <w:szCs w:val="22"/>
                <w:lang w:val="es-GT" w:eastAsia="es-GT"/>
              </w:rPr>
              <w:t>N</w:t>
            </w:r>
          </w:p>
        </w:tc>
        <w:tc>
          <w:tcPr>
            <w:tcW w:w="1275"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3442B2" w:rsidRDefault="00AD5632" w:rsidP="00BB5466">
            <w:pPr>
              <w:jc w:val="center"/>
              <w:rPr>
                <w:b/>
                <w:bCs/>
                <w:color w:val="000000"/>
                <w:sz w:val="16"/>
                <w:szCs w:val="22"/>
                <w:lang w:val="es-GT" w:eastAsia="es-GT"/>
              </w:rPr>
            </w:pPr>
            <w:r w:rsidRPr="003442B2">
              <w:rPr>
                <w:b/>
                <w:bCs/>
                <w:color w:val="000000"/>
                <w:sz w:val="16"/>
                <w:szCs w:val="22"/>
                <w:lang w:val="es-GT" w:eastAsia="es-GT"/>
              </w:rPr>
              <w:t>Asignado</w:t>
            </w:r>
          </w:p>
        </w:tc>
        <w:tc>
          <w:tcPr>
            <w:tcW w:w="1276"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3442B2" w:rsidRDefault="00AD5632" w:rsidP="00BB5466">
            <w:pPr>
              <w:jc w:val="center"/>
              <w:rPr>
                <w:b/>
                <w:bCs/>
                <w:color w:val="000000"/>
                <w:sz w:val="16"/>
                <w:szCs w:val="22"/>
                <w:lang w:val="es-GT" w:eastAsia="es-GT"/>
              </w:rPr>
            </w:pPr>
            <w:r w:rsidRPr="003442B2">
              <w:rPr>
                <w:b/>
                <w:bCs/>
                <w:color w:val="000000"/>
                <w:sz w:val="16"/>
                <w:szCs w:val="22"/>
                <w:lang w:val="es-GT" w:eastAsia="es-GT"/>
              </w:rPr>
              <w:t>Ejecu</w:t>
            </w:r>
            <w:r w:rsidR="006D0047">
              <w:rPr>
                <w:b/>
                <w:bCs/>
                <w:color w:val="000000"/>
                <w:sz w:val="16"/>
                <w:szCs w:val="22"/>
                <w:lang w:val="es-GT" w:eastAsia="es-GT"/>
              </w:rPr>
              <w:t>tado</w:t>
            </w:r>
          </w:p>
        </w:tc>
        <w:tc>
          <w:tcPr>
            <w:tcW w:w="1276" w:type="dxa"/>
            <w:tcBorders>
              <w:top w:val="single" w:sz="8" w:space="0" w:color="auto"/>
              <w:left w:val="nil"/>
              <w:bottom w:val="single" w:sz="4" w:space="0" w:color="auto"/>
              <w:right w:val="single" w:sz="4" w:space="0" w:color="auto"/>
            </w:tcBorders>
            <w:shd w:val="clear" w:color="000000" w:fill="8DB4E2"/>
            <w:noWrap/>
            <w:vAlign w:val="center"/>
            <w:hideMark/>
          </w:tcPr>
          <w:p w:rsidR="00AD5632" w:rsidRPr="003442B2" w:rsidRDefault="00AD5632" w:rsidP="00BB5466">
            <w:pPr>
              <w:jc w:val="center"/>
              <w:rPr>
                <w:b/>
                <w:bCs/>
                <w:color w:val="000000"/>
                <w:sz w:val="16"/>
                <w:szCs w:val="22"/>
                <w:lang w:val="es-GT" w:eastAsia="es-GT"/>
              </w:rPr>
            </w:pPr>
            <w:r w:rsidRPr="003442B2">
              <w:rPr>
                <w:b/>
                <w:bCs/>
                <w:color w:val="000000"/>
                <w:sz w:val="16"/>
                <w:szCs w:val="22"/>
                <w:lang w:val="es-GT" w:eastAsia="es-GT"/>
              </w:rPr>
              <w:t>Diferencia</w:t>
            </w:r>
          </w:p>
        </w:tc>
        <w:tc>
          <w:tcPr>
            <w:tcW w:w="1134" w:type="dxa"/>
            <w:tcBorders>
              <w:top w:val="single" w:sz="8" w:space="0" w:color="auto"/>
              <w:left w:val="nil"/>
              <w:bottom w:val="single" w:sz="4" w:space="0" w:color="auto"/>
              <w:right w:val="single" w:sz="8" w:space="0" w:color="auto"/>
            </w:tcBorders>
            <w:shd w:val="clear" w:color="000000" w:fill="8DB4E2"/>
            <w:noWrap/>
            <w:vAlign w:val="center"/>
            <w:hideMark/>
          </w:tcPr>
          <w:p w:rsidR="00AD5632" w:rsidRPr="003442B2" w:rsidRDefault="00AD5632" w:rsidP="00BB5466">
            <w:pPr>
              <w:jc w:val="center"/>
              <w:rPr>
                <w:b/>
                <w:bCs/>
                <w:color w:val="000000"/>
                <w:sz w:val="16"/>
                <w:szCs w:val="22"/>
                <w:lang w:val="es-GT" w:eastAsia="es-GT"/>
              </w:rPr>
            </w:pPr>
            <w:r w:rsidRPr="003442B2">
              <w:rPr>
                <w:b/>
                <w:bCs/>
                <w:color w:val="000000"/>
                <w:sz w:val="16"/>
                <w:szCs w:val="22"/>
                <w:lang w:val="es-GT" w:eastAsia="es-GT"/>
              </w:rPr>
              <w:t>% Ejec</w:t>
            </w:r>
          </w:p>
        </w:tc>
      </w:tr>
      <w:tr w:rsidR="00AD5632" w:rsidRPr="003442B2" w:rsidTr="00600EF6">
        <w:trPr>
          <w:trHeight w:val="300"/>
          <w:jc w:val="center"/>
        </w:trPr>
        <w:tc>
          <w:tcPr>
            <w:tcW w:w="4385" w:type="dxa"/>
            <w:tcBorders>
              <w:top w:val="nil"/>
              <w:left w:val="single" w:sz="8" w:space="0" w:color="auto"/>
              <w:bottom w:val="nil"/>
              <w:right w:val="single" w:sz="4" w:space="0" w:color="auto"/>
            </w:tcBorders>
            <w:shd w:val="clear" w:color="000000" w:fill="FFFFFF"/>
            <w:noWrap/>
            <w:vAlign w:val="center"/>
            <w:hideMark/>
          </w:tcPr>
          <w:p w:rsidR="00AD5632" w:rsidRPr="003442B2" w:rsidRDefault="00AD5632" w:rsidP="00BA0B4B">
            <w:pPr>
              <w:rPr>
                <w:b/>
                <w:bCs/>
                <w:color w:val="000000"/>
                <w:sz w:val="16"/>
                <w:szCs w:val="18"/>
                <w:lang w:val="es-GT" w:eastAsia="es-GT"/>
              </w:rPr>
            </w:pPr>
            <w:r w:rsidRPr="003442B2">
              <w:rPr>
                <w:b/>
                <w:bCs/>
                <w:color w:val="000000"/>
                <w:sz w:val="16"/>
                <w:szCs w:val="18"/>
                <w:lang w:val="es-GT" w:eastAsia="es-GT"/>
              </w:rPr>
              <w:t>OTROS</w:t>
            </w:r>
            <w:r w:rsidR="006D0047">
              <w:rPr>
                <w:b/>
                <w:bCs/>
                <w:color w:val="000000"/>
                <w:sz w:val="16"/>
                <w:szCs w:val="18"/>
                <w:lang w:val="es-GT" w:eastAsia="es-GT"/>
              </w:rPr>
              <w:t xml:space="preserve"> APORTES</w:t>
            </w:r>
          </w:p>
        </w:tc>
        <w:tc>
          <w:tcPr>
            <w:tcW w:w="1275"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b/>
                <w:bCs/>
                <w:color w:val="000000"/>
                <w:sz w:val="16"/>
                <w:szCs w:val="18"/>
                <w:lang w:val="es-GT" w:eastAsia="es-GT"/>
              </w:rPr>
            </w:pPr>
            <w:r w:rsidRPr="003442B2">
              <w:rPr>
                <w:b/>
                <w:bCs/>
                <w:color w:val="000000"/>
                <w:sz w:val="16"/>
                <w:szCs w:val="18"/>
                <w:lang w:val="es-GT" w:eastAsia="es-GT"/>
              </w:rPr>
              <w:t>16,850.6</w:t>
            </w:r>
          </w:p>
        </w:tc>
        <w:tc>
          <w:tcPr>
            <w:tcW w:w="1276"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b/>
                <w:bCs/>
                <w:color w:val="000000"/>
                <w:sz w:val="16"/>
                <w:szCs w:val="18"/>
                <w:lang w:val="es-GT" w:eastAsia="es-GT"/>
              </w:rPr>
            </w:pPr>
            <w:r w:rsidRPr="003442B2">
              <w:rPr>
                <w:b/>
                <w:bCs/>
                <w:color w:val="000000"/>
                <w:sz w:val="16"/>
                <w:szCs w:val="18"/>
                <w:lang w:val="es-GT" w:eastAsia="es-GT"/>
              </w:rPr>
              <w:t>13,861.7</w:t>
            </w:r>
          </w:p>
        </w:tc>
        <w:tc>
          <w:tcPr>
            <w:tcW w:w="1276"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b/>
                <w:bCs/>
                <w:color w:val="000000"/>
                <w:sz w:val="16"/>
                <w:szCs w:val="18"/>
                <w:lang w:val="es-GT" w:eastAsia="es-GT"/>
              </w:rPr>
            </w:pPr>
            <w:r w:rsidRPr="003442B2">
              <w:rPr>
                <w:b/>
                <w:bCs/>
                <w:color w:val="000000"/>
                <w:sz w:val="16"/>
                <w:szCs w:val="18"/>
                <w:lang w:val="es-GT" w:eastAsia="es-GT"/>
              </w:rPr>
              <w:t>2,988.94</w:t>
            </w:r>
          </w:p>
        </w:tc>
        <w:tc>
          <w:tcPr>
            <w:tcW w:w="1134" w:type="dxa"/>
            <w:tcBorders>
              <w:top w:val="nil"/>
              <w:left w:val="nil"/>
              <w:bottom w:val="nil"/>
              <w:right w:val="single" w:sz="8" w:space="0" w:color="auto"/>
            </w:tcBorders>
            <w:shd w:val="clear" w:color="000000" w:fill="FFFFFF"/>
            <w:noWrap/>
            <w:vAlign w:val="center"/>
            <w:hideMark/>
          </w:tcPr>
          <w:p w:rsidR="00AD5632" w:rsidRPr="003442B2" w:rsidRDefault="00AD5632" w:rsidP="00BA0B4B">
            <w:pPr>
              <w:jc w:val="right"/>
              <w:rPr>
                <w:b/>
                <w:bCs/>
                <w:color w:val="000000"/>
                <w:sz w:val="16"/>
                <w:szCs w:val="18"/>
                <w:lang w:val="es-GT" w:eastAsia="es-GT"/>
              </w:rPr>
            </w:pPr>
            <w:r w:rsidRPr="003442B2">
              <w:rPr>
                <w:b/>
                <w:bCs/>
                <w:color w:val="000000"/>
                <w:sz w:val="16"/>
                <w:szCs w:val="18"/>
                <w:lang w:val="es-GT" w:eastAsia="es-GT"/>
              </w:rPr>
              <w:t>82.3%</w:t>
            </w:r>
          </w:p>
        </w:tc>
      </w:tr>
      <w:tr w:rsidR="00AD5632" w:rsidRPr="003442B2" w:rsidTr="00600EF6">
        <w:trPr>
          <w:trHeight w:val="300"/>
          <w:jc w:val="center"/>
        </w:trPr>
        <w:tc>
          <w:tcPr>
            <w:tcW w:w="4385" w:type="dxa"/>
            <w:tcBorders>
              <w:top w:val="nil"/>
              <w:left w:val="single" w:sz="8" w:space="0" w:color="auto"/>
              <w:bottom w:val="nil"/>
              <w:right w:val="single" w:sz="4" w:space="0" w:color="auto"/>
            </w:tcBorders>
            <w:shd w:val="clear" w:color="000000" w:fill="FFFFFF"/>
            <w:noWrap/>
            <w:vAlign w:val="center"/>
            <w:hideMark/>
          </w:tcPr>
          <w:p w:rsidR="00AD5632" w:rsidRPr="003442B2" w:rsidRDefault="00AD5632" w:rsidP="00BA0B4B">
            <w:pPr>
              <w:ind w:firstLineChars="100" w:firstLine="160"/>
              <w:rPr>
                <w:color w:val="000000"/>
                <w:sz w:val="16"/>
                <w:szCs w:val="18"/>
                <w:lang w:val="es-GT" w:eastAsia="es-GT"/>
              </w:rPr>
            </w:pPr>
            <w:r w:rsidRPr="003442B2">
              <w:rPr>
                <w:color w:val="000000"/>
                <w:sz w:val="16"/>
                <w:szCs w:val="18"/>
                <w:lang w:val="es-GT" w:eastAsia="es-GT"/>
              </w:rPr>
              <w:t>APORTE A MUNICIPALIDADES</w:t>
            </w:r>
          </w:p>
        </w:tc>
        <w:tc>
          <w:tcPr>
            <w:tcW w:w="1275"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7,619.9</w:t>
            </w:r>
          </w:p>
        </w:tc>
        <w:tc>
          <w:tcPr>
            <w:tcW w:w="1276"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7,578.2</w:t>
            </w:r>
          </w:p>
        </w:tc>
        <w:tc>
          <w:tcPr>
            <w:tcW w:w="1276"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41.66</w:t>
            </w:r>
          </w:p>
        </w:tc>
        <w:tc>
          <w:tcPr>
            <w:tcW w:w="1134" w:type="dxa"/>
            <w:tcBorders>
              <w:top w:val="nil"/>
              <w:left w:val="nil"/>
              <w:bottom w:val="nil"/>
              <w:right w:val="single" w:sz="8"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99.5%</w:t>
            </w:r>
          </w:p>
        </w:tc>
      </w:tr>
      <w:tr w:rsidR="00AD5632" w:rsidRPr="003442B2" w:rsidTr="00600EF6">
        <w:trPr>
          <w:trHeight w:val="300"/>
          <w:jc w:val="center"/>
        </w:trPr>
        <w:tc>
          <w:tcPr>
            <w:tcW w:w="4385" w:type="dxa"/>
            <w:tcBorders>
              <w:top w:val="nil"/>
              <w:left w:val="single" w:sz="8" w:space="0" w:color="auto"/>
              <w:bottom w:val="nil"/>
              <w:right w:val="single" w:sz="4" w:space="0" w:color="auto"/>
            </w:tcBorders>
            <w:shd w:val="clear" w:color="000000" w:fill="FFFFFF"/>
            <w:noWrap/>
            <w:vAlign w:val="center"/>
            <w:hideMark/>
          </w:tcPr>
          <w:p w:rsidR="00AD5632" w:rsidRPr="003442B2" w:rsidRDefault="006D0047" w:rsidP="00BA0B4B">
            <w:pPr>
              <w:ind w:firstLineChars="100" w:firstLine="160"/>
              <w:rPr>
                <w:color w:val="000000"/>
                <w:sz w:val="16"/>
                <w:szCs w:val="18"/>
                <w:lang w:val="es-GT" w:eastAsia="es-GT"/>
              </w:rPr>
            </w:pPr>
            <w:r>
              <w:rPr>
                <w:color w:val="000000"/>
                <w:sz w:val="16"/>
                <w:szCs w:val="18"/>
                <w:lang w:val="es-GT" w:eastAsia="es-GT"/>
              </w:rPr>
              <w:t xml:space="preserve">APORTE A </w:t>
            </w:r>
            <w:r w:rsidR="00AD5632" w:rsidRPr="003442B2">
              <w:rPr>
                <w:color w:val="000000"/>
                <w:sz w:val="16"/>
                <w:szCs w:val="18"/>
                <w:lang w:val="es-GT" w:eastAsia="es-GT"/>
              </w:rPr>
              <w:t>CLASES PASIVAS CIVILES DEL ESTADO</w:t>
            </w:r>
          </w:p>
        </w:tc>
        <w:tc>
          <w:tcPr>
            <w:tcW w:w="1275"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5,195.7</w:t>
            </w:r>
          </w:p>
        </w:tc>
        <w:tc>
          <w:tcPr>
            <w:tcW w:w="1276"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5,306.7</w:t>
            </w:r>
          </w:p>
        </w:tc>
        <w:tc>
          <w:tcPr>
            <w:tcW w:w="1276"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-111.03</w:t>
            </w:r>
          </w:p>
        </w:tc>
        <w:tc>
          <w:tcPr>
            <w:tcW w:w="1134" w:type="dxa"/>
            <w:tcBorders>
              <w:top w:val="nil"/>
              <w:left w:val="nil"/>
              <w:bottom w:val="nil"/>
              <w:right w:val="single" w:sz="8"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102.1%</w:t>
            </w:r>
          </w:p>
        </w:tc>
      </w:tr>
      <w:tr w:rsidR="00AD5632" w:rsidRPr="003442B2" w:rsidTr="00600EF6">
        <w:trPr>
          <w:trHeight w:val="300"/>
          <w:jc w:val="center"/>
        </w:trPr>
        <w:tc>
          <w:tcPr>
            <w:tcW w:w="4385" w:type="dxa"/>
            <w:tcBorders>
              <w:top w:val="nil"/>
              <w:left w:val="single" w:sz="8" w:space="0" w:color="auto"/>
              <w:right w:val="single" w:sz="4" w:space="0" w:color="auto"/>
            </w:tcBorders>
            <w:shd w:val="clear" w:color="000000" w:fill="FFFFFF"/>
            <w:noWrap/>
            <w:vAlign w:val="center"/>
            <w:hideMark/>
          </w:tcPr>
          <w:p w:rsidR="00AD5632" w:rsidRPr="003442B2" w:rsidRDefault="00AD5632" w:rsidP="00BA0B4B">
            <w:pPr>
              <w:ind w:firstLineChars="100" w:firstLine="160"/>
              <w:rPr>
                <w:color w:val="000000"/>
                <w:sz w:val="16"/>
                <w:szCs w:val="18"/>
                <w:lang w:val="es-GT" w:eastAsia="es-GT"/>
              </w:rPr>
            </w:pPr>
            <w:r w:rsidRPr="003442B2">
              <w:rPr>
                <w:color w:val="000000"/>
                <w:sz w:val="16"/>
                <w:szCs w:val="18"/>
                <w:lang w:val="es-GT" w:eastAsia="es-GT"/>
              </w:rPr>
              <w:t>OTRAS OBLIGACIONES DEL ESTADO</w:t>
            </w:r>
          </w:p>
        </w:tc>
        <w:tc>
          <w:tcPr>
            <w:tcW w:w="1275" w:type="dxa"/>
            <w:tcBorders>
              <w:top w:val="nil"/>
              <w:left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4,035.1</w:t>
            </w:r>
          </w:p>
        </w:tc>
        <w:tc>
          <w:tcPr>
            <w:tcW w:w="1276" w:type="dxa"/>
            <w:tcBorders>
              <w:top w:val="nil"/>
              <w:left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976.8</w:t>
            </w:r>
          </w:p>
        </w:tc>
        <w:tc>
          <w:tcPr>
            <w:tcW w:w="1276" w:type="dxa"/>
            <w:tcBorders>
              <w:top w:val="nil"/>
              <w:left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3,058.32</w:t>
            </w:r>
          </w:p>
        </w:tc>
        <w:tc>
          <w:tcPr>
            <w:tcW w:w="1134" w:type="dxa"/>
            <w:tcBorders>
              <w:top w:val="nil"/>
              <w:left w:val="nil"/>
              <w:right w:val="single" w:sz="8"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24.2%</w:t>
            </w:r>
          </w:p>
        </w:tc>
      </w:tr>
      <w:tr w:rsidR="00AD5632" w:rsidRPr="003442B2" w:rsidTr="00600EF6">
        <w:trPr>
          <w:trHeight w:val="300"/>
          <w:jc w:val="center"/>
        </w:trPr>
        <w:tc>
          <w:tcPr>
            <w:tcW w:w="4385" w:type="dxa"/>
            <w:tcBorders>
              <w:top w:val="nil"/>
              <w:left w:val="single" w:sz="8" w:space="0" w:color="auto"/>
              <w:bottom w:val="nil"/>
              <w:right w:val="nil"/>
            </w:tcBorders>
            <w:shd w:val="clear" w:color="auto" w:fill="auto"/>
            <w:noWrap/>
            <w:hideMark/>
          </w:tcPr>
          <w:p w:rsidR="00AD5632" w:rsidRPr="0069602E" w:rsidRDefault="006D0047" w:rsidP="00BA0B4B">
            <w:pPr>
              <w:ind w:firstLineChars="300" w:firstLine="480"/>
              <w:rPr>
                <w:color w:val="000000"/>
                <w:sz w:val="16"/>
                <w:szCs w:val="18"/>
                <w:lang w:val="es-GT" w:eastAsia="es-GT"/>
              </w:rPr>
            </w:pPr>
            <w:r>
              <w:rPr>
                <w:color w:val="000000"/>
                <w:sz w:val="16"/>
                <w:szCs w:val="18"/>
                <w:lang w:val="es-GT" w:eastAsia="es-GT"/>
              </w:rPr>
              <w:t>ASIGNACIONES PARA ATENCIÓN DEL</w:t>
            </w:r>
            <w:r w:rsidR="00AD5632" w:rsidRPr="0069602E">
              <w:rPr>
                <w:color w:val="000000"/>
                <w:sz w:val="16"/>
                <w:szCs w:val="18"/>
                <w:lang w:val="es-GT" w:eastAsia="es-GT"/>
              </w:rPr>
              <w:t xml:space="preserve"> C</w:t>
            </w:r>
            <w:r>
              <w:rPr>
                <w:color w:val="000000"/>
                <w:sz w:val="16"/>
                <w:szCs w:val="18"/>
                <w:lang w:val="es-GT" w:eastAsia="es-GT"/>
              </w:rPr>
              <w:t>OVID</w:t>
            </w:r>
            <w:r w:rsidR="00AD5632" w:rsidRPr="0069602E">
              <w:rPr>
                <w:color w:val="000000"/>
                <w:sz w:val="16"/>
                <w:szCs w:val="18"/>
                <w:lang w:val="es-GT" w:eastAsia="es-GT"/>
              </w:rPr>
              <w:t>-19</w:t>
            </w:r>
          </w:p>
        </w:tc>
        <w:tc>
          <w:tcPr>
            <w:tcW w:w="1275" w:type="dxa"/>
            <w:tcBorders>
              <w:top w:val="nil"/>
              <w:left w:val="single" w:sz="4" w:space="0" w:color="auto"/>
              <w:bottom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3,250.0</w:t>
            </w:r>
          </w:p>
        </w:tc>
        <w:tc>
          <w:tcPr>
            <w:tcW w:w="1276"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b/>
                <w:bCs/>
                <w:color w:val="000000"/>
                <w:sz w:val="16"/>
                <w:szCs w:val="18"/>
                <w:lang w:val="es-GT" w:eastAsia="es-GT"/>
              </w:rPr>
            </w:pPr>
            <w:r w:rsidRPr="003442B2">
              <w:rPr>
                <w:b/>
                <w:bCs/>
                <w:color w:val="000000"/>
                <w:sz w:val="16"/>
                <w:szCs w:val="18"/>
                <w:lang w:val="es-GT" w:eastAsia="es-GT"/>
              </w:rPr>
              <w:t> </w:t>
            </w:r>
          </w:p>
        </w:tc>
        <w:tc>
          <w:tcPr>
            <w:tcW w:w="1276"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b/>
                <w:bCs/>
                <w:color w:val="000000"/>
                <w:sz w:val="16"/>
                <w:szCs w:val="18"/>
                <w:lang w:val="es-GT" w:eastAsia="es-GT"/>
              </w:rPr>
            </w:pPr>
            <w:r w:rsidRPr="003442B2">
              <w:rPr>
                <w:b/>
                <w:bCs/>
                <w:color w:val="000000"/>
                <w:sz w:val="16"/>
                <w:szCs w:val="18"/>
                <w:lang w:val="es-GT" w:eastAsia="es-GT"/>
              </w:rPr>
              <w:t> </w:t>
            </w:r>
          </w:p>
        </w:tc>
        <w:tc>
          <w:tcPr>
            <w:tcW w:w="1134" w:type="dxa"/>
            <w:tcBorders>
              <w:top w:val="nil"/>
              <w:left w:val="nil"/>
              <w:bottom w:val="nil"/>
              <w:right w:val="single" w:sz="8" w:space="0" w:color="auto"/>
            </w:tcBorders>
            <w:shd w:val="clear" w:color="000000" w:fill="FFFFFF"/>
            <w:noWrap/>
            <w:vAlign w:val="center"/>
            <w:hideMark/>
          </w:tcPr>
          <w:p w:rsidR="00AD5632" w:rsidRPr="003442B2" w:rsidRDefault="00AD5632" w:rsidP="00BA0B4B">
            <w:pPr>
              <w:rPr>
                <w:b/>
                <w:bCs/>
                <w:color w:val="000000"/>
                <w:sz w:val="16"/>
                <w:szCs w:val="18"/>
                <w:lang w:val="es-GT" w:eastAsia="es-GT"/>
              </w:rPr>
            </w:pPr>
            <w:r w:rsidRPr="003442B2">
              <w:rPr>
                <w:b/>
                <w:bCs/>
                <w:color w:val="000000"/>
                <w:sz w:val="16"/>
                <w:szCs w:val="18"/>
                <w:lang w:val="es-GT" w:eastAsia="es-GT"/>
              </w:rPr>
              <w:t> </w:t>
            </w:r>
          </w:p>
        </w:tc>
      </w:tr>
      <w:tr w:rsidR="00AD5632" w:rsidRPr="003442B2" w:rsidTr="00600EF6">
        <w:trPr>
          <w:trHeight w:val="300"/>
          <w:jc w:val="center"/>
        </w:trPr>
        <w:tc>
          <w:tcPr>
            <w:tcW w:w="4385" w:type="dxa"/>
            <w:tcBorders>
              <w:top w:val="nil"/>
              <w:left w:val="single" w:sz="8" w:space="0" w:color="auto"/>
              <w:bottom w:val="nil"/>
              <w:right w:val="single" w:sz="4" w:space="0" w:color="auto"/>
            </w:tcBorders>
            <w:shd w:val="clear" w:color="000000" w:fill="FFFFFF"/>
            <w:noWrap/>
            <w:vAlign w:val="center"/>
            <w:hideMark/>
          </w:tcPr>
          <w:p w:rsidR="00AD5632" w:rsidRPr="003442B2" w:rsidRDefault="00AD5632" w:rsidP="00BA0B4B">
            <w:pPr>
              <w:ind w:firstLineChars="300" w:firstLine="480"/>
              <w:rPr>
                <w:color w:val="000000"/>
                <w:sz w:val="16"/>
                <w:szCs w:val="18"/>
                <w:lang w:val="es-GT" w:eastAsia="es-GT"/>
              </w:rPr>
            </w:pPr>
            <w:r w:rsidRPr="003442B2">
              <w:rPr>
                <w:color w:val="000000"/>
                <w:sz w:val="16"/>
                <w:szCs w:val="18"/>
                <w:lang w:val="es-GT" w:eastAsia="es-GT"/>
              </w:rPr>
              <w:t>PROTECCIÓN AMBIENTAL</w:t>
            </w:r>
          </w:p>
        </w:tc>
        <w:tc>
          <w:tcPr>
            <w:tcW w:w="1275"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319.9</w:t>
            </w:r>
          </w:p>
        </w:tc>
        <w:tc>
          <w:tcPr>
            <w:tcW w:w="1276"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295.5</w:t>
            </w:r>
          </w:p>
        </w:tc>
        <w:tc>
          <w:tcPr>
            <w:tcW w:w="1276"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24.49</w:t>
            </w:r>
          </w:p>
        </w:tc>
        <w:tc>
          <w:tcPr>
            <w:tcW w:w="1134" w:type="dxa"/>
            <w:tcBorders>
              <w:top w:val="nil"/>
              <w:left w:val="nil"/>
              <w:bottom w:val="nil"/>
              <w:right w:val="single" w:sz="8"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92.3%</w:t>
            </w:r>
          </w:p>
        </w:tc>
      </w:tr>
      <w:tr w:rsidR="00AD5632" w:rsidRPr="003442B2" w:rsidTr="00600EF6">
        <w:trPr>
          <w:trHeight w:val="300"/>
          <w:jc w:val="center"/>
        </w:trPr>
        <w:tc>
          <w:tcPr>
            <w:tcW w:w="4385" w:type="dxa"/>
            <w:tcBorders>
              <w:top w:val="nil"/>
              <w:left w:val="single" w:sz="8" w:space="0" w:color="auto"/>
              <w:bottom w:val="nil"/>
              <w:right w:val="single" w:sz="4" w:space="0" w:color="auto"/>
            </w:tcBorders>
            <w:shd w:val="clear" w:color="000000" w:fill="FFFFFF"/>
            <w:noWrap/>
            <w:vAlign w:val="center"/>
            <w:hideMark/>
          </w:tcPr>
          <w:p w:rsidR="00AD5632" w:rsidRPr="003442B2" w:rsidRDefault="00AD5632" w:rsidP="00BA0B4B">
            <w:pPr>
              <w:ind w:firstLineChars="300" w:firstLine="480"/>
              <w:rPr>
                <w:color w:val="000000"/>
                <w:sz w:val="16"/>
                <w:szCs w:val="18"/>
                <w:lang w:val="es-GT" w:eastAsia="es-GT"/>
              </w:rPr>
            </w:pPr>
            <w:r w:rsidRPr="003442B2">
              <w:rPr>
                <w:color w:val="000000"/>
                <w:sz w:val="16"/>
                <w:szCs w:val="18"/>
                <w:lang w:val="es-GT" w:eastAsia="es-GT"/>
              </w:rPr>
              <w:t xml:space="preserve">INCENTIVOS FORESTALES </w:t>
            </w:r>
            <w:r>
              <w:rPr>
                <w:color w:val="000000"/>
                <w:sz w:val="16"/>
                <w:szCs w:val="18"/>
                <w:lang w:val="es-GT" w:eastAsia="es-GT"/>
              </w:rPr>
              <w:t>(</w:t>
            </w:r>
            <w:r w:rsidRPr="003442B2">
              <w:rPr>
                <w:color w:val="000000"/>
                <w:sz w:val="16"/>
                <w:szCs w:val="18"/>
                <w:lang w:val="es-GT" w:eastAsia="es-GT"/>
              </w:rPr>
              <w:t>PINPEP</w:t>
            </w:r>
            <w:r>
              <w:rPr>
                <w:color w:val="000000"/>
                <w:sz w:val="16"/>
                <w:szCs w:val="18"/>
                <w:lang w:val="es-GT" w:eastAsia="es-GT"/>
              </w:rPr>
              <w:t>)</w:t>
            </w:r>
          </w:p>
        </w:tc>
        <w:tc>
          <w:tcPr>
            <w:tcW w:w="1275"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359.1</w:t>
            </w:r>
          </w:p>
        </w:tc>
        <w:tc>
          <w:tcPr>
            <w:tcW w:w="1276"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330.8</w:t>
            </w:r>
          </w:p>
        </w:tc>
        <w:tc>
          <w:tcPr>
            <w:tcW w:w="1276" w:type="dxa"/>
            <w:tcBorders>
              <w:top w:val="nil"/>
              <w:left w:val="nil"/>
              <w:bottom w:val="nil"/>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28.35</w:t>
            </w:r>
          </w:p>
        </w:tc>
        <w:tc>
          <w:tcPr>
            <w:tcW w:w="1134" w:type="dxa"/>
            <w:tcBorders>
              <w:top w:val="nil"/>
              <w:left w:val="nil"/>
              <w:bottom w:val="nil"/>
              <w:right w:val="single" w:sz="8"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92.1%</w:t>
            </w:r>
          </w:p>
        </w:tc>
      </w:tr>
      <w:tr w:rsidR="00AD5632" w:rsidRPr="003442B2" w:rsidTr="00600EF6">
        <w:trPr>
          <w:trHeight w:val="315"/>
          <w:jc w:val="center"/>
        </w:trPr>
        <w:tc>
          <w:tcPr>
            <w:tcW w:w="4385" w:type="dxa"/>
            <w:tcBorders>
              <w:top w:val="nil"/>
              <w:left w:val="single" w:sz="8" w:space="0" w:color="auto"/>
              <w:bottom w:val="single" w:sz="8" w:space="0" w:color="auto"/>
              <w:right w:val="single" w:sz="4" w:space="0" w:color="auto"/>
            </w:tcBorders>
            <w:shd w:val="clear" w:color="000000" w:fill="FFFFFF"/>
            <w:noWrap/>
            <w:vAlign w:val="center"/>
            <w:hideMark/>
          </w:tcPr>
          <w:p w:rsidR="00AD5632" w:rsidRPr="003442B2" w:rsidRDefault="00AD5632" w:rsidP="00BA0B4B">
            <w:pPr>
              <w:ind w:firstLineChars="300" w:firstLine="480"/>
              <w:rPr>
                <w:color w:val="000000"/>
                <w:sz w:val="16"/>
                <w:szCs w:val="18"/>
                <w:lang w:val="es-GT" w:eastAsia="es-GT"/>
              </w:rPr>
            </w:pPr>
            <w:r w:rsidRPr="003442B2">
              <w:rPr>
                <w:color w:val="000000"/>
                <w:sz w:val="16"/>
                <w:szCs w:val="18"/>
                <w:lang w:val="es-GT" w:eastAsia="es-GT"/>
              </w:rPr>
              <w:t>OTRAS OBLIGACIONES DEL ESTADO</w:t>
            </w:r>
          </w:p>
        </w:tc>
        <w:tc>
          <w:tcPr>
            <w:tcW w:w="1275" w:type="dxa"/>
            <w:tcBorders>
              <w:top w:val="nil"/>
              <w:left w:val="single" w:sz="4" w:space="0" w:color="auto"/>
              <w:bottom w:val="single" w:sz="8" w:space="0" w:color="auto"/>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106.0</w:t>
            </w:r>
          </w:p>
        </w:tc>
        <w:tc>
          <w:tcPr>
            <w:tcW w:w="1276" w:type="dxa"/>
            <w:tcBorders>
              <w:top w:val="nil"/>
              <w:left w:val="nil"/>
              <w:bottom w:val="single" w:sz="8" w:space="0" w:color="auto"/>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350.5</w:t>
            </w:r>
          </w:p>
        </w:tc>
        <w:tc>
          <w:tcPr>
            <w:tcW w:w="1276" w:type="dxa"/>
            <w:tcBorders>
              <w:top w:val="nil"/>
              <w:left w:val="nil"/>
              <w:bottom w:val="single" w:sz="8" w:space="0" w:color="auto"/>
              <w:right w:val="single" w:sz="4"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-244.52</w:t>
            </w:r>
          </w:p>
        </w:tc>
        <w:tc>
          <w:tcPr>
            <w:tcW w:w="1134" w:type="dxa"/>
            <w:tcBorders>
              <w:top w:val="nil"/>
              <w:left w:val="nil"/>
              <w:bottom w:val="single" w:sz="8" w:space="0" w:color="auto"/>
              <w:right w:val="single" w:sz="8" w:space="0" w:color="auto"/>
            </w:tcBorders>
            <w:shd w:val="clear" w:color="000000" w:fill="FFFFFF"/>
            <w:noWrap/>
            <w:vAlign w:val="center"/>
            <w:hideMark/>
          </w:tcPr>
          <w:p w:rsidR="00AD5632" w:rsidRPr="003442B2" w:rsidRDefault="00AD5632" w:rsidP="00BA0B4B">
            <w:pPr>
              <w:jc w:val="right"/>
              <w:rPr>
                <w:color w:val="000000"/>
                <w:sz w:val="16"/>
                <w:szCs w:val="18"/>
                <w:lang w:val="es-GT" w:eastAsia="es-GT"/>
              </w:rPr>
            </w:pPr>
            <w:r w:rsidRPr="003442B2">
              <w:rPr>
                <w:color w:val="000000"/>
                <w:sz w:val="16"/>
                <w:szCs w:val="18"/>
                <w:lang w:val="es-GT" w:eastAsia="es-GT"/>
              </w:rPr>
              <w:t>330.7%</w:t>
            </w:r>
          </w:p>
        </w:tc>
      </w:tr>
    </w:tbl>
    <w:p w:rsidR="00AD5632" w:rsidRPr="004E678D" w:rsidRDefault="006D0047" w:rsidP="006D0047">
      <w:pPr>
        <w:jc w:val="both"/>
        <w:rPr>
          <w:sz w:val="18"/>
        </w:rPr>
      </w:pPr>
      <w:r>
        <w:rPr>
          <w:sz w:val="18"/>
        </w:rPr>
        <w:t xml:space="preserve"> </w:t>
      </w:r>
      <w:r w:rsidR="00AD5632" w:rsidRPr="004E678D">
        <w:rPr>
          <w:sz w:val="18"/>
        </w:rPr>
        <w:t>Fuente: Ministerio de Finanzas Públicas</w:t>
      </w:r>
      <w:r w:rsidR="00AD5632">
        <w:rPr>
          <w:sz w:val="18"/>
        </w:rPr>
        <w:t>.</w:t>
      </w:r>
    </w:p>
    <w:p w:rsidR="00AD5632" w:rsidRPr="00D108FD" w:rsidRDefault="00AD5632" w:rsidP="00AD5632">
      <w:pPr>
        <w:jc w:val="both"/>
      </w:pPr>
    </w:p>
    <w:p w:rsidR="00AD5632" w:rsidRDefault="00AD5632" w:rsidP="00AD5632">
      <w:pPr>
        <w:rPr>
          <w:b/>
        </w:rPr>
      </w:pPr>
    </w:p>
    <w:p w:rsidR="00AD5632" w:rsidRDefault="00AD5632" w:rsidP="00AD5632">
      <w:pPr>
        <w:jc w:val="center"/>
        <w:rPr>
          <w:b/>
        </w:rPr>
      </w:pPr>
    </w:p>
    <w:p w:rsidR="00AD5632" w:rsidRDefault="00AD5632" w:rsidP="00AD5632">
      <w:pPr>
        <w:jc w:val="center"/>
        <w:rPr>
          <w:b/>
        </w:rPr>
      </w:pPr>
    </w:p>
    <w:p w:rsidR="00AD5632" w:rsidRDefault="00AD5632" w:rsidP="00AD5632">
      <w:pPr>
        <w:jc w:val="center"/>
        <w:rPr>
          <w:b/>
        </w:rPr>
      </w:pPr>
    </w:p>
    <w:sectPr w:rsidR="00AD5632" w:rsidSect="00027A1A">
      <w:headerReference w:type="default" r:id="rId71"/>
      <w:footerReference w:type="default" r:id="rId72"/>
      <w:pgSz w:w="12240" w:h="15840"/>
      <w:pgMar w:top="1417" w:right="1183"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63A20" w:rsidRDefault="00863A20" w:rsidP="000E01E0">
      <w:r>
        <w:separator/>
      </w:r>
    </w:p>
  </w:endnote>
  <w:endnote w:type="continuationSeparator" w:id="0">
    <w:p w:rsidR="00863A20" w:rsidRDefault="00863A20" w:rsidP="000E01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elix Titling">
    <w:panose1 w:val="04060505060202020A04"/>
    <w:charset w:val="00"/>
    <w:family w:val="decorative"/>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9361723"/>
      <w:docPartObj>
        <w:docPartGallery w:val="Page Numbers (Bottom of Page)"/>
        <w:docPartUnique/>
      </w:docPartObj>
    </w:sdtPr>
    <w:sdtContent>
      <w:p w:rsidR="00A11D3B" w:rsidRDefault="00A11D3B">
        <w:pPr>
          <w:pStyle w:val="Piedepgina"/>
          <w:jc w:val="right"/>
        </w:pPr>
        <w:r>
          <w:fldChar w:fldCharType="begin"/>
        </w:r>
        <w:r>
          <w:instrText>PAGE   \* MERGEFORMAT</w:instrText>
        </w:r>
        <w:r>
          <w:fldChar w:fldCharType="separate"/>
        </w:r>
        <w:r>
          <w:rPr>
            <w:noProof/>
          </w:rPr>
          <w:t>81</w:t>
        </w:r>
        <w:r>
          <w:fldChar w:fldCharType="end"/>
        </w:r>
      </w:p>
    </w:sdtContent>
  </w:sdt>
  <w:p w:rsidR="00A11D3B" w:rsidRDefault="00A11D3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63A20" w:rsidRDefault="00863A20" w:rsidP="000E01E0">
      <w:r>
        <w:separator/>
      </w:r>
    </w:p>
  </w:footnote>
  <w:footnote w:type="continuationSeparator" w:id="0">
    <w:p w:rsidR="00863A20" w:rsidRDefault="00863A20" w:rsidP="000E01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ajorHAnsi" w:eastAsiaTheme="majorEastAsia" w:hAnsiTheme="majorHAnsi" w:cstheme="majorBidi"/>
        <w:sz w:val="32"/>
        <w:szCs w:val="32"/>
      </w:rPr>
      <w:alias w:val="Título"/>
      <w:id w:val="1442269643"/>
      <w:dataBinding w:prefixMappings="xmlns:ns0='http://schemas.openxmlformats.org/package/2006/metadata/core-properties' xmlns:ns1='http://purl.org/dc/elements/1.1/'" w:xpath="/ns0:coreProperties[1]/ns1:title[1]" w:storeItemID="{6C3C8BC8-F283-45AE-878A-BAB7291924A1}"/>
      <w:text/>
    </w:sdtPr>
    <w:sdtContent>
      <w:p w:rsidR="00A11D3B" w:rsidRDefault="00A11D3B">
        <w:pPr>
          <w:pStyle w:val="Encabezado"/>
          <w:pBdr>
            <w:bottom w:val="thickThinSmallGap" w:sz="24" w:space="1" w:color="585858"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lang w:val="es-MX"/>
          </w:rPr>
          <w:t>Informe de Fin de Año</w:t>
        </w:r>
        <w:r>
          <w:rPr>
            <w:rFonts w:asciiTheme="majorHAnsi" w:eastAsiaTheme="majorEastAsia" w:hAnsiTheme="majorHAnsi" w:cstheme="majorBidi"/>
            <w:sz w:val="32"/>
            <w:szCs w:val="32"/>
            <w:lang w:val="es-GT"/>
          </w:rPr>
          <w:t xml:space="preserve"> al 31 de diciembre de 2021</w:t>
        </w:r>
      </w:p>
    </w:sdtContent>
  </w:sdt>
  <w:p w:rsidR="00A11D3B" w:rsidRDefault="00A11D3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49968E8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00001A"/>
    <w:multiLevelType w:val="singleLevel"/>
    <w:tmpl w:val="0000001A"/>
    <w:name w:val="WW8Num26"/>
    <w:lvl w:ilvl="0">
      <w:start w:val="1"/>
      <w:numFmt w:val="decimal"/>
      <w:lvlText w:val="%1."/>
      <w:lvlJc w:val="left"/>
      <w:pPr>
        <w:tabs>
          <w:tab w:val="num" w:pos="0"/>
        </w:tabs>
        <w:ind w:left="720" w:hanging="360"/>
      </w:pPr>
      <w:rPr>
        <w:b/>
      </w:rPr>
    </w:lvl>
  </w:abstractNum>
  <w:abstractNum w:abstractNumId="2" w15:restartNumberingAfterBreak="0">
    <w:nsid w:val="01F121CE"/>
    <w:multiLevelType w:val="hybridMultilevel"/>
    <w:tmpl w:val="3C7A96BC"/>
    <w:lvl w:ilvl="0" w:tplc="7C567F54">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3" w15:restartNumberingAfterBreak="0">
    <w:nsid w:val="069835AE"/>
    <w:multiLevelType w:val="hybridMultilevel"/>
    <w:tmpl w:val="9E0479E8"/>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101F2AAA"/>
    <w:multiLevelType w:val="hybridMultilevel"/>
    <w:tmpl w:val="63E26C26"/>
    <w:lvl w:ilvl="0" w:tplc="036C9A70">
      <w:start w:val="5"/>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17252480"/>
    <w:multiLevelType w:val="hybridMultilevel"/>
    <w:tmpl w:val="0C3829B2"/>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1D532081"/>
    <w:multiLevelType w:val="hybridMultilevel"/>
    <w:tmpl w:val="5DAA9A3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15:restartNumberingAfterBreak="0">
    <w:nsid w:val="1D894CB1"/>
    <w:multiLevelType w:val="hybridMultilevel"/>
    <w:tmpl w:val="5DF2AA86"/>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2082437F"/>
    <w:multiLevelType w:val="hybridMultilevel"/>
    <w:tmpl w:val="10C4AE48"/>
    <w:lvl w:ilvl="0" w:tplc="A9ACAEBC">
      <w:start w:val="1"/>
      <w:numFmt w:val="decimal"/>
      <w:lvlText w:val="%1."/>
      <w:lvlJc w:val="left"/>
      <w:pPr>
        <w:ind w:left="720" w:hanging="360"/>
      </w:pPr>
      <w:rPr>
        <w:rFonts w:ascii="Times New Roman" w:hAnsi="Times New Roman" w:hint="default"/>
        <w:color w:val="000000" w:themeColor="text1"/>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15:restartNumberingAfterBreak="0">
    <w:nsid w:val="26136608"/>
    <w:multiLevelType w:val="hybridMultilevel"/>
    <w:tmpl w:val="F3EC2A76"/>
    <w:lvl w:ilvl="0" w:tplc="64D49C06">
      <w:start w:val="1"/>
      <w:numFmt w:val="decimal"/>
      <w:lvlText w:val="%1."/>
      <w:lvlJc w:val="left"/>
      <w:pPr>
        <w:ind w:left="720" w:hanging="360"/>
      </w:pPr>
      <w:rPr>
        <w:b/>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26A716D7"/>
    <w:multiLevelType w:val="hybridMultilevel"/>
    <w:tmpl w:val="D79E76F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15:restartNumberingAfterBreak="0">
    <w:nsid w:val="30323BC6"/>
    <w:multiLevelType w:val="hybridMultilevel"/>
    <w:tmpl w:val="917CDEA8"/>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 w15:restartNumberingAfterBreak="0">
    <w:nsid w:val="491279C1"/>
    <w:multiLevelType w:val="hybridMultilevel"/>
    <w:tmpl w:val="1E8C631E"/>
    <w:lvl w:ilvl="0" w:tplc="100A0019">
      <w:start w:val="1"/>
      <w:numFmt w:val="lowerLetter"/>
      <w:lvlText w:val="%1."/>
      <w:lvlJc w:val="left"/>
      <w:pPr>
        <w:ind w:left="144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B5256E6"/>
    <w:multiLevelType w:val="hybridMultilevel"/>
    <w:tmpl w:val="B582D2AA"/>
    <w:lvl w:ilvl="0" w:tplc="100A0001">
      <w:start w:val="1"/>
      <w:numFmt w:val="bullet"/>
      <w:lvlText w:val=""/>
      <w:lvlJc w:val="left"/>
      <w:pPr>
        <w:ind w:left="1485" w:hanging="360"/>
      </w:pPr>
      <w:rPr>
        <w:rFonts w:ascii="Symbol" w:hAnsi="Symbol" w:hint="default"/>
      </w:rPr>
    </w:lvl>
    <w:lvl w:ilvl="1" w:tplc="100A0003" w:tentative="1">
      <w:start w:val="1"/>
      <w:numFmt w:val="bullet"/>
      <w:lvlText w:val="o"/>
      <w:lvlJc w:val="left"/>
      <w:pPr>
        <w:ind w:left="2205" w:hanging="360"/>
      </w:pPr>
      <w:rPr>
        <w:rFonts w:ascii="Courier New" w:hAnsi="Courier New" w:cs="Courier New" w:hint="default"/>
      </w:rPr>
    </w:lvl>
    <w:lvl w:ilvl="2" w:tplc="100A0005" w:tentative="1">
      <w:start w:val="1"/>
      <w:numFmt w:val="bullet"/>
      <w:lvlText w:val=""/>
      <w:lvlJc w:val="left"/>
      <w:pPr>
        <w:ind w:left="2925" w:hanging="360"/>
      </w:pPr>
      <w:rPr>
        <w:rFonts w:ascii="Wingdings" w:hAnsi="Wingdings" w:hint="default"/>
      </w:rPr>
    </w:lvl>
    <w:lvl w:ilvl="3" w:tplc="100A0001" w:tentative="1">
      <w:start w:val="1"/>
      <w:numFmt w:val="bullet"/>
      <w:lvlText w:val=""/>
      <w:lvlJc w:val="left"/>
      <w:pPr>
        <w:ind w:left="3645" w:hanging="360"/>
      </w:pPr>
      <w:rPr>
        <w:rFonts w:ascii="Symbol" w:hAnsi="Symbol" w:hint="default"/>
      </w:rPr>
    </w:lvl>
    <w:lvl w:ilvl="4" w:tplc="100A0003" w:tentative="1">
      <w:start w:val="1"/>
      <w:numFmt w:val="bullet"/>
      <w:lvlText w:val="o"/>
      <w:lvlJc w:val="left"/>
      <w:pPr>
        <w:ind w:left="4365" w:hanging="360"/>
      </w:pPr>
      <w:rPr>
        <w:rFonts w:ascii="Courier New" w:hAnsi="Courier New" w:cs="Courier New" w:hint="default"/>
      </w:rPr>
    </w:lvl>
    <w:lvl w:ilvl="5" w:tplc="100A0005" w:tentative="1">
      <w:start w:val="1"/>
      <w:numFmt w:val="bullet"/>
      <w:lvlText w:val=""/>
      <w:lvlJc w:val="left"/>
      <w:pPr>
        <w:ind w:left="5085" w:hanging="360"/>
      </w:pPr>
      <w:rPr>
        <w:rFonts w:ascii="Wingdings" w:hAnsi="Wingdings" w:hint="default"/>
      </w:rPr>
    </w:lvl>
    <w:lvl w:ilvl="6" w:tplc="100A0001" w:tentative="1">
      <w:start w:val="1"/>
      <w:numFmt w:val="bullet"/>
      <w:lvlText w:val=""/>
      <w:lvlJc w:val="left"/>
      <w:pPr>
        <w:ind w:left="5805" w:hanging="360"/>
      </w:pPr>
      <w:rPr>
        <w:rFonts w:ascii="Symbol" w:hAnsi="Symbol" w:hint="default"/>
      </w:rPr>
    </w:lvl>
    <w:lvl w:ilvl="7" w:tplc="100A0003" w:tentative="1">
      <w:start w:val="1"/>
      <w:numFmt w:val="bullet"/>
      <w:lvlText w:val="o"/>
      <w:lvlJc w:val="left"/>
      <w:pPr>
        <w:ind w:left="6525" w:hanging="360"/>
      </w:pPr>
      <w:rPr>
        <w:rFonts w:ascii="Courier New" w:hAnsi="Courier New" w:cs="Courier New" w:hint="default"/>
      </w:rPr>
    </w:lvl>
    <w:lvl w:ilvl="8" w:tplc="100A0005" w:tentative="1">
      <w:start w:val="1"/>
      <w:numFmt w:val="bullet"/>
      <w:lvlText w:val=""/>
      <w:lvlJc w:val="left"/>
      <w:pPr>
        <w:ind w:left="7245" w:hanging="360"/>
      </w:pPr>
      <w:rPr>
        <w:rFonts w:ascii="Wingdings" w:hAnsi="Wingdings" w:hint="default"/>
      </w:rPr>
    </w:lvl>
  </w:abstractNum>
  <w:abstractNum w:abstractNumId="14" w15:restartNumberingAfterBreak="0">
    <w:nsid w:val="63394AB9"/>
    <w:multiLevelType w:val="multilevel"/>
    <w:tmpl w:val="9A3093B6"/>
    <w:lvl w:ilvl="0">
      <w:start w:val="1"/>
      <w:numFmt w:val="upperRoman"/>
      <w:pStyle w:val="Ttulo1"/>
      <w:lvlText w:val="%1."/>
      <w:lvlJc w:val="left"/>
      <w:pPr>
        <w:tabs>
          <w:tab w:val="num" w:pos="0"/>
        </w:tabs>
        <w:ind w:left="432" w:hanging="432"/>
      </w:pPr>
      <w:rPr>
        <w:rFonts w:hint="default"/>
      </w:rPr>
    </w:lvl>
    <w:lvl w:ilvl="1">
      <w:start w:val="1"/>
      <w:numFmt w:val="upperLetter"/>
      <w:pStyle w:val="Ttulo2"/>
      <w:lvlText w:val="%2."/>
      <w:lvlJc w:val="left"/>
      <w:pPr>
        <w:tabs>
          <w:tab w:val="num" w:pos="0"/>
        </w:tabs>
        <w:ind w:left="576" w:hanging="576"/>
      </w:pPr>
      <w:rPr>
        <w:rFonts w:ascii="Times New Roman" w:hAnsi="Times New Roman" w:cs="Times New Roman" w:hint="default"/>
        <w:b/>
        <w:i w:val="0"/>
        <w:color w:val="auto"/>
      </w:rPr>
    </w:lvl>
    <w:lvl w:ilvl="2">
      <w:start w:val="1"/>
      <w:numFmt w:val="decimal"/>
      <w:pStyle w:val="Ttulo3"/>
      <w:lvlText w:val="%1.%2.%3"/>
      <w:lvlJc w:val="left"/>
      <w:pPr>
        <w:tabs>
          <w:tab w:val="num" w:pos="0"/>
        </w:tabs>
        <w:ind w:left="720" w:hanging="720"/>
      </w:pPr>
      <w:rPr>
        <w:rFonts w:hint="default"/>
      </w:rPr>
    </w:lvl>
    <w:lvl w:ilvl="3">
      <w:start w:val="1"/>
      <w:numFmt w:val="decimal"/>
      <w:pStyle w:val="Ttulo4"/>
      <w:lvlText w:val="%1.%2.%3.%4"/>
      <w:lvlJc w:val="left"/>
      <w:pPr>
        <w:tabs>
          <w:tab w:val="num" w:pos="0"/>
        </w:tabs>
        <w:ind w:left="864" w:hanging="864"/>
      </w:pPr>
      <w:rPr>
        <w:rFonts w:hint="default"/>
      </w:rPr>
    </w:lvl>
    <w:lvl w:ilvl="4">
      <w:start w:val="1"/>
      <w:numFmt w:val="decimal"/>
      <w:pStyle w:val="Ttulo5"/>
      <w:lvlText w:val="%1.%2.%3.%4.%5"/>
      <w:lvlJc w:val="left"/>
      <w:pPr>
        <w:tabs>
          <w:tab w:val="num" w:pos="0"/>
        </w:tabs>
        <w:ind w:left="1008" w:hanging="1008"/>
      </w:pPr>
      <w:rPr>
        <w:rFonts w:hint="default"/>
      </w:rPr>
    </w:lvl>
    <w:lvl w:ilvl="5">
      <w:start w:val="1"/>
      <w:numFmt w:val="decimal"/>
      <w:pStyle w:val="Ttulo6"/>
      <w:lvlText w:val="%1.%2.%3.%4.%5.%6"/>
      <w:lvlJc w:val="left"/>
      <w:pPr>
        <w:tabs>
          <w:tab w:val="num" w:pos="0"/>
        </w:tabs>
        <w:ind w:left="1152" w:hanging="1152"/>
      </w:pPr>
      <w:rPr>
        <w:rFonts w:hint="default"/>
      </w:rPr>
    </w:lvl>
    <w:lvl w:ilvl="6">
      <w:start w:val="1"/>
      <w:numFmt w:val="decimal"/>
      <w:pStyle w:val="Ttulo7"/>
      <w:lvlText w:val="%1.%2.%3.%4.%5.%6.%7"/>
      <w:lvlJc w:val="left"/>
      <w:pPr>
        <w:tabs>
          <w:tab w:val="num" w:pos="0"/>
        </w:tabs>
        <w:ind w:left="1296" w:hanging="1296"/>
      </w:pPr>
      <w:rPr>
        <w:rFonts w:hint="default"/>
      </w:rPr>
    </w:lvl>
    <w:lvl w:ilvl="7">
      <w:start w:val="1"/>
      <w:numFmt w:val="decimal"/>
      <w:pStyle w:val="Ttulo8"/>
      <w:lvlText w:val="%1.%2.%3.%4.%5.%6.%7.%8"/>
      <w:lvlJc w:val="left"/>
      <w:pPr>
        <w:tabs>
          <w:tab w:val="num" w:pos="0"/>
        </w:tabs>
        <w:ind w:left="1440" w:hanging="1440"/>
      </w:pPr>
      <w:rPr>
        <w:rFonts w:hint="default"/>
      </w:rPr>
    </w:lvl>
    <w:lvl w:ilvl="8">
      <w:start w:val="1"/>
      <w:numFmt w:val="decimal"/>
      <w:pStyle w:val="Ttulo9"/>
      <w:lvlText w:val="%1.%2.%3.%4.%5.%6.%7.%8.%9"/>
      <w:lvlJc w:val="left"/>
      <w:pPr>
        <w:tabs>
          <w:tab w:val="num" w:pos="0"/>
        </w:tabs>
        <w:ind w:left="1584" w:hanging="1584"/>
      </w:pPr>
      <w:rPr>
        <w:rFonts w:hint="default"/>
      </w:rPr>
    </w:lvl>
  </w:abstractNum>
  <w:abstractNum w:abstractNumId="15" w15:restartNumberingAfterBreak="0">
    <w:nsid w:val="64677D39"/>
    <w:multiLevelType w:val="hybridMultilevel"/>
    <w:tmpl w:val="91A292A2"/>
    <w:lvl w:ilvl="0" w:tplc="734499C8">
      <w:start w:val="1"/>
      <w:numFmt w:val="upperRoman"/>
      <w:lvlText w:val="%1."/>
      <w:lvlJc w:val="left"/>
      <w:pPr>
        <w:ind w:left="765" w:hanging="720"/>
      </w:pPr>
      <w:rPr>
        <w:rFonts w:hint="default"/>
      </w:r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15:restartNumberingAfterBreak="0">
    <w:nsid w:val="65084258"/>
    <w:multiLevelType w:val="hybridMultilevel"/>
    <w:tmpl w:val="18C6CA22"/>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15:restartNumberingAfterBreak="0">
    <w:nsid w:val="66D831D0"/>
    <w:multiLevelType w:val="hybridMultilevel"/>
    <w:tmpl w:val="1E8C631E"/>
    <w:lvl w:ilvl="0" w:tplc="100A0019">
      <w:start w:val="1"/>
      <w:numFmt w:val="lowerLetter"/>
      <w:lvlText w:val="%1."/>
      <w:lvlJc w:val="left"/>
      <w:pPr>
        <w:ind w:left="144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0C3446F"/>
    <w:multiLevelType w:val="hybridMultilevel"/>
    <w:tmpl w:val="C38088CC"/>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15:restartNumberingAfterBreak="0">
    <w:nsid w:val="72F04162"/>
    <w:multiLevelType w:val="hybridMultilevel"/>
    <w:tmpl w:val="15AE0BD4"/>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 w15:restartNumberingAfterBreak="0">
    <w:nsid w:val="73793373"/>
    <w:multiLevelType w:val="hybridMultilevel"/>
    <w:tmpl w:val="C84CB78C"/>
    <w:lvl w:ilvl="0" w:tplc="100A0015">
      <w:start w:val="1"/>
      <w:numFmt w:val="upperLetter"/>
      <w:lvlText w:val="%1."/>
      <w:lvlJc w:val="left"/>
      <w:pPr>
        <w:ind w:left="4755" w:hanging="360"/>
      </w:pPr>
      <w:rPr>
        <w:rFonts w:hint="default"/>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14"/>
  </w:num>
  <w:num w:numId="2">
    <w:abstractNumId w:val="2"/>
  </w:num>
  <w:num w:numId="3">
    <w:abstractNumId w:val="20"/>
  </w:num>
  <w:num w:numId="4">
    <w:abstractNumId w:val="18"/>
  </w:num>
  <w:num w:numId="5">
    <w:abstractNumId w:val="3"/>
  </w:num>
  <w:num w:numId="6">
    <w:abstractNumId w:val="8"/>
  </w:num>
  <w:num w:numId="7">
    <w:abstractNumId w:val="10"/>
  </w:num>
  <w:num w:numId="8">
    <w:abstractNumId w:val="15"/>
  </w:num>
  <w:num w:numId="9">
    <w:abstractNumId w:val="13"/>
  </w:num>
  <w:num w:numId="10">
    <w:abstractNumId w:val="12"/>
  </w:num>
  <w:num w:numId="11">
    <w:abstractNumId w:val="17"/>
  </w:num>
  <w:num w:numId="12">
    <w:abstractNumId w:val="0"/>
  </w:num>
  <w:num w:numId="13">
    <w:abstractNumId w:val="5"/>
  </w:num>
  <w:num w:numId="14">
    <w:abstractNumId w:val="11"/>
  </w:num>
  <w:num w:numId="15">
    <w:abstractNumId w:val="16"/>
  </w:num>
  <w:num w:numId="16">
    <w:abstractNumId w:val="19"/>
  </w:num>
  <w:num w:numId="17">
    <w:abstractNumId w:val="4"/>
  </w:num>
  <w:num w:numId="18">
    <w:abstractNumId w:val="14"/>
  </w:num>
  <w:num w:numId="19">
    <w:abstractNumId w:val="14"/>
  </w:num>
  <w:num w:numId="20">
    <w:abstractNumId w:val="14"/>
  </w:num>
  <w:num w:numId="21">
    <w:abstractNumId w:val="14"/>
  </w:num>
  <w:num w:numId="22">
    <w:abstractNumId w:val="14"/>
  </w:num>
  <w:num w:numId="23">
    <w:abstractNumId w:val="14"/>
  </w:num>
  <w:num w:numId="24">
    <w:abstractNumId w:val="14"/>
  </w:num>
  <w:num w:numId="25">
    <w:abstractNumId w:val="14"/>
  </w:num>
  <w:num w:numId="26">
    <w:abstractNumId w:val="6"/>
  </w:num>
  <w:num w:numId="27">
    <w:abstractNumId w:val="14"/>
  </w:num>
  <w:num w:numId="28">
    <w:abstractNumId w:val="14"/>
  </w:num>
  <w:num w:numId="29">
    <w:abstractNumId w:val="14"/>
  </w:num>
  <w:num w:numId="30">
    <w:abstractNumId w:val="14"/>
  </w:num>
  <w:num w:numId="31">
    <w:abstractNumId w:val="14"/>
  </w:num>
  <w:num w:numId="32">
    <w:abstractNumId w:val="14"/>
  </w:num>
  <w:num w:numId="33">
    <w:abstractNumId w:val="14"/>
  </w:num>
  <w:num w:numId="34">
    <w:abstractNumId w:val="14"/>
  </w:num>
  <w:num w:numId="35">
    <w:abstractNumId w:val="14"/>
  </w:num>
  <w:num w:numId="36">
    <w:abstractNumId w:val="14"/>
  </w:num>
  <w:num w:numId="37">
    <w:abstractNumId w:val="14"/>
  </w:num>
  <w:num w:numId="38">
    <w:abstractNumId w:val="14"/>
  </w:num>
  <w:num w:numId="39">
    <w:abstractNumId w:val="14"/>
  </w:num>
  <w:num w:numId="40">
    <w:abstractNumId w:val="7"/>
  </w:num>
  <w:num w:numId="41">
    <w:abstractNumId w:val="14"/>
  </w:num>
  <w:num w:numId="42">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28F6"/>
    <w:rsid w:val="00000271"/>
    <w:rsid w:val="0000188F"/>
    <w:rsid w:val="00001941"/>
    <w:rsid w:val="00001FCE"/>
    <w:rsid w:val="000026A6"/>
    <w:rsid w:val="00002C71"/>
    <w:rsid w:val="00002F20"/>
    <w:rsid w:val="000057F8"/>
    <w:rsid w:val="00006BC5"/>
    <w:rsid w:val="00006C7E"/>
    <w:rsid w:val="00006DD0"/>
    <w:rsid w:val="00006E08"/>
    <w:rsid w:val="00006FBB"/>
    <w:rsid w:val="0000712C"/>
    <w:rsid w:val="00007971"/>
    <w:rsid w:val="00007CE2"/>
    <w:rsid w:val="00011502"/>
    <w:rsid w:val="00011C9C"/>
    <w:rsid w:val="00013358"/>
    <w:rsid w:val="000137FB"/>
    <w:rsid w:val="00013E0C"/>
    <w:rsid w:val="000143C2"/>
    <w:rsid w:val="00015627"/>
    <w:rsid w:val="000166C1"/>
    <w:rsid w:val="00017B3B"/>
    <w:rsid w:val="00017B82"/>
    <w:rsid w:val="000205D6"/>
    <w:rsid w:val="00020C88"/>
    <w:rsid w:val="00020DD6"/>
    <w:rsid w:val="000214EB"/>
    <w:rsid w:val="00021DF4"/>
    <w:rsid w:val="00022538"/>
    <w:rsid w:val="00023E5B"/>
    <w:rsid w:val="000249ED"/>
    <w:rsid w:val="00025229"/>
    <w:rsid w:val="00025284"/>
    <w:rsid w:val="0002587B"/>
    <w:rsid w:val="00025E2C"/>
    <w:rsid w:val="0002656E"/>
    <w:rsid w:val="000270F6"/>
    <w:rsid w:val="000277A1"/>
    <w:rsid w:val="00027A1A"/>
    <w:rsid w:val="0003099A"/>
    <w:rsid w:val="00030AE6"/>
    <w:rsid w:val="00031261"/>
    <w:rsid w:val="00032094"/>
    <w:rsid w:val="0003319E"/>
    <w:rsid w:val="00033469"/>
    <w:rsid w:val="000335A6"/>
    <w:rsid w:val="000339BE"/>
    <w:rsid w:val="0003446C"/>
    <w:rsid w:val="00034A57"/>
    <w:rsid w:val="0003552B"/>
    <w:rsid w:val="000356E9"/>
    <w:rsid w:val="00036623"/>
    <w:rsid w:val="00037093"/>
    <w:rsid w:val="0003764E"/>
    <w:rsid w:val="00040BDD"/>
    <w:rsid w:val="00040E5B"/>
    <w:rsid w:val="00041492"/>
    <w:rsid w:val="000417AF"/>
    <w:rsid w:val="000462D9"/>
    <w:rsid w:val="000463B8"/>
    <w:rsid w:val="00046731"/>
    <w:rsid w:val="00047128"/>
    <w:rsid w:val="0005000D"/>
    <w:rsid w:val="00050464"/>
    <w:rsid w:val="00050A01"/>
    <w:rsid w:val="00050D2F"/>
    <w:rsid w:val="000514DA"/>
    <w:rsid w:val="000520A7"/>
    <w:rsid w:val="00052373"/>
    <w:rsid w:val="00052BF0"/>
    <w:rsid w:val="00053842"/>
    <w:rsid w:val="00053D26"/>
    <w:rsid w:val="000548B6"/>
    <w:rsid w:val="00054C08"/>
    <w:rsid w:val="00054D29"/>
    <w:rsid w:val="0005699A"/>
    <w:rsid w:val="00057F62"/>
    <w:rsid w:val="00060431"/>
    <w:rsid w:val="000611CA"/>
    <w:rsid w:val="000618FE"/>
    <w:rsid w:val="00062367"/>
    <w:rsid w:val="00065510"/>
    <w:rsid w:val="00065527"/>
    <w:rsid w:val="00065D4A"/>
    <w:rsid w:val="00065E12"/>
    <w:rsid w:val="00066682"/>
    <w:rsid w:val="00066921"/>
    <w:rsid w:val="00067496"/>
    <w:rsid w:val="00067C62"/>
    <w:rsid w:val="00071A03"/>
    <w:rsid w:val="00072145"/>
    <w:rsid w:val="00072B03"/>
    <w:rsid w:val="00072F75"/>
    <w:rsid w:val="00073C9A"/>
    <w:rsid w:val="00074713"/>
    <w:rsid w:val="00075770"/>
    <w:rsid w:val="000763E5"/>
    <w:rsid w:val="000771C4"/>
    <w:rsid w:val="000775C1"/>
    <w:rsid w:val="00080461"/>
    <w:rsid w:val="00080562"/>
    <w:rsid w:val="00080C7D"/>
    <w:rsid w:val="00080D50"/>
    <w:rsid w:val="000817A9"/>
    <w:rsid w:val="00081B1C"/>
    <w:rsid w:val="00082035"/>
    <w:rsid w:val="000830DF"/>
    <w:rsid w:val="00084505"/>
    <w:rsid w:val="0008463A"/>
    <w:rsid w:val="00084D8F"/>
    <w:rsid w:val="00085734"/>
    <w:rsid w:val="00085B6E"/>
    <w:rsid w:val="00085EBA"/>
    <w:rsid w:val="00085F77"/>
    <w:rsid w:val="00087505"/>
    <w:rsid w:val="0008753F"/>
    <w:rsid w:val="00087634"/>
    <w:rsid w:val="00087866"/>
    <w:rsid w:val="00087D08"/>
    <w:rsid w:val="000912DD"/>
    <w:rsid w:val="00091DAD"/>
    <w:rsid w:val="0009220D"/>
    <w:rsid w:val="00092468"/>
    <w:rsid w:val="00092A19"/>
    <w:rsid w:val="00093790"/>
    <w:rsid w:val="00095078"/>
    <w:rsid w:val="00095237"/>
    <w:rsid w:val="000956A5"/>
    <w:rsid w:val="000967ED"/>
    <w:rsid w:val="000970AD"/>
    <w:rsid w:val="000A01E7"/>
    <w:rsid w:val="000A0AA2"/>
    <w:rsid w:val="000A15FF"/>
    <w:rsid w:val="000A2FB2"/>
    <w:rsid w:val="000A36B5"/>
    <w:rsid w:val="000A3C20"/>
    <w:rsid w:val="000A4D61"/>
    <w:rsid w:val="000A4F25"/>
    <w:rsid w:val="000A54A7"/>
    <w:rsid w:val="000A698B"/>
    <w:rsid w:val="000A71A1"/>
    <w:rsid w:val="000A77DC"/>
    <w:rsid w:val="000B006C"/>
    <w:rsid w:val="000B0E01"/>
    <w:rsid w:val="000B2527"/>
    <w:rsid w:val="000B2A4C"/>
    <w:rsid w:val="000B3701"/>
    <w:rsid w:val="000B4F22"/>
    <w:rsid w:val="000B5414"/>
    <w:rsid w:val="000B5888"/>
    <w:rsid w:val="000B60B9"/>
    <w:rsid w:val="000B62C6"/>
    <w:rsid w:val="000B7AA2"/>
    <w:rsid w:val="000C0344"/>
    <w:rsid w:val="000C075F"/>
    <w:rsid w:val="000C0DC4"/>
    <w:rsid w:val="000C0ECD"/>
    <w:rsid w:val="000C11C4"/>
    <w:rsid w:val="000C1A25"/>
    <w:rsid w:val="000C1A68"/>
    <w:rsid w:val="000C279B"/>
    <w:rsid w:val="000C2A92"/>
    <w:rsid w:val="000C36B4"/>
    <w:rsid w:val="000C3C34"/>
    <w:rsid w:val="000C4AD7"/>
    <w:rsid w:val="000C4D67"/>
    <w:rsid w:val="000C53BE"/>
    <w:rsid w:val="000C6E8D"/>
    <w:rsid w:val="000C75FE"/>
    <w:rsid w:val="000D0A1C"/>
    <w:rsid w:val="000D10F4"/>
    <w:rsid w:val="000D3BEF"/>
    <w:rsid w:val="000D3CE8"/>
    <w:rsid w:val="000D4A27"/>
    <w:rsid w:val="000D5D6E"/>
    <w:rsid w:val="000D777E"/>
    <w:rsid w:val="000D786F"/>
    <w:rsid w:val="000D7E66"/>
    <w:rsid w:val="000E01E0"/>
    <w:rsid w:val="000E0C87"/>
    <w:rsid w:val="000E11E5"/>
    <w:rsid w:val="000E1F0E"/>
    <w:rsid w:val="000E1F91"/>
    <w:rsid w:val="000E2D2C"/>
    <w:rsid w:val="000E34DD"/>
    <w:rsid w:val="000E35D4"/>
    <w:rsid w:val="000E43D0"/>
    <w:rsid w:val="000E448D"/>
    <w:rsid w:val="000E4B70"/>
    <w:rsid w:val="000E5570"/>
    <w:rsid w:val="000E7D80"/>
    <w:rsid w:val="000F0CC7"/>
    <w:rsid w:val="000F0F53"/>
    <w:rsid w:val="000F1550"/>
    <w:rsid w:val="000F1D24"/>
    <w:rsid w:val="000F304B"/>
    <w:rsid w:val="000F31D3"/>
    <w:rsid w:val="000F4303"/>
    <w:rsid w:val="000F6870"/>
    <w:rsid w:val="000F771D"/>
    <w:rsid w:val="000F7C84"/>
    <w:rsid w:val="001009A6"/>
    <w:rsid w:val="00100C95"/>
    <w:rsid w:val="00102201"/>
    <w:rsid w:val="00102469"/>
    <w:rsid w:val="0010274A"/>
    <w:rsid w:val="001028BC"/>
    <w:rsid w:val="001032FE"/>
    <w:rsid w:val="001038B1"/>
    <w:rsid w:val="0010443F"/>
    <w:rsid w:val="001060A5"/>
    <w:rsid w:val="00107E6D"/>
    <w:rsid w:val="001106C1"/>
    <w:rsid w:val="00111011"/>
    <w:rsid w:val="00111E81"/>
    <w:rsid w:val="0011363F"/>
    <w:rsid w:val="0011402D"/>
    <w:rsid w:val="0011418E"/>
    <w:rsid w:val="0011469F"/>
    <w:rsid w:val="0011473E"/>
    <w:rsid w:val="0011619F"/>
    <w:rsid w:val="0011651D"/>
    <w:rsid w:val="00116540"/>
    <w:rsid w:val="00117403"/>
    <w:rsid w:val="00117A88"/>
    <w:rsid w:val="00117FC2"/>
    <w:rsid w:val="00121013"/>
    <w:rsid w:val="0012373F"/>
    <w:rsid w:val="00124AD6"/>
    <w:rsid w:val="00124E70"/>
    <w:rsid w:val="00125647"/>
    <w:rsid w:val="00126FB8"/>
    <w:rsid w:val="001279D1"/>
    <w:rsid w:val="00130A5D"/>
    <w:rsid w:val="00130B50"/>
    <w:rsid w:val="00131117"/>
    <w:rsid w:val="00131670"/>
    <w:rsid w:val="00131980"/>
    <w:rsid w:val="00131BC0"/>
    <w:rsid w:val="001339AA"/>
    <w:rsid w:val="00134C27"/>
    <w:rsid w:val="0013520D"/>
    <w:rsid w:val="00135F8A"/>
    <w:rsid w:val="001362CC"/>
    <w:rsid w:val="00136F4B"/>
    <w:rsid w:val="00137073"/>
    <w:rsid w:val="00137470"/>
    <w:rsid w:val="001414D3"/>
    <w:rsid w:val="00141927"/>
    <w:rsid w:val="001422F2"/>
    <w:rsid w:val="00142A1E"/>
    <w:rsid w:val="001432F1"/>
    <w:rsid w:val="0014364E"/>
    <w:rsid w:val="00144479"/>
    <w:rsid w:val="001457E7"/>
    <w:rsid w:val="0014587D"/>
    <w:rsid w:val="00146383"/>
    <w:rsid w:val="00146C7F"/>
    <w:rsid w:val="00147C0F"/>
    <w:rsid w:val="00147D47"/>
    <w:rsid w:val="00150099"/>
    <w:rsid w:val="00150901"/>
    <w:rsid w:val="00152A09"/>
    <w:rsid w:val="00153337"/>
    <w:rsid w:val="001541E7"/>
    <w:rsid w:val="00154855"/>
    <w:rsid w:val="00160059"/>
    <w:rsid w:val="00160835"/>
    <w:rsid w:val="00160A89"/>
    <w:rsid w:val="001611FC"/>
    <w:rsid w:val="00163055"/>
    <w:rsid w:val="00164C3E"/>
    <w:rsid w:val="00164FF3"/>
    <w:rsid w:val="0016665C"/>
    <w:rsid w:val="00166AB2"/>
    <w:rsid w:val="00167967"/>
    <w:rsid w:val="00167975"/>
    <w:rsid w:val="001706A9"/>
    <w:rsid w:val="00170963"/>
    <w:rsid w:val="00170E9E"/>
    <w:rsid w:val="001710F0"/>
    <w:rsid w:val="001715D7"/>
    <w:rsid w:val="00171AA8"/>
    <w:rsid w:val="00171DBC"/>
    <w:rsid w:val="00172283"/>
    <w:rsid w:val="00173649"/>
    <w:rsid w:val="00174075"/>
    <w:rsid w:val="001749CE"/>
    <w:rsid w:val="00174DDC"/>
    <w:rsid w:val="0017542C"/>
    <w:rsid w:val="001756B5"/>
    <w:rsid w:val="00175C23"/>
    <w:rsid w:val="00180854"/>
    <w:rsid w:val="00180A0E"/>
    <w:rsid w:val="00181D3E"/>
    <w:rsid w:val="001857B8"/>
    <w:rsid w:val="001867FE"/>
    <w:rsid w:val="0019039C"/>
    <w:rsid w:val="00190F0E"/>
    <w:rsid w:val="00191216"/>
    <w:rsid w:val="00191950"/>
    <w:rsid w:val="00191AE8"/>
    <w:rsid w:val="00191C70"/>
    <w:rsid w:val="00194D4C"/>
    <w:rsid w:val="00195D8B"/>
    <w:rsid w:val="001960E2"/>
    <w:rsid w:val="001966ED"/>
    <w:rsid w:val="001A0DE9"/>
    <w:rsid w:val="001A137C"/>
    <w:rsid w:val="001A1D42"/>
    <w:rsid w:val="001A254D"/>
    <w:rsid w:val="001A28AD"/>
    <w:rsid w:val="001A29F9"/>
    <w:rsid w:val="001A2D5E"/>
    <w:rsid w:val="001A41CD"/>
    <w:rsid w:val="001A4D17"/>
    <w:rsid w:val="001A50D4"/>
    <w:rsid w:val="001A5C6B"/>
    <w:rsid w:val="001A613A"/>
    <w:rsid w:val="001A7DB7"/>
    <w:rsid w:val="001B07B2"/>
    <w:rsid w:val="001B1806"/>
    <w:rsid w:val="001B2191"/>
    <w:rsid w:val="001B2234"/>
    <w:rsid w:val="001B2E57"/>
    <w:rsid w:val="001B3D8A"/>
    <w:rsid w:val="001B3DDB"/>
    <w:rsid w:val="001B4259"/>
    <w:rsid w:val="001B4C14"/>
    <w:rsid w:val="001B5A69"/>
    <w:rsid w:val="001B656E"/>
    <w:rsid w:val="001B65CE"/>
    <w:rsid w:val="001B69BD"/>
    <w:rsid w:val="001B7DD0"/>
    <w:rsid w:val="001C1168"/>
    <w:rsid w:val="001C1685"/>
    <w:rsid w:val="001C2713"/>
    <w:rsid w:val="001C2DAF"/>
    <w:rsid w:val="001C4C02"/>
    <w:rsid w:val="001C5216"/>
    <w:rsid w:val="001C5775"/>
    <w:rsid w:val="001C6241"/>
    <w:rsid w:val="001C6400"/>
    <w:rsid w:val="001C6FB1"/>
    <w:rsid w:val="001C7CA7"/>
    <w:rsid w:val="001C7CDF"/>
    <w:rsid w:val="001C7D2A"/>
    <w:rsid w:val="001C7DC2"/>
    <w:rsid w:val="001D07B2"/>
    <w:rsid w:val="001D0D64"/>
    <w:rsid w:val="001D2E72"/>
    <w:rsid w:val="001D55E9"/>
    <w:rsid w:val="001D57B1"/>
    <w:rsid w:val="001D5D2B"/>
    <w:rsid w:val="001D69A2"/>
    <w:rsid w:val="001D7553"/>
    <w:rsid w:val="001D785F"/>
    <w:rsid w:val="001E02BB"/>
    <w:rsid w:val="001E12CD"/>
    <w:rsid w:val="001E1E63"/>
    <w:rsid w:val="001E2B73"/>
    <w:rsid w:val="001E2EF8"/>
    <w:rsid w:val="001E3DB7"/>
    <w:rsid w:val="001E6DEE"/>
    <w:rsid w:val="001E6F40"/>
    <w:rsid w:val="001F078C"/>
    <w:rsid w:val="001F0BC8"/>
    <w:rsid w:val="001F0CDD"/>
    <w:rsid w:val="001F13DC"/>
    <w:rsid w:val="001F15A4"/>
    <w:rsid w:val="001F24BD"/>
    <w:rsid w:val="001F2A2B"/>
    <w:rsid w:val="001F36CB"/>
    <w:rsid w:val="001F43C8"/>
    <w:rsid w:val="001F46E5"/>
    <w:rsid w:val="001F5849"/>
    <w:rsid w:val="001F58C5"/>
    <w:rsid w:val="001F74FB"/>
    <w:rsid w:val="00200269"/>
    <w:rsid w:val="00201D05"/>
    <w:rsid w:val="002034A9"/>
    <w:rsid w:val="00203C19"/>
    <w:rsid w:val="00203DB9"/>
    <w:rsid w:val="002041A8"/>
    <w:rsid w:val="00204263"/>
    <w:rsid w:val="002042CC"/>
    <w:rsid w:val="002049D8"/>
    <w:rsid w:val="00204AEC"/>
    <w:rsid w:val="00204CE1"/>
    <w:rsid w:val="00204E00"/>
    <w:rsid w:val="00205BBD"/>
    <w:rsid w:val="00205D69"/>
    <w:rsid w:val="0020645A"/>
    <w:rsid w:val="00206BE7"/>
    <w:rsid w:val="0021028B"/>
    <w:rsid w:val="00211FAE"/>
    <w:rsid w:val="002126FE"/>
    <w:rsid w:val="002139A8"/>
    <w:rsid w:val="00215585"/>
    <w:rsid w:val="00215592"/>
    <w:rsid w:val="00215753"/>
    <w:rsid w:val="00215D20"/>
    <w:rsid w:val="0021606F"/>
    <w:rsid w:val="002163DC"/>
    <w:rsid w:val="0021669B"/>
    <w:rsid w:val="002208BB"/>
    <w:rsid w:val="002213F6"/>
    <w:rsid w:val="002215DA"/>
    <w:rsid w:val="00221D8E"/>
    <w:rsid w:val="00221DC9"/>
    <w:rsid w:val="002220D7"/>
    <w:rsid w:val="002221D0"/>
    <w:rsid w:val="002226C4"/>
    <w:rsid w:val="00222913"/>
    <w:rsid w:val="00222E74"/>
    <w:rsid w:val="002239F6"/>
    <w:rsid w:val="0022647B"/>
    <w:rsid w:val="00227D1F"/>
    <w:rsid w:val="00230D5A"/>
    <w:rsid w:val="0023230B"/>
    <w:rsid w:val="00232498"/>
    <w:rsid w:val="002403F9"/>
    <w:rsid w:val="00241D54"/>
    <w:rsid w:val="0024241F"/>
    <w:rsid w:val="00242CE7"/>
    <w:rsid w:val="00243EA4"/>
    <w:rsid w:val="00244244"/>
    <w:rsid w:val="00244B7A"/>
    <w:rsid w:val="00245361"/>
    <w:rsid w:val="0024575F"/>
    <w:rsid w:val="00245DF7"/>
    <w:rsid w:val="00246614"/>
    <w:rsid w:val="00246B8D"/>
    <w:rsid w:val="00247449"/>
    <w:rsid w:val="00250229"/>
    <w:rsid w:val="002504EA"/>
    <w:rsid w:val="0025088D"/>
    <w:rsid w:val="0025124D"/>
    <w:rsid w:val="00251E1C"/>
    <w:rsid w:val="00252FE7"/>
    <w:rsid w:val="00253236"/>
    <w:rsid w:val="0025344F"/>
    <w:rsid w:val="00253E46"/>
    <w:rsid w:val="00254625"/>
    <w:rsid w:val="00255AF8"/>
    <w:rsid w:val="00255B7C"/>
    <w:rsid w:val="002566CC"/>
    <w:rsid w:val="00256FA8"/>
    <w:rsid w:val="00257A94"/>
    <w:rsid w:val="00260546"/>
    <w:rsid w:val="00260BA4"/>
    <w:rsid w:val="00260C73"/>
    <w:rsid w:val="002610D3"/>
    <w:rsid w:val="00261602"/>
    <w:rsid w:val="00263C1E"/>
    <w:rsid w:val="00264910"/>
    <w:rsid w:val="00264FBA"/>
    <w:rsid w:val="00265DA8"/>
    <w:rsid w:val="002668CB"/>
    <w:rsid w:val="00266D17"/>
    <w:rsid w:val="00266D28"/>
    <w:rsid w:val="00267603"/>
    <w:rsid w:val="00271021"/>
    <w:rsid w:val="00272741"/>
    <w:rsid w:val="0027470A"/>
    <w:rsid w:val="00274AF0"/>
    <w:rsid w:val="00274F39"/>
    <w:rsid w:val="00277526"/>
    <w:rsid w:val="002777E9"/>
    <w:rsid w:val="00280A6A"/>
    <w:rsid w:val="00280E60"/>
    <w:rsid w:val="00281298"/>
    <w:rsid w:val="0028148E"/>
    <w:rsid w:val="00281FCD"/>
    <w:rsid w:val="00282087"/>
    <w:rsid w:val="00284088"/>
    <w:rsid w:val="0028530C"/>
    <w:rsid w:val="002861B8"/>
    <w:rsid w:val="00286A67"/>
    <w:rsid w:val="00287473"/>
    <w:rsid w:val="00287F49"/>
    <w:rsid w:val="00287FE2"/>
    <w:rsid w:val="0029018C"/>
    <w:rsid w:val="002906B2"/>
    <w:rsid w:val="00290FF6"/>
    <w:rsid w:val="0029118F"/>
    <w:rsid w:val="00292D4F"/>
    <w:rsid w:val="00292F2F"/>
    <w:rsid w:val="00292F58"/>
    <w:rsid w:val="00294F1B"/>
    <w:rsid w:val="00295098"/>
    <w:rsid w:val="002956B8"/>
    <w:rsid w:val="002957D7"/>
    <w:rsid w:val="002958FB"/>
    <w:rsid w:val="00296842"/>
    <w:rsid w:val="0029692B"/>
    <w:rsid w:val="002A0B27"/>
    <w:rsid w:val="002A332E"/>
    <w:rsid w:val="002A55A1"/>
    <w:rsid w:val="002A5624"/>
    <w:rsid w:val="002A615C"/>
    <w:rsid w:val="002A6BC2"/>
    <w:rsid w:val="002A6F3B"/>
    <w:rsid w:val="002A6FBF"/>
    <w:rsid w:val="002A7078"/>
    <w:rsid w:val="002B0831"/>
    <w:rsid w:val="002B0A77"/>
    <w:rsid w:val="002B0EEB"/>
    <w:rsid w:val="002B0FB0"/>
    <w:rsid w:val="002B1E34"/>
    <w:rsid w:val="002B2882"/>
    <w:rsid w:val="002B44C0"/>
    <w:rsid w:val="002B62DF"/>
    <w:rsid w:val="002B634A"/>
    <w:rsid w:val="002B7181"/>
    <w:rsid w:val="002B7208"/>
    <w:rsid w:val="002B76AA"/>
    <w:rsid w:val="002C0DBF"/>
    <w:rsid w:val="002C13CC"/>
    <w:rsid w:val="002C169B"/>
    <w:rsid w:val="002C1AE9"/>
    <w:rsid w:val="002C3219"/>
    <w:rsid w:val="002C35CB"/>
    <w:rsid w:val="002C3A6A"/>
    <w:rsid w:val="002C3D99"/>
    <w:rsid w:val="002C4C3D"/>
    <w:rsid w:val="002C6B76"/>
    <w:rsid w:val="002C6C0D"/>
    <w:rsid w:val="002C7590"/>
    <w:rsid w:val="002C7DD6"/>
    <w:rsid w:val="002D00D7"/>
    <w:rsid w:val="002D0486"/>
    <w:rsid w:val="002D1DDF"/>
    <w:rsid w:val="002D213E"/>
    <w:rsid w:val="002D311B"/>
    <w:rsid w:val="002D3BBB"/>
    <w:rsid w:val="002D53D9"/>
    <w:rsid w:val="002D6E76"/>
    <w:rsid w:val="002D786C"/>
    <w:rsid w:val="002D7EED"/>
    <w:rsid w:val="002E073E"/>
    <w:rsid w:val="002E0BC8"/>
    <w:rsid w:val="002E0D7D"/>
    <w:rsid w:val="002E0FD6"/>
    <w:rsid w:val="002E13D1"/>
    <w:rsid w:val="002E1458"/>
    <w:rsid w:val="002E2A30"/>
    <w:rsid w:val="002E31F9"/>
    <w:rsid w:val="002E3253"/>
    <w:rsid w:val="002E3A88"/>
    <w:rsid w:val="002E5B6B"/>
    <w:rsid w:val="002E5BC7"/>
    <w:rsid w:val="002F0CBB"/>
    <w:rsid w:val="002F0F87"/>
    <w:rsid w:val="002F1135"/>
    <w:rsid w:val="002F1F2B"/>
    <w:rsid w:val="002F3A71"/>
    <w:rsid w:val="002F3B68"/>
    <w:rsid w:val="002F4543"/>
    <w:rsid w:val="002F4DE5"/>
    <w:rsid w:val="002F4E2F"/>
    <w:rsid w:val="002F59F1"/>
    <w:rsid w:val="002F6E1E"/>
    <w:rsid w:val="002F747D"/>
    <w:rsid w:val="00300FD8"/>
    <w:rsid w:val="0030204D"/>
    <w:rsid w:val="00302458"/>
    <w:rsid w:val="00302A70"/>
    <w:rsid w:val="003031DB"/>
    <w:rsid w:val="003031E1"/>
    <w:rsid w:val="003034E7"/>
    <w:rsid w:val="00303A11"/>
    <w:rsid w:val="003048DC"/>
    <w:rsid w:val="00304DFD"/>
    <w:rsid w:val="003058C4"/>
    <w:rsid w:val="00306A29"/>
    <w:rsid w:val="00307213"/>
    <w:rsid w:val="003075D1"/>
    <w:rsid w:val="00307F95"/>
    <w:rsid w:val="00310004"/>
    <w:rsid w:val="003115D1"/>
    <w:rsid w:val="00313019"/>
    <w:rsid w:val="00313872"/>
    <w:rsid w:val="00314041"/>
    <w:rsid w:val="00315B3E"/>
    <w:rsid w:val="00315D9C"/>
    <w:rsid w:val="003163CB"/>
    <w:rsid w:val="00316541"/>
    <w:rsid w:val="003178FF"/>
    <w:rsid w:val="0031796F"/>
    <w:rsid w:val="0032032E"/>
    <w:rsid w:val="003211CD"/>
    <w:rsid w:val="00321356"/>
    <w:rsid w:val="00321A95"/>
    <w:rsid w:val="00321F48"/>
    <w:rsid w:val="00324198"/>
    <w:rsid w:val="00324A91"/>
    <w:rsid w:val="00325386"/>
    <w:rsid w:val="00327305"/>
    <w:rsid w:val="003274F7"/>
    <w:rsid w:val="0033026A"/>
    <w:rsid w:val="00330D34"/>
    <w:rsid w:val="00331462"/>
    <w:rsid w:val="0033237C"/>
    <w:rsid w:val="003360AD"/>
    <w:rsid w:val="003365B1"/>
    <w:rsid w:val="00340155"/>
    <w:rsid w:val="003403AF"/>
    <w:rsid w:val="00340528"/>
    <w:rsid w:val="00341191"/>
    <w:rsid w:val="003417DC"/>
    <w:rsid w:val="00341E49"/>
    <w:rsid w:val="00342AAF"/>
    <w:rsid w:val="0034304B"/>
    <w:rsid w:val="00343CFB"/>
    <w:rsid w:val="0034463A"/>
    <w:rsid w:val="00345F54"/>
    <w:rsid w:val="00347C7E"/>
    <w:rsid w:val="00347FB7"/>
    <w:rsid w:val="00352B41"/>
    <w:rsid w:val="00352DE7"/>
    <w:rsid w:val="003535D9"/>
    <w:rsid w:val="003543EF"/>
    <w:rsid w:val="00354D94"/>
    <w:rsid w:val="00355326"/>
    <w:rsid w:val="00355C05"/>
    <w:rsid w:val="003563D1"/>
    <w:rsid w:val="00356BF7"/>
    <w:rsid w:val="00356E86"/>
    <w:rsid w:val="0035762A"/>
    <w:rsid w:val="003577EE"/>
    <w:rsid w:val="00360612"/>
    <w:rsid w:val="003609E0"/>
    <w:rsid w:val="00361AE8"/>
    <w:rsid w:val="00362D7A"/>
    <w:rsid w:val="003637E9"/>
    <w:rsid w:val="00363B6B"/>
    <w:rsid w:val="00363F31"/>
    <w:rsid w:val="00364A3A"/>
    <w:rsid w:val="003653CD"/>
    <w:rsid w:val="00365791"/>
    <w:rsid w:val="00365D39"/>
    <w:rsid w:val="0036693C"/>
    <w:rsid w:val="003679D2"/>
    <w:rsid w:val="003708ED"/>
    <w:rsid w:val="00373668"/>
    <w:rsid w:val="00375355"/>
    <w:rsid w:val="00375966"/>
    <w:rsid w:val="00375F88"/>
    <w:rsid w:val="00376563"/>
    <w:rsid w:val="00376DEE"/>
    <w:rsid w:val="00377E43"/>
    <w:rsid w:val="00380260"/>
    <w:rsid w:val="00380647"/>
    <w:rsid w:val="00382593"/>
    <w:rsid w:val="00382AD3"/>
    <w:rsid w:val="00384199"/>
    <w:rsid w:val="00387CCA"/>
    <w:rsid w:val="003902FF"/>
    <w:rsid w:val="003911F3"/>
    <w:rsid w:val="00391CED"/>
    <w:rsid w:val="00392BA1"/>
    <w:rsid w:val="003937AC"/>
    <w:rsid w:val="00397BDB"/>
    <w:rsid w:val="003A1052"/>
    <w:rsid w:val="003A1DD3"/>
    <w:rsid w:val="003A2487"/>
    <w:rsid w:val="003A274A"/>
    <w:rsid w:val="003A289D"/>
    <w:rsid w:val="003A3DE7"/>
    <w:rsid w:val="003A4595"/>
    <w:rsid w:val="003A5ECB"/>
    <w:rsid w:val="003A6FEB"/>
    <w:rsid w:val="003A7822"/>
    <w:rsid w:val="003B014D"/>
    <w:rsid w:val="003B0A7E"/>
    <w:rsid w:val="003B0D27"/>
    <w:rsid w:val="003B0DF7"/>
    <w:rsid w:val="003B1358"/>
    <w:rsid w:val="003B2C58"/>
    <w:rsid w:val="003B2D1B"/>
    <w:rsid w:val="003B3299"/>
    <w:rsid w:val="003B647D"/>
    <w:rsid w:val="003B686B"/>
    <w:rsid w:val="003C033C"/>
    <w:rsid w:val="003C0489"/>
    <w:rsid w:val="003C0613"/>
    <w:rsid w:val="003C088A"/>
    <w:rsid w:val="003C0AC8"/>
    <w:rsid w:val="003C1260"/>
    <w:rsid w:val="003C1B74"/>
    <w:rsid w:val="003C37FA"/>
    <w:rsid w:val="003C69AA"/>
    <w:rsid w:val="003C72A7"/>
    <w:rsid w:val="003C79A0"/>
    <w:rsid w:val="003C7D41"/>
    <w:rsid w:val="003D02B4"/>
    <w:rsid w:val="003D1187"/>
    <w:rsid w:val="003D195F"/>
    <w:rsid w:val="003D2115"/>
    <w:rsid w:val="003D2AF4"/>
    <w:rsid w:val="003D3143"/>
    <w:rsid w:val="003D3435"/>
    <w:rsid w:val="003E005F"/>
    <w:rsid w:val="003E0412"/>
    <w:rsid w:val="003E15D6"/>
    <w:rsid w:val="003E1753"/>
    <w:rsid w:val="003E2295"/>
    <w:rsid w:val="003E2769"/>
    <w:rsid w:val="003E5087"/>
    <w:rsid w:val="003E5088"/>
    <w:rsid w:val="003E5764"/>
    <w:rsid w:val="003E59DE"/>
    <w:rsid w:val="003E59EE"/>
    <w:rsid w:val="003E6882"/>
    <w:rsid w:val="003E7770"/>
    <w:rsid w:val="003F022C"/>
    <w:rsid w:val="003F2AC5"/>
    <w:rsid w:val="003F2CBA"/>
    <w:rsid w:val="003F415E"/>
    <w:rsid w:val="003F4BAA"/>
    <w:rsid w:val="003F5B9B"/>
    <w:rsid w:val="003F669A"/>
    <w:rsid w:val="003F75FE"/>
    <w:rsid w:val="003F76FF"/>
    <w:rsid w:val="004015E2"/>
    <w:rsid w:val="004016A4"/>
    <w:rsid w:val="004019DF"/>
    <w:rsid w:val="004020FA"/>
    <w:rsid w:val="0040240F"/>
    <w:rsid w:val="00403BEF"/>
    <w:rsid w:val="00404906"/>
    <w:rsid w:val="00404D10"/>
    <w:rsid w:val="00404E7B"/>
    <w:rsid w:val="00406669"/>
    <w:rsid w:val="00406C70"/>
    <w:rsid w:val="00410274"/>
    <w:rsid w:val="00410C60"/>
    <w:rsid w:val="0041158A"/>
    <w:rsid w:val="00411C9E"/>
    <w:rsid w:val="00412454"/>
    <w:rsid w:val="00412471"/>
    <w:rsid w:val="00415127"/>
    <w:rsid w:val="0041662A"/>
    <w:rsid w:val="00417899"/>
    <w:rsid w:val="00420DCC"/>
    <w:rsid w:val="00422CBB"/>
    <w:rsid w:val="00422D9F"/>
    <w:rsid w:val="004232E3"/>
    <w:rsid w:val="0042330B"/>
    <w:rsid w:val="0042346E"/>
    <w:rsid w:val="00424044"/>
    <w:rsid w:val="00424141"/>
    <w:rsid w:val="0042416B"/>
    <w:rsid w:val="004247FA"/>
    <w:rsid w:val="00427BC4"/>
    <w:rsid w:val="00427DA1"/>
    <w:rsid w:val="00430779"/>
    <w:rsid w:val="00430CB0"/>
    <w:rsid w:val="004337DE"/>
    <w:rsid w:val="0043392F"/>
    <w:rsid w:val="00433D39"/>
    <w:rsid w:val="00433ED8"/>
    <w:rsid w:val="00434642"/>
    <w:rsid w:val="00434E29"/>
    <w:rsid w:val="00435458"/>
    <w:rsid w:val="004359F2"/>
    <w:rsid w:val="00435DAF"/>
    <w:rsid w:val="004372F7"/>
    <w:rsid w:val="00437653"/>
    <w:rsid w:val="0043775E"/>
    <w:rsid w:val="00441836"/>
    <w:rsid w:val="00442314"/>
    <w:rsid w:val="00442774"/>
    <w:rsid w:val="0044314A"/>
    <w:rsid w:val="004451F6"/>
    <w:rsid w:val="00445854"/>
    <w:rsid w:val="00445A16"/>
    <w:rsid w:val="00445E78"/>
    <w:rsid w:val="0045067B"/>
    <w:rsid w:val="004506BE"/>
    <w:rsid w:val="00450EB8"/>
    <w:rsid w:val="004521FC"/>
    <w:rsid w:val="00452D65"/>
    <w:rsid w:val="00454B60"/>
    <w:rsid w:val="00455AA7"/>
    <w:rsid w:val="00455FF3"/>
    <w:rsid w:val="00457178"/>
    <w:rsid w:val="0045761B"/>
    <w:rsid w:val="00457A70"/>
    <w:rsid w:val="00460718"/>
    <w:rsid w:val="00460764"/>
    <w:rsid w:val="00460B46"/>
    <w:rsid w:val="00461782"/>
    <w:rsid w:val="004617E0"/>
    <w:rsid w:val="0046185B"/>
    <w:rsid w:val="00461936"/>
    <w:rsid w:val="00461F46"/>
    <w:rsid w:val="004620FA"/>
    <w:rsid w:val="004624DE"/>
    <w:rsid w:val="00462CDB"/>
    <w:rsid w:val="00463827"/>
    <w:rsid w:val="0046447D"/>
    <w:rsid w:val="004648D4"/>
    <w:rsid w:val="00465859"/>
    <w:rsid w:val="0046669C"/>
    <w:rsid w:val="004669E3"/>
    <w:rsid w:val="004671A3"/>
    <w:rsid w:val="0046725D"/>
    <w:rsid w:val="00470395"/>
    <w:rsid w:val="0047254C"/>
    <w:rsid w:val="00472614"/>
    <w:rsid w:val="00472764"/>
    <w:rsid w:val="004734B2"/>
    <w:rsid w:val="004734DA"/>
    <w:rsid w:val="00473543"/>
    <w:rsid w:val="00473CFE"/>
    <w:rsid w:val="00474AC5"/>
    <w:rsid w:val="00475D90"/>
    <w:rsid w:val="00476016"/>
    <w:rsid w:val="00476646"/>
    <w:rsid w:val="00480617"/>
    <w:rsid w:val="00481687"/>
    <w:rsid w:val="00482A22"/>
    <w:rsid w:val="00483CD5"/>
    <w:rsid w:val="004840B3"/>
    <w:rsid w:val="00485770"/>
    <w:rsid w:val="00485D75"/>
    <w:rsid w:val="0048662C"/>
    <w:rsid w:val="004871C3"/>
    <w:rsid w:val="004874F3"/>
    <w:rsid w:val="0048768D"/>
    <w:rsid w:val="004876D4"/>
    <w:rsid w:val="004907E9"/>
    <w:rsid w:val="00490B49"/>
    <w:rsid w:val="0049117B"/>
    <w:rsid w:val="004928EC"/>
    <w:rsid w:val="00492F1C"/>
    <w:rsid w:val="00494EE3"/>
    <w:rsid w:val="00495EC3"/>
    <w:rsid w:val="0049681F"/>
    <w:rsid w:val="00497B54"/>
    <w:rsid w:val="00497C90"/>
    <w:rsid w:val="004A0C3C"/>
    <w:rsid w:val="004A13A7"/>
    <w:rsid w:val="004A16D8"/>
    <w:rsid w:val="004A215E"/>
    <w:rsid w:val="004A21A2"/>
    <w:rsid w:val="004A2526"/>
    <w:rsid w:val="004A2D02"/>
    <w:rsid w:val="004A2E81"/>
    <w:rsid w:val="004A2F11"/>
    <w:rsid w:val="004A3F94"/>
    <w:rsid w:val="004A4980"/>
    <w:rsid w:val="004A5453"/>
    <w:rsid w:val="004A5793"/>
    <w:rsid w:val="004A6898"/>
    <w:rsid w:val="004A689C"/>
    <w:rsid w:val="004A70CA"/>
    <w:rsid w:val="004B002D"/>
    <w:rsid w:val="004B04CC"/>
    <w:rsid w:val="004B1701"/>
    <w:rsid w:val="004B1F3E"/>
    <w:rsid w:val="004B2554"/>
    <w:rsid w:val="004B308C"/>
    <w:rsid w:val="004B3874"/>
    <w:rsid w:val="004B3CF1"/>
    <w:rsid w:val="004B4D1E"/>
    <w:rsid w:val="004B4F9D"/>
    <w:rsid w:val="004B5CA9"/>
    <w:rsid w:val="004B5D76"/>
    <w:rsid w:val="004B710F"/>
    <w:rsid w:val="004C0725"/>
    <w:rsid w:val="004C0853"/>
    <w:rsid w:val="004C0B59"/>
    <w:rsid w:val="004C269F"/>
    <w:rsid w:val="004C33CC"/>
    <w:rsid w:val="004C59DC"/>
    <w:rsid w:val="004C5F5E"/>
    <w:rsid w:val="004C787C"/>
    <w:rsid w:val="004C7CD1"/>
    <w:rsid w:val="004D049B"/>
    <w:rsid w:val="004D0DD8"/>
    <w:rsid w:val="004D1597"/>
    <w:rsid w:val="004D1735"/>
    <w:rsid w:val="004D19C8"/>
    <w:rsid w:val="004D2C6F"/>
    <w:rsid w:val="004D38C1"/>
    <w:rsid w:val="004D3E7D"/>
    <w:rsid w:val="004D3EA5"/>
    <w:rsid w:val="004D4920"/>
    <w:rsid w:val="004D5491"/>
    <w:rsid w:val="004D5A33"/>
    <w:rsid w:val="004D5C4A"/>
    <w:rsid w:val="004D60D5"/>
    <w:rsid w:val="004D6175"/>
    <w:rsid w:val="004D6968"/>
    <w:rsid w:val="004E03B3"/>
    <w:rsid w:val="004E1914"/>
    <w:rsid w:val="004E346A"/>
    <w:rsid w:val="004E438A"/>
    <w:rsid w:val="004E678D"/>
    <w:rsid w:val="004E6B51"/>
    <w:rsid w:val="004E7D32"/>
    <w:rsid w:val="004F0A9D"/>
    <w:rsid w:val="004F1102"/>
    <w:rsid w:val="004F1887"/>
    <w:rsid w:val="004F1C7A"/>
    <w:rsid w:val="004F1C80"/>
    <w:rsid w:val="004F2632"/>
    <w:rsid w:val="004F320D"/>
    <w:rsid w:val="004F34F7"/>
    <w:rsid w:val="004F3757"/>
    <w:rsid w:val="004F37CB"/>
    <w:rsid w:val="004F4633"/>
    <w:rsid w:val="004F5108"/>
    <w:rsid w:val="004F52F4"/>
    <w:rsid w:val="004F5766"/>
    <w:rsid w:val="004F596B"/>
    <w:rsid w:val="004F633A"/>
    <w:rsid w:val="004F7F91"/>
    <w:rsid w:val="00500393"/>
    <w:rsid w:val="00501530"/>
    <w:rsid w:val="0050180F"/>
    <w:rsid w:val="00502E9E"/>
    <w:rsid w:val="0050490D"/>
    <w:rsid w:val="00506925"/>
    <w:rsid w:val="00506F0B"/>
    <w:rsid w:val="00510B18"/>
    <w:rsid w:val="00510F8D"/>
    <w:rsid w:val="0051210E"/>
    <w:rsid w:val="00512FA6"/>
    <w:rsid w:val="00514715"/>
    <w:rsid w:val="00517564"/>
    <w:rsid w:val="005200C4"/>
    <w:rsid w:val="00521500"/>
    <w:rsid w:val="00521F46"/>
    <w:rsid w:val="00522B3D"/>
    <w:rsid w:val="00523005"/>
    <w:rsid w:val="0052348A"/>
    <w:rsid w:val="00523935"/>
    <w:rsid w:val="0052400C"/>
    <w:rsid w:val="00524611"/>
    <w:rsid w:val="00524B50"/>
    <w:rsid w:val="005260F4"/>
    <w:rsid w:val="00526481"/>
    <w:rsid w:val="00527489"/>
    <w:rsid w:val="0052784F"/>
    <w:rsid w:val="00527CCE"/>
    <w:rsid w:val="00527E4F"/>
    <w:rsid w:val="0053016C"/>
    <w:rsid w:val="005303F0"/>
    <w:rsid w:val="0053146F"/>
    <w:rsid w:val="005314D1"/>
    <w:rsid w:val="005321A7"/>
    <w:rsid w:val="0053246B"/>
    <w:rsid w:val="005328F8"/>
    <w:rsid w:val="00532F99"/>
    <w:rsid w:val="005332EC"/>
    <w:rsid w:val="005339DB"/>
    <w:rsid w:val="00533FD2"/>
    <w:rsid w:val="00534E33"/>
    <w:rsid w:val="005359C6"/>
    <w:rsid w:val="005361F1"/>
    <w:rsid w:val="00536216"/>
    <w:rsid w:val="00536CE7"/>
    <w:rsid w:val="00536D9D"/>
    <w:rsid w:val="0053757E"/>
    <w:rsid w:val="005432D7"/>
    <w:rsid w:val="005457D2"/>
    <w:rsid w:val="00545B40"/>
    <w:rsid w:val="005476F5"/>
    <w:rsid w:val="00547D32"/>
    <w:rsid w:val="00547DC9"/>
    <w:rsid w:val="005502BE"/>
    <w:rsid w:val="005533C4"/>
    <w:rsid w:val="0055487A"/>
    <w:rsid w:val="00555054"/>
    <w:rsid w:val="00555922"/>
    <w:rsid w:val="005563ED"/>
    <w:rsid w:val="00556474"/>
    <w:rsid w:val="00556830"/>
    <w:rsid w:val="005568FB"/>
    <w:rsid w:val="00557714"/>
    <w:rsid w:val="00557944"/>
    <w:rsid w:val="00557996"/>
    <w:rsid w:val="005601C9"/>
    <w:rsid w:val="00560D51"/>
    <w:rsid w:val="00562301"/>
    <w:rsid w:val="005623C0"/>
    <w:rsid w:val="00563088"/>
    <w:rsid w:val="005644BD"/>
    <w:rsid w:val="00564A01"/>
    <w:rsid w:val="00565E58"/>
    <w:rsid w:val="005667C1"/>
    <w:rsid w:val="005678DE"/>
    <w:rsid w:val="00567ADD"/>
    <w:rsid w:val="00570585"/>
    <w:rsid w:val="00571C86"/>
    <w:rsid w:val="00574B3E"/>
    <w:rsid w:val="00575460"/>
    <w:rsid w:val="0057634E"/>
    <w:rsid w:val="00576583"/>
    <w:rsid w:val="00576EA1"/>
    <w:rsid w:val="00577829"/>
    <w:rsid w:val="0058066B"/>
    <w:rsid w:val="00580926"/>
    <w:rsid w:val="00580C05"/>
    <w:rsid w:val="005811DB"/>
    <w:rsid w:val="00581D2B"/>
    <w:rsid w:val="00582B25"/>
    <w:rsid w:val="00582B6B"/>
    <w:rsid w:val="005838C9"/>
    <w:rsid w:val="00583EC1"/>
    <w:rsid w:val="00583FE6"/>
    <w:rsid w:val="00585ABA"/>
    <w:rsid w:val="00586960"/>
    <w:rsid w:val="00591544"/>
    <w:rsid w:val="00591B18"/>
    <w:rsid w:val="005942E8"/>
    <w:rsid w:val="0059430A"/>
    <w:rsid w:val="00594C2F"/>
    <w:rsid w:val="0059533F"/>
    <w:rsid w:val="00595699"/>
    <w:rsid w:val="00595C7F"/>
    <w:rsid w:val="00596C04"/>
    <w:rsid w:val="005970B7"/>
    <w:rsid w:val="005976C5"/>
    <w:rsid w:val="00597970"/>
    <w:rsid w:val="00597B0E"/>
    <w:rsid w:val="005A01B6"/>
    <w:rsid w:val="005A0331"/>
    <w:rsid w:val="005A05F3"/>
    <w:rsid w:val="005A09EA"/>
    <w:rsid w:val="005A17B0"/>
    <w:rsid w:val="005A3542"/>
    <w:rsid w:val="005A370A"/>
    <w:rsid w:val="005A3FEB"/>
    <w:rsid w:val="005A6D13"/>
    <w:rsid w:val="005A73D6"/>
    <w:rsid w:val="005A7D3A"/>
    <w:rsid w:val="005A7D7C"/>
    <w:rsid w:val="005B1B2E"/>
    <w:rsid w:val="005B26F4"/>
    <w:rsid w:val="005B3355"/>
    <w:rsid w:val="005B358A"/>
    <w:rsid w:val="005B4A2B"/>
    <w:rsid w:val="005B50BA"/>
    <w:rsid w:val="005B541E"/>
    <w:rsid w:val="005B56C5"/>
    <w:rsid w:val="005B5FBA"/>
    <w:rsid w:val="005C0E74"/>
    <w:rsid w:val="005C0EE0"/>
    <w:rsid w:val="005C1637"/>
    <w:rsid w:val="005C391A"/>
    <w:rsid w:val="005C3EEB"/>
    <w:rsid w:val="005C45B8"/>
    <w:rsid w:val="005C7372"/>
    <w:rsid w:val="005C7CAE"/>
    <w:rsid w:val="005C7CED"/>
    <w:rsid w:val="005D06A8"/>
    <w:rsid w:val="005D1D13"/>
    <w:rsid w:val="005D3464"/>
    <w:rsid w:val="005D395C"/>
    <w:rsid w:val="005D39D6"/>
    <w:rsid w:val="005D3E35"/>
    <w:rsid w:val="005D469E"/>
    <w:rsid w:val="005D4C20"/>
    <w:rsid w:val="005D4DF3"/>
    <w:rsid w:val="005D5407"/>
    <w:rsid w:val="005D60B5"/>
    <w:rsid w:val="005D6E54"/>
    <w:rsid w:val="005D7E17"/>
    <w:rsid w:val="005E02D0"/>
    <w:rsid w:val="005E07E2"/>
    <w:rsid w:val="005E1512"/>
    <w:rsid w:val="005E1672"/>
    <w:rsid w:val="005E1875"/>
    <w:rsid w:val="005E3681"/>
    <w:rsid w:val="005E3C5A"/>
    <w:rsid w:val="005E3EA6"/>
    <w:rsid w:val="005E400E"/>
    <w:rsid w:val="005E42C6"/>
    <w:rsid w:val="005E475B"/>
    <w:rsid w:val="005E4E2A"/>
    <w:rsid w:val="005E525A"/>
    <w:rsid w:val="005E5419"/>
    <w:rsid w:val="005E5539"/>
    <w:rsid w:val="005E5B9E"/>
    <w:rsid w:val="005E6137"/>
    <w:rsid w:val="005E7C13"/>
    <w:rsid w:val="005F00E9"/>
    <w:rsid w:val="005F0C1A"/>
    <w:rsid w:val="005F13A0"/>
    <w:rsid w:val="005F3662"/>
    <w:rsid w:val="005F5A0A"/>
    <w:rsid w:val="005F62EB"/>
    <w:rsid w:val="005F67AE"/>
    <w:rsid w:val="005F75BB"/>
    <w:rsid w:val="00600360"/>
    <w:rsid w:val="00600BF6"/>
    <w:rsid w:val="00600EF6"/>
    <w:rsid w:val="00601637"/>
    <w:rsid w:val="00601CF4"/>
    <w:rsid w:val="00602377"/>
    <w:rsid w:val="00602B36"/>
    <w:rsid w:val="006030D2"/>
    <w:rsid w:val="00603528"/>
    <w:rsid w:val="006042A0"/>
    <w:rsid w:val="006048E5"/>
    <w:rsid w:val="00605361"/>
    <w:rsid w:val="006060D2"/>
    <w:rsid w:val="00607375"/>
    <w:rsid w:val="0061008A"/>
    <w:rsid w:val="00610352"/>
    <w:rsid w:val="00610BEC"/>
    <w:rsid w:val="00611FAD"/>
    <w:rsid w:val="00612210"/>
    <w:rsid w:val="0061313E"/>
    <w:rsid w:val="0061317F"/>
    <w:rsid w:val="00613371"/>
    <w:rsid w:val="006140D8"/>
    <w:rsid w:val="00614E1F"/>
    <w:rsid w:val="00615712"/>
    <w:rsid w:val="0061587B"/>
    <w:rsid w:val="0061590C"/>
    <w:rsid w:val="00616B1C"/>
    <w:rsid w:val="0061795D"/>
    <w:rsid w:val="00617AC2"/>
    <w:rsid w:val="00617FF0"/>
    <w:rsid w:val="006211BB"/>
    <w:rsid w:val="006211E9"/>
    <w:rsid w:val="00621345"/>
    <w:rsid w:val="00621EAC"/>
    <w:rsid w:val="006243EF"/>
    <w:rsid w:val="00624DB0"/>
    <w:rsid w:val="00625719"/>
    <w:rsid w:val="00625BE6"/>
    <w:rsid w:val="00625FE6"/>
    <w:rsid w:val="0062652F"/>
    <w:rsid w:val="00627F81"/>
    <w:rsid w:val="00630029"/>
    <w:rsid w:val="00630446"/>
    <w:rsid w:val="0063194D"/>
    <w:rsid w:val="00631AAA"/>
    <w:rsid w:val="0063283C"/>
    <w:rsid w:val="006349DA"/>
    <w:rsid w:val="00635115"/>
    <w:rsid w:val="006358A6"/>
    <w:rsid w:val="006369BD"/>
    <w:rsid w:val="00637588"/>
    <w:rsid w:val="00641E65"/>
    <w:rsid w:val="00641EB4"/>
    <w:rsid w:val="00641F46"/>
    <w:rsid w:val="006424E6"/>
    <w:rsid w:val="00642A60"/>
    <w:rsid w:val="00643230"/>
    <w:rsid w:val="00643DBD"/>
    <w:rsid w:val="0064631C"/>
    <w:rsid w:val="006469FA"/>
    <w:rsid w:val="00647022"/>
    <w:rsid w:val="00647E09"/>
    <w:rsid w:val="006501EF"/>
    <w:rsid w:val="00652510"/>
    <w:rsid w:val="00652585"/>
    <w:rsid w:val="00652A97"/>
    <w:rsid w:val="00653E9D"/>
    <w:rsid w:val="006540E0"/>
    <w:rsid w:val="006544BD"/>
    <w:rsid w:val="0065480D"/>
    <w:rsid w:val="006549C7"/>
    <w:rsid w:val="0065502C"/>
    <w:rsid w:val="006564D3"/>
    <w:rsid w:val="00657A0C"/>
    <w:rsid w:val="00657B89"/>
    <w:rsid w:val="00657EA5"/>
    <w:rsid w:val="00657F6F"/>
    <w:rsid w:val="0066074B"/>
    <w:rsid w:val="00660B94"/>
    <w:rsid w:val="00661274"/>
    <w:rsid w:val="00661EC7"/>
    <w:rsid w:val="00662800"/>
    <w:rsid w:val="006636C1"/>
    <w:rsid w:val="006636DF"/>
    <w:rsid w:val="006636EE"/>
    <w:rsid w:val="00664C99"/>
    <w:rsid w:val="00665EC9"/>
    <w:rsid w:val="006675C4"/>
    <w:rsid w:val="006718F8"/>
    <w:rsid w:val="00671990"/>
    <w:rsid w:val="00671F1D"/>
    <w:rsid w:val="006729F0"/>
    <w:rsid w:val="00672D68"/>
    <w:rsid w:val="00673DC9"/>
    <w:rsid w:val="00674215"/>
    <w:rsid w:val="0067458F"/>
    <w:rsid w:val="00674CAE"/>
    <w:rsid w:val="00674D03"/>
    <w:rsid w:val="00675209"/>
    <w:rsid w:val="006758F2"/>
    <w:rsid w:val="006759BB"/>
    <w:rsid w:val="006774A6"/>
    <w:rsid w:val="00677B6D"/>
    <w:rsid w:val="00677BBD"/>
    <w:rsid w:val="00680151"/>
    <w:rsid w:val="00680949"/>
    <w:rsid w:val="00680E4B"/>
    <w:rsid w:val="00681FC8"/>
    <w:rsid w:val="0068489C"/>
    <w:rsid w:val="00685702"/>
    <w:rsid w:val="0068610F"/>
    <w:rsid w:val="00690AA8"/>
    <w:rsid w:val="00691000"/>
    <w:rsid w:val="006919BD"/>
    <w:rsid w:val="00691DA3"/>
    <w:rsid w:val="00692059"/>
    <w:rsid w:val="006941A5"/>
    <w:rsid w:val="00694683"/>
    <w:rsid w:val="00694E7F"/>
    <w:rsid w:val="00695F8F"/>
    <w:rsid w:val="0069602E"/>
    <w:rsid w:val="00697325"/>
    <w:rsid w:val="00697AFE"/>
    <w:rsid w:val="00697F7F"/>
    <w:rsid w:val="006A00F0"/>
    <w:rsid w:val="006A12E2"/>
    <w:rsid w:val="006A1D24"/>
    <w:rsid w:val="006A2639"/>
    <w:rsid w:val="006A26B3"/>
    <w:rsid w:val="006A2799"/>
    <w:rsid w:val="006A2EDB"/>
    <w:rsid w:val="006A3A7C"/>
    <w:rsid w:val="006A3BEA"/>
    <w:rsid w:val="006A45C2"/>
    <w:rsid w:val="006A45F3"/>
    <w:rsid w:val="006A4C2A"/>
    <w:rsid w:val="006A518B"/>
    <w:rsid w:val="006A6965"/>
    <w:rsid w:val="006A75DE"/>
    <w:rsid w:val="006A76FE"/>
    <w:rsid w:val="006A7754"/>
    <w:rsid w:val="006A7F59"/>
    <w:rsid w:val="006B0542"/>
    <w:rsid w:val="006B1557"/>
    <w:rsid w:val="006B1801"/>
    <w:rsid w:val="006B294F"/>
    <w:rsid w:val="006B29F9"/>
    <w:rsid w:val="006B46E3"/>
    <w:rsid w:val="006B509B"/>
    <w:rsid w:val="006B6329"/>
    <w:rsid w:val="006B7981"/>
    <w:rsid w:val="006B7D52"/>
    <w:rsid w:val="006C07DB"/>
    <w:rsid w:val="006C09E7"/>
    <w:rsid w:val="006C0D2E"/>
    <w:rsid w:val="006C138E"/>
    <w:rsid w:val="006C1510"/>
    <w:rsid w:val="006C1A5F"/>
    <w:rsid w:val="006C3D0B"/>
    <w:rsid w:val="006C40C7"/>
    <w:rsid w:val="006C4B3A"/>
    <w:rsid w:val="006C5635"/>
    <w:rsid w:val="006C5677"/>
    <w:rsid w:val="006C5B43"/>
    <w:rsid w:val="006C5C76"/>
    <w:rsid w:val="006C708E"/>
    <w:rsid w:val="006C7514"/>
    <w:rsid w:val="006C7AF9"/>
    <w:rsid w:val="006D0047"/>
    <w:rsid w:val="006D0879"/>
    <w:rsid w:val="006D0B41"/>
    <w:rsid w:val="006D114D"/>
    <w:rsid w:val="006D1AB1"/>
    <w:rsid w:val="006D1C25"/>
    <w:rsid w:val="006D1F62"/>
    <w:rsid w:val="006D2A33"/>
    <w:rsid w:val="006D2D15"/>
    <w:rsid w:val="006D3045"/>
    <w:rsid w:val="006D343C"/>
    <w:rsid w:val="006D3E67"/>
    <w:rsid w:val="006D54AB"/>
    <w:rsid w:val="006D5828"/>
    <w:rsid w:val="006D58EE"/>
    <w:rsid w:val="006D6436"/>
    <w:rsid w:val="006D71F0"/>
    <w:rsid w:val="006D78F0"/>
    <w:rsid w:val="006D7949"/>
    <w:rsid w:val="006E0BB8"/>
    <w:rsid w:val="006E0F32"/>
    <w:rsid w:val="006E0FC2"/>
    <w:rsid w:val="006E1840"/>
    <w:rsid w:val="006E22A8"/>
    <w:rsid w:val="006E25C6"/>
    <w:rsid w:val="006E2A25"/>
    <w:rsid w:val="006E4AD6"/>
    <w:rsid w:val="006E4C4F"/>
    <w:rsid w:val="006E5328"/>
    <w:rsid w:val="006E5394"/>
    <w:rsid w:val="006E545D"/>
    <w:rsid w:val="006E5F85"/>
    <w:rsid w:val="006E62C1"/>
    <w:rsid w:val="006E667B"/>
    <w:rsid w:val="006E6E15"/>
    <w:rsid w:val="006E7B50"/>
    <w:rsid w:val="006F0CA5"/>
    <w:rsid w:val="006F0E42"/>
    <w:rsid w:val="006F0E44"/>
    <w:rsid w:val="006F0E4E"/>
    <w:rsid w:val="006F0EE6"/>
    <w:rsid w:val="006F10AF"/>
    <w:rsid w:val="006F292D"/>
    <w:rsid w:val="006F2B0B"/>
    <w:rsid w:val="006F2F23"/>
    <w:rsid w:val="006F2F40"/>
    <w:rsid w:val="006F3F51"/>
    <w:rsid w:val="006F4390"/>
    <w:rsid w:val="006F4401"/>
    <w:rsid w:val="006F4D73"/>
    <w:rsid w:val="006F4FAE"/>
    <w:rsid w:val="006F51CE"/>
    <w:rsid w:val="006F5527"/>
    <w:rsid w:val="006F64CB"/>
    <w:rsid w:val="006F6E6E"/>
    <w:rsid w:val="006F70B5"/>
    <w:rsid w:val="006F7BDE"/>
    <w:rsid w:val="00700012"/>
    <w:rsid w:val="00700123"/>
    <w:rsid w:val="00700218"/>
    <w:rsid w:val="00700C75"/>
    <w:rsid w:val="0070228B"/>
    <w:rsid w:val="0070298D"/>
    <w:rsid w:val="007053D4"/>
    <w:rsid w:val="007067C0"/>
    <w:rsid w:val="007071A3"/>
    <w:rsid w:val="00707D7A"/>
    <w:rsid w:val="007101C4"/>
    <w:rsid w:val="00710A01"/>
    <w:rsid w:val="00710D6D"/>
    <w:rsid w:val="007117EB"/>
    <w:rsid w:val="00712997"/>
    <w:rsid w:val="00712AE2"/>
    <w:rsid w:val="0071442C"/>
    <w:rsid w:val="00714472"/>
    <w:rsid w:val="007146F3"/>
    <w:rsid w:val="00714D26"/>
    <w:rsid w:val="00714D3E"/>
    <w:rsid w:val="00715A35"/>
    <w:rsid w:val="0071706B"/>
    <w:rsid w:val="007178B3"/>
    <w:rsid w:val="007204EA"/>
    <w:rsid w:val="0072088F"/>
    <w:rsid w:val="00720F07"/>
    <w:rsid w:val="00721E8F"/>
    <w:rsid w:val="00721F8E"/>
    <w:rsid w:val="00722120"/>
    <w:rsid w:val="00723EE3"/>
    <w:rsid w:val="0072600C"/>
    <w:rsid w:val="00726B97"/>
    <w:rsid w:val="007278C2"/>
    <w:rsid w:val="00727C35"/>
    <w:rsid w:val="007300B3"/>
    <w:rsid w:val="00730757"/>
    <w:rsid w:val="00730F60"/>
    <w:rsid w:val="00731239"/>
    <w:rsid w:val="007325F4"/>
    <w:rsid w:val="007335DE"/>
    <w:rsid w:val="007345CF"/>
    <w:rsid w:val="0073471D"/>
    <w:rsid w:val="007356DF"/>
    <w:rsid w:val="0073583D"/>
    <w:rsid w:val="007359B3"/>
    <w:rsid w:val="00736748"/>
    <w:rsid w:val="00736753"/>
    <w:rsid w:val="00736D5F"/>
    <w:rsid w:val="00737F7C"/>
    <w:rsid w:val="007401CA"/>
    <w:rsid w:val="00741373"/>
    <w:rsid w:val="00742D67"/>
    <w:rsid w:val="007430BE"/>
    <w:rsid w:val="00743426"/>
    <w:rsid w:val="00743560"/>
    <w:rsid w:val="00743E34"/>
    <w:rsid w:val="00744246"/>
    <w:rsid w:val="007443F9"/>
    <w:rsid w:val="00744433"/>
    <w:rsid w:val="007446AF"/>
    <w:rsid w:val="007448F8"/>
    <w:rsid w:val="00744C41"/>
    <w:rsid w:val="0074571E"/>
    <w:rsid w:val="007464CB"/>
    <w:rsid w:val="00746FD7"/>
    <w:rsid w:val="00750655"/>
    <w:rsid w:val="0075264A"/>
    <w:rsid w:val="0075298C"/>
    <w:rsid w:val="00754018"/>
    <w:rsid w:val="00754E4D"/>
    <w:rsid w:val="00756B96"/>
    <w:rsid w:val="00756CDE"/>
    <w:rsid w:val="00756E06"/>
    <w:rsid w:val="0075702C"/>
    <w:rsid w:val="0075746F"/>
    <w:rsid w:val="00757D8E"/>
    <w:rsid w:val="007601BF"/>
    <w:rsid w:val="0076211D"/>
    <w:rsid w:val="00762149"/>
    <w:rsid w:val="00762162"/>
    <w:rsid w:val="0076317D"/>
    <w:rsid w:val="007637A2"/>
    <w:rsid w:val="00763F29"/>
    <w:rsid w:val="0076425B"/>
    <w:rsid w:val="007652B1"/>
    <w:rsid w:val="00765A7C"/>
    <w:rsid w:val="00765C17"/>
    <w:rsid w:val="00770D1D"/>
    <w:rsid w:val="00771495"/>
    <w:rsid w:val="00772667"/>
    <w:rsid w:val="007729E8"/>
    <w:rsid w:val="00772C18"/>
    <w:rsid w:val="00773774"/>
    <w:rsid w:val="007761F8"/>
    <w:rsid w:val="007766FA"/>
    <w:rsid w:val="0077676B"/>
    <w:rsid w:val="007769BE"/>
    <w:rsid w:val="00776BF9"/>
    <w:rsid w:val="00776FE6"/>
    <w:rsid w:val="007774ED"/>
    <w:rsid w:val="007777E5"/>
    <w:rsid w:val="00777EC0"/>
    <w:rsid w:val="00777FAB"/>
    <w:rsid w:val="007803FA"/>
    <w:rsid w:val="0078204F"/>
    <w:rsid w:val="00782AE7"/>
    <w:rsid w:val="00783C16"/>
    <w:rsid w:val="0078460F"/>
    <w:rsid w:val="00784896"/>
    <w:rsid w:val="00785338"/>
    <w:rsid w:val="0078601B"/>
    <w:rsid w:val="007872EB"/>
    <w:rsid w:val="0078736F"/>
    <w:rsid w:val="007878B4"/>
    <w:rsid w:val="00787BA4"/>
    <w:rsid w:val="00787C16"/>
    <w:rsid w:val="00787FE5"/>
    <w:rsid w:val="00791646"/>
    <w:rsid w:val="007916D8"/>
    <w:rsid w:val="007924CE"/>
    <w:rsid w:val="00792F6B"/>
    <w:rsid w:val="007936D5"/>
    <w:rsid w:val="00794240"/>
    <w:rsid w:val="007948C7"/>
    <w:rsid w:val="00794A59"/>
    <w:rsid w:val="00796204"/>
    <w:rsid w:val="00796B20"/>
    <w:rsid w:val="00797573"/>
    <w:rsid w:val="007A0F3F"/>
    <w:rsid w:val="007A18D9"/>
    <w:rsid w:val="007A2048"/>
    <w:rsid w:val="007A2761"/>
    <w:rsid w:val="007A4A97"/>
    <w:rsid w:val="007A55FF"/>
    <w:rsid w:val="007A5EEA"/>
    <w:rsid w:val="007A66B1"/>
    <w:rsid w:val="007A69BB"/>
    <w:rsid w:val="007A6CD2"/>
    <w:rsid w:val="007A7041"/>
    <w:rsid w:val="007A70E2"/>
    <w:rsid w:val="007B0875"/>
    <w:rsid w:val="007B105F"/>
    <w:rsid w:val="007B1559"/>
    <w:rsid w:val="007B162E"/>
    <w:rsid w:val="007B18B4"/>
    <w:rsid w:val="007B21C8"/>
    <w:rsid w:val="007B2AF1"/>
    <w:rsid w:val="007B327B"/>
    <w:rsid w:val="007B359F"/>
    <w:rsid w:val="007B5163"/>
    <w:rsid w:val="007B53D8"/>
    <w:rsid w:val="007B5867"/>
    <w:rsid w:val="007B7AC2"/>
    <w:rsid w:val="007C07BC"/>
    <w:rsid w:val="007C2CAF"/>
    <w:rsid w:val="007C30F0"/>
    <w:rsid w:val="007C34A3"/>
    <w:rsid w:val="007C4771"/>
    <w:rsid w:val="007C4B44"/>
    <w:rsid w:val="007C4EBA"/>
    <w:rsid w:val="007C5736"/>
    <w:rsid w:val="007C68FC"/>
    <w:rsid w:val="007C705E"/>
    <w:rsid w:val="007C7E46"/>
    <w:rsid w:val="007D05AE"/>
    <w:rsid w:val="007D0A42"/>
    <w:rsid w:val="007D1301"/>
    <w:rsid w:val="007D29D1"/>
    <w:rsid w:val="007D343A"/>
    <w:rsid w:val="007D38E3"/>
    <w:rsid w:val="007D3D70"/>
    <w:rsid w:val="007D4518"/>
    <w:rsid w:val="007D58D8"/>
    <w:rsid w:val="007D62CD"/>
    <w:rsid w:val="007D6A00"/>
    <w:rsid w:val="007D6DA7"/>
    <w:rsid w:val="007D7130"/>
    <w:rsid w:val="007D7778"/>
    <w:rsid w:val="007E03F2"/>
    <w:rsid w:val="007E0493"/>
    <w:rsid w:val="007E09F7"/>
    <w:rsid w:val="007E1193"/>
    <w:rsid w:val="007E34DB"/>
    <w:rsid w:val="007E394A"/>
    <w:rsid w:val="007E5DCD"/>
    <w:rsid w:val="007E6562"/>
    <w:rsid w:val="007E6801"/>
    <w:rsid w:val="007E7F52"/>
    <w:rsid w:val="007F1410"/>
    <w:rsid w:val="007F2EF6"/>
    <w:rsid w:val="007F3F4E"/>
    <w:rsid w:val="007F44ED"/>
    <w:rsid w:val="007F5E8C"/>
    <w:rsid w:val="007F6253"/>
    <w:rsid w:val="007F62FE"/>
    <w:rsid w:val="007F6C67"/>
    <w:rsid w:val="007F77D8"/>
    <w:rsid w:val="0080122D"/>
    <w:rsid w:val="008013B8"/>
    <w:rsid w:val="00802E32"/>
    <w:rsid w:val="00802E7E"/>
    <w:rsid w:val="008042B8"/>
    <w:rsid w:val="008042DE"/>
    <w:rsid w:val="008050B4"/>
    <w:rsid w:val="00805322"/>
    <w:rsid w:val="00805A2B"/>
    <w:rsid w:val="00805ECC"/>
    <w:rsid w:val="008064EB"/>
    <w:rsid w:val="0080656C"/>
    <w:rsid w:val="00806F4D"/>
    <w:rsid w:val="00807118"/>
    <w:rsid w:val="0081070D"/>
    <w:rsid w:val="00810FA5"/>
    <w:rsid w:val="00811E87"/>
    <w:rsid w:val="0081212B"/>
    <w:rsid w:val="00812B9B"/>
    <w:rsid w:val="008136F3"/>
    <w:rsid w:val="00814027"/>
    <w:rsid w:val="008201B9"/>
    <w:rsid w:val="0082029F"/>
    <w:rsid w:val="008203B9"/>
    <w:rsid w:val="008203ED"/>
    <w:rsid w:val="00820838"/>
    <w:rsid w:val="008213FF"/>
    <w:rsid w:val="00821DF9"/>
    <w:rsid w:val="00821E51"/>
    <w:rsid w:val="0082249D"/>
    <w:rsid w:val="008224B6"/>
    <w:rsid w:val="00826DE0"/>
    <w:rsid w:val="0082730D"/>
    <w:rsid w:val="00827718"/>
    <w:rsid w:val="0083053F"/>
    <w:rsid w:val="00830C2E"/>
    <w:rsid w:val="00831D1F"/>
    <w:rsid w:val="008332F6"/>
    <w:rsid w:val="00835314"/>
    <w:rsid w:val="008362FA"/>
    <w:rsid w:val="00836E39"/>
    <w:rsid w:val="00837021"/>
    <w:rsid w:val="0083797F"/>
    <w:rsid w:val="00840BA9"/>
    <w:rsid w:val="00840F09"/>
    <w:rsid w:val="00841144"/>
    <w:rsid w:val="00842016"/>
    <w:rsid w:val="00842C99"/>
    <w:rsid w:val="00842E4F"/>
    <w:rsid w:val="008438D4"/>
    <w:rsid w:val="00844467"/>
    <w:rsid w:val="008460C6"/>
    <w:rsid w:val="008464AC"/>
    <w:rsid w:val="00847201"/>
    <w:rsid w:val="008476CB"/>
    <w:rsid w:val="008477AB"/>
    <w:rsid w:val="00847A5C"/>
    <w:rsid w:val="0085037B"/>
    <w:rsid w:val="00850A1D"/>
    <w:rsid w:val="00850A28"/>
    <w:rsid w:val="00850C1B"/>
    <w:rsid w:val="00850C70"/>
    <w:rsid w:val="00850F70"/>
    <w:rsid w:val="00851F56"/>
    <w:rsid w:val="0085243E"/>
    <w:rsid w:val="00852D19"/>
    <w:rsid w:val="00853309"/>
    <w:rsid w:val="0085363D"/>
    <w:rsid w:val="00855BD4"/>
    <w:rsid w:val="0085675F"/>
    <w:rsid w:val="00856CE2"/>
    <w:rsid w:val="00857076"/>
    <w:rsid w:val="008570C9"/>
    <w:rsid w:val="00857301"/>
    <w:rsid w:val="008578BF"/>
    <w:rsid w:val="00857CB4"/>
    <w:rsid w:val="00857F2A"/>
    <w:rsid w:val="00860351"/>
    <w:rsid w:val="00860DB7"/>
    <w:rsid w:val="00860ECF"/>
    <w:rsid w:val="008612F3"/>
    <w:rsid w:val="0086163E"/>
    <w:rsid w:val="0086214E"/>
    <w:rsid w:val="0086318B"/>
    <w:rsid w:val="00863268"/>
    <w:rsid w:val="00863300"/>
    <w:rsid w:val="00863A20"/>
    <w:rsid w:val="00864363"/>
    <w:rsid w:val="00864D25"/>
    <w:rsid w:val="008701A8"/>
    <w:rsid w:val="008708A2"/>
    <w:rsid w:val="00871F30"/>
    <w:rsid w:val="00872165"/>
    <w:rsid w:val="008728D7"/>
    <w:rsid w:val="00872E0D"/>
    <w:rsid w:val="00872F20"/>
    <w:rsid w:val="0087390E"/>
    <w:rsid w:val="00873A4F"/>
    <w:rsid w:val="00874BE8"/>
    <w:rsid w:val="00874F6C"/>
    <w:rsid w:val="00875325"/>
    <w:rsid w:val="008753EE"/>
    <w:rsid w:val="008764D5"/>
    <w:rsid w:val="008768CC"/>
    <w:rsid w:val="00877363"/>
    <w:rsid w:val="008777F9"/>
    <w:rsid w:val="0088100B"/>
    <w:rsid w:val="00881B57"/>
    <w:rsid w:val="00881C1D"/>
    <w:rsid w:val="0088202A"/>
    <w:rsid w:val="00883299"/>
    <w:rsid w:val="0088390C"/>
    <w:rsid w:val="008839AF"/>
    <w:rsid w:val="00883F26"/>
    <w:rsid w:val="00884D4E"/>
    <w:rsid w:val="00884F98"/>
    <w:rsid w:val="0088577C"/>
    <w:rsid w:val="008857E9"/>
    <w:rsid w:val="008858B7"/>
    <w:rsid w:val="008871F8"/>
    <w:rsid w:val="00890315"/>
    <w:rsid w:val="0089062A"/>
    <w:rsid w:val="00891E25"/>
    <w:rsid w:val="008924D0"/>
    <w:rsid w:val="00893975"/>
    <w:rsid w:val="008939EF"/>
    <w:rsid w:val="00893D0E"/>
    <w:rsid w:val="00893D73"/>
    <w:rsid w:val="00893F58"/>
    <w:rsid w:val="008948B0"/>
    <w:rsid w:val="00895451"/>
    <w:rsid w:val="00896B8B"/>
    <w:rsid w:val="008A0E22"/>
    <w:rsid w:val="008A1A2E"/>
    <w:rsid w:val="008A1A67"/>
    <w:rsid w:val="008A23CC"/>
    <w:rsid w:val="008A3A16"/>
    <w:rsid w:val="008A4C4C"/>
    <w:rsid w:val="008A4EC5"/>
    <w:rsid w:val="008A65B9"/>
    <w:rsid w:val="008A6ABA"/>
    <w:rsid w:val="008A6B22"/>
    <w:rsid w:val="008A6BC1"/>
    <w:rsid w:val="008A7C41"/>
    <w:rsid w:val="008B0C2F"/>
    <w:rsid w:val="008B22F5"/>
    <w:rsid w:val="008B2C6D"/>
    <w:rsid w:val="008B2EF8"/>
    <w:rsid w:val="008B418F"/>
    <w:rsid w:val="008B5887"/>
    <w:rsid w:val="008B6420"/>
    <w:rsid w:val="008C03DC"/>
    <w:rsid w:val="008C04C3"/>
    <w:rsid w:val="008C0550"/>
    <w:rsid w:val="008C10A9"/>
    <w:rsid w:val="008C13D3"/>
    <w:rsid w:val="008C15E3"/>
    <w:rsid w:val="008C1705"/>
    <w:rsid w:val="008C1784"/>
    <w:rsid w:val="008C2F2C"/>
    <w:rsid w:val="008C3001"/>
    <w:rsid w:val="008C3D8D"/>
    <w:rsid w:val="008C440C"/>
    <w:rsid w:val="008C5E1B"/>
    <w:rsid w:val="008C5ECD"/>
    <w:rsid w:val="008C6480"/>
    <w:rsid w:val="008C69DA"/>
    <w:rsid w:val="008C7047"/>
    <w:rsid w:val="008C7AC4"/>
    <w:rsid w:val="008D0017"/>
    <w:rsid w:val="008D0D72"/>
    <w:rsid w:val="008D3189"/>
    <w:rsid w:val="008D4D2C"/>
    <w:rsid w:val="008D5392"/>
    <w:rsid w:val="008D53DE"/>
    <w:rsid w:val="008D5981"/>
    <w:rsid w:val="008D5C84"/>
    <w:rsid w:val="008D5FA4"/>
    <w:rsid w:val="008D6CEB"/>
    <w:rsid w:val="008D7320"/>
    <w:rsid w:val="008D74C9"/>
    <w:rsid w:val="008D7A5F"/>
    <w:rsid w:val="008D7F39"/>
    <w:rsid w:val="008E0156"/>
    <w:rsid w:val="008E0614"/>
    <w:rsid w:val="008E0A28"/>
    <w:rsid w:val="008E0C40"/>
    <w:rsid w:val="008E102C"/>
    <w:rsid w:val="008E2409"/>
    <w:rsid w:val="008E2694"/>
    <w:rsid w:val="008E342B"/>
    <w:rsid w:val="008E3862"/>
    <w:rsid w:val="008E3B15"/>
    <w:rsid w:val="008E3FA2"/>
    <w:rsid w:val="008E4821"/>
    <w:rsid w:val="008E4A27"/>
    <w:rsid w:val="008E4AD8"/>
    <w:rsid w:val="008E4CE4"/>
    <w:rsid w:val="008E4D45"/>
    <w:rsid w:val="008E6006"/>
    <w:rsid w:val="008E62B1"/>
    <w:rsid w:val="008E6318"/>
    <w:rsid w:val="008E691D"/>
    <w:rsid w:val="008F076A"/>
    <w:rsid w:val="008F08C7"/>
    <w:rsid w:val="008F08E2"/>
    <w:rsid w:val="008F138B"/>
    <w:rsid w:val="008F1981"/>
    <w:rsid w:val="008F1D32"/>
    <w:rsid w:val="008F32A9"/>
    <w:rsid w:val="008F465B"/>
    <w:rsid w:val="008F593A"/>
    <w:rsid w:val="008F5AEA"/>
    <w:rsid w:val="008F6A74"/>
    <w:rsid w:val="008F6D58"/>
    <w:rsid w:val="008F73C4"/>
    <w:rsid w:val="008F7634"/>
    <w:rsid w:val="008F7759"/>
    <w:rsid w:val="008F777A"/>
    <w:rsid w:val="008F79FC"/>
    <w:rsid w:val="008F7C78"/>
    <w:rsid w:val="00901BA1"/>
    <w:rsid w:val="00902398"/>
    <w:rsid w:val="00902561"/>
    <w:rsid w:val="009026CF"/>
    <w:rsid w:val="009037A2"/>
    <w:rsid w:val="00904B2E"/>
    <w:rsid w:val="00904D9E"/>
    <w:rsid w:val="0090674B"/>
    <w:rsid w:val="00907AEF"/>
    <w:rsid w:val="009104ED"/>
    <w:rsid w:val="009112B4"/>
    <w:rsid w:val="009113CE"/>
    <w:rsid w:val="0091167B"/>
    <w:rsid w:val="009117D7"/>
    <w:rsid w:val="009118F0"/>
    <w:rsid w:val="00911913"/>
    <w:rsid w:val="00911D6C"/>
    <w:rsid w:val="00912C09"/>
    <w:rsid w:val="00912DE0"/>
    <w:rsid w:val="00912E04"/>
    <w:rsid w:val="00913349"/>
    <w:rsid w:val="009137DA"/>
    <w:rsid w:val="00913BD9"/>
    <w:rsid w:val="009158B3"/>
    <w:rsid w:val="00915B4D"/>
    <w:rsid w:val="00915EB2"/>
    <w:rsid w:val="009162A3"/>
    <w:rsid w:val="00917BF7"/>
    <w:rsid w:val="009203AE"/>
    <w:rsid w:val="00921214"/>
    <w:rsid w:val="0092157A"/>
    <w:rsid w:val="00922575"/>
    <w:rsid w:val="00923DC4"/>
    <w:rsid w:val="009241CC"/>
    <w:rsid w:val="00924981"/>
    <w:rsid w:val="00924A37"/>
    <w:rsid w:val="00925404"/>
    <w:rsid w:val="00925918"/>
    <w:rsid w:val="009276D1"/>
    <w:rsid w:val="00927B21"/>
    <w:rsid w:val="00927E3A"/>
    <w:rsid w:val="0093047E"/>
    <w:rsid w:val="00931E44"/>
    <w:rsid w:val="009325E4"/>
    <w:rsid w:val="009329AD"/>
    <w:rsid w:val="00932D31"/>
    <w:rsid w:val="009335BA"/>
    <w:rsid w:val="0093487B"/>
    <w:rsid w:val="009364D3"/>
    <w:rsid w:val="00936510"/>
    <w:rsid w:val="009374CC"/>
    <w:rsid w:val="00940565"/>
    <w:rsid w:val="009408C3"/>
    <w:rsid w:val="00940DDB"/>
    <w:rsid w:val="009411FF"/>
    <w:rsid w:val="00943D8C"/>
    <w:rsid w:val="00943F1D"/>
    <w:rsid w:val="00944347"/>
    <w:rsid w:val="0094631B"/>
    <w:rsid w:val="009465BE"/>
    <w:rsid w:val="009479BE"/>
    <w:rsid w:val="00950730"/>
    <w:rsid w:val="009519E5"/>
    <w:rsid w:val="00954C0B"/>
    <w:rsid w:val="00954E37"/>
    <w:rsid w:val="00955AE0"/>
    <w:rsid w:val="00957B52"/>
    <w:rsid w:val="0096075F"/>
    <w:rsid w:val="00960BB3"/>
    <w:rsid w:val="00960FE5"/>
    <w:rsid w:val="00961245"/>
    <w:rsid w:val="009618D0"/>
    <w:rsid w:val="009638ED"/>
    <w:rsid w:val="00963B18"/>
    <w:rsid w:val="009643A9"/>
    <w:rsid w:val="009648DA"/>
    <w:rsid w:val="00964C17"/>
    <w:rsid w:val="00965260"/>
    <w:rsid w:val="0096573F"/>
    <w:rsid w:val="00965BD5"/>
    <w:rsid w:val="0096657C"/>
    <w:rsid w:val="00966986"/>
    <w:rsid w:val="0096707D"/>
    <w:rsid w:val="00967920"/>
    <w:rsid w:val="0097080E"/>
    <w:rsid w:val="0097091C"/>
    <w:rsid w:val="0097399F"/>
    <w:rsid w:val="00974A44"/>
    <w:rsid w:val="00974E82"/>
    <w:rsid w:val="00976CA5"/>
    <w:rsid w:val="0097754B"/>
    <w:rsid w:val="009811A1"/>
    <w:rsid w:val="00981504"/>
    <w:rsid w:val="00981DC6"/>
    <w:rsid w:val="00981E08"/>
    <w:rsid w:val="00982BA7"/>
    <w:rsid w:val="00984025"/>
    <w:rsid w:val="00984460"/>
    <w:rsid w:val="00984F5F"/>
    <w:rsid w:val="0098690B"/>
    <w:rsid w:val="0099108A"/>
    <w:rsid w:val="00992901"/>
    <w:rsid w:val="00993037"/>
    <w:rsid w:val="009933A5"/>
    <w:rsid w:val="00993D0E"/>
    <w:rsid w:val="00993E91"/>
    <w:rsid w:val="00994772"/>
    <w:rsid w:val="00994915"/>
    <w:rsid w:val="00994A20"/>
    <w:rsid w:val="00995E79"/>
    <w:rsid w:val="0099619F"/>
    <w:rsid w:val="0099768A"/>
    <w:rsid w:val="009A0BB6"/>
    <w:rsid w:val="009A0C68"/>
    <w:rsid w:val="009A1186"/>
    <w:rsid w:val="009A132D"/>
    <w:rsid w:val="009A1C44"/>
    <w:rsid w:val="009A2057"/>
    <w:rsid w:val="009A20B8"/>
    <w:rsid w:val="009A22CF"/>
    <w:rsid w:val="009A2422"/>
    <w:rsid w:val="009A256D"/>
    <w:rsid w:val="009A2E49"/>
    <w:rsid w:val="009A303E"/>
    <w:rsid w:val="009A414D"/>
    <w:rsid w:val="009A4590"/>
    <w:rsid w:val="009A4D94"/>
    <w:rsid w:val="009A590B"/>
    <w:rsid w:val="009A6DD6"/>
    <w:rsid w:val="009A74EE"/>
    <w:rsid w:val="009B07D5"/>
    <w:rsid w:val="009B1247"/>
    <w:rsid w:val="009B198F"/>
    <w:rsid w:val="009B1CF6"/>
    <w:rsid w:val="009B23AE"/>
    <w:rsid w:val="009B36FB"/>
    <w:rsid w:val="009B3ED8"/>
    <w:rsid w:val="009B3F73"/>
    <w:rsid w:val="009B515C"/>
    <w:rsid w:val="009B5931"/>
    <w:rsid w:val="009B6C10"/>
    <w:rsid w:val="009B6DAC"/>
    <w:rsid w:val="009B750C"/>
    <w:rsid w:val="009C0920"/>
    <w:rsid w:val="009C1A55"/>
    <w:rsid w:val="009C2199"/>
    <w:rsid w:val="009C259D"/>
    <w:rsid w:val="009C2797"/>
    <w:rsid w:val="009C27E8"/>
    <w:rsid w:val="009C2D46"/>
    <w:rsid w:val="009C33DF"/>
    <w:rsid w:val="009C51A0"/>
    <w:rsid w:val="009C6A73"/>
    <w:rsid w:val="009C6E2A"/>
    <w:rsid w:val="009C7CB4"/>
    <w:rsid w:val="009C7CBA"/>
    <w:rsid w:val="009C7CEA"/>
    <w:rsid w:val="009D0049"/>
    <w:rsid w:val="009D1B6E"/>
    <w:rsid w:val="009D1B7F"/>
    <w:rsid w:val="009D2517"/>
    <w:rsid w:val="009D2C93"/>
    <w:rsid w:val="009D3C80"/>
    <w:rsid w:val="009D4361"/>
    <w:rsid w:val="009D45C1"/>
    <w:rsid w:val="009D4625"/>
    <w:rsid w:val="009D4799"/>
    <w:rsid w:val="009D4D2F"/>
    <w:rsid w:val="009D6339"/>
    <w:rsid w:val="009D687C"/>
    <w:rsid w:val="009D72D8"/>
    <w:rsid w:val="009D79CA"/>
    <w:rsid w:val="009E05C3"/>
    <w:rsid w:val="009E08D9"/>
    <w:rsid w:val="009E165D"/>
    <w:rsid w:val="009E1E5D"/>
    <w:rsid w:val="009E2F0B"/>
    <w:rsid w:val="009E330C"/>
    <w:rsid w:val="009E35DD"/>
    <w:rsid w:val="009E47B7"/>
    <w:rsid w:val="009E562A"/>
    <w:rsid w:val="009E5810"/>
    <w:rsid w:val="009E58E3"/>
    <w:rsid w:val="009E5A4E"/>
    <w:rsid w:val="009E6435"/>
    <w:rsid w:val="009E7527"/>
    <w:rsid w:val="009F0532"/>
    <w:rsid w:val="009F2044"/>
    <w:rsid w:val="009F22F8"/>
    <w:rsid w:val="009F26A0"/>
    <w:rsid w:val="009F297A"/>
    <w:rsid w:val="009F2E26"/>
    <w:rsid w:val="009F3F41"/>
    <w:rsid w:val="009F4BF5"/>
    <w:rsid w:val="009F5896"/>
    <w:rsid w:val="009F5D06"/>
    <w:rsid w:val="009F5F77"/>
    <w:rsid w:val="009F611F"/>
    <w:rsid w:val="009F6340"/>
    <w:rsid w:val="009F6AC2"/>
    <w:rsid w:val="009F7DEF"/>
    <w:rsid w:val="00A00CA7"/>
    <w:rsid w:val="00A00DAB"/>
    <w:rsid w:val="00A00E63"/>
    <w:rsid w:val="00A01292"/>
    <w:rsid w:val="00A017C7"/>
    <w:rsid w:val="00A018D9"/>
    <w:rsid w:val="00A02716"/>
    <w:rsid w:val="00A02778"/>
    <w:rsid w:val="00A030B6"/>
    <w:rsid w:val="00A0375A"/>
    <w:rsid w:val="00A0386D"/>
    <w:rsid w:val="00A03E14"/>
    <w:rsid w:val="00A0437F"/>
    <w:rsid w:val="00A04487"/>
    <w:rsid w:val="00A04565"/>
    <w:rsid w:val="00A04A39"/>
    <w:rsid w:val="00A05CB1"/>
    <w:rsid w:val="00A0720E"/>
    <w:rsid w:val="00A07512"/>
    <w:rsid w:val="00A07C18"/>
    <w:rsid w:val="00A07FA4"/>
    <w:rsid w:val="00A11AE2"/>
    <w:rsid w:val="00A11D3B"/>
    <w:rsid w:val="00A123E2"/>
    <w:rsid w:val="00A13259"/>
    <w:rsid w:val="00A13602"/>
    <w:rsid w:val="00A1570F"/>
    <w:rsid w:val="00A165A6"/>
    <w:rsid w:val="00A1714A"/>
    <w:rsid w:val="00A17A52"/>
    <w:rsid w:val="00A20182"/>
    <w:rsid w:val="00A21580"/>
    <w:rsid w:val="00A21BDB"/>
    <w:rsid w:val="00A21E4C"/>
    <w:rsid w:val="00A2274E"/>
    <w:rsid w:val="00A22A6F"/>
    <w:rsid w:val="00A22C9A"/>
    <w:rsid w:val="00A243DE"/>
    <w:rsid w:val="00A260E0"/>
    <w:rsid w:val="00A26C0A"/>
    <w:rsid w:val="00A3167E"/>
    <w:rsid w:val="00A319AC"/>
    <w:rsid w:val="00A33F37"/>
    <w:rsid w:val="00A3418E"/>
    <w:rsid w:val="00A343B2"/>
    <w:rsid w:val="00A3467F"/>
    <w:rsid w:val="00A34A28"/>
    <w:rsid w:val="00A34BFF"/>
    <w:rsid w:val="00A41077"/>
    <w:rsid w:val="00A419E1"/>
    <w:rsid w:val="00A428B0"/>
    <w:rsid w:val="00A42901"/>
    <w:rsid w:val="00A43ECC"/>
    <w:rsid w:val="00A453CF"/>
    <w:rsid w:val="00A45A84"/>
    <w:rsid w:val="00A462EC"/>
    <w:rsid w:val="00A47B4F"/>
    <w:rsid w:val="00A47EC6"/>
    <w:rsid w:val="00A507B2"/>
    <w:rsid w:val="00A532B9"/>
    <w:rsid w:val="00A53F72"/>
    <w:rsid w:val="00A55394"/>
    <w:rsid w:val="00A55969"/>
    <w:rsid w:val="00A55C70"/>
    <w:rsid w:val="00A57CFD"/>
    <w:rsid w:val="00A600B4"/>
    <w:rsid w:val="00A60157"/>
    <w:rsid w:val="00A601D7"/>
    <w:rsid w:val="00A6060F"/>
    <w:rsid w:val="00A61F17"/>
    <w:rsid w:val="00A63236"/>
    <w:rsid w:val="00A635C0"/>
    <w:rsid w:val="00A63B67"/>
    <w:rsid w:val="00A65142"/>
    <w:rsid w:val="00A65493"/>
    <w:rsid w:val="00A65DE6"/>
    <w:rsid w:val="00A67B1C"/>
    <w:rsid w:val="00A705BF"/>
    <w:rsid w:val="00A706D1"/>
    <w:rsid w:val="00A70E1B"/>
    <w:rsid w:val="00A70E89"/>
    <w:rsid w:val="00A71451"/>
    <w:rsid w:val="00A7189D"/>
    <w:rsid w:val="00A71977"/>
    <w:rsid w:val="00A71D85"/>
    <w:rsid w:val="00A7285A"/>
    <w:rsid w:val="00A73CE6"/>
    <w:rsid w:val="00A7422A"/>
    <w:rsid w:val="00A74538"/>
    <w:rsid w:val="00A74E6A"/>
    <w:rsid w:val="00A75170"/>
    <w:rsid w:val="00A751BF"/>
    <w:rsid w:val="00A75333"/>
    <w:rsid w:val="00A75EAF"/>
    <w:rsid w:val="00A7609B"/>
    <w:rsid w:val="00A770D5"/>
    <w:rsid w:val="00A80FF3"/>
    <w:rsid w:val="00A812F2"/>
    <w:rsid w:val="00A816E4"/>
    <w:rsid w:val="00A81CC7"/>
    <w:rsid w:val="00A829DD"/>
    <w:rsid w:val="00A82F99"/>
    <w:rsid w:val="00A831CA"/>
    <w:rsid w:val="00A8356B"/>
    <w:rsid w:val="00A85E57"/>
    <w:rsid w:val="00A861C2"/>
    <w:rsid w:val="00A8631A"/>
    <w:rsid w:val="00A864A7"/>
    <w:rsid w:val="00A870F6"/>
    <w:rsid w:val="00A9147F"/>
    <w:rsid w:val="00A91867"/>
    <w:rsid w:val="00A92500"/>
    <w:rsid w:val="00A92884"/>
    <w:rsid w:val="00A92BA9"/>
    <w:rsid w:val="00A93052"/>
    <w:rsid w:val="00A937E5"/>
    <w:rsid w:val="00A9491F"/>
    <w:rsid w:val="00A9497C"/>
    <w:rsid w:val="00A94E0F"/>
    <w:rsid w:val="00A94E98"/>
    <w:rsid w:val="00A94F1A"/>
    <w:rsid w:val="00A9518D"/>
    <w:rsid w:val="00A95C1E"/>
    <w:rsid w:val="00A95DB1"/>
    <w:rsid w:val="00A9614F"/>
    <w:rsid w:val="00A97643"/>
    <w:rsid w:val="00AA095D"/>
    <w:rsid w:val="00AA18FE"/>
    <w:rsid w:val="00AA1C55"/>
    <w:rsid w:val="00AA25EB"/>
    <w:rsid w:val="00AA2749"/>
    <w:rsid w:val="00AA2B03"/>
    <w:rsid w:val="00AA2CFA"/>
    <w:rsid w:val="00AA3F57"/>
    <w:rsid w:val="00AA4F1F"/>
    <w:rsid w:val="00AA50E5"/>
    <w:rsid w:val="00AA5B60"/>
    <w:rsid w:val="00AA5C01"/>
    <w:rsid w:val="00AA666D"/>
    <w:rsid w:val="00AA6EC6"/>
    <w:rsid w:val="00AA7541"/>
    <w:rsid w:val="00AA798B"/>
    <w:rsid w:val="00AA7A93"/>
    <w:rsid w:val="00AB0168"/>
    <w:rsid w:val="00AB1A2F"/>
    <w:rsid w:val="00AB214E"/>
    <w:rsid w:val="00AB2B70"/>
    <w:rsid w:val="00AB2D0A"/>
    <w:rsid w:val="00AB3D81"/>
    <w:rsid w:val="00AB414C"/>
    <w:rsid w:val="00AB47B1"/>
    <w:rsid w:val="00AB4C9C"/>
    <w:rsid w:val="00AB69C8"/>
    <w:rsid w:val="00AC10E8"/>
    <w:rsid w:val="00AC11A5"/>
    <w:rsid w:val="00AC1428"/>
    <w:rsid w:val="00AC17B7"/>
    <w:rsid w:val="00AC2171"/>
    <w:rsid w:val="00AC4875"/>
    <w:rsid w:val="00AC517D"/>
    <w:rsid w:val="00AC5806"/>
    <w:rsid w:val="00AC5873"/>
    <w:rsid w:val="00AC5AD2"/>
    <w:rsid w:val="00AC62CE"/>
    <w:rsid w:val="00AC6A88"/>
    <w:rsid w:val="00AC786F"/>
    <w:rsid w:val="00AD070C"/>
    <w:rsid w:val="00AD0892"/>
    <w:rsid w:val="00AD0ACA"/>
    <w:rsid w:val="00AD0F0D"/>
    <w:rsid w:val="00AD1077"/>
    <w:rsid w:val="00AD1854"/>
    <w:rsid w:val="00AD1CB0"/>
    <w:rsid w:val="00AD1D7E"/>
    <w:rsid w:val="00AD1ECE"/>
    <w:rsid w:val="00AD28C9"/>
    <w:rsid w:val="00AD2FED"/>
    <w:rsid w:val="00AD3E99"/>
    <w:rsid w:val="00AD3FD4"/>
    <w:rsid w:val="00AD4509"/>
    <w:rsid w:val="00AD46BF"/>
    <w:rsid w:val="00AD4ECF"/>
    <w:rsid w:val="00AD55A4"/>
    <w:rsid w:val="00AD5632"/>
    <w:rsid w:val="00AD5B21"/>
    <w:rsid w:val="00AD6331"/>
    <w:rsid w:val="00AD655F"/>
    <w:rsid w:val="00AD6D6D"/>
    <w:rsid w:val="00AD7555"/>
    <w:rsid w:val="00AE05F0"/>
    <w:rsid w:val="00AE167E"/>
    <w:rsid w:val="00AE17A4"/>
    <w:rsid w:val="00AE2697"/>
    <w:rsid w:val="00AE28BF"/>
    <w:rsid w:val="00AE2B75"/>
    <w:rsid w:val="00AE2FFB"/>
    <w:rsid w:val="00AE39DA"/>
    <w:rsid w:val="00AE43F2"/>
    <w:rsid w:val="00AE4A9E"/>
    <w:rsid w:val="00AE5598"/>
    <w:rsid w:val="00AE6138"/>
    <w:rsid w:val="00AE6611"/>
    <w:rsid w:val="00AE6D04"/>
    <w:rsid w:val="00AE758A"/>
    <w:rsid w:val="00AE79FA"/>
    <w:rsid w:val="00AF0377"/>
    <w:rsid w:val="00AF08CE"/>
    <w:rsid w:val="00AF1116"/>
    <w:rsid w:val="00AF3030"/>
    <w:rsid w:val="00AF399C"/>
    <w:rsid w:val="00AF5890"/>
    <w:rsid w:val="00AF58B8"/>
    <w:rsid w:val="00AF5AE7"/>
    <w:rsid w:val="00AF7227"/>
    <w:rsid w:val="00AF7CCF"/>
    <w:rsid w:val="00B02AD6"/>
    <w:rsid w:val="00B040C9"/>
    <w:rsid w:val="00B04559"/>
    <w:rsid w:val="00B046F6"/>
    <w:rsid w:val="00B04CCD"/>
    <w:rsid w:val="00B06E3B"/>
    <w:rsid w:val="00B10696"/>
    <w:rsid w:val="00B10D6F"/>
    <w:rsid w:val="00B114E4"/>
    <w:rsid w:val="00B11569"/>
    <w:rsid w:val="00B11E50"/>
    <w:rsid w:val="00B11FF0"/>
    <w:rsid w:val="00B12816"/>
    <w:rsid w:val="00B12F32"/>
    <w:rsid w:val="00B14218"/>
    <w:rsid w:val="00B14319"/>
    <w:rsid w:val="00B15798"/>
    <w:rsid w:val="00B15F51"/>
    <w:rsid w:val="00B16696"/>
    <w:rsid w:val="00B179BA"/>
    <w:rsid w:val="00B17A29"/>
    <w:rsid w:val="00B20B66"/>
    <w:rsid w:val="00B20CCF"/>
    <w:rsid w:val="00B21910"/>
    <w:rsid w:val="00B22073"/>
    <w:rsid w:val="00B22414"/>
    <w:rsid w:val="00B235D0"/>
    <w:rsid w:val="00B241ED"/>
    <w:rsid w:val="00B24A87"/>
    <w:rsid w:val="00B25D87"/>
    <w:rsid w:val="00B268AB"/>
    <w:rsid w:val="00B2697F"/>
    <w:rsid w:val="00B271C3"/>
    <w:rsid w:val="00B27AEC"/>
    <w:rsid w:val="00B27FB7"/>
    <w:rsid w:val="00B27FE7"/>
    <w:rsid w:val="00B303EC"/>
    <w:rsid w:val="00B3143D"/>
    <w:rsid w:val="00B31B69"/>
    <w:rsid w:val="00B3400A"/>
    <w:rsid w:val="00B343B9"/>
    <w:rsid w:val="00B3539F"/>
    <w:rsid w:val="00B372A0"/>
    <w:rsid w:val="00B3783E"/>
    <w:rsid w:val="00B4064F"/>
    <w:rsid w:val="00B41235"/>
    <w:rsid w:val="00B41715"/>
    <w:rsid w:val="00B41F6F"/>
    <w:rsid w:val="00B420D5"/>
    <w:rsid w:val="00B4322A"/>
    <w:rsid w:val="00B43428"/>
    <w:rsid w:val="00B45D20"/>
    <w:rsid w:val="00B46044"/>
    <w:rsid w:val="00B473DD"/>
    <w:rsid w:val="00B47FC3"/>
    <w:rsid w:val="00B50386"/>
    <w:rsid w:val="00B5171F"/>
    <w:rsid w:val="00B51CE8"/>
    <w:rsid w:val="00B52919"/>
    <w:rsid w:val="00B52FCD"/>
    <w:rsid w:val="00B533AF"/>
    <w:rsid w:val="00B55C09"/>
    <w:rsid w:val="00B564D1"/>
    <w:rsid w:val="00B56BFA"/>
    <w:rsid w:val="00B5722B"/>
    <w:rsid w:val="00B572E0"/>
    <w:rsid w:val="00B604FA"/>
    <w:rsid w:val="00B609FF"/>
    <w:rsid w:val="00B61C7B"/>
    <w:rsid w:val="00B627D3"/>
    <w:rsid w:val="00B645FD"/>
    <w:rsid w:val="00B64B08"/>
    <w:rsid w:val="00B650ED"/>
    <w:rsid w:val="00B65FE4"/>
    <w:rsid w:val="00B6668D"/>
    <w:rsid w:val="00B70BA3"/>
    <w:rsid w:val="00B72D83"/>
    <w:rsid w:val="00B72DD4"/>
    <w:rsid w:val="00B73EDD"/>
    <w:rsid w:val="00B74911"/>
    <w:rsid w:val="00B74BAE"/>
    <w:rsid w:val="00B74EDA"/>
    <w:rsid w:val="00B7552C"/>
    <w:rsid w:val="00B75545"/>
    <w:rsid w:val="00B7715E"/>
    <w:rsid w:val="00B775DD"/>
    <w:rsid w:val="00B77BF5"/>
    <w:rsid w:val="00B80C58"/>
    <w:rsid w:val="00B816DE"/>
    <w:rsid w:val="00B826A8"/>
    <w:rsid w:val="00B82BE9"/>
    <w:rsid w:val="00B83410"/>
    <w:rsid w:val="00B83659"/>
    <w:rsid w:val="00B85BD8"/>
    <w:rsid w:val="00B85E62"/>
    <w:rsid w:val="00B86BEA"/>
    <w:rsid w:val="00B86EBE"/>
    <w:rsid w:val="00B87A7A"/>
    <w:rsid w:val="00B9173F"/>
    <w:rsid w:val="00B91EC6"/>
    <w:rsid w:val="00B92195"/>
    <w:rsid w:val="00B93208"/>
    <w:rsid w:val="00B93549"/>
    <w:rsid w:val="00B93F65"/>
    <w:rsid w:val="00B9456E"/>
    <w:rsid w:val="00B94C0A"/>
    <w:rsid w:val="00B95257"/>
    <w:rsid w:val="00B96C59"/>
    <w:rsid w:val="00B96CE2"/>
    <w:rsid w:val="00B97891"/>
    <w:rsid w:val="00B9793D"/>
    <w:rsid w:val="00B97B5A"/>
    <w:rsid w:val="00BA0307"/>
    <w:rsid w:val="00BA0B4B"/>
    <w:rsid w:val="00BA1267"/>
    <w:rsid w:val="00BA3896"/>
    <w:rsid w:val="00BA3F74"/>
    <w:rsid w:val="00BA4BE5"/>
    <w:rsid w:val="00BA52BA"/>
    <w:rsid w:val="00BA62B6"/>
    <w:rsid w:val="00BA63BB"/>
    <w:rsid w:val="00BA68EF"/>
    <w:rsid w:val="00BA79F1"/>
    <w:rsid w:val="00BB075E"/>
    <w:rsid w:val="00BB08BA"/>
    <w:rsid w:val="00BB14AE"/>
    <w:rsid w:val="00BB1C85"/>
    <w:rsid w:val="00BB1D2D"/>
    <w:rsid w:val="00BB28D7"/>
    <w:rsid w:val="00BB3C29"/>
    <w:rsid w:val="00BB5358"/>
    <w:rsid w:val="00BB5466"/>
    <w:rsid w:val="00BB5576"/>
    <w:rsid w:val="00BB5D66"/>
    <w:rsid w:val="00BB697C"/>
    <w:rsid w:val="00BB6B23"/>
    <w:rsid w:val="00BC09B1"/>
    <w:rsid w:val="00BC0E4C"/>
    <w:rsid w:val="00BC2EC7"/>
    <w:rsid w:val="00BC3740"/>
    <w:rsid w:val="00BC3ED9"/>
    <w:rsid w:val="00BC53AB"/>
    <w:rsid w:val="00BC54DC"/>
    <w:rsid w:val="00BC624B"/>
    <w:rsid w:val="00BC6375"/>
    <w:rsid w:val="00BC6820"/>
    <w:rsid w:val="00BC6FF6"/>
    <w:rsid w:val="00BC768D"/>
    <w:rsid w:val="00BD0222"/>
    <w:rsid w:val="00BD084A"/>
    <w:rsid w:val="00BD1962"/>
    <w:rsid w:val="00BD1DB3"/>
    <w:rsid w:val="00BD45F1"/>
    <w:rsid w:val="00BD488B"/>
    <w:rsid w:val="00BD48D3"/>
    <w:rsid w:val="00BD7D33"/>
    <w:rsid w:val="00BE0214"/>
    <w:rsid w:val="00BE05E5"/>
    <w:rsid w:val="00BE1B3A"/>
    <w:rsid w:val="00BE1FA9"/>
    <w:rsid w:val="00BE2BD6"/>
    <w:rsid w:val="00BE3523"/>
    <w:rsid w:val="00BE35C7"/>
    <w:rsid w:val="00BE36AE"/>
    <w:rsid w:val="00BE3B73"/>
    <w:rsid w:val="00BE3F06"/>
    <w:rsid w:val="00BE5F3C"/>
    <w:rsid w:val="00BE6104"/>
    <w:rsid w:val="00BE6EA4"/>
    <w:rsid w:val="00BE76F9"/>
    <w:rsid w:val="00BE7FB0"/>
    <w:rsid w:val="00BF239D"/>
    <w:rsid w:val="00BF2EA9"/>
    <w:rsid w:val="00BF318F"/>
    <w:rsid w:val="00BF34AC"/>
    <w:rsid w:val="00BF38C9"/>
    <w:rsid w:val="00BF4C36"/>
    <w:rsid w:val="00BF615B"/>
    <w:rsid w:val="00BF6A65"/>
    <w:rsid w:val="00BF7822"/>
    <w:rsid w:val="00BF7F9A"/>
    <w:rsid w:val="00C0072A"/>
    <w:rsid w:val="00C0115A"/>
    <w:rsid w:val="00C024AD"/>
    <w:rsid w:val="00C02669"/>
    <w:rsid w:val="00C02AC5"/>
    <w:rsid w:val="00C040A0"/>
    <w:rsid w:val="00C047E6"/>
    <w:rsid w:val="00C05BD6"/>
    <w:rsid w:val="00C06424"/>
    <w:rsid w:val="00C07665"/>
    <w:rsid w:val="00C076F5"/>
    <w:rsid w:val="00C10F98"/>
    <w:rsid w:val="00C1137C"/>
    <w:rsid w:val="00C115A6"/>
    <w:rsid w:val="00C11891"/>
    <w:rsid w:val="00C1255D"/>
    <w:rsid w:val="00C139AD"/>
    <w:rsid w:val="00C15A52"/>
    <w:rsid w:val="00C16E9E"/>
    <w:rsid w:val="00C17BFB"/>
    <w:rsid w:val="00C17E6C"/>
    <w:rsid w:val="00C20733"/>
    <w:rsid w:val="00C22A8E"/>
    <w:rsid w:val="00C23496"/>
    <w:rsid w:val="00C241B0"/>
    <w:rsid w:val="00C25BC3"/>
    <w:rsid w:val="00C25C9A"/>
    <w:rsid w:val="00C26249"/>
    <w:rsid w:val="00C2642C"/>
    <w:rsid w:val="00C2754F"/>
    <w:rsid w:val="00C320F9"/>
    <w:rsid w:val="00C32A58"/>
    <w:rsid w:val="00C34F74"/>
    <w:rsid w:val="00C354A0"/>
    <w:rsid w:val="00C36EFA"/>
    <w:rsid w:val="00C37DAA"/>
    <w:rsid w:val="00C40242"/>
    <w:rsid w:val="00C433A8"/>
    <w:rsid w:val="00C43918"/>
    <w:rsid w:val="00C43BB6"/>
    <w:rsid w:val="00C44012"/>
    <w:rsid w:val="00C440C9"/>
    <w:rsid w:val="00C4414F"/>
    <w:rsid w:val="00C4419B"/>
    <w:rsid w:val="00C447DF"/>
    <w:rsid w:val="00C44989"/>
    <w:rsid w:val="00C44CEF"/>
    <w:rsid w:val="00C44F43"/>
    <w:rsid w:val="00C468D2"/>
    <w:rsid w:val="00C46A0E"/>
    <w:rsid w:val="00C46EE7"/>
    <w:rsid w:val="00C47187"/>
    <w:rsid w:val="00C47F7E"/>
    <w:rsid w:val="00C5175E"/>
    <w:rsid w:val="00C51959"/>
    <w:rsid w:val="00C51B4E"/>
    <w:rsid w:val="00C51DAD"/>
    <w:rsid w:val="00C531E6"/>
    <w:rsid w:val="00C532A9"/>
    <w:rsid w:val="00C53F28"/>
    <w:rsid w:val="00C545EE"/>
    <w:rsid w:val="00C54B3A"/>
    <w:rsid w:val="00C569F2"/>
    <w:rsid w:val="00C613FE"/>
    <w:rsid w:val="00C6181C"/>
    <w:rsid w:val="00C61CA7"/>
    <w:rsid w:val="00C620A4"/>
    <w:rsid w:val="00C627AC"/>
    <w:rsid w:val="00C63149"/>
    <w:rsid w:val="00C63780"/>
    <w:rsid w:val="00C63AF7"/>
    <w:rsid w:val="00C63F9B"/>
    <w:rsid w:val="00C6402E"/>
    <w:rsid w:val="00C6498F"/>
    <w:rsid w:val="00C65038"/>
    <w:rsid w:val="00C65B8C"/>
    <w:rsid w:val="00C67097"/>
    <w:rsid w:val="00C70EE8"/>
    <w:rsid w:val="00C71F39"/>
    <w:rsid w:val="00C7403B"/>
    <w:rsid w:val="00C7413E"/>
    <w:rsid w:val="00C774F3"/>
    <w:rsid w:val="00C77CAF"/>
    <w:rsid w:val="00C77D22"/>
    <w:rsid w:val="00C80D6A"/>
    <w:rsid w:val="00C81277"/>
    <w:rsid w:val="00C829F4"/>
    <w:rsid w:val="00C83023"/>
    <w:rsid w:val="00C8352D"/>
    <w:rsid w:val="00C83DD2"/>
    <w:rsid w:val="00C844A8"/>
    <w:rsid w:val="00C850A5"/>
    <w:rsid w:val="00C8511F"/>
    <w:rsid w:val="00C856DD"/>
    <w:rsid w:val="00C900FB"/>
    <w:rsid w:val="00C905CA"/>
    <w:rsid w:val="00C90FB3"/>
    <w:rsid w:val="00C91392"/>
    <w:rsid w:val="00C92009"/>
    <w:rsid w:val="00C92FDB"/>
    <w:rsid w:val="00C9328D"/>
    <w:rsid w:val="00C934DB"/>
    <w:rsid w:val="00C93765"/>
    <w:rsid w:val="00C94318"/>
    <w:rsid w:val="00C949F2"/>
    <w:rsid w:val="00C94F94"/>
    <w:rsid w:val="00C960C4"/>
    <w:rsid w:val="00C96124"/>
    <w:rsid w:val="00C9646A"/>
    <w:rsid w:val="00C964C5"/>
    <w:rsid w:val="00C97029"/>
    <w:rsid w:val="00CA10D9"/>
    <w:rsid w:val="00CA3054"/>
    <w:rsid w:val="00CA330C"/>
    <w:rsid w:val="00CA3320"/>
    <w:rsid w:val="00CA41B2"/>
    <w:rsid w:val="00CA4619"/>
    <w:rsid w:val="00CA4A3D"/>
    <w:rsid w:val="00CA4B29"/>
    <w:rsid w:val="00CA5005"/>
    <w:rsid w:val="00CA5034"/>
    <w:rsid w:val="00CA51D3"/>
    <w:rsid w:val="00CA5B77"/>
    <w:rsid w:val="00CA6464"/>
    <w:rsid w:val="00CA664D"/>
    <w:rsid w:val="00CA6CE8"/>
    <w:rsid w:val="00CA70BF"/>
    <w:rsid w:val="00CB3A09"/>
    <w:rsid w:val="00CB3D5A"/>
    <w:rsid w:val="00CB3F8B"/>
    <w:rsid w:val="00CB4664"/>
    <w:rsid w:val="00CB486D"/>
    <w:rsid w:val="00CB6203"/>
    <w:rsid w:val="00CB6E46"/>
    <w:rsid w:val="00CB730A"/>
    <w:rsid w:val="00CC00DD"/>
    <w:rsid w:val="00CC3CAE"/>
    <w:rsid w:val="00CC3DCE"/>
    <w:rsid w:val="00CC3F10"/>
    <w:rsid w:val="00CC3F3B"/>
    <w:rsid w:val="00CC400F"/>
    <w:rsid w:val="00CC441B"/>
    <w:rsid w:val="00CC61CE"/>
    <w:rsid w:val="00CC7348"/>
    <w:rsid w:val="00CC795D"/>
    <w:rsid w:val="00CC7E0D"/>
    <w:rsid w:val="00CC7E2C"/>
    <w:rsid w:val="00CD08F0"/>
    <w:rsid w:val="00CD0D02"/>
    <w:rsid w:val="00CD0F34"/>
    <w:rsid w:val="00CD1A1C"/>
    <w:rsid w:val="00CD1F54"/>
    <w:rsid w:val="00CD2782"/>
    <w:rsid w:val="00CD4A7C"/>
    <w:rsid w:val="00CD4DC7"/>
    <w:rsid w:val="00CD6A45"/>
    <w:rsid w:val="00CD6BEB"/>
    <w:rsid w:val="00CD6D6C"/>
    <w:rsid w:val="00CE154E"/>
    <w:rsid w:val="00CE1CA9"/>
    <w:rsid w:val="00CE34A9"/>
    <w:rsid w:val="00CE3879"/>
    <w:rsid w:val="00CE432A"/>
    <w:rsid w:val="00CE4A00"/>
    <w:rsid w:val="00CE4B0B"/>
    <w:rsid w:val="00CE6835"/>
    <w:rsid w:val="00CE74BD"/>
    <w:rsid w:val="00CE76C6"/>
    <w:rsid w:val="00CE7A81"/>
    <w:rsid w:val="00CF0AF7"/>
    <w:rsid w:val="00CF14DC"/>
    <w:rsid w:val="00CF194A"/>
    <w:rsid w:val="00CF2AE9"/>
    <w:rsid w:val="00CF2B7C"/>
    <w:rsid w:val="00CF2FE5"/>
    <w:rsid w:val="00CF443E"/>
    <w:rsid w:val="00CF56C5"/>
    <w:rsid w:val="00CF6077"/>
    <w:rsid w:val="00CF68E4"/>
    <w:rsid w:val="00CF7BF3"/>
    <w:rsid w:val="00D003E0"/>
    <w:rsid w:val="00D01337"/>
    <w:rsid w:val="00D01527"/>
    <w:rsid w:val="00D022F2"/>
    <w:rsid w:val="00D02BEC"/>
    <w:rsid w:val="00D0383D"/>
    <w:rsid w:val="00D047A3"/>
    <w:rsid w:val="00D04A0B"/>
    <w:rsid w:val="00D06746"/>
    <w:rsid w:val="00D07100"/>
    <w:rsid w:val="00D108C5"/>
    <w:rsid w:val="00D10CE7"/>
    <w:rsid w:val="00D117E4"/>
    <w:rsid w:val="00D119EA"/>
    <w:rsid w:val="00D11D3E"/>
    <w:rsid w:val="00D12147"/>
    <w:rsid w:val="00D12482"/>
    <w:rsid w:val="00D1288A"/>
    <w:rsid w:val="00D12BE2"/>
    <w:rsid w:val="00D13C3C"/>
    <w:rsid w:val="00D14202"/>
    <w:rsid w:val="00D14DBC"/>
    <w:rsid w:val="00D158F7"/>
    <w:rsid w:val="00D15DB9"/>
    <w:rsid w:val="00D16F0D"/>
    <w:rsid w:val="00D175EE"/>
    <w:rsid w:val="00D176C5"/>
    <w:rsid w:val="00D177BB"/>
    <w:rsid w:val="00D179CD"/>
    <w:rsid w:val="00D20631"/>
    <w:rsid w:val="00D20B04"/>
    <w:rsid w:val="00D20B55"/>
    <w:rsid w:val="00D222E1"/>
    <w:rsid w:val="00D22F5B"/>
    <w:rsid w:val="00D23B29"/>
    <w:rsid w:val="00D24050"/>
    <w:rsid w:val="00D24608"/>
    <w:rsid w:val="00D248A7"/>
    <w:rsid w:val="00D2497B"/>
    <w:rsid w:val="00D2518E"/>
    <w:rsid w:val="00D260DC"/>
    <w:rsid w:val="00D2637E"/>
    <w:rsid w:val="00D26AA3"/>
    <w:rsid w:val="00D27931"/>
    <w:rsid w:val="00D279DD"/>
    <w:rsid w:val="00D30304"/>
    <w:rsid w:val="00D32693"/>
    <w:rsid w:val="00D34A94"/>
    <w:rsid w:val="00D34C36"/>
    <w:rsid w:val="00D34E18"/>
    <w:rsid w:val="00D3511A"/>
    <w:rsid w:val="00D37C58"/>
    <w:rsid w:val="00D37EB6"/>
    <w:rsid w:val="00D41716"/>
    <w:rsid w:val="00D41D38"/>
    <w:rsid w:val="00D43015"/>
    <w:rsid w:val="00D4379E"/>
    <w:rsid w:val="00D4642B"/>
    <w:rsid w:val="00D464AB"/>
    <w:rsid w:val="00D479B8"/>
    <w:rsid w:val="00D47CD4"/>
    <w:rsid w:val="00D50396"/>
    <w:rsid w:val="00D52CB4"/>
    <w:rsid w:val="00D5334A"/>
    <w:rsid w:val="00D53663"/>
    <w:rsid w:val="00D548CF"/>
    <w:rsid w:val="00D5503E"/>
    <w:rsid w:val="00D567C1"/>
    <w:rsid w:val="00D56CB5"/>
    <w:rsid w:val="00D5721B"/>
    <w:rsid w:val="00D572EA"/>
    <w:rsid w:val="00D57A7B"/>
    <w:rsid w:val="00D61558"/>
    <w:rsid w:val="00D6165A"/>
    <w:rsid w:val="00D61D40"/>
    <w:rsid w:val="00D62E50"/>
    <w:rsid w:val="00D63FA5"/>
    <w:rsid w:val="00D641D8"/>
    <w:rsid w:val="00D649EA"/>
    <w:rsid w:val="00D65111"/>
    <w:rsid w:val="00D65DCB"/>
    <w:rsid w:val="00D664C1"/>
    <w:rsid w:val="00D70B33"/>
    <w:rsid w:val="00D70E15"/>
    <w:rsid w:val="00D7100C"/>
    <w:rsid w:val="00D714CF"/>
    <w:rsid w:val="00D719BF"/>
    <w:rsid w:val="00D72340"/>
    <w:rsid w:val="00D738EE"/>
    <w:rsid w:val="00D74C9B"/>
    <w:rsid w:val="00D7509A"/>
    <w:rsid w:val="00D77292"/>
    <w:rsid w:val="00D800C8"/>
    <w:rsid w:val="00D8022F"/>
    <w:rsid w:val="00D80B42"/>
    <w:rsid w:val="00D81E74"/>
    <w:rsid w:val="00D825FA"/>
    <w:rsid w:val="00D82B85"/>
    <w:rsid w:val="00D836C7"/>
    <w:rsid w:val="00D83B51"/>
    <w:rsid w:val="00D84086"/>
    <w:rsid w:val="00D848A4"/>
    <w:rsid w:val="00D85B19"/>
    <w:rsid w:val="00D8680B"/>
    <w:rsid w:val="00D90ADB"/>
    <w:rsid w:val="00D91CAC"/>
    <w:rsid w:val="00D91F78"/>
    <w:rsid w:val="00D91F79"/>
    <w:rsid w:val="00D92D5F"/>
    <w:rsid w:val="00D92F84"/>
    <w:rsid w:val="00D9377E"/>
    <w:rsid w:val="00D93781"/>
    <w:rsid w:val="00D93FB4"/>
    <w:rsid w:val="00D94439"/>
    <w:rsid w:val="00D94E99"/>
    <w:rsid w:val="00D9533F"/>
    <w:rsid w:val="00D953A9"/>
    <w:rsid w:val="00D95B8E"/>
    <w:rsid w:val="00D95EC1"/>
    <w:rsid w:val="00D96C1C"/>
    <w:rsid w:val="00D97BDD"/>
    <w:rsid w:val="00D97CCC"/>
    <w:rsid w:val="00D97DF9"/>
    <w:rsid w:val="00DA1634"/>
    <w:rsid w:val="00DA1B8E"/>
    <w:rsid w:val="00DA1C41"/>
    <w:rsid w:val="00DA201C"/>
    <w:rsid w:val="00DA2D45"/>
    <w:rsid w:val="00DA34C5"/>
    <w:rsid w:val="00DA4785"/>
    <w:rsid w:val="00DA5442"/>
    <w:rsid w:val="00DA5C95"/>
    <w:rsid w:val="00DB0F3D"/>
    <w:rsid w:val="00DB12D2"/>
    <w:rsid w:val="00DB1985"/>
    <w:rsid w:val="00DB1CAE"/>
    <w:rsid w:val="00DB23E7"/>
    <w:rsid w:val="00DB2D4F"/>
    <w:rsid w:val="00DB33B7"/>
    <w:rsid w:val="00DB349E"/>
    <w:rsid w:val="00DB3B22"/>
    <w:rsid w:val="00DB3F8D"/>
    <w:rsid w:val="00DB4E2E"/>
    <w:rsid w:val="00DB4E3D"/>
    <w:rsid w:val="00DB541E"/>
    <w:rsid w:val="00DB69A8"/>
    <w:rsid w:val="00DB77EC"/>
    <w:rsid w:val="00DB7BC1"/>
    <w:rsid w:val="00DB7C6C"/>
    <w:rsid w:val="00DC162E"/>
    <w:rsid w:val="00DC28F6"/>
    <w:rsid w:val="00DC3D56"/>
    <w:rsid w:val="00DC4970"/>
    <w:rsid w:val="00DC4C25"/>
    <w:rsid w:val="00DC6B4E"/>
    <w:rsid w:val="00DC71CF"/>
    <w:rsid w:val="00DC78A8"/>
    <w:rsid w:val="00DD01C8"/>
    <w:rsid w:val="00DD0E07"/>
    <w:rsid w:val="00DD0E59"/>
    <w:rsid w:val="00DD101A"/>
    <w:rsid w:val="00DD191C"/>
    <w:rsid w:val="00DD2048"/>
    <w:rsid w:val="00DD214C"/>
    <w:rsid w:val="00DD43F0"/>
    <w:rsid w:val="00DD4A16"/>
    <w:rsid w:val="00DD534D"/>
    <w:rsid w:val="00DD5360"/>
    <w:rsid w:val="00DD5A28"/>
    <w:rsid w:val="00DD7253"/>
    <w:rsid w:val="00DD74DE"/>
    <w:rsid w:val="00DD7DBC"/>
    <w:rsid w:val="00DD7FEC"/>
    <w:rsid w:val="00DE016D"/>
    <w:rsid w:val="00DE06BC"/>
    <w:rsid w:val="00DE0715"/>
    <w:rsid w:val="00DE15CA"/>
    <w:rsid w:val="00DE1FD4"/>
    <w:rsid w:val="00DE28F1"/>
    <w:rsid w:val="00DE3C13"/>
    <w:rsid w:val="00DE58C8"/>
    <w:rsid w:val="00DE5DEF"/>
    <w:rsid w:val="00DE6251"/>
    <w:rsid w:val="00DE63EE"/>
    <w:rsid w:val="00DE6DF5"/>
    <w:rsid w:val="00DE6F50"/>
    <w:rsid w:val="00DE6FDE"/>
    <w:rsid w:val="00DE72AC"/>
    <w:rsid w:val="00DE7D98"/>
    <w:rsid w:val="00DF05AD"/>
    <w:rsid w:val="00DF0608"/>
    <w:rsid w:val="00DF1F42"/>
    <w:rsid w:val="00DF58A2"/>
    <w:rsid w:val="00DF67D2"/>
    <w:rsid w:val="00DF6C6E"/>
    <w:rsid w:val="00DF703E"/>
    <w:rsid w:val="00DF70DD"/>
    <w:rsid w:val="00DF7C68"/>
    <w:rsid w:val="00DF7E6B"/>
    <w:rsid w:val="00E00BC8"/>
    <w:rsid w:val="00E02938"/>
    <w:rsid w:val="00E03081"/>
    <w:rsid w:val="00E03153"/>
    <w:rsid w:val="00E039D3"/>
    <w:rsid w:val="00E04A5A"/>
    <w:rsid w:val="00E04CFB"/>
    <w:rsid w:val="00E04F7D"/>
    <w:rsid w:val="00E05452"/>
    <w:rsid w:val="00E07254"/>
    <w:rsid w:val="00E100E6"/>
    <w:rsid w:val="00E103DF"/>
    <w:rsid w:val="00E10912"/>
    <w:rsid w:val="00E12FF7"/>
    <w:rsid w:val="00E14C4D"/>
    <w:rsid w:val="00E15484"/>
    <w:rsid w:val="00E16FC2"/>
    <w:rsid w:val="00E21254"/>
    <w:rsid w:val="00E21689"/>
    <w:rsid w:val="00E21B2E"/>
    <w:rsid w:val="00E2245D"/>
    <w:rsid w:val="00E224CC"/>
    <w:rsid w:val="00E23C34"/>
    <w:rsid w:val="00E24197"/>
    <w:rsid w:val="00E241CF"/>
    <w:rsid w:val="00E246F3"/>
    <w:rsid w:val="00E2479D"/>
    <w:rsid w:val="00E24F7B"/>
    <w:rsid w:val="00E25B50"/>
    <w:rsid w:val="00E25D31"/>
    <w:rsid w:val="00E25E90"/>
    <w:rsid w:val="00E26561"/>
    <w:rsid w:val="00E277A3"/>
    <w:rsid w:val="00E31662"/>
    <w:rsid w:val="00E31881"/>
    <w:rsid w:val="00E318FB"/>
    <w:rsid w:val="00E31EA8"/>
    <w:rsid w:val="00E32382"/>
    <w:rsid w:val="00E3238A"/>
    <w:rsid w:val="00E32AC4"/>
    <w:rsid w:val="00E32F0F"/>
    <w:rsid w:val="00E32FF0"/>
    <w:rsid w:val="00E338F7"/>
    <w:rsid w:val="00E33F4D"/>
    <w:rsid w:val="00E34A9A"/>
    <w:rsid w:val="00E37F35"/>
    <w:rsid w:val="00E4010D"/>
    <w:rsid w:val="00E405A9"/>
    <w:rsid w:val="00E40832"/>
    <w:rsid w:val="00E42B6B"/>
    <w:rsid w:val="00E436B5"/>
    <w:rsid w:val="00E43AFB"/>
    <w:rsid w:val="00E44360"/>
    <w:rsid w:val="00E4440A"/>
    <w:rsid w:val="00E447DB"/>
    <w:rsid w:val="00E44DA6"/>
    <w:rsid w:val="00E45225"/>
    <w:rsid w:val="00E4682C"/>
    <w:rsid w:val="00E47319"/>
    <w:rsid w:val="00E476D9"/>
    <w:rsid w:val="00E50345"/>
    <w:rsid w:val="00E508CB"/>
    <w:rsid w:val="00E50A3F"/>
    <w:rsid w:val="00E50DB7"/>
    <w:rsid w:val="00E50F6A"/>
    <w:rsid w:val="00E511F1"/>
    <w:rsid w:val="00E51236"/>
    <w:rsid w:val="00E51F7D"/>
    <w:rsid w:val="00E5291A"/>
    <w:rsid w:val="00E52A05"/>
    <w:rsid w:val="00E52DF6"/>
    <w:rsid w:val="00E531EC"/>
    <w:rsid w:val="00E53662"/>
    <w:rsid w:val="00E55710"/>
    <w:rsid w:val="00E55F2F"/>
    <w:rsid w:val="00E56016"/>
    <w:rsid w:val="00E56FB0"/>
    <w:rsid w:val="00E572D8"/>
    <w:rsid w:val="00E57AC9"/>
    <w:rsid w:val="00E603FB"/>
    <w:rsid w:val="00E612FC"/>
    <w:rsid w:val="00E616E4"/>
    <w:rsid w:val="00E616F2"/>
    <w:rsid w:val="00E6217B"/>
    <w:rsid w:val="00E62AD5"/>
    <w:rsid w:val="00E6439B"/>
    <w:rsid w:val="00E6477E"/>
    <w:rsid w:val="00E65C08"/>
    <w:rsid w:val="00E66572"/>
    <w:rsid w:val="00E6741B"/>
    <w:rsid w:val="00E70C0C"/>
    <w:rsid w:val="00E71913"/>
    <w:rsid w:val="00E72ED9"/>
    <w:rsid w:val="00E739BC"/>
    <w:rsid w:val="00E745D8"/>
    <w:rsid w:val="00E74C3A"/>
    <w:rsid w:val="00E767D7"/>
    <w:rsid w:val="00E7696F"/>
    <w:rsid w:val="00E76B7D"/>
    <w:rsid w:val="00E8003B"/>
    <w:rsid w:val="00E805D5"/>
    <w:rsid w:val="00E80AE0"/>
    <w:rsid w:val="00E82193"/>
    <w:rsid w:val="00E82260"/>
    <w:rsid w:val="00E82720"/>
    <w:rsid w:val="00E82889"/>
    <w:rsid w:val="00E830E6"/>
    <w:rsid w:val="00E83E6B"/>
    <w:rsid w:val="00E8431A"/>
    <w:rsid w:val="00E86725"/>
    <w:rsid w:val="00E868EE"/>
    <w:rsid w:val="00E87931"/>
    <w:rsid w:val="00E90319"/>
    <w:rsid w:val="00E92635"/>
    <w:rsid w:val="00E92AC9"/>
    <w:rsid w:val="00E92C06"/>
    <w:rsid w:val="00E92E1D"/>
    <w:rsid w:val="00E92F0D"/>
    <w:rsid w:val="00E9392B"/>
    <w:rsid w:val="00E93A4D"/>
    <w:rsid w:val="00E93AA9"/>
    <w:rsid w:val="00E94620"/>
    <w:rsid w:val="00E94998"/>
    <w:rsid w:val="00E95F9D"/>
    <w:rsid w:val="00E960A9"/>
    <w:rsid w:val="00EA064B"/>
    <w:rsid w:val="00EA0FBB"/>
    <w:rsid w:val="00EA26AF"/>
    <w:rsid w:val="00EA5B00"/>
    <w:rsid w:val="00EA5B37"/>
    <w:rsid w:val="00EA5E59"/>
    <w:rsid w:val="00EA7232"/>
    <w:rsid w:val="00EA79A0"/>
    <w:rsid w:val="00EB031E"/>
    <w:rsid w:val="00EB05F3"/>
    <w:rsid w:val="00EB181E"/>
    <w:rsid w:val="00EB1F4A"/>
    <w:rsid w:val="00EB2249"/>
    <w:rsid w:val="00EB2290"/>
    <w:rsid w:val="00EB2B74"/>
    <w:rsid w:val="00EB36D6"/>
    <w:rsid w:val="00EB3702"/>
    <w:rsid w:val="00EB3F14"/>
    <w:rsid w:val="00EB4304"/>
    <w:rsid w:val="00EB4B8D"/>
    <w:rsid w:val="00EB57DC"/>
    <w:rsid w:val="00EB71CC"/>
    <w:rsid w:val="00EB7B92"/>
    <w:rsid w:val="00EB7F24"/>
    <w:rsid w:val="00EC002D"/>
    <w:rsid w:val="00EC0035"/>
    <w:rsid w:val="00EC0962"/>
    <w:rsid w:val="00EC0AC7"/>
    <w:rsid w:val="00EC0E05"/>
    <w:rsid w:val="00EC111B"/>
    <w:rsid w:val="00EC1B19"/>
    <w:rsid w:val="00EC4D68"/>
    <w:rsid w:val="00EC57E3"/>
    <w:rsid w:val="00EC58A6"/>
    <w:rsid w:val="00EC5A38"/>
    <w:rsid w:val="00EC6694"/>
    <w:rsid w:val="00EC6EDF"/>
    <w:rsid w:val="00EC7E8C"/>
    <w:rsid w:val="00ED029D"/>
    <w:rsid w:val="00ED0678"/>
    <w:rsid w:val="00ED1454"/>
    <w:rsid w:val="00ED15B2"/>
    <w:rsid w:val="00ED23C4"/>
    <w:rsid w:val="00ED335C"/>
    <w:rsid w:val="00ED39BD"/>
    <w:rsid w:val="00ED3AA2"/>
    <w:rsid w:val="00ED3FD0"/>
    <w:rsid w:val="00ED4450"/>
    <w:rsid w:val="00ED452E"/>
    <w:rsid w:val="00ED4905"/>
    <w:rsid w:val="00ED5086"/>
    <w:rsid w:val="00ED511D"/>
    <w:rsid w:val="00ED57C3"/>
    <w:rsid w:val="00ED5EFF"/>
    <w:rsid w:val="00ED631A"/>
    <w:rsid w:val="00ED6470"/>
    <w:rsid w:val="00ED73BC"/>
    <w:rsid w:val="00EE0CAF"/>
    <w:rsid w:val="00EE0E50"/>
    <w:rsid w:val="00EE15BD"/>
    <w:rsid w:val="00EE2612"/>
    <w:rsid w:val="00EE3362"/>
    <w:rsid w:val="00EE353E"/>
    <w:rsid w:val="00EE4BF5"/>
    <w:rsid w:val="00EE5C1B"/>
    <w:rsid w:val="00EE71B1"/>
    <w:rsid w:val="00EE752A"/>
    <w:rsid w:val="00EF167D"/>
    <w:rsid w:val="00EF1C4D"/>
    <w:rsid w:val="00EF2CDF"/>
    <w:rsid w:val="00EF2D14"/>
    <w:rsid w:val="00EF3351"/>
    <w:rsid w:val="00EF5DC4"/>
    <w:rsid w:val="00EF6D71"/>
    <w:rsid w:val="00F00600"/>
    <w:rsid w:val="00F00676"/>
    <w:rsid w:val="00F00EBF"/>
    <w:rsid w:val="00F01634"/>
    <w:rsid w:val="00F019F5"/>
    <w:rsid w:val="00F01C60"/>
    <w:rsid w:val="00F0222C"/>
    <w:rsid w:val="00F02BD7"/>
    <w:rsid w:val="00F031DD"/>
    <w:rsid w:val="00F0384B"/>
    <w:rsid w:val="00F0447D"/>
    <w:rsid w:val="00F054CD"/>
    <w:rsid w:val="00F05662"/>
    <w:rsid w:val="00F061FE"/>
    <w:rsid w:val="00F06232"/>
    <w:rsid w:val="00F06B0E"/>
    <w:rsid w:val="00F07614"/>
    <w:rsid w:val="00F079F1"/>
    <w:rsid w:val="00F07C55"/>
    <w:rsid w:val="00F10596"/>
    <w:rsid w:val="00F108DB"/>
    <w:rsid w:val="00F10C5B"/>
    <w:rsid w:val="00F10DDA"/>
    <w:rsid w:val="00F113DF"/>
    <w:rsid w:val="00F16124"/>
    <w:rsid w:val="00F161D7"/>
    <w:rsid w:val="00F167AA"/>
    <w:rsid w:val="00F167FB"/>
    <w:rsid w:val="00F17EE3"/>
    <w:rsid w:val="00F202F1"/>
    <w:rsid w:val="00F2049C"/>
    <w:rsid w:val="00F20E58"/>
    <w:rsid w:val="00F215EF"/>
    <w:rsid w:val="00F24396"/>
    <w:rsid w:val="00F24479"/>
    <w:rsid w:val="00F24559"/>
    <w:rsid w:val="00F249F2"/>
    <w:rsid w:val="00F25678"/>
    <w:rsid w:val="00F2620C"/>
    <w:rsid w:val="00F27DE1"/>
    <w:rsid w:val="00F304C7"/>
    <w:rsid w:val="00F3051E"/>
    <w:rsid w:val="00F30599"/>
    <w:rsid w:val="00F31597"/>
    <w:rsid w:val="00F31F7A"/>
    <w:rsid w:val="00F32E94"/>
    <w:rsid w:val="00F34B8B"/>
    <w:rsid w:val="00F3502B"/>
    <w:rsid w:val="00F35778"/>
    <w:rsid w:val="00F35BCD"/>
    <w:rsid w:val="00F3668D"/>
    <w:rsid w:val="00F36D93"/>
    <w:rsid w:val="00F36F4B"/>
    <w:rsid w:val="00F374C7"/>
    <w:rsid w:val="00F37562"/>
    <w:rsid w:val="00F37A4C"/>
    <w:rsid w:val="00F405B8"/>
    <w:rsid w:val="00F4074C"/>
    <w:rsid w:val="00F40D09"/>
    <w:rsid w:val="00F419A3"/>
    <w:rsid w:val="00F41F2B"/>
    <w:rsid w:val="00F430BD"/>
    <w:rsid w:val="00F442F9"/>
    <w:rsid w:val="00F4538D"/>
    <w:rsid w:val="00F45786"/>
    <w:rsid w:val="00F46906"/>
    <w:rsid w:val="00F46B8A"/>
    <w:rsid w:val="00F50C59"/>
    <w:rsid w:val="00F50C88"/>
    <w:rsid w:val="00F53579"/>
    <w:rsid w:val="00F5374D"/>
    <w:rsid w:val="00F53A5D"/>
    <w:rsid w:val="00F54404"/>
    <w:rsid w:val="00F55431"/>
    <w:rsid w:val="00F5557E"/>
    <w:rsid w:val="00F5571B"/>
    <w:rsid w:val="00F55FB0"/>
    <w:rsid w:val="00F560C5"/>
    <w:rsid w:val="00F561D7"/>
    <w:rsid w:val="00F5648C"/>
    <w:rsid w:val="00F57226"/>
    <w:rsid w:val="00F57552"/>
    <w:rsid w:val="00F60843"/>
    <w:rsid w:val="00F60E64"/>
    <w:rsid w:val="00F6432D"/>
    <w:rsid w:val="00F64911"/>
    <w:rsid w:val="00F64B16"/>
    <w:rsid w:val="00F650FE"/>
    <w:rsid w:val="00F658C2"/>
    <w:rsid w:val="00F65B94"/>
    <w:rsid w:val="00F67447"/>
    <w:rsid w:val="00F7228B"/>
    <w:rsid w:val="00F732FB"/>
    <w:rsid w:val="00F750A4"/>
    <w:rsid w:val="00F75E4E"/>
    <w:rsid w:val="00F7675B"/>
    <w:rsid w:val="00F76D28"/>
    <w:rsid w:val="00F7753D"/>
    <w:rsid w:val="00F776D4"/>
    <w:rsid w:val="00F778CC"/>
    <w:rsid w:val="00F804CF"/>
    <w:rsid w:val="00F80755"/>
    <w:rsid w:val="00F80D15"/>
    <w:rsid w:val="00F8151E"/>
    <w:rsid w:val="00F83244"/>
    <w:rsid w:val="00F83D20"/>
    <w:rsid w:val="00F84B54"/>
    <w:rsid w:val="00F85727"/>
    <w:rsid w:val="00F875FF"/>
    <w:rsid w:val="00F879BF"/>
    <w:rsid w:val="00F87A1A"/>
    <w:rsid w:val="00F87C8B"/>
    <w:rsid w:val="00F87F24"/>
    <w:rsid w:val="00F90A97"/>
    <w:rsid w:val="00F928D6"/>
    <w:rsid w:val="00F92D02"/>
    <w:rsid w:val="00F935BB"/>
    <w:rsid w:val="00F95C09"/>
    <w:rsid w:val="00F95E97"/>
    <w:rsid w:val="00F96FEA"/>
    <w:rsid w:val="00F97A30"/>
    <w:rsid w:val="00FA0926"/>
    <w:rsid w:val="00FA1046"/>
    <w:rsid w:val="00FA1335"/>
    <w:rsid w:val="00FA1CF6"/>
    <w:rsid w:val="00FA2B8D"/>
    <w:rsid w:val="00FA3BE6"/>
    <w:rsid w:val="00FA4718"/>
    <w:rsid w:val="00FA4883"/>
    <w:rsid w:val="00FA4EF4"/>
    <w:rsid w:val="00FA5589"/>
    <w:rsid w:val="00FA56ED"/>
    <w:rsid w:val="00FA5CB0"/>
    <w:rsid w:val="00FA6B0D"/>
    <w:rsid w:val="00FA736C"/>
    <w:rsid w:val="00FA7993"/>
    <w:rsid w:val="00FB138F"/>
    <w:rsid w:val="00FB1D8B"/>
    <w:rsid w:val="00FB2E13"/>
    <w:rsid w:val="00FB3294"/>
    <w:rsid w:val="00FB388D"/>
    <w:rsid w:val="00FB3A81"/>
    <w:rsid w:val="00FB4666"/>
    <w:rsid w:val="00FB57B4"/>
    <w:rsid w:val="00FB785A"/>
    <w:rsid w:val="00FB7DCB"/>
    <w:rsid w:val="00FC55D9"/>
    <w:rsid w:val="00FC69EF"/>
    <w:rsid w:val="00FC7ED9"/>
    <w:rsid w:val="00FD0DF5"/>
    <w:rsid w:val="00FD1F5C"/>
    <w:rsid w:val="00FD25B7"/>
    <w:rsid w:val="00FD2D3E"/>
    <w:rsid w:val="00FD348F"/>
    <w:rsid w:val="00FD397B"/>
    <w:rsid w:val="00FD4F16"/>
    <w:rsid w:val="00FD6759"/>
    <w:rsid w:val="00FD7B53"/>
    <w:rsid w:val="00FE031B"/>
    <w:rsid w:val="00FE129A"/>
    <w:rsid w:val="00FE198A"/>
    <w:rsid w:val="00FE1C3C"/>
    <w:rsid w:val="00FE322C"/>
    <w:rsid w:val="00FE45AE"/>
    <w:rsid w:val="00FE4910"/>
    <w:rsid w:val="00FE4F6F"/>
    <w:rsid w:val="00FE53F7"/>
    <w:rsid w:val="00FE567F"/>
    <w:rsid w:val="00FE5739"/>
    <w:rsid w:val="00FE730A"/>
    <w:rsid w:val="00FF17EF"/>
    <w:rsid w:val="00FF18C0"/>
    <w:rsid w:val="00FF1FC6"/>
    <w:rsid w:val="00FF2E57"/>
    <w:rsid w:val="00FF2FA4"/>
    <w:rsid w:val="00FF39DF"/>
    <w:rsid w:val="00FF3DDF"/>
    <w:rsid w:val="00FF450F"/>
    <w:rsid w:val="00FF52E3"/>
    <w:rsid w:val="00FF5824"/>
    <w:rsid w:val="00FF6156"/>
    <w:rsid w:val="00FF781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5B6BDA"/>
  <w15:docId w15:val="{E7A617DB-0557-401A-8E27-AFDDF36F39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GT" w:eastAsia="es-GT"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B198F"/>
    <w:rPr>
      <w:rFonts w:ascii="Times New Roman" w:eastAsia="Times New Roman" w:hAnsi="Times New Roman"/>
      <w:sz w:val="24"/>
      <w:szCs w:val="24"/>
      <w:lang w:val="es-ES" w:eastAsia="es-ES"/>
    </w:rPr>
  </w:style>
  <w:style w:type="paragraph" w:styleId="Ttulo1">
    <w:name w:val="heading 1"/>
    <w:basedOn w:val="Normal"/>
    <w:next w:val="Normal"/>
    <w:link w:val="Ttulo1Car"/>
    <w:qFormat/>
    <w:rsid w:val="009B198F"/>
    <w:pPr>
      <w:keepNext/>
      <w:numPr>
        <w:numId w:val="1"/>
      </w:numPr>
      <w:outlineLvl w:val="0"/>
    </w:pPr>
    <w:rPr>
      <w:b/>
      <w:bCs/>
    </w:rPr>
  </w:style>
  <w:style w:type="paragraph" w:styleId="Ttulo2">
    <w:name w:val="heading 2"/>
    <w:basedOn w:val="Normal"/>
    <w:next w:val="Normal"/>
    <w:link w:val="Ttulo2Car"/>
    <w:qFormat/>
    <w:rsid w:val="009B198F"/>
    <w:pPr>
      <w:keepNext/>
      <w:keepLines/>
      <w:numPr>
        <w:ilvl w:val="1"/>
        <w:numId w:val="1"/>
      </w:numPr>
      <w:spacing w:before="200"/>
      <w:outlineLvl w:val="1"/>
    </w:pPr>
    <w:rPr>
      <w:rFonts w:ascii="Cambria" w:hAnsi="Cambria"/>
      <w:b/>
      <w:bCs/>
      <w:color w:val="4F81BD"/>
      <w:sz w:val="26"/>
      <w:szCs w:val="26"/>
    </w:rPr>
  </w:style>
  <w:style w:type="paragraph" w:styleId="Ttulo3">
    <w:name w:val="heading 3"/>
    <w:basedOn w:val="Normal"/>
    <w:next w:val="Normal"/>
    <w:link w:val="Ttulo3Car"/>
    <w:qFormat/>
    <w:rsid w:val="009B198F"/>
    <w:pPr>
      <w:keepNext/>
      <w:keepLines/>
      <w:numPr>
        <w:ilvl w:val="2"/>
        <w:numId w:val="1"/>
      </w:numPr>
      <w:spacing w:before="200"/>
      <w:outlineLvl w:val="2"/>
    </w:pPr>
    <w:rPr>
      <w:rFonts w:ascii="Cambria" w:hAnsi="Cambria"/>
      <w:b/>
      <w:bCs/>
      <w:color w:val="4F81BD"/>
    </w:rPr>
  </w:style>
  <w:style w:type="paragraph" w:styleId="Ttulo4">
    <w:name w:val="heading 4"/>
    <w:basedOn w:val="Normal"/>
    <w:next w:val="Normal"/>
    <w:link w:val="Ttulo4Car"/>
    <w:qFormat/>
    <w:rsid w:val="009B198F"/>
    <w:pPr>
      <w:keepNext/>
      <w:keepLines/>
      <w:numPr>
        <w:ilvl w:val="3"/>
        <w:numId w:val="1"/>
      </w:numPr>
      <w:spacing w:before="200"/>
      <w:outlineLvl w:val="3"/>
    </w:pPr>
    <w:rPr>
      <w:rFonts w:ascii="Cambria" w:hAnsi="Cambria"/>
      <w:b/>
      <w:bCs/>
      <w:i/>
      <w:iCs/>
      <w:color w:val="4F81BD"/>
    </w:rPr>
  </w:style>
  <w:style w:type="paragraph" w:styleId="Ttulo5">
    <w:name w:val="heading 5"/>
    <w:basedOn w:val="Normal"/>
    <w:next w:val="Normal"/>
    <w:link w:val="Ttulo5Car"/>
    <w:qFormat/>
    <w:rsid w:val="009B198F"/>
    <w:pPr>
      <w:keepNext/>
      <w:keepLines/>
      <w:numPr>
        <w:ilvl w:val="4"/>
        <w:numId w:val="1"/>
      </w:numPr>
      <w:spacing w:before="200"/>
      <w:outlineLvl w:val="4"/>
    </w:pPr>
    <w:rPr>
      <w:rFonts w:ascii="Cambria" w:hAnsi="Cambria"/>
      <w:color w:val="243F60"/>
    </w:rPr>
  </w:style>
  <w:style w:type="paragraph" w:styleId="Ttulo6">
    <w:name w:val="heading 6"/>
    <w:basedOn w:val="Normal"/>
    <w:next w:val="Normal"/>
    <w:link w:val="Ttulo6Car"/>
    <w:qFormat/>
    <w:rsid w:val="009B198F"/>
    <w:pPr>
      <w:keepNext/>
      <w:keepLines/>
      <w:numPr>
        <w:ilvl w:val="5"/>
        <w:numId w:val="1"/>
      </w:numPr>
      <w:spacing w:before="200"/>
      <w:outlineLvl w:val="5"/>
    </w:pPr>
    <w:rPr>
      <w:rFonts w:ascii="Cambria" w:hAnsi="Cambria"/>
      <w:i/>
      <w:iCs/>
      <w:color w:val="243F60"/>
    </w:rPr>
  </w:style>
  <w:style w:type="paragraph" w:styleId="Ttulo7">
    <w:name w:val="heading 7"/>
    <w:basedOn w:val="Normal"/>
    <w:next w:val="Normal"/>
    <w:link w:val="Ttulo7Car"/>
    <w:qFormat/>
    <w:rsid w:val="009B198F"/>
    <w:pPr>
      <w:keepNext/>
      <w:keepLines/>
      <w:numPr>
        <w:ilvl w:val="6"/>
        <w:numId w:val="1"/>
      </w:numPr>
      <w:spacing w:before="200"/>
      <w:outlineLvl w:val="6"/>
    </w:pPr>
    <w:rPr>
      <w:rFonts w:ascii="Cambria" w:hAnsi="Cambria"/>
      <w:i/>
      <w:iCs/>
      <w:color w:val="404040"/>
    </w:rPr>
  </w:style>
  <w:style w:type="paragraph" w:styleId="Ttulo8">
    <w:name w:val="heading 8"/>
    <w:basedOn w:val="Normal"/>
    <w:next w:val="Normal"/>
    <w:link w:val="Ttulo8Car"/>
    <w:qFormat/>
    <w:rsid w:val="009B198F"/>
    <w:pPr>
      <w:keepNext/>
      <w:keepLines/>
      <w:numPr>
        <w:ilvl w:val="7"/>
        <w:numId w:val="1"/>
      </w:numPr>
      <w:spacing w:before="200"/>
      <w:outlineLvl w:val="7"/>
    </w:pPr>
    <w:rPr>
      <w:rFonts w:ascii="Cambria" w:hAnsi="Cambria"/>
      <w:color w:val="404040"/>
      <w:sz w:val="20"/>
      <w:szCs w:val="20"/>
    </w:rPr>
  </w:style>
  <w:style w:type="paragraph" w:styleId="Ttulo9">
    <w:name w:val="heading 9"/>
    <w:basedOn w:val="Normal"/>
    <w:next w:val="Normal"/>
    <w:link w:val="Ttulo9Car"/>
    <w:qFormat/>
    <w:rsid w:val="009B198F"/>
    <w:pPr>
      <w:keepNext/>
      <w:keepLines/>
      <w:numPr>
        <w:ilvl w:val="8"/>
        <w:numId w:val="1"/>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B198F"/>
    <w:rPr>
      <w:rFonts w:ascii="Times New Roman" w:eastAsia="Times New Roman" w:hAnsi="Times New Roman"/>
      <w:b/>
      <w:bCs/>
      <w:sz w:val="24"/>
      <w:szCs w:val="24"/>
      <w:lang w:val="es-ES" w:eastAsia="es-ES"/>
    </w:rPr>
  </w:style>
  <w:style w:type="character" w:customStyle="1" w:styleId="Ttulo2Car">
    <w:name w:val="Título 2 Car"/>
    <w:link w:val="Ttulo2"/>
    <w:rsid w:val="009B198F"/>
    <w:rPr>
      <w:rFonts w:ascii="Cambria" w:eastAsia="Times New Roman" w:hAnsi="Cambria"/>
      <w:b/>
      <w:bCs/>
      <w:color w:val="4F81BD"/>
      <w:sz w:val="26"/>
      <w:szCs w:val="26"/>
      <w:lang w:val="es-ES" w:eastAsia="es-ES"/>
    </w:rPr>
  </w:style>
  <w:style w:type="character" w:customStyle="1" w:styleId="Ttulo3Car">
    <w:name w:val="Título 3 Car"/>
    <w:link w:val="Ttulo3"/>
    <w:rsid w:val="009B198F"/>
    <w:rPr>
      <w:rFonts w:ascii="Cambria" w:eastAsia="Times New Roman" w:hAnsi="Cambria"/>
      <w:b/>
      <w:bCs/>
      <w:color w:val="4F81BD"/>
      <w:sz w:val="24"/>
      <w:szCs w:val="24"/>
      <w:lang w:val="es-ES" w:eastAsia="es-ES"/>
    </w:rPr>
  </w:style>
  <w:style w:type="character" w:customStyle="1" w:styleId="Ttulo4Car">
    <w:name w:val="Título 4 Car"/>
    <w:link w:val="Ttulo4"/>
    <w:rsid w:val="009B198F"/>
    <w:rPr>
      <w:rFonts w:ascii="Cambria" w:eastAsia="Times New Roman" w:hAnsi="Cambria"/>
      <w:b/>
      <w:bCs/>
      <w:i/>
      <w:iCs/>
      <w:color w:val="4F81BD"/>
      <w:sz w:val="24"/>
      <w:szCs w:val="24"/>
      <w:lang w:val="es-ES" w:eastAsia="es-ES"/>
    </w:rPr>
  </w:style>
  <w:style w:type="character" w:customStyle="1" w:styleId="Ttulo5Car">
    <w:name w:val="Título 5 Car"/>
    <w:link w:val="Ttulo5"/>
    <w:rsid w:val="009B198F"/>
    <w:rPr>
      <w:rFonts w:ascii="Cambria" w:eastAsia="Times New Roman" w:hAnsi="Cambria"/>
      <w:color w:val="243F60"/>
      <w:sz w:val="24"/>
      <w:szCs w:val="24"/>
      <w:lang w:val="es-ES" w:eastAsia="es-ES"/>
    </w:rPr>
  </w:style>
  <w:style w:type="character" w:customStyle="1" w:styleId="Ttulo6Car">
    <w:name w:val="Título 6 Car"/>
    <w:link w:val="Ttulo6"/>
    <w:rsid w:val="009B198F"/>
    <w:rPr>
      <w:rFonts w:ascii="Cambria" w:eastAsia="Times New Roman" w:hAnsi="Cambria"/>
      <w:i/>
      <w:iCs/>
      <w:color w:val="243F60"/>
      <w:sz w:val="24"/>
      <w:szCs w:val="24"/>
      <w:lang w:val="es-ES" w:eastAsia="es-ES"/>
    </w:rPr>
  </w:style>
  <w:style w:type="character" w:customStyle="1" w:styleId="Ttulo7Car">
    <w:name w:val="Título 7 Car"/>
    <w:link w:val="Ttulo7"/>
    <w:rsid w:val="009B198F"/>
    <w:rPr>
      <w:rFonts w:ascii="Cambria" w:eastAsia="Times New Roman" w:hAnsi="Cambria"/>
      <w:i/>
      <w:iCs/>
      <w:color w:val="404040"/>
      <w:sz w:val="24"/>
      <w:szCs w:val="24"/>
      <w:lang w:val="es-ES" w:eastAsia="es-ES"/>
    </w:rPr>
  </w:style>
  <w:style w:type="character" w:customStyle="1" w:styleId="Ttulo8Car">
    <w:name w:val="Título 8 Car"/>
    <w:link w:val="Ttulo8"/>
    <w:rsid w:val="009B198F"/>
    <w:rPr>
      <w:rFonts w:ascii="Cambria" w:eastAsia="Times New Roman" w:hAnsi="Cambria"/>
      <w:color w:val="404040"/>
      <w:lang w:val="es-ES" w:eastAsia="es-ES"/>
    </w:rPr>
  </w:style>
  <w:style w:type="character" w:customStyle="1" w:styleId="Ttulo9Car">
    <w:name w:val="Título 9 Car"/>
    <w:link w:val="Ttulo9"/>
    <w:rsid w:val="009B198F"/>
    <w:rPr>
      <w:rFonts w:ascii="Cambria" w:eastAsia="Times New Roman" w:hAnsi="Cambria"/>
      <w:i/>
      <w:iCs/>
      <w:color w:val="404040"/>
      <w:lang w:val="es-ES" w:eastAsia="es-ES"/>
    </w:rPr>
  </w:style>
  <w:style w:type="paragraph" w:styleId="Encabezado">
    <w:name w:val="header"/>
    <w:basedOn w:val="Normal"/>
    <w:link w:val="EncabezadoCar"/>
    <w:uiPriority w:val="99"/>
    <w:rsid w:val="009B198F"/>
    <w:pPr>
      <w:tabs>
        <w:tab w:val="center" w:pos="4252"/>
        <w:tab w:val="right" w:pos="8504"/>
      </w:tabs>
    </w:pPr>
    <w:rPr>
      <w:lang w:val="x-none" w:eastAsia="x-none"/>
    </w:rPr>
  </w:style>
  <w:style w:type="character" w:customStyle="1" w:styleId="EncabezadoCar">
    <w:name w:val="Encabezado Car"/>
    <w:link w:val="Encabezado"/>
    <w:uiPriority w:val="99"/>
    <w:rsid w:val="009B198F"/>
    <w:rPr>
      <w:rFonts w:ascii="Times New Roman" w:eastAsia="Times New Roman" w:hAnsi="Times New Roman" w:cs="Times New Roman"/>
      <w:sz w:val="24"/>
      <w:szCs w:val="24"/>
      <w:lang w:val="x-none" w:eastAsia="x-none"/>
    </w:rPr>
  </w:style>
  <w:style w:type="character" w:styleId="Nmerodepgina">
    <w:name w:val="page number"/>
    <w:basedOn w:val="Fuentedeprrafopredeter"/>
    <w:rsid w:val="009B198F"/>
  </w:style>
  <w:style w:type="paragraph" w:customStyle="1" w:styleId="ListParagraph1">
    <w:name w:val="List Paragraph1"/>
    <w:basedOn w:val="Normal"/>
    <w:rsid w:val="009B198F"/>
    <w:pPr>
      <w:ind w:left="720"/>
    </w:pPr>
  </w:style>
  <w:style w:type="paragraph" w:customStyle="1" w:styleId="Prrafodelista1">
    <w:name w:val="Párrafo de lista1"/>
    <w:basedOn w:val="Normal"/>
    <w:uiPriority w:val="34"/>
    <w:qFormat/>
    <w:rsid w:val="009B198F"/>
    <w:pPr>
      <w:ind w:left="708"/>
    </w:pPr>
    <w:rPr>
      <w:rFonts w:eastAsia="Calibri"/>
    </w:rPr>
  </w:style>
  <w:style w:type="paragraph" w:styleId="Prrafodelista">
    <w:name w:val="List Paragraph"/>
    <w:aliases w:val="Párrafo de lista 2"/>
    <w:basedOn w:val="Normal"/>
    <w:link w:val="PrrafodelistaCar"/>
    <w:uiPriority w:val="34"/>
    <w:qFormat/>
    <w:rsid w:val="009B198F"/>
    <w:pPr>
      <w:ind w:left="708"/>
    </w:pPr>
  </w:style>
  <w:style w:type="paragraph" w:styleId="Textodeglobo">
    <w:name w:val="Balloon Text"/>
    <w:basedOn w:val="Normal"/>
    <w:link w:val="TextodegloboCar"/>
    <w:uiPriority w:val="99"/>
    <w:unhideWhenUsed/>
    <w:rsid w:val="00BF318F"/>
    <w:rPr>
      <w:rFonts w:ascii="Tahoma" w:hAnsi="Tahoma" w:cs="Tahoma"/>
      <w:sz w:val="16"/>
      <w:szCs w:val="16"/>
    </w:rPr>
  </w:style>
  <w:style w:type="character" w:customStyle="1" w:styleId="TextodegloboCar">
    <w:name w:val="Texto de globo Car"/>
    <w:link w:val="Textodeglobo"/>
    <w:uiPriority w:val="99"/>
    <w:rsid w:val="00BF318F"/>
    <w:rPr>
      <w:rFonts w:ascii="Tahoma" w:eastAsia="Times New Roman" w:hAnsi="Tahoma" w:cs="Tahoma"/>
      <w:sz w:val="16"/>
      <w:szCs w:val="16"/>
      <w:lang w:val="es-ES" w:eastAsia="es-ES"/>
    </w:rPr>
  </w:style>
  <w:style w:type="paragraph" w:styleId="Textonotapie">
    <w:name w:val="footnote text"/>
    <w:aliases w:val="Texto nota pie Car Car Car Car Car Car,Texto nota pie Car Car Car Car Car Car Car,Texto nota pie Car Car Car Car Car Car Ca,ft,ft Car,ft Car Car,Texto nota pie2,ft1,ft Car Car Car1,Texto nota pie Car2,ft Car Car2,ft Car Car Car,fn"/>
    <w:basedOn w:val="Normal"/>
    <w:link w:val="TextonotapieCar"/>
    <w:rsid w:val="00BF318F"/>
    <w:rPr>
      <w:sz w:val="20"/>
      <w:szCs w:val="20"/>
    </w:rPr>
  </w:style>
  <w:style w:type="character" w:customStyle="1" w:styleId="TextonotapieCar">
    <w:name w:val="Texto nota pie Car"/>
    <w:aliases w:val="Texto nota pie Car Car Car Car Car Car Car1,Texto nota pie Car Car Car Car Car Car Car Car,Texto nota pie Car Car Car Car Car Car Ca Car,ft Car1,ft Car Car1,ft Car Car Car2,Texto nota pie2 Car,ft1 Car,ft Car Car Car1 Car,fn Car"/>
    <w:link w:val="Textonotapie"/>
    <w:uiPriority w:val="99"/>
    <w:rsid w:val="00BF318F"/>
    <w:rPr>
      <w:rFonts w:ascii="Times New Roman" w:eastAsia="Times New Roman" w:hAnsi="Times New Roman" w:cs="Times New Roman"/>
      <w:sz w:val="20"/>
      <w:szCs w:val="20"/>
      <w:lang w:val="es-ES" w:eastAsia="es-ES"/>
    </w:rPr>
  </w:style>
  <w:style w:type="character" w:styleId="Refdenotaalpie">
    <w:name w:val="footnote reference"/>
    <w:aliases w:val="ftref,16 Point,Superscript 6 Point,fr,Footnote Reference Number,Footnote Reference_LVL6,Footnote Reference_LVL61,Footnote Reference_LVL62,Footnote Reference_LVL63,Footnote Reference_LVL64,SUPERS,EN Footnote Reference,number"/>
    <w:uiPriority w:val="99"/>
    <w:rsid w:val="00BF318F"/>
    <w:rPr>
      <w:vertAlign w:val="superscript"/>
    </w:rPr>
  </w:style>
  <w:style w:type="paragraph" w:customStyle="1" w:styleId="Default">
    <w:name w:val="Default"/>
    <w:rsid w:val="00BF318F"/>
    <w:pPr>
      <w:widowControl w:val="0"/>
      <w:autoSpaceDE w:val="0"/>
      <w:autoSpaceDN w:val="0"/>
      <w:adjustRightInd w:val="0"/>
    </w:pPr>
    <w:rPr>
      <w:rFonts w:ascii="Felix Titling" w:eastAsia="Times New Roman" w:hAnsi="Felix Titling" w:cs="Felix Titling"/>
      <w:color w:val="000000"/>
      <w:sz w:val="24"/>
      <w:szCs w:val="24"/>
      <w:lang w:val="es-ES" w:eastAsia="es-ES"/>
    </w:rPr>
  </w:style>
  <w:style w:type="paragraph" w:customStyle="1" w:styleId="CM49">
    <w:name w:val="CM49"/>
    <w:basedOn w:val="Default"/>
    <w:next w:val="Default"/>
    <w:uiPriority w:val="99"/>
    <w:rsid w:val="006C7AF9"/>
    <w:pPr>
      <w:spacing w:after="105"/>
    </w:pPr>
    <w:rPr>
      <w:rFonts w:cs="Times New Roman"/>
      <w:color w:val="auto"/>
    </w:rPr>
  </w:style>
  <w:style w:type="table" w:styleId="Tablaconcuadrcula">
    <w:name w:val="Table Grid"/>
    <w:basedOn w:val="Tablanormal"/>
    <w:uiPriority w:val="59"/>
    <w:rsid w:val="001B07B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001941"/>
    <w:pPr>
      <w:tabs>
        <w:tab w:val="center" w:pos="4419"/>
        <w:tab w:val="right" w:pos="8838"/>
      </w:tabs>
    </w:pPr>
  </w:style>
  <w:style w:type="character" w:customStyle="1" w:styleId="PiedepginaCar">
    <w:name w:val="Pie de página Car"/>
    <w:link w:val="Piedepgina"/>
    <w:uiPriority w:val="99"/>
    <w:rsid w:val="00001941"/>
    <w:rPr>
      <w:rFonts w:ascii="Times New Roman" w:eastAsia="Times New Roman" w:hAnsi="Times New Roman" w:cs="Times New Roman"/>
      <w:sz w:val="24"/>
      <w:szCs w:val="24"/>
      <w:lang w:val="es-ES" w:eastAsia="es-ES"/>
    </w:rPr>
  </w:style>
  <w:style w:type="character" w:styleId="Textoennegrita">
    <w:name w:val="Strong"/>
    <w:uiPriority w:val="22"/>
    <w:qFormat/>
    <w:rsid w:val="00534E33"/>
    <w:rPr>
      <w:b/>
      <w:bCs/>
    </w:rPr>
  </w:style>
  <w:style w:type="character" w:styleId="Hipervnculo">
    <w:name w:val="Hyperlink"/>
    <w:uiPriority w:val="99"/>
    <w:unhideWhenUsed/>
    <w:rsid w:val="00A34A28"/>
    <w:rPr>
      <w:color w:val="0000FF"/>
      <w:u w:val="single"/>
    </w:rPr>
  </w:style>
  <w:style w:type="character" w:styleId="Hipervnculovisitado">
    <w:name w:val="FollowedHyperlink"/>
    <w:uiPriority w:val="99"/>
    <w:semiHidden/>
    <w:unhideWhenUsed/>
    <w:rsid w:val="009F7DEF"/>
    <w:rPr>
      <w:color w:val="800080"/>
      <w:u w:val="single"/>
    </w:rPr>
  </w:style>
  <w:style w:type="paragraph" w:styleId="NormalWeb">
    <w:name w:val="Normal (Web)"/>
    <w:basedOn w:val="Normal"/>
    <w:uiPriority w:val="99"/>
    <w:unhideWhenUsed/>
    <w:rsid w:val="000520A7"/>
    <w:pPr>
      <w:spacing w:before="100" w:beforeAutospacing="1" w:after="100" w:afterAutospacing="1"/>
    </w:pPr>
    <w:rPr>
      <w:rFonts w:eastAsiaTheme="minorEastAsia"/>
      <w:lang w:val="es-GT" w:eastAsia="es-GT"/>
    </w:rPr>
  </w:style>
  <w:style w:type="paragraph" w:styleId="Sinespaciado">
    <w:name w:val="No Spacing"/>
    <w:uiPriority w:val="1"/>
    <w:qFormat/>
    <w:rsid w:val="00C7413E"/>
    <w:rPr>
      <w:rFonts w:asciiTheme="minorHAnsi" w:eastAsiaTheme="minorEastAsia" w:hAnsiTheme="minorHAnsi" w:cstheme="minorBidi"/>
      <w:sz w:val="24"/>
      <w:szCs w:val="24"/>
      <w:lang w:val="es-ES_tradnl" w:eastAsia="ja-JP"/>
    </w:rPr>
  </w:style>
  <w:style w:type="paragraph" w:styleId="TtuloTDC">
    <w:name w:val="TOC Heading"/>
    <w:basedOn w:val="Ttulo1"/>
    <w:next w:val="Normal"/>
    <w:uiPriority w:val="39"/>
    <w:unhideWhenUsed/>
    <w:qFormat/>
    <w:rsid w:val="00D61558"/>
    <w:pPr>
      <w:keepLines/>
      <w:numPr>
        <w:numId w:val="0"/>
      </w:numPr>
      <w:spacing w:before="480" w:line="276" w:lineRule="auto"/>
      <w:outlineLvl w:val="9"/>
    </w:pPr>
    <w:rPr>
      <w:rFonts w:asciiTheme="majorHAnsi" w:eastAsiaTheme="majorEastAsia" w:hAnsiTheme="majorHAnsi" w:cstheme="majorBidi"/>
      <w:color w:val="A5A5A5" w:themeColor="accent1" w:themeShade="BF"/>
      <w:sz w:val="28"/>
      <w:szCs w:val="28"/>
      <w:lang w:val="es-GT" w:eastAsia="es-GT"/>
    </w:rPr>
  </w:style>
  <w:style w:type="paragraph" w:styleId="TDC1">
    <w:name w:val="toc 1"/>
    <w:basedOn w:val="Normal"/>
    <w:next w:val="Normal"/>
    <w:autoRedefine/>
    <w:uiPriority w:val="39"/>
    <w:unhideWhenUsed/>
    <w:qFormat/>
    <w:rsid w:val="00E44DA6"/>
    <w:pPr>
      <w:tabs>
        <w:tab w:val="left" w:pos="480"/>
        <w:tab w:val="right" w:leader="dot" w:pos="9346"/>
      </w:tabs>
      <w:spacing w:after="100"/>
      <w:jc w:val="right"/>
    </w:pPr>
  </w:style>
  <w:style w:type="paragraph" w:styleId="TDC2">
    <w:name w:val="toc 2"/>
    <w:basedOn w:val="Normal"/>
    <w:next w:val="Normal"/>
    <w:autoRedefine/>
    <w:uiPriority w:val="39"/>
    <w:unhideWhenUsed/>
    <w:qFormat/>
    <w:rsid w:val="000775C1"/>
    <w:pPr>
      <w:tabs>
        <w:tab w:val="left" w:pos="880"/>
        <w:tab w:val="right" w:leader="dot" w:pos="8828"/>
      </w:tabs>
      <w:spacing w:after="100"/>
      <w:ind w:left="240"/>
    </w:pPr>
  </w:style>
  <w:style w:type="paragraph" w:styleId="TDC3">
    <w:name w:val="toc 3"/>
    <w:basedOn w:val="Normal"/>
    <w:next w:val="Normal"/>
    <w:autoRedefine/>
    <w:uiPriority w:val="39"/>
    <w:unhideWhenUsed/>
    <w:qFormat/>
    <w:rsid w:val="008753EE"/>
    <w:pPr>
      <w:tabs>
        <w:tab w:val="left" w:pos="880"/>
        <w:tab w:val="right" w:leader="dot" w:pos="9346"/>
      </w:tabs>
      <w:spacing w:after="100"/>
      <w:ind w:left="480"/>
      <w:jc w:val="both"/>
    </w:pPr>
  </w:style>
  <w:style w:type="character" w:styleId="Refdecomentario">
    <w:name w:val="annotation reference"/>
    <w:basedOn w:val="Fuentedeprrafopredeter"/>
    <w:uiPriority w:val="99"/>
    <w:semiHidden/>
    <w:unhideWhenUsed/>
    <w:rsid w:val="00B372A0"/>
    <w:rPr>
      <w:sz w:val="16"/>
      <w:szCs w:val="16"/>
    </w:rPr>
  </w:style>
  <w:style w:type="paragraph" w:styleId="Textocomentario">
    <w:name w:val="annotation text"/>
    <w:basedOn w:val="Normal"/>
    <w:link w:val="TextocomentarioCar"/>
    <w:uiPriority w:val="99"/>
    <w:semiHidden/>
    <w:unhideWhenUsed/>
    <w:rsid w:val="00B372A0"/>
    <w:rPr>
      <w:sz w:val="20"/>
      <w:szCs w:val="20"/>
    </w:rPr>
  </w:style>
  <w:style w:type="character" w:customStyle="1" w:styleId="TextocomentarioCar">
    <w:name w:val="Texto comentario Car"/>
    <w:basedOn w:val="Fuentedeprrafopredeter"/>
    <w:link w:val="Textocomentario"/>
    <w:uiPriority w:val="99"/>
    <w:semiHidden/>
    <w:rsid w:val="00B372A0"/>
    <w:rPr>
      <w:rFonts w:ascii="Times New Roman" w:eastAsia="Times New Roman" w:hAnsi="Times New Roman"/>
      <w:lang w:val="es-ES" w:eastAsia="es-ES"/>
    </w:rPr>
  </w:style>
  <w:style w:type="paragraph" w:styleId="Asuntodelcomentario">
    <w:name w:val="annotation subject"/>
    <w:basedOn w:val="Textocomentario"/>
    <w:next w:val="Textocomentario"/>
    <w:link w:val="AsuntodelcomentarioCar"/>
    <w:uiPriority w:val="99"/>
    <w:semiHidden/>
    <w:unhideWhenUsed/>
    <w:rsid w:val="00B372A0"/>
    <w:rPr>
      <w:b/>
      <w:bCs/>
    </w:rPr>
  </w:style>
  <w:style w:type="character" w:customStyle="1" w:styleId="AsuntodelcomentarioCar">
    <w:name w:val="Asunto del comentario Car"/>
    <w:basedOn w:val="TextocomentarioCar"/>
    <w:link w:val="Asuntodelcomentario"/>
    <w:uiPriority w:val="99"/>
    <w:semiHidden/>
    <w:rsid w:val="00B372A0"/>
    <w:rPr>
      <w:rFonts w:ascii="Times New Roman" w:eastAsia="Times New Roman" w:hAnsi="Times New Roman"/>
      <w:b/>
      <w:bCs/>
      <w:lang w:val="es-ES" w:eastAsia="es-ES"/>
    </w:rPr>
  </w:style>
  <w:style w:type="paragraph" w:customStyle="1" w:styleId="Normallatin">
    <w:name w:val="Normal+(latin"/>
    <w:basedOn w:val="Textoindependiente"/>
    <w:rsid w:val="00570585"/>
  </w:style>
  <w:style w:type="paragraph" w:styleId="Textoindependiente">
    <w:name w:val="Body Text"/>
    <w:basedOn w:val="Normal"/>
    <w:link w:val="TextoindependienteCar"/>
    <w:uiPriority w:val="99"/>
    <w:semiHidden/>
    <w:unhideWhenUsed/>
    <w:rsid w:val="00570585"/>
    <w:pPr>
      <w:spacing w:after="120"/>
    </w:pPr>
  </w:style>
  <w:style w:type="character" w:customStyle="1" w:styleId="TextoindependienteCar">
    <w:name w:val="Texto independiente Car"/>
    <w:basedOn w:val="Fuentedeprrafopredeter"/>
    <w:link w:val="Textoindependiente"/>
    <w:uiPriority w:val="99"/>
    <w:semiHidden/>
    <w:rsid w:val="00570585"/>
    <w:rPr>
      <w:rFonts w:ascii="Times New Roman" w:eastAsia="Times New Roman" w:hAnsi="Times New Roman"/>
      <w:sz w:val="24"/>
      <w:szCs w:val="24"/>
      <w:lang w:val="es-ES" w:eastAsia="es-ES"/>
    </w:rPr>
  </w:style>
  <w:style w:type="paragraph" w:customStyle="1" w:styleId="Normallatin0">
    <w:name w:val="Normal +(latin"/>
    <w:basedOn w:val="Sangradetextonormal"/>
    <w:rsid w:val="00570585"/>
  </w:style>
  <w:style w:type="paragraph" w:styleId="Sangradetextonormal">
    <w:name w:val="Body Text Indent"/>
    <w:basedOn w:val="Normal"/>
    <w:link w:val="SangradetextonormalCar"/>
    <w:uiPriority w:val="99"/>
    <w:semiHidden/>
    <w:unhideWhenUsed/>
    <w:rsid w:val="00570585"/>
    <w:pPr>
      <w:spacing w:after="120"/>
      <w:ind w:left="283"/>
    </w:pPr>
  </w:style>
  <w:style w:type="character" w:customStyle="1" w:styleId="SangradetextonormalCar">
    <w:name w:val="Sangría de texto normal Car"/>
    <w:basedOn w:val="Fuentedeprrafopredeter"/>
    <w:link w:val="Sangradetextonormal"/>
    <w:uiPriority w:val="99"/>
    <w:semiHidden/>
    <w:rsid w:val="00570585"/>
    <w:rPr>
      <w:rFonts w:ascii="Times New Roman" w:eastAsia="Times New Roman" w:hAnsi="Times New Roman"/>
      <w:sz w:val="24"/>
      <w:szCs w:val="24"/>
      <w:lang w:val="es-ES" w:eastAsia="es-ES"/>
    </w:rPr>
  </w:style>
  <w:style w:type="character" w:styleId="nfasis">
    <w:name w:val="Emphasis"/>
    <w:uiPriority w:val="20"/>
    <w:qFormat/>
    <w:rsid w:val="00570585"/>
    <w:rPr>
      <w:rFonts w:cs="Times New Roman"/>
      <w:i/>
      <w:iCs/>
    </w:rPr>
  </w:style>
  <w:style w:type="paragraph" w:customStyle="1" w:styleId="bodytext">
    <w:name w:val="bodytext"/>
    <w:basedOn w:val="Normal"/>
    <w:rsid w:val="00BF34AC"/>
    <w:pPr>
      <w:spacing w:before="100" w:beforeAutospacing="1" w:after="100" w:afterAutospacing="1"/>
    </w:pPr>
    <w:rPr>
      <w:lang w:val="es-GT" w:eastAsia="es-GT"/>
    </w:rPr>
  </w:style>
  <w:style w:type="character" w:customStyle="1" w:styleId="PrrafodelistaCar">
    <w:name w:val="Párrafo de lista Car"/>
    <w:aliases w:val="Párrafo de lista 2 Car"/>
    <w:link w:val="Prrafodelista"/>
    <w:uiPriority w:val="34"/>
    <w:rsid w:val="00884D4E"/>
    <w:rPr>
      <w:rFonts w:ascii="Times New Roman" w:eastAsia="Times New Roman" w:hAnsi="Times New Roman"/>
      <w:sz w:val="24"/>
      <w:szCs w:val="24"/>
      <w:lang w:val="es-ES" w:eastAsia="es-ES"/>
    </w:rPr>
  </w:style>
  <w:style w:type="paragraph" w:styleId="Listaconvietas">
    <w:name w:val="List Bullet"/>
    <w:basedOn w:val="Normal"/>
    <w:uiPriority w:val="99"/>
    <w:unhideWhenUsed/>
    <w:rsid w:val="00981DC6"/>
    <w:pPr>
      <w:numPr>
        <w:numId w:val="12"/>
      </w:numPr>
      <w:contextualSpacing/>
    </w:pPr>
  </w:style>
  <w:style w:type="character" w:styleId="Mencinsinresolver">
    <w:name w:val="Unresolved Mention"/>
    <w:basedOn w:val="Fuentedeprrafopredeter"/>
    <w:uiPriority w:val="99"/>
    <w:semiHidden/>
    <w:unhideWhenUsed/>
    <w:rsid w:val="00855B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47564">
      <w:bodyDiv w:val="1"/>
      <w:marLeft w:val="0"/>
      <w:marRight w:val="0"/>
      <w:marTop w:val="0"/>
      <w:marBottom w:val="0"/>
      <w:divBdr>
        <w:top w:val="none" w:sz="0" w:space="0" w:color="auto"/>
        <w:left w:val="none" w:sz="0" w:space="0" w:color="auto"/>
        <w:bottom w:val="none" w:sz="0" w:space="0" w:color="auto"/>
        <w:right w:val="none" w:sz="0" w:space="0" w:color="auto"/>
      </w:divBdr>
      <w:divsChild>
        <w:div w:id="1464498466">
          <w:marLeft w:val="274"/>
          <w:marRight w:val="0"/>
          <w:marTop w:val="0"/>
          <w:marBottom w:val="240"/>
          <w:divBdr>
            <w:top w:val="none" w:sz="0" w:space="0" w:color="auto"/>
            <w:left w:val="none" w:sz="0" w:space="0" w:color="auto"/>
            <w:bottom w:val="none" w:sz="0" w:space="0" w:color="auto"/>
            <w:right w:val="none" w:sz="0" w:space="0" w:color="auto"/>
          </w:divBdr>
        </w:div>
        <w:div w:id="1479304816">
          <w:marLeft w:val="274"/>
          <w:marRight w:val="0"/>
          <w:marTop w:val="0"/>
          <w:marBottom w:val="240"/>
          <w:divBdr>
            <w:top w:val="none" w:sz="0" w:space="0" w:color="auto"/>
            <w:left w:val="none" w:sz="0" w:space="0" w:color="auto"/>
            <w:bottom w:val="none" w:sz="0" w:space="0" w:color="auto"/>
            <w:right w:val="none" w:sz="0" w:space="0" w:color="auto"/>
          </w:divBdr>
        </w:div>
        <w:div w:id="1884439074">
          <w:marLeft w:val="274"/>
          <w:marRight w:val="0"/>
          <w:marTop w:val="0"/>
          <w:marBottom w:val="240"/>
          <w:divBdr>
            <w:top w:val="none" w:sz="0" w:space="0" w:color="auto"/>
            <w:left w:val="none" w:sz="0" w:space="0" w:color="auto"/>
            <w:bottom w:val="none" w:sz="0" w:space="0" w:color="auto"/>
            <w:right w:val="none" w:sz="0" w:space="0" w:color="auto"/>
          </w:divBdr>
        </w:div>
      </w:divsChild>
    </w:div>
    <w:div w:id="12615010">
      <w:bodyDiv w:val="1"/>
      <w:marLeft w:val="0"/>
      <w:marRight w:val="0"/>
      <w:marTop w:val="0"/>
      <w:marBottom w:val="0"/>
      <w:divBdr>
        <w:top w:val="none" w:sz="0" w:space="0" w:color="auto"/>
        <w:left w:val="none" w:sz="0" w:space="0" w:color="auto"/>
        <w:bottom w:val="none" w:sz="0" w:space="0" w:color="auto"/>
        <w:right w:val="none" w:sz="0" w:space="0" w:color="auto"/>
      </w:divBdr>
      <w:divsChild>
        <w:div w:id="874804913">
          <w:marLeft w:val="576"/>
          <w:marRight w:val="0"/>
          <w:marTop w:val="120"/>
          <w:marBottom w:val="0"/>
          <w:divBdr>
            <w:top w:val="none" w:sz="0" w:space="0" w:color="auto"/>
            <w:left w:val="none" w:sz="0" w:space="0" w:color="auto"/>
            <w:bottom w:val="none" w:sz="0" w:space="0" w:color="auto"/>
            <w:right w:val="none" w:sz="0" w:space="0" w:color="auto"/>
          </w:divBdr>
        </w:div>
      </w:divsChild>
    </w:div>
    <w:div w:id="31074974">
      <w:bodyDiv w:val="1"/>
      <w:marLeft w:val="0"/>
      <w:marRight w:val="0"/>
      <w:marTop w:val="0"/>
      <w:marBottom w:val="0"/>
      <w:divBdr>
        <w:top w:val="none" w:sz="0" w:space="0" w:color="auto"/>
        <w:left w:val="none" w:sz="0" w:space="0" w:color="auto"/>
        <w:bottom w:val="none" w:sz="0" w:space="0" w:color="auto"/>
        <w:right w:val="none" w:sz="0" w:space="0" w:color="auto"/>
      </w:divBdr>
    </w:div>
    <w:div w:id="33192894">
      <w:bodyDiv w:val="1"/>
      <w:marLeft w:val="0"/>
      <w:marRight w:val="0"/>
      <w:marTop w:val="0"/>
      <w:marBottom w:val="0"/>
      <w:divBdr>
        <w:top w:val="none" w:sz="0" w:space="0" w:color="auto"/>
        <w:left w:val="none" w:sz="0" w:space="0" w:color="auto"/>
        <w:bottom w:val="none" w:sz="0" w:space="0" w:color="auto"/>
        <w:right w:val="none" w:sz="0" w:space="0" w:color="auto"/>
      </w:divBdr>
    </w:div>
    <w:div w:id="34232750">
      <w:bodyDiv w:val="1"/>
      <w:marLeft w:val="0"/>
      <w:marRight w:val="0"/>
      <w:marTop w:val="0"/>
      <w:marBottom w:val="0"/>
      <w:divBdr>
        <w:top w:val="none" w:sz="0" w:space="0" w:color="auto"/>
        <w:left w:val="none" w:sz="0" w:space="0" w:color="auto"/>
        <w:bottom w:val="none" w:sz="0" w:space="0" w:color="auto"/>
        <w:right w:val="none" w:sz="0" w:space="0" w:color="auto"/>
      </w:divBdr>
    </w:div>
    <w:div w:id="46807904">
      <w:bodyDiv w:val="1"/>
      <w:marLeft w:val="0"/>
      <w:marRight w:val="0"/>
      <w:marTop w:val="0"/>
      <w:marBottom w:val="0"/>
      <w:divBdr>
        <w:top w:val="none" w:sz="0" w:space="0" w:color="auto"/>
        <w:left w:val="none" w:sz="0" w:space="0" w:color="auto"/>
        <w:bottom w:val="none" w:sz="0" w:space="0" w:color="auto"/>
        <w:right w:val="none" w:sz="0" w:space="0" w:color="auto"/>
      </w:divBdr>
    </w:div>
    <w:div w:id="70542366">
      <w:bodyDiv w:val="1"/>
      <w:marLeft w:val="0"/>
      <w:marRight w:val="0"/>
      <w:marTop w:val="0"/>
      <w:marBottom w:val="0"/>
      <w:divBdr>
        <w:top w:val="none" w:sz="0" w:space="0" w:color="auto"/>
        <w:left w:val="none" w:sz="0" w:space="0" w:color="auto"/>
        <w:bottom w:val="none" w:sz="0" w:space="0" w:color="auto"/>
        <w:right w:val="none" w:sz="0" w:space="0" w:color="auto"/>
      </w:divBdr>
    </w:div>
    <w:div w:id="102068754">
      <w:bodyDiv w:val="1"/>
      <w:marLeft w:val="0"/>
      <w:marRight w:val="0"/>
      <w:marTop w:val="0"/>
      <w:marBottom w:val="0"/>
      <w:divBdr>
        <w:top w:val="none" w:sz="0" w:space="0" w:color="auto"/>
        <w:left w:val="none" w:sz="0" w:space="0" w:color="auto"/>
        <w:bottom w:val="none" w:sz="0" w:space="0" w:color="auto"/>
        <w:right w:val="none" w:sz="0" w:space="0" w:color="auto"/>
      </w:divBdr>
    </w:div>
    <w:div w:id="147986746">
      <w:bodyDiv w:val="1"/>
      <w:marLeft w:val="0"/>
      <w:marRight w:val="0"/>
      <w:marTop w:val="0"/>
      <w:marBottom w:val="0"/>
      <w:divBdr>
        <w:top w:val="none" w:sz="0" w:space="0" w:color="auto"/>
        <w:left w:val="none" w:sz="0" w:space="0" w:color="auto"/>
        <w:bottom w:val="none" w:sz="0" w:space="0" w:color="auto"/>
        <w:right w:val="none" w:sz="0" w:space="0" w:color="auto"/>
      </w:divBdr>
    </w:div>
    <w:div w:id="200482315">
      <w:bodyDiv w:val="1"/>
      <w:marLeft w:val="0"/>
      <w:marRight w:val="0"/>
      <w:marTop w:val="0"/>
      <w:marBottom w:val="0"/>
      <w:divBdr>
        <w:top w:val="none" w:sz="0" w:space="0" w:color="auto"/>
        <w:left w:val="none" w:sz="0" w:space="0" w:color="auto"/>
        <w:bottom w:val="none" w:sz="0" w:space="0" w:color="auto"/>
        <w:right w:val="none" w:sz="0" w:space="0" w:color="auto"/>
      </w:divBdr>
    </w:div>
    <w:div w:id="224731212">
      <w:bodyDiv w:val="1"/>
      <w:marLeft w:val="0"/>
      <w:marRight w:val="0"/>
      <w:marTop w:val="0"/>
      <w:marBottom w:val="0"/>
      <w:divBdr>
        <w:top w:val="none" w:sz="0" w:space="0" w:color="auto"/>
        <w:left w:val="none" w:sz="0" w:space="0" w:color="auto"/>
        <w:bottom w:val="none" w:sz="0" w:space="0" w:color="auto"/>
        <w:right w:val="none" w:sz="0" w:space="0" w:color="auto"/>
      </w:divBdr>
      <w:divsChild>
        <w:div w:id="791099228">
          <w:marLeft w:val="562"/>
          <w:marRight w:val="0"/>
          <w:marTop w:val="0"/>
          <w:marBottom w:val="0"/>
          <w:divBdr>
            <w:top w:val="none" w:sz="0" w:space="0" w:color="auto"/>
            <w:left w:val="none" w:sz="0" w:space="0" w:color="auto"/>
            <w:bottom w:val="none" w:sz="0" w:space="0" w:color="auto"/>
            <w:right w:val="none" w:sz="0" w:space="0" w:color="auto"/>
          </w:divBdr>
        </w:div>
        <w:div w:id="1126898492">
          <w:marLeft w:val="562"/>
          <w:marRight w:val="0"/>
          <w:marTop w:val="0"/>
          <w:marBottom w:val="0"/>
          <w:divBdr>
            <w:top w:val="none" w:sz="0" w:space="0" w:color="auto"/>
            <w:left w:val="none" w:sz="0" w:space="0" w:color="auto"/>
            <w:bottom w:val="none" w:sz="0" w:space="0" w:color="auto"/>
            <w:right w:val="none" w:sz="0" w:space="0" w:color="auto"/>
          </w:divBdr>
        </w:div>
        <w:div w:id="1718116599">
          <w:marLeft w:val="562"/>
          <w:marRight w:val="0"/>
          <w:marTop w:val="0"/>
          <w:marBottom w:val="0"/>
          <w:divBdr>
            <w:top w:val="none" w:sz="0" w:space="0" w:color="auto"/>
            <w:left w:val="none" w:sz="0" w:space="0" w:color="auto"/>
            <w:bottom w:val="none" w:sz="0" w:space="0" w:color="auto"/>
            <w:right w:val="none" w:sz="0" w:space="0" w:color="auto"/>
          </w:divBdr>
        </w:div>
      </w:divsChild>
    </w:div>
    <w:div w:id="298925361">
      <w:bodyDiv w:val="1"/>
      <w:marLeft w:val="0"/>
      <w:marRight w:val="0"/>
      <w:marTop w:val="0"/>
      <w:marBottom w:val="0"/>
      <w:divBdr>
        <w:top w:val="none" w:sz="0" w:space="0" w:color="auto"/>
        <w:left w:val="none" w:sz="0" w:space="0" w:color="auto"/>
        <w:bottom w:val="none" w:sz="0" w:space="0" w:color="auto"/>
        <w:right w:val="none" w:sz="0" w:space="0" w:color="auto"/>
      </w:divBdr>
    </w:div>
    <w:div w:id="300381910">
      <w:bodyDiv w:val="1"/>
      <w:marLeft w:val="0"/>
      <w:marRight w:val="0"/>
      <w:marTop w:val="0"/>
      <w:marBottom w:val="0"/>
      <w:divBdr>
        <w:top w:val="none" w:sz="0" w:space="0" w:color="auto"/>
        <w:left w:val="none" w:sz="0" w:space="0" w:color="auto"/>
        <w:bottom w:val="none" w:sz="0" w:space="0" w:color="auto"/>
        <w:right w:val="none" w:sz="0" w:space="0" w:color="auto"/>
      </w:divBdr>
    </w:div>
    <w:div w:id="302665719">
      <w:bodyDiv w:val="1"/>
      <w:marLeft w:val="0"/>
      <w:marRight w:val="0"/>
      <w:marTop w:val="0"/>
      <w:marBottom w:val="0"/>
      <w:divBdr>
        <w:top w:val="none" w:sz="0" w:space="0" w:color="auto"/>
        <w:left w:val="none" w:sz="0" w:space="0" w:color="auto"/>
        <w:bottom w:val="none" w:sz="0" w:space="0" w:color="auto"/>
        <w:right w:val="none" w:sz="0" w:space="0" w:color="auto"/>
      </w:divBdr>
    </w:div>
    <w:div w:id="317077505">
      <w:bodyDiv w:val="1"/>
      <w:marLeft w:val="0"/>
      <w:marRight w:val="0"/>
      <w:marTop w:val="0"/>
      <w:marBottom w:val="0"/>
      <w:divBdr>
        <w:top w:val="none" w:sz="0" w:space="0" w:color="auto"/>
        <w:left w:val="none" w:sz="0" w:space="0" w:color="auto"/>
        <w:bottom w:val="none" w:sz="0" w:space="0" w:color="auto"/>
        <w:right w:val="none" w:sz="0" w:space="0" w:color="auto"/>
      </w:divBdr>
    </w:div>
    <w:div w:id="337972731">
      <w:bodyDiv w:val="1"/>
      <w:marLeft w:val="0"/>
      <w:marRight w:val="0"/>
      <w:marTop w:val="0"/>
      <w:marBottom w:val="0"/>
      <w:divBdr>
        <w:top w:val="none" w:sz="0" w:space="0" w:color="auto"/>
        <w:left w:val="none" w:sz="0" w:space="0" w:color="auto"/>
        <w:bottom w:val="none" w:sz="0" w:space="0" w:color="auto"/>
        <w:right w:val="none" w:sz="0" w:space="0" w:color="auto"/>
      </w:divBdr>
    </w:div>
    <w:div w:id="380253897">
      <w:bodyDiv w:val="1"/>
      <w:marLeft w:val="0"/>
      <w:marRight w:val="0"/>
      <w:marTop w:val="0"/>
      <w:marBottom w:val="0"/>
      <w:divBdr>
        <w:top w:val="none" w:sz="0" w:space="0" w:color="auto"/>
        <w:left w:val="none" w:sz="0" w:space="0" w:color="auto"/>
        <w:bottom w:val="none" w:sz="0" w:space="0" w:color="auto"/>
        <w:right w:val="none" w:sz="0" w:space="0" w:color="auto"/>
      </w:divBdr>
    </w:div>
    <w:div w:id="381290258">
      <w:bodyDiv w:val="1"/>
      <w:marLeft w:val="0"/>
      <w:marRight w:val="0"/>
      <w:marTop w:val="0"/>
      <w:marBottom w:val="0"/>
      <w:divBdr>
        <w:top w:val="none" w:sz="0" w:space="0" w:color="auto"/>
        <w:left w:val="none" w:sz="0" w:space="0" w:color="auto"/>
        <w:bottom w:val="none" w:sz="0" w:space="0" w:color="auto"/>
        <w:right w:val="none" w:sz="0" w:space="0" w:color="auto"/>
      </w:divBdr>
    </w:div>
    <w:div w:id="440341959">
      <w:bodyDiv w:val="1"/>
      <w:marLeft w:val="0"/>
      <w:marRight w:val="0"/>
      <w:marTop w:val="0"/>
      <w:marBottom w:val="0"/>
      <w:divBdr>
        <w:top w:val="none" w:sz="0" w:space="0" w:color="auto"/>
        <w:left w:val="none" w:sz="0" w:space="0" w:color="auto"/>
        <w:bottom w:val="none" w:sz="0" w:space="0" w:color="auto"/>
        <w:right w:val="none" w:sz="0" w:space="0" w:color="auto"/>
      </w:divBdr>
    </w:div>
    <w:div w:id="448089634">
      <w:bodyDiv w:val="1"/>
      <w:marLeft w:val="0"/>
      <w:marRight w:val="0"/>
      <w:marTop w:val="0"/>
      <w:marBottom w:val="0"/>
      <w:divBdr>
        <w:top w:val="none" w:sz="0" w:space="0" w:color="auto"/>
        <w:left w:val="none" w:sz="0" w:space="0" w:color="auto"/>
        <w:bottom w:val="none" w:sz="0" w:space="0" w:color="auto"/>
        <w:right w:val="none" w:sz="0" w:space="0" w:color="auto"/>
      </w:divBdr>
    </w:div>
    <w:div w:id="458572359">
      <w:bodyDiv w:val="1"/>
      <w:marLeft w:val="0"/>
      <w:marRight w:val="0"/>
      <w:marTop w:val="0"/>
      <w:marBottom w:val="0"/>
      <w:divBdr>
        <w:top w:val="none" w:sz="0" w:space="0" w:color="auto"/>
        <w:left w:val="none" w:sz="0" w:space="0" w:color="auto"/>
        <w:bottom w:val="none" w:sz="0" w:space="0" w:color="auto"/>
        <w:right w:val="none" w:sz="0" w:space="0" w:color="auto"/>
      </w:divBdr>
    </w:div>
    <w:div w:id="474034149">
      <w:bodyDiv w:val="1"/>
      <w:marLeft w:val="0"/>
      <w:marRight w:val="0"/>
      <w:marTop w:val="0"/>
      <w:marBottom w:val="0"/>
      <w:divBdr>
        <w:top w:val="none" w:sz="0" w:space="0" w:color="auto"/>
        <w:left w:val="none" w:sz="0" w:space="0" w:color="auto"/>
        <w:bottom w:val="none" w:sz="0" w:space="0" w:color="auto"/>
        <w:right w:val="none" w:sz="0" w:space="0" w:color="auto"/>
      </w:divBdr>
    </w:div>
    <w:div w:id="481119587">
      <w:bodyDiv w:val="1"/>
      <w:marLeft w:val="0"/>
      <w:marRight w:val="0"/>
      <w:marTop w:val="0"/>
      <w:marBottom w:val="0"/>
      <w:divBdr>
        <w:top w:val="none" w:sz="0" w:space="0" w:color="auto"/>
        <w:left w:val="none" w:sz="0" w:space="0" w:color="auto"/>
        <w:bottom w:val="none" w:sz="0" w:space="0" w:color="auto"/>
        <w:right w:val="none" w:sz="0" w:space="0" w:color="auto"/>
      </w:divBdr>
    </w:div>
    <w:div w:id="484198452">
      <w:bodyDiv w:val="1"/>
      <w:marLeft w:val="0"/>
      <w:marRight w:val="0"/>
      <w:marTop w:val="0"/>
      <w:marBottom w:val="0"/>
      <w:divBdr>
        <w:top w:val="none" w:sz="0" w:space="0" w:color="auto"/>
        <w:left w:val="none" w:sz="0" w:space="0" w:color="auto"/>
        <w:bottom w:val="none" w:sz="0" w:space="0" w:color="auto"/>
        <w:right w:val="none" w:sz="0" w:space="0" w:color="auto"/>
      </w:divBdr>
    </w:div>
    <w:div w:id="537472027">
      <w:bodyDiv w:val="1"/>
      <w:marLeft w:val="0"/>
      <w:marRight w:val="0"/>
      <w:marTop w:val="0"/>
      <w:marBottom w:val="0"/>
      <w:divBdr>
        <w:top w:val="none" w:sz="0" w:space="0" w:color="auto"/>
        <w:left w:val="none" w:sz="0" w:space="0" w:color="auto"/>
        <w:bottom w:val="none" w:sz="0" w:space="0" w:color="auto"/>
        <w:right w:val="none" w:sz="0" w:space="0" w:color="auto"/>
      </w:divBdr>
      <w:divsChild>
        <w:div w:id="1166701297">
          <w:marLeft w:val="0"/>
          <w:marRight w:val="0"/>
          <w:marTop w:val="0"/>
          <w:marBottom w:val="0"/>
          <w:divBdr>
            <w:top w:val="none" w:sz="0" w:space="0" w:color="auto"/>
            <w:left w:val="none" w:sz="0" w:space="0" w:color="auto"/>
            <w:bottom w:val="none" w:sz="0" w:space="0" w:color="auto"/>
            <w:right w:val="none" w:sz="0" w:space="0" w:color="auto"/>
          </w:divBdr>
          <w:divsChild>
            <w:div w:id="319886466">
              <w:marLeft w:val="0"/>
              <w:marRight w:val="0"/>
              <w:marTop w:val="0"/>
              <w:marBottom w:val="0"/>
              <w:divBdr>
                <w:top w:val="single" w:sz="24" w:space="0" w:color="FB4C1C"/>
                <w:left w:val="none" w:sz="0" w:space="0" w:color="auto"/>
                <w:bottom w:val="none" w:sz="0" w:space="0" w:color="auto"/>
                <w:right w:val="none" w:sz="0" w:space="0" w:color="auto"/>
              </w:divBdr>
              <w:divsChild>
                <w:div w:id="1064136762">
                  <w:marLeft w:val="0"/>
                  <w:marRight w:val="0"/>
                  <w:marTop w:val="100"/>
                  <w:marBottom w:val="100"/>
                  <w:divBdr>
                    <w:top w:val="none" w:sz="0" w:space="0" w:color="auto"/>
                    <w:left w:val="none" w:sz="0" w:space="0" w:color="auto"/>
                    <w:bottom w:val="none" w:sz="0" w:space="0" w:color="auto"/>
                    <w:right w:val="none" w:sz="0" w:space="0" w:color="auto"/>
                  </w:divBdr>
                  <w:divsChild>
                    <w:div w:id="1058013946">
                      <w:marLeft w:val="0"/>
                      <w:marRight w:val="0"/>
                      <w:marTop w:val="0"/>
                      <w:marBottom w:val="0"/>
                      <w:divBdr>
                        <w:top w:val="none" w:sz="0" w:space="0" w:color="auto"/>
                        <w:left w:val="none" w:sz="0" w:space="0" w:color="auto"/>
                        <w:bottom w:val="none" w:sz="0" w:space="0" w:color="auto"/>
                        <w:right w:val="none" w:sz="0" w:space="0" w:color="auto"/>
                      </w:divBdr>
                      <w:divsChild>
                        <w:div w:id="734008506">
                          <w:marLeft w:val="0"/>
                          <w:marRight w:val="0"/>
                          <w:marTop w:val="0"/>
                          <w:marBottom w:val="0"/>
                          <w:divBdr>
                            <w:top w:val="none" w:sz="0" w:space="0" w:color="auto"/>
                            <w:left w:val="none" w:sz="0" w:space="0" w:color="auto"/>
                            <w:bottom w:val="none" w:sz="0" w:space="0" w:color="auto"/>
                            <w:right w:val="none" w:sz="0" w:space="0" w:color="auto"/>
                          </w:divBdr>
                          <w:divsChild>
                            <w:div w:id="1487088080">
                              <w:marLeft w:val="0"/>
                              <w:marRight w:val="0"/>
                              <w:marTop w:val="0"/>
                              <w:marBottom w:val="0"/>
                              <w:divBdr>
                                <w:top w:val="none" w:sz="0" w:space="0" w:color="auto"/>
                                <w:left w:val="none" w:sz="0" w:space="0" w:color="auto"/>
                                <w:bottom w:val="none" w:sz="0" w:space="0" w:color="auto"/>
                                <w:right w:val="none" w:sz="0" w:space="0" w:color="auto"/>
                              </w:divBdr>
                              <w:divsChild>
                                <w:div w:id="1872643750">
                                  <w:marLeft w:val="0"/>
                                  <w:marRight w:val="0"/>
                                  <w:marTop w:val="0"/>
                                  <w:marBottom w:val="0"/>
                                  <w:divBdr>
                                    <w:top w:val="none" w:sz="0" w:space="0" w:color="auto"/>
                                    <w:left w:val="none" w:sz="0" w:space="0" w:color="auto"/>
                                    <w:bottom w:val="none" w:sz="0" w:space="0" w:color="auto"/>
                                    <w:right w:val="none" w:sz="0" w:space="0" w:color="auto"/>
                                  </w:divBdr>
                                  <w:divsChild>
                                    <w:div w:id="1102651247">
                                      <w:marLeft w:val="0"/>
                                      <w:marRight w:val="0"/>
                                      <w:marTop w:val="0"/>
                                      <w:marBottom w:val="0"/>
                                      <w:divBdr>
                                        <w:top w:val="none" w:sz="0" w:space="0" w:color="auto"/>
                                        <w:left w:val="none" w:sz="0" w:space="0" w:color="auto"/>
                                        <w:bottom w:val="none" w:sz="0" w:space="0" w:color="auto"/>
                                        <w:right w:val="none" w:sz="0" w:space="0" w:color="auto"/>
                                      </w:divBdr>
                                      <w:divsChild>
                                        <w:div w:id="1233126812">
                                          <w:marLeft w:val="0"/>
                                          <w:marRight w:val="0"/>
                                          <w:marTop w:val="0"/>
                                          <w:marBottom w:val="0"/>
                                          <w:divBdr>
                                            <w:top w:val="none" w:sz="0" w:space="0" w:color="auto"/>
                                            <w:left w:val="none" w:sz="0" w:space="0" w:color="auto"/>
                                            <w:bottom w:val="none" w:sz="0" w:space="0" w:color="auto"/>
                                            <w:right w:val="none" w:sz="0" w:space="0" w:color="auto"/>
                                          </w:divBdr>
                                          <w:divsChild>
                                            <w:div w:id="1857187229">
                                              <w:marLeft w:val="0"/>
                                              <w:marRight w:val="0"/>
                                              <w:marTop w:val="0"/>
                                              <w:marBottom w:val="0"/>
                                              <w:divBdr>
                                                <w:top w:val="none" w:sz="0" w:space="0" w:color="auto"/>
                                                <w:left w:val="none" w:sz="0" w:space="0" w:color="auto"/>
                                                <w:bottom w:val="none" w:sz="0" w:space="0" w:color="auto"/>
                                                <w:right w:val="none" w:sz="0" w:space="0" w:color="auto"/>
                                              </w:divBdr>
                                              <w:divsChild>
                                                <w:div w:id="188390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5235653">
      <w:bodyDiv w:val="1"/>
      <w:marLeft w:val="0"/>
      <w:marRight w:val="0"/>
      <w:marTop w:val="0"/>
      <w:marBottom w:val="0"/>
      <w:divBdr>
        <w:top w:val="none" w:sz="0" w:space="0" w:color="auto"/>
        <w:left w:val="none" w:sz="0" w:space="0" w:color="auto"/>
        <w:bottom w:val="none" w:sz="0" w:space="0" w:color="auto"/>
        <w:right w:val="none" w:sz="0" w:space="0" w:color="auto"/>
      </w:divBdr>
    </w:div>
    <w:div w:id="662779522">
      <w:bodyDiv w:val="1"/>
      <w:marLeft w:val="0"/>
      <w:marRight w:val="0"/>
      <w:marTop w:val="0"/>
      <w:marBottom w:val="0"/>
      <w:divBdr>
        <w:top w:val="none" w:sz="0" w:space="0" w:color="auto"/>
        <w:left w:val="none" w:sz="0" w:space="0" w:color="auto"/>
        <w:bottom w:val="none" w:sz="0" w:space="0" w:color="auto"/>
        <w:right w:val="none" w:sz="0" w:space="0" w:color="auto"/>
      </w:divBdr>
    </w:div>
    <w:div w:id="663553227">
      <w:bodyDiv w:val="1"/>
      <w:marLeft w:val="0"/>
      <w:marRight w:val="0"/>
      <w:marTop w:val="0"/>
      <w:marBottom w:val="0"/>
      <w:divBdr>
        <w:top w:val="none" w:sz="0" w:space="0" w:color="auto"/>
        <w:left w:val="none" w:sz="0" w:space="0" w:color="auto"/>
        <w:bottom w:val="none" w:sz="0" w:space="0" w:color="auto"/>
        <w:right w:val="none" w:sz="0" w:space="0" w:color="auto"/>
      </w:divBdr>
    </w:div>
    <w:div w:id="678116731">
      <w:bodyDiv w:val="1"/>
      <w:marLeft w:val="0"/>
      <w:marRight w:val="0"/>
      <w:marTop w:val="0"/>
      <w:marBottom w:val="0"/>
      <w:divBdr>
        <w:top w:val="none" w:sz="0" w:space="0" w:color="auto"/>
        <w:left w:val="none" w:sz="0" w:space="0" w:color="auto"/>
        <w:bottom w:val="none" w:sz="0" w:space="0" w:color="auto"/>
        <w:right w:val="none" w:sz="0" w:space="0" w:color="auto"/>
      </w:divBdr>
    </w:div>
    <w:div w:id="694162026">
      <w:bodyDiv w:val="1"/>
      <w:marLeft w:val="0"/>
      <w:marRight w:val="0"/>
      <w:marTop w:val="0"/>
      <w:marBottom w:val="0"/>
      <w:divBdr>
        <w:top w:val="none" w:sz="0" w:space="0" w:color="auto"/>
        <w:left w:val="none" w:sz="0" w:space="0" w:color="auto"/>
        <w:bottom w:val="none" w:sz="0" w:space="0" w:color="auto"/>
        <w:right w:val="none" w:sz="0" w:space="0" w:color="auto"/>
      </w:divBdr>
    </w:div>
    <w:div w:id="711076320">
      <w:bodyDiv w:val="1"/>
      <w:marLeft w:val="0"/>
      <w:marRight w:val="0"/>
      <w:marTop w:val="0"/>
      <w:marBottom w:val="0"/>
      <w:divBdr>
        <w:top w:val="none" w:sz="0" w:space="0" w:color="auto"/>
        <w:left w:val="none" w:sz="0" w:space="0" w:color="auto"/>
        <w:bottom w:val="none" w:sz="0" w:space="0" w:color="auto"/>
        <w:right w:val="none" w:sz="0" w:space="0" w:color="auto"/>
      </w:divBdr>
    </w:div>
    <w:div w:id="807432774">
      <w:bodyDiv w:val="1"/>
      <w:marLeft w:val="0"/>
      <w:marRight w:val="0"/>
      <w:marTop w:val="0"/>
      <w:marBottom w:val="0"/>
      <w:divBdr>
        <w:top w:val="none" w:sz="0" w:space="0" w:color="auto"/>
        <w:left w:val="none" w:sz="0" w:space="0" w:color="auto"/>
        <w:bottom w:val="none" w:sz="0" w:space="0" w:color="auto"/>
        <w:right w:val="none" w:sz="0" w:space="0" w:color="auto"/>
      </w:divBdr>
    </w:div>
    <w:div w:id="870071512">
      <w:bodyDiv w:val="1"/>
      <w:marLeft w:val="0"/>
      <w:marRight w:val="0"/>
      <w:marTop w:val="0"/>
      <w:marBottom w:val="0"/>
      <w:divBdr>
        <w:top w:val="none" w:sz="0" w:space="0" w:color="auto"/>
        <w:left w:val="none" w:sz="0" w:space="0" w:color="auto"/>
        <w:bottom w:val="none" w:sz="0" w:space="0" w:color="auto"/>
        <w:right w:val="none" w:sz="0" w:space="0" w:color="auto"/>
      </w:divBdr>
    </w:div>
    <w:div w:id="911886592">
      <w:bodyDiv w:val="1"/>
      <w:marLeft w:val="0"/>
      <w:marRight w:val="0"/>
      <w:marTop w:val="0"/>
      <w:marBottom w:val="0"/>
      <w:divBdr>
        <w:top w:val="none" w:sz="0" w:space="0" w:color="auto"/>
        <w:left w:val="none" w:sz="0" w:space="0" w:color="auto"/>
        <w:bottom w:val="none" w:sz="0" w:space="0" w:color="auto"/>
        <w:right w:val="none" w:sz="0" w:space="0" w:color="auto"/>
      </w:divBdr>
    </w:div>
    <w:div w:id="912349316">
      <w:bodyDiv w:val="1"/>
      <w:marLeft w:val="0"/>
      <w:marRight w:val="0"/>
      <w:marTop w:val="0"/>
      <w:marBottom w:val="0"/>
      <w:divBdr>
        <w:top w:val="none" w:sz="0" w:space="0" w:color="auto"/>
        <w:left w:val="none" w:sz="0" w:space="0" w:color="auto"/>
        <w:bottom w:val="none" w:sz="0" w:space="0" w:color="auto"/>
        <w:right w:val="none" w:sz="0" w:space="0" w:color="auto"/>
      </w:divBdr>
    </w:div>
    <w:div w:id="915478870">
      <w:bodyDiv w:val="1"/>
      <w:marLeft w:val="0"/>
      <w:marRight w:val="0"/>
      <w:marTop w:val="0"/>
      <w:marBottom w:val="0"/>
      <w:divBdr>
        <w:top w:val="none" w:sz="0" w:space="0" w:color="auto"/>
        <w:left w:val="none" w:sz="0" w:space="0" w:color="auto"/>
        <w:bottom w:val="none" w:sz="0" w:space="0" w:color="auto"/>
        <w:right w:val="none" w:sz="0" w:space="0" w:color="auto"/>
      </w:divBdr>
    </w:div>
    <w:div w:id="977681813">
      <w:bodyDiv w:val="1"/>
      <w:marLeft w:val="0"/>
      <w:marRight w:val="0"/>
      <w:marTop w:val="0"/>
      <w:marBottom w:val="0"/>
      <w:divBdr>
        <w:top w:val="none" w:sz="0" w:space="0" w:color="auto"/>
        <w:left w:val="none" w:sz="0" w:space="0" w:color="auto"/>
        <w:bottom w:val="none" w:sz="0" w:space="0" w:color="auto"/>
        <w:right w:val="none" w:sz="0" w:space="0" w:color="auto"/>
      </w:divBdr>
    </w:div>
    <w:div w:id="980234828">
      <w:bodyDiv w:val="1"/>
      <w:marLeft w:val="0"/>
      <w:marRight w:val="0"/>
      <w:marTop w:val="0"/>
      <w:marBottom w:val="0"/>
      <w:divBdr>
        <w:top w:val="none" w:sz="0" w:space="0" w:color="auto"/>
        <w:left w:val="none" w:sz="0" w:space="0" w:color="auto"/>
        <w:bottom w:val="none" w:sz="0" w:space="0" w:color="auto"/>
        <w:right w:val="none" w:sz="0" w:space="0" w:color="auto"/>
      </w:divBdr>
    </w:div>
    <w:div w:id="993724772">
      <w:bodyDiv w:val="1"/>
      <w:marLeft w:val="0"/>
      <w:marRight w:val="0"/>
      <w:marTop w:val="0"/>
      <w:marBottom w:val="0"/>
      <w:divBdr>
        <w:top w:val="none" w:sz="0" w:space="0" w:color="auto"/>
        <w:left w:val="none" w:sz="0" w:space="0" w:color="auto"/>
        <w:bottom w:val="none" w:sz="0" w:space="0" w:color="auto"/>
        <w:right w:val="none" w:sz="0" w:space="0" w:color="auto"/>
      </w:divBdr>
    </w:div>
    <w:div w:id="993799184">
      <w:bodyDiv w:val="1"/>
      <w:marLeft w:val="0"/>
      <w:marRight w:val="0"/>
      <w:marTop w:val="0"/>
      <w:marBottom w:val="0"/>
      <w:divBdr>
        <w:top w:val="none" w:sz="0" w:space="0" w:color="auto"/>
        <w:left w:val="none" w:sz="0" w:space="0" w:color="auto"/>
        <w:bottom w:val="none" w:sz="0" w:space="0" w:color="auto"/>
        <w:right w:val="none" w:sz="0" w:space="0" w:color="auto"/>
      </w:divBdr>
    </w:div>
    <w:div w:id="1016347003">
      <w:bodyDiv w:val="1"/>
      <w:marLeft w:val="0"/>
      <w:marRight w:val="0"/>
      <w:marTop w:val="0"/>
      <w:marBottom w:val="0"/>
      <w:divBdr>
        <w:top w:val="none" w:sz="0" w:space="0" w:color="auto"/>
        <w:left w:val="none" w:sz="0" w:space="0" w:color="auto"/>
        <w:bottom w:val="none" w:sz="0" w:space="0" w:color="auto"/>
        <w:right w:val="none" w:sz="0" w:space="0" w:color="auto"/>
      </w:divBdr>
    </w:div>
    <w:div w:id="1033732043">
      <w:bodyDiv w:val="1"/>
      <w:marLeft w:val="0"/>
      <w:marRight w:val="0"/>
      <w:marTop w:val="0"/>
      <w:marBottom w:val="0"/>
      <w:divBdr>
        <w:top w:val="none" w:sz="0" w:space="0" w:color="auto"/>
        <w:left w:val="none" w:sz="0" w:space="0" w:color="auto"/>
        <w:bottom w:val="none" w:sz="0" w:space="0" w:color="auto"/>
        <w:right w:val="none" w:sz="0" w:space="0" w:color="auto"/>
      </w:divBdr>
    </w:div>
    <w:div w:id="1037467082">
      <w:bodyDiv w:val="1"/>
      <w:marLeft w:val="0"/>
      <w:marRight w:val="0"/>
      <w:marTop w:val="0"/>
      <w:marBottom w:val="0"/>
      <w:divBdr>
        <w:top w:val="none" w:sz="0" w:space="0" w:color="auto"/>
        <w:left w:val="none" w:sz="0" w:space="0" w:color="auto"/>
        <w:bottom w:val="none" w:sz="0" w:space="0" w:color="auto"/>
        <w:right w:val="none" w:sz="0" w:space="0" w:color="auto"/>
      </w:divBdr>
    </w:div>
    <w:div w:id="1072898059">
      <w:bodyDiv w:val="1"/>
      <w:marLeft w:val="0"/>
      <w:marRight w:val="0"/>
      <w:marTop w:val="0"/>
      <w:marBottom w:val="0"/>
      <w:divBdr>
        <w:top w:val="none" w:sz="0" w:space="0" w:color="auto"/>
        <w:left w:val="none" w:sz="0" w:space="0" w:color="auto"/>
        <w:bottom w:val="none" w:sz="0" w:space="0" w:color="auto"/>
        <w:right w:val="none" w:sz="0" w:space="0" w:color="auto"/>
      </w:divBdr>
    </w:div>
    <w:div w:id="1092168563">
      <w:bodyDiv w:val="1"/>
      <w:marLeft w:val="0"/>
      <w:marRight w:val="0"/>
      <w:marTop w:val="0"/>
      <w:marBottom w:val="0"/>
      <w:divBdr>
        <w:top w:val="none" w:sz="0" w:space="0" w:color="auto"/>
        <w:left w:val="none" w:sz="0" w:space="0" w:color="auto"/>
        <w:bottom w:val="none" w:sz="0" w:space="0" w:color="auto"/>
        <w:right w:val="none" w:sz="0" w:space="0" w:color="auto"/>
      </w:divBdr>
    </w:div>
    <w:div w:id="1109423471">
      <w:bodyDiv w:val="1"/>
      <w:marLeft w:val="0"/>
      <w:marRight w:val="0"/>
      <w:marTop w:val="0"/>
      <w:marBottom w:val="0"/>
      <w:divBdr>
        <w:top w:val="none" w:sz="0" w:space="0" w:color="auto"/>
        <w:left w:val="none" w:sz="0" w:space="0" w:color="auto"/>
        <w:bottom w:val="none" w:sz="0" w:space="0" w:color="auto"/>
        <w:right w:val="none" w:sz="0" w:space="0" w:color="auto"/>
      </w:divBdr>
    </w:div>
    <w:div w:id="1126579288">
      <w:bodyDiv w:val="1"/>
      <w:marLeft w:val="0"/>
      <w:marRight w:val="0"/>
      <w:marTop w:val="0"/>
      <w:marBottom w:val="0"/>
      <w:divBdr>
        <w:top w:val="none" w:sz="0" w:space="0" w:color="auto"/>
        <w:left w:val="none" w:sz="0" w:space="0" w:color="auto"/>
        <w:bottom w:val="none" w:sz="0" w:space="0" w:color="auto"/>
        <w:right w:val="none" w:sz="0" w:space="0" w:color="auto"/>
      </w:divBdr>
    </w:div>
    <w:div w:id="1141583653">
      <w:bodyDiv w:val="1"/>
      <w:marLeft w:val="0"/>
      <w:marRight w:val="0"/>
      <w:marTop w:val="0"/>
      <w:marBottom w:val="0"/>
      <w:divBdr>
        <w:top w:val="none" w:sz="0" w:space="0" w:color="auto"/>
        <w:left w:val="none" w:sz="0" w:space="0" w:color="auto"/>
        <w:bottom w:val="none" w:sz="0" w:space="0" w:color="auto"/>
        <w:right w:val="none" w:sz="0" w:space="0" w:color="auto"/>
      </w:divBdr>
    </w:div>
    <w:div w:id="1161042020">
      <w:bodyDiv w:val="1"/>
      <w:marLeft w:val="0"/>
      <w:marRight w:val="0"/>
      <w:marTop w:val="0"/>
      <w:marBottom w:val="0"/>
      <w:divBdr>
        <w:top w:val="none" w:sz="0" w:space="0" w:color="auto"/>
        <w:left w:val="none" w:sz="0" w:space="0" w:color="auto"/>
        <w:bottom w:val="none" w:sz="0" w:space="0" w:color="auto"/>
        <w:right w:val="none" w:sz="0" w:space="0" w:color="auto"/>
      </w:divBdr>
    </w:div>
    <w:div w:id="1183981921">
      <w:bodyDiv w:val="1"/>
      <w:marLeft w:val="0"/>
      <w:marRight w:val="0"/>
      <w:marTop w:val="0"/>
      <w:marBottom w:val="0"/>
      <w:divBdr>
        <w:top w:val="none" w:sz="0" w:space="0" w:color="auto"/>
        <w:left w:val="none" w:sz="0" w:space="0" w:color="auto"/>
        <w:bottom w:val="none" w:sz="0" w:space="0" w:color="auto"/>
        <w:right w:val="none" w:sz="0" w:space="0" w:color="auto"/>
      </w:divBdr>
    </w:div>
    <w:div w:id="1215048107">
      <w:bodyDiv w:val="1"/>
      <w:marLeft w:val="0"/>
      <w:marRight w:val="0"/>
      <w:marTop w:val="0"/>
      <w:marBottom w:val="0"/>
      <w:divBdr>
        <w:top w:val="none" w:sz="0" w:space="0" w:color="auto"/>
        <w:left w:val="none" w:sz="0" w:space="0" w:color="auto"/>
        <w:bottom w:val="none" w:sz="0" w:space="0" w:color="auto"/>
        <w:right w:val="none" w:sz="0" w:space="0" w:color="auto"/>
      </w:divBdr>
    </w:div>
    <w:div w:id="1237477259">
      <w:bodyDiv w:val="1"/>
      <w:marLeft w:val="0"/>
      <w:marRight w:val="0"/>
      <w:marTop w:val="0"/>
      <w:marBottom w:val="0"/>
      <w:divBdr>
        <w:top w:val="none" w:sz="0" w:space="0" w:color="auto"/>
        <w:left w:val="none" w:sz="0" w:space="0" w:color="auto"/>
        <w:bottom w:val="none" w:sz="0" w:space="0" w:color="auto"/>
        <w:right w:val="none" w:sz="0" w:space="0" w:color="auto"/>
      </w:divBdr>
    </w:div>
    <w:div w:id="1257471863">
      <w:bodyDiv w:val="1"/>
      <w:marLeft w:val="0"/>
      <w:marRight w:val="0"/>
      <w:marTop w:val="0"/>
      <w:marBottom w:val="0"/>
      <w:divBdr>
        <w:top w:val="none" w:sz="0" w:space="0" w:color="auto"/>
        <w:left w:val="none" w:sz="0" w:space="0" w:color="auto"/>
        <w:bottom w:val="none" w:sz="0" w:space="0" w:color="auto"/>
        <w:right w:val="none" w:sz="0" w:space="0" w:color="auto"/>
      </w:divBdr>
    </w:div>
    <w:div w:id="1269433636">
      <w:bodyDiv w:val="1"/>
      <w:marLeft w:val="0"/>
      <w:marRight w:val="0"/>
      <w:marTop w:val="0"/>
      <w:marBottom w:val="0"/>
      <w:divBdr>
        <w:top w:val="none" w:sz="0" w:space="0" w:color="auto"/>
        <w:left w:val="none" w:sz="0" w:space="0" w:color="auto"/>
        <w:bottom w:val="none" w:sz="0" w:space="0" w:color="auto"/>
        <w:right w:val="none" w:sz="0" w:space="0" w:color="auto"/>
      </w:divBdr>
    </w:div>
    <w:div w:id="1312753596">
      <w:bodyDiv w:val="1"/>
      <w:marLeft w:val="0"/>
      <w:marRight w:val="0"/>
      <w:marTop w:val="0"/>
      <w:marBottom w:val="0"/>
      <w:divBdr>
        <w:top w:val="none" w:sz="0" w:space="0" w:color="auto"/>
        <w:left w:val="none" w:sz="0" w:space="0" w:color="auto"/>
        <w:bottom w:val="none" w:sz="0" w:space="0" w:color="auto"/>
        <w:right w:val="none" w:sz="0" w:space="0" w:color="auto"/>
      </w:divBdr>
    </w:div>
    <w:div w:id="1317224199">
      <w:bodyDiv w:val="1"/>
      <w:marLeft w:val="0"/>
      <w:marRight w:val="0"/>
      <w:marTop w:val="0"/>
      <w:marBottom w:val="0"/>
      <w:divBdr>
        <w:top w:val="none" w:sz="0" w:space="0" w:color="auto"/>
        <w:left w:val="none" w:sz="0" w:space="0" w:color="auto"/>
        <w:bottom w:val="none" w:sz="0" w:space="0" w:color="auto"/>
        <w:right w:val="none" w:sz="0" w:space="0" w:color="auto"/>
      </w:divBdr>
    </w:div>
    <w:div w:id="1377464446">
      <w:bodyDiv w:val="1"/>
      <w:marLeft w:val="0"/>
      <w:marRight w:val="0"/>
      <w:marTop w:val="0"/>
      <w:marBottom w:val="0"/>
      <w:divBdr>
        <w:top w:val="none" w:sz="0" w:space="0" w:color="auto"/>
        <w:left w:val="none" w:sz="0" w:space="0" w:color="auto"/>
        <w:bottom w:val="none" w:sz="0" w:space="0" w:color="auto"/>
        <w:right w:val="none" w:sz="0" w:space="0" w:color="auto"/>
      </w:divBdr>
      <w:divsChild>
        <w:div w:id="427625279">
          <w:marLeft w:val="1411"/>
          <w:marRight w:val="0"/>
          <w:marTop w:val="0"/>
          <w:marBottom w:val="0"/>
          <w:divBdr>
            <w:top w:val="none" w:sz="0" w:space="0" w:color="auto"/>
            <w:left w:val="none" w:sz="0" w:space="0" w:color="auto"/>
            <w:bottom w:val="none" w:sz="0" w:space="0" w:color="auto"/>
            <w:right w:val="none" w:sz="0" w:space="0" w:color="auto"/>
          </w:divBdr>
        </w:div>
        <w:div w:id="568031031">
          <w:marLeft w:val="1411"/>
          <w:marRight w:val="0"/>
          <w:marTop w:val="0"/>
          <w:marBottom w:val="0"/>
          <w:divBdr>
            <w:top w:val="none" w:sz="0" w:space="0" w:color="auto"/>
            <w:left w:val="none" w:sz="0" w:space="0" w:color="auto"/>
            <w:bottom w:val="none" w:sz="0" w:space="0" w:color="auto"/>
            <w:right w:val="none" w:sz="0" w:space="0" w:color="auto"/>
          </w:divBdr>
        </w:div>
        <w:div w:id="1324119449">
          <w:marLeft w:val="1411"/>
          <w:marRight w:val="0"/>
          <w:marTop w:val="0"/>
          <w:marBottom w:val="0"/>
          <w:divBdr>
            <w:top w:val="none" w:sz="0" w:space="0" w:color="auto"/>
            <w:left w:val="none" w:sz="0" w:space="0" w:color="auto"/>
            <w:bottom w:val="none" w:sz="0" w:space="0" w:color="auto"/>
            <w:right w:val="none" w:sz="0" w:space="0" w:color="auto"/>
          </w:divBdr>
        </w:div>
        <w:div w:id="1373193343">
          <w:marLeft w:val="562"/>
          <w:marRight w:val="0"/>
          <w:marTop w:val="0"/>
          <w:marBottom w:val="0"/>
          <w:divBdr>
            <w:top w:val="none" w:sz="0" w:space="0" w:color="auto"/>
            <w:left w:val="none" w:sz="0" w:space="0" w:color="auto"/>
            <w:bottom w:val="none" w:sz="0" w:space="0" w:color="auto"/>
            <w:right w:val="none" w:sz="0" w:space="0" w:color="auto"/>
          </w:divBdr>
        </w:div>
        <w:div w:id="1684472485">
          <w:marLeft w:val="1411"/>
          <w:marRight w:val="0"/>
          <w:marTop w:val="0"/>
          <w:marBottom w:val="0"/>
          <w:divBdr>
            <w:top w:val="none" w:sz="0" w:space="0" w:color="auto"/>
            <w:left w:val="none" w:sz="0" w:space="0" w:color="auto"/>
            <w:bottom w:val="none" w:sz="0" w:space="0" w:color="auto"/>
            <w:right w:val="none" w:sz="0" w:space="0" w:color="auto"/>
          </w:divBdr>
        </w:div>
        <w:div w:id="1732801658">
          <w:marLeft w:val="1411"/>
          <w:marRight w:val="0"/>
          <w:marTop w:val="0"/>
          <w:marBottom w:val="0"/>
          <w:divBdr>
            <w:top w:val="none" w:sz="0" w:space="0" w:color="auto"/>
            <w:left w:val="none" w:sz="0" w:space="0" w:color="auto"/>
            <w:bottom w:val="none" w:sz="0" w:space="0" w:color="auto"/>
            <w:right w:val="none" w:sz="0" w:space="0" w:color="auto"/>
          </w:divBdr>
        </w:div>
        <w:div w:id="1783454252">
          <w:marLeft w:val="1411"/>
          <w:marRight w:val="0"/>
          <w:marTop w:val="0"/>
          <w:marBottom w:val="0"/>
          <w:divBdr>
            <w:top w:val="none" w:sz="0" w:space="0" w:color="auto"/>
            <w:left w:val="none" w:sz="0" w:space="0" w:color="auto"/>
            <w:bottom w:val="none" w:sz="0" w:space="0" w:color="auto"/>
            <w:right w:val="none" w:sz="0" w:space="0" w:color="auto"/>
          </w:divBdr>
        </w:div>
        <w:div w:id="2022313867">
          <w:marLeft w:val="562"/>
          <w:marRight w:val="0"/>
          <w:marTop w:val="0"/>
          <w:marBottom w:val="0"/>
          <w:divBdr>
            <w:top w:val="none" w:sz="0" w:space="0" w:color="auto"/>
            <w:left w:val="none" w:sz="0" w:space="0" w:color="auto"/>
            <w:bottom w:val="none" w:sz="0" w:space="0" w:color="auto"/>
            <w:right w:val="none" w:sz="0" w:space="0" w:color="auto"/>
          </w:divBdr>
        </w:div>
      </w:divsChild>
    </w:div>
    <w:div w:id="1392388646">
      <w:bodyDiv w:val="1"/>
      <w:marLeft w:val="0"/>
      <w:marRight w:val="0"/>
      <w:marTop w:val="0"/>
      <w:marBottom w:val="0"/>
      <w:divBdr>
        <w:top w:val="none" w:sz="0" w:space="0" w:color="auto"/>
        <w:left w:val="none" w:sz="0" w:space="0" w:color="auto"/>
        <w:bottom w:val="none" w:sz="0" w:space="0" w:color="auto"/>
        <w:right w:val="none" w:sz="0" w:space="0" w:color="auto"/>
      </w:divBdr>
    </w:div>
    <w:div w:id="1394700840">
      <w:bodyDiv w:val="1"/>
      <w:marLeft w:val="0"/>
      <w:marRight w:val="0"/>
      <w:marTop w:val="0"/>
      <w:marBottom w:val="0"/>
      <w:divBdr>
        <w:top w:val="none" w:sz="0" w:space="0" w:color="auto"/>
        <w:left w:val="none" w:sz="0" w:space="0" w:color="auto"/>
        <w:bottom w:val="none" w:sz="0" w:space="0" w:color="auto"/>
        <w:right w:val="none" w:sz="0" w:space="0" w:color="auto"/>
      </w:divBdr>
    </w:div>
    <w:div w:id="1490948863">
      <w:bodyDiv w:val="1"/>
      <w:marLeft w:val="0"/>
      <w:marRight w:val="0"/>
      <w:marTop w:val="0"/>
      <w:marBottom w:val="0"/>
      <w:divBdr>
        <w:top w:val="none" w:sz="0" w:space="0" w:color="auto"/>
        <w:left w:val="none" w:sz="0" w:space="0" w:color="auto"/>
        <w:bottom w:val="none" w:sz="0" w:space="0" w:color="auto"/>
        <w:right w:val="none" w:sz="0" w:space="0" w:color="auto"/>
      </w:divBdr>
    </w:div>
    <w:div w:id="1498692600">
      <w:bodyDiv w:val="1"/>
      <w:marLeft w:val="0"/>
      <w:marRight w:val="0"/>
      <w:marTop w:val="0"/>
      <w:marBottom w:val="0"/>
      <w:divBdr>
        <w:top w:val="none" w:sz="0" w:space="0" w:color="auto"/>
        <w:left w:val="none" w:sz="0" w:space="0" w:color="auto"/>
        <w:bottom w:val="none" w:sz="0" w:space="0" w:color="auto"/>
        <w:right w:val="none" w:sz="0" w:space="0" w:color="auto"/>
      </w:divBdr>
    </w:div>
    <w:div w:id="1528178111">
      <w:bodyDiv w:val="1"/>
      <w:marLeft w:val="0"/>
      <w:marRight w:val="0"/>
      <w:marTop w:val="0"/>
      <w:marBottom w:val="0"/>
      <w:divBdr>
        <w:top w:val="none" w:sz="0" w:space="0" w:color="auto"/>
        <w:left w:val="none" w:sz="0" w:space="0" w:color="auto"/>
        <w:bottom w:val="none" w:sz="0" w:space="0" w:color="auto"/>
        <w:right w:val="none" w:sz="0" w:space="0" w:color="auto"/>
      </w:divBdr>
    </w:div>
    <w:div w:id="1551457365">
      <w:bodyDiv w:val="1"/>
      <w:marLeft w:val="0"/>
      <w:marRight w:val="0"/>
      <w:marTop w:val="0"/>
      <w:marBottom w:val="0"/>
      <w:divBdr>
        <w:top w:val="none" w:sz="0" w:space="0" w:color="auto"/>
        <w:left w:val="none" w:sz="0" w:space="0" w:color="auto"/>
        <w:bottom w:val="none" w:sz="0" w:space="0" w:color="auto"/>
        <w:right w:val="none" w:sz="0" w:space="0" w:color="auto"/>
      </w:divBdr>
    </w:div>
    <w:div w:id="1562866229">
      <w:bodyDiv w:val="1"/>
      <w:marLeft w:val="0"/>
      <w:marRight w:val="0"/>
      <w:marTop w:val="0"/>
      <w:marBottom w:val="0"/>
      <w:divBdr>
        <w:top w:val="none" w:sz="0" w:space="0" w:color="auto"/>
        <w:left w:val="none" w:sz="0" w:space="0" w:color="auto"/>
        <w:bottom w:val="none" w:sz="0" w:space="0" w:color="auto"/>
        <w:right w:val="none" w:sz="0" w:space="0" w:color="auto"/>
      </w:divBdr>
      <w:divsChild>
        <w:div w:id="842008112">
          <w:marLeft w:val="432"/>
          <w:marRight w:val="0"/>
          <w:marTop w:val="0"/>
          <w:marBottom w:val="0"/>
          <w:divBdr>
            <w:top w:val="none" w:sz="0" w:space="0" w:color="auto"/>
            <w:left w:val="none" w:sz="0" w:space="0" w:color="auto"/>
            <w:bottom w:val="none" w:sz="0" w:space="0" w:color="auto"/>
            <w:right w:val="none" w:sz="0" w:space="0" w:color="auto"/>
          </w:divBdr>
        </w:div>
        <w:div w:id="960261310">
          <w:marLeft w:val="432"/>
          <w:marRight w:val="0"/>
          <w:marTop w:val="0"/>
          <w:marBottom w:val="0"/>
          <w:divBdr>
            <w:top w:val="none" w:sz="0" w:space="0" w:color="auto"/>
            <w:left w:val="none" w:sz="0" w:space="0" w:color="auto"/>
            <w:bottom w:val="none" w:sz="0" w:space="0" w:color="auto"/>
            <w:right w:val="none" w:sz="0" w:space="0" w:color="auto"/>
          </w:divBdr>
        </w:div>
        <w:div w:id="1004744843">
          <w:marLeft w:val="432"/>
          <w:marRight w:val="0"/>
          <w:marTop w:val="0"/>
          <w:marBottom w:val="0"/>
          <w:divBdr>
            <w:top w:val="none" w:sz="0" w:space="0" w:color="auto"/>
            <w:left w:val="none" w:sz="0" w:space="0" w:color="auto"/>
            <w:bottom w:val="none" w:sz="0" w:space="0" w:color="auto"/>
            <w:right w:val="none" w:sz="0" w:space="0" w:color="auto"/>
          </w:divBdr>
        </w:div>
        <w:div w:id="1449617494">
          <w:marLeft w:val="432"/>
          <w:marRight w:val="0"/>
          <w:marTop w:val="0"/>
          <w:marBottom w:val="0"/>
          <w:divBdr>
            <w:top w:val="none" w:sz="0" w:space="0" w:color="auto"/>
            <w:left w:val="none" w:sz="0" w:space="0" w:color="auto"/>
            <w:bottom w:val="none" w:sz="0" w:space="0" w:color="auto"/>
            <w:right w:val="none" w:sz="0" w:space="0" w:color="auto"/>
          </w:divBdr>
        </w:div>
        <w:div w:id="1642155400">
          <w:marLeft w:val="432"/>
          <w:marRight w:val="0"/>
          <w:marTop w:val="0"/>
          <w:marBottom w:val="0"/>
          <w:divBdr>
            <w:top w:val="none" w:sz="0" w:space="0" w:color="auto"/>
            <w:left w:val="none" w:sz="0" w:space="0" w:color="auto"/>
            <w:bottom w:val="none" w:sz="0" w:space="0" w:color="auto"/>
            <w:right w:val="none" w:sz="0" w:space="0" w:color="auto"/>
          </w:divBdr>
        </w:div>
      </w:divsChild>
    </w:div>
    <w:div w:id="1582059570">
      <w:bodyDiv w:val="1"/>
      <w:marLeft w:val="0"/>
      <w:marRight w:val="0"/>
      <w:marTop w:val="0"/>
      <w:marBottom w:val="0"/>
      <w:divBdr>
        <w:top w:val="none" w:sz="0" w:space="0" w:color="auto"/>
        <w:left w:val="none" w:sz="0" w:space="0" w:color="auto"/>
        <w:bottom w:val="none" w:sz="0" w:space="0" w:color="auto"/>
        <w:right w:val="none" w:sz="0" w:space="0" w:color="auto"/>
      </w:divBdr>
    </w:div>
    <w:div w:id="1585410920">
      <w:bodyDiv w:val="1"/>
      <w:marLeft w:val="0"/>
      <w:marRight w:val="0"/>
      <w:marTop w:val="0"/>
      <w:marBottom w:val="0"/>
      <w:divBdr>
        <w:top w:val="none" w:sz="0" w:space="0" w:color="auto"/>
        <w:left w:val="none" w:sz="0" w:space="0" w:color="auto"/>
        <w:bottom w:val="none" w:sz="0" w:space="0" w:color="auto"/>
        <w:right w:val="none" w:sz="0" w:space="0" w:color="auto"/>
      </w:divBdr>
    </w:div>
    <w:div w:id="1592086396">
      <w:bodyDiv w:val="1"/>
      <w:marLeft w:val="0"/>
      <w:marRight w:val="0"/>
      <w:marTop w:val="0"/>
      <w:marBottom w:val="0"/>
      <w:divBdr>
        <w:top w:val="none" w:sz="0" w:space="0" w:color="auto"/>
        <w:left w:val="none" w:sz="0" w:space="0" w:color="auto"/>
        <w:bottom w:val="none" w:sz="0" w:space="0" w:color="auto"/>
        <w:right w:val="none" w:sz="0" w:space="0" w:color="auto"/>
      </w:divBdr>
    </w:div>
    <w:div w:id="1625191141">
      <w:bodyDiv w:val="1"/>
      <w:marLeft w:val="0"/>
      <w:marRight w:val="0"/>
      <w:marTop w:val="0"/>
      <w:marBottom w:val="0"/>
      <w:divBdr>
        <w:top w:val="none" w:sz="0" w:space="0" w:color="auto"/>
        <w:left w:val="none" w:sz="0" w:space="0" w:color="auto"/>
        <w:bottom w:val="none" w:sz="0" w:space="0" w:color="auto"/>
        <w:right w:val="none" w:sz="0" w:space="0" w:color="auto"/>
      </w:divBdr>
    </w:div>
    <w:div w:id="1629509705">
      <w:bodyDiv w:val="1"/>
      <w:marLeft w:val="0"/>
      <w:marRight w:val="0"/>
      <w:marTop w:val="0"/>
      <w:marBottom w:val="0"/>
      <w:divBdr>
        <w:top w:val="none" w:sz="0" w:space="0" w:color="auto"/>
        <w:left w:val="none" w:sz="0" w:space="0" w:color="auto"/>
        <w:bottom w:val="none" w:sz="0" w:space="0" w:color="auto"/>
        <w:right w:val="none" w:sz="0" w:space="0" w:color="auto"/>
      </w:divBdr>
    </w:div>
    <w:div w:id="1637837175">
      <w:bodyDiv w:val="1"/>
      <w:marLeft w:val="0"/>
      <w:marRight w:val="0"/>
      <w:marTop w:val="0"/>
      <w:marBottom w:val="0"/>
      <w:divBdr>
        <w:top w:val="none" w:sz="0" w:space="0" w:color="auto"/>
        <w:left w:val="none" w:sz="0" w:space="0" w:color="auto"/>
        <w:bottom w:val="none" w:sz="0" w:space="0" w:color="auto"/>
        <w:right w:val="none" w:sz="0" w:space="0" w:color="auto"/>
      </w:divBdr>
    </w:div>
    <w:div w:id="1706060909">
      <w:bodyDiv w:val="1"/>
      <w:marLeft w:val="0"/>
      <w:marRight w:val="0"/>
      <w:marTop w:val="0"/>
      <w:marBottom w:val="0"/>
      <w:divBdr>
        <w:top w:val="none" w:sz="0" w:space="0" w:color="auto"/>
        <w:left w:val="none" w:sz="0" w:space="0" w:color="auto"/>
        <w:bottom w:val="none" w:sz="0" w:space="0" w:color="auto"/>
        <w:right w:val="none" w:sz="0" w:space="0" w:color="auto"/>
      </w:divBdr>
    </w:div>
    <w:div w:id="1723291854">
      <w:bodyDiv w:val="1"/>
      <w:marLeft w:val="0"/>
      <w:marRight w:val="0"/>
      <w:marTop w:val="0"/>
      <w:marBottom w:val="0"/>
      <w:divBdr>
        <w:top w:val="none" w:sz="0" w:space="0" w:color="auto"/>
        <w:left w:val="none" w:sz="0" w:space="0" w:color="auto"/>
        <w:bottom w:val="none" w:sz="0" w:space="0" w:color="auto"/>
        <w:right w:val="none" w:sz="0" w:space="0" w:color="auto"/>
      </w:divBdr>
    </w:div>
    <w:div w:id="1745834616">
      <w:bodyDiv w:val="1"/>
      <w:marLeft w:val="0"/>
      <w:marRight w:val="0"/>
      <w:marTop w:val="0"/>
      <w:marBottom w:val="0"/>
      <w:divBdr>
        <w:top w:val="none" w:sz="0" w:space="0" w:color="auto"/>
        <w:left w:val="none" w:sz="0" w:space="0" w:color="auto"/>
        <w:bottom w:val="none" w:sz="0" w:space="0" w:color="auto"/>
        <w:right w:val="none" w:sz="0" w:space="0" w:color="auto"/>
      </w:divBdr>
    </w:div>
    <w:div w:id="1750349545">
      <w:bodyDiv w:val="1"/>
      <w:marLeft w:val="0"/>
      <w:marRight w:val="0"/>
      <w:marTop w:val="0"/>
      <w:marBottom w:val="0"/>
      <w:divBdr>
        <w:top w:val="none" w:sz="0" w:space="0" w:color="auto"/>
        <w:left w:val="none" w:sz="0" w:space="0" w:color="auto"/>
        <w:bottom w:val="none" w:sz="0" w:space="0" w:color="auto"/>
        <w:right w:val="none" w:sz="0" w:space="0" w:color="auto"/>
      </w:divBdr>
    </w:div>
    <w:div w:id="1783916195">
      <w:bodyDiv w:val="1"/>
      <w:marLeft w:val="0"/>
      <w:marRight w:val="0"/>
      <w:marTop w:val="0"/>
      <w:marBottom w:val="0"/>
      <w:divBdr>
        <w:top w:val="none" w:sz="0" w:space="0" w:color="auto"/>
        <w:left w:val="none" w:sz="0" w:space="0" w:color="auto"/>
        <w:bottom w:val="none" w:sz="0" w:space="0" w:color="auto"/>
        <w:right w:val="none" w:sz="0" w:space="0" w:color="auto"/>
      </w:divBdr>
    </w:div>
    <w:div w:id="1845120844">
      <w:bodyDiv w:val="1"/>
      <w:marLeft w:val="0"/>
      <w:marRight w:val="0"/>
      <w:marTop w:val="0"/>
      <w:marBottom w:val="0"/>
      <w:divBdr>
        <w:top w:val="none" w:sz="0" w:space="0" w:color="auto"/>
        <w:left w:val="none" w:sz="0" w:space="0" w:color="auto"/>
        <w:bottom w:val="none" w:sz="0" w:space="0" w:color="auto"/>
        <w:right w:val="none" w:sz="0" w:space="0" w:color="auto"/>
      </w:divBdr>
    </w:div>
    <w:div w:id="1853376834">
      <w:bodyDiv w:val="1"/>
      <w:marLeft w:val="0"/>
      <w:marRight w:val="0"/>
      <w:marTop w:val="0"/>
      <w:marBottom w:val="0"/>
      <w:divBdr>
        <w:top w:val="none" w:sz="0" w:space="0" w:color="auto"/>
        <w:left w:val="none" w:sz="0" w:space="0" w:color="auto"/>
        <w:bottom w:val="none" w:sz="0" w:space="0" w:color="auto"/>
        <w:right w:val="none" w:sz="0" w:space="0" w:color="auto"/>
      </w:divBdr>
    </w:div>
    <w:div w:id="1865560112">
      <w:bodyDiv w:val="1"/>
      <w:marLeft w:val="0"/>
      <w:marRight w:val="0"/>
      <w:marTop w:val="0"/>
      <w:marBottom w:val="0"/>
      <w:divBdr>
        <w:top w:val="none" w:sz="0" w:space="0" w:color="auto"/>
        <w:left w:val="none" w:sz="0" w:space="0" w:color="auto"/>
        <w:bottom w:val="none" w:sz="0" w:space="0" w:color="auto"/>
        <w:right w:val="none" w:sz="0" w:space="0" w:color="auto"/>
      </w:divBdr>
    </w:div>
    <w:div w:id="1926306342">
      <w:bodyDiv w:val="1"/>
      <w:marLeft w:val="0"/>
      <w:marRight w:val="0"/>
      <w:marTop w:val="0"/>
      <w:marBottom w:val="0"/>
      <w:divBdr>
        <w:top w:val="none" w:sz="0" w:space="0" w:color="auto"/>
        <w:left w:val="none" w:sz="0" w:space="0" w:color="auto"/>
        <w:bottom w:val="none" w:sz="0" w:space="0" w:color="auto"/>
        <w:right w:val="none" w:sz="0" w:space="0" w:color="auto"/>
      </w:divBdr>
      <w:divsChild>
        <w:div w:id="706683369">
          <w:marLeft w:val="446"/>
          <w:marRight w:val="0"/>
          <w:marTop w:val="0"/>
          <w:marBottom w:val="0"/>
          <w:divBdr>
            <w:top w:val="none" w:sz="0" w:space="0" w:color="auto"/>
            <w:left w:val="none" w:sz="0" w:space="0" w:color="auto"/>
            <w:bottom w:val="none" w:sz="0" w:space="0" w:color="auto"/>
            <w:right w:val="none" w:sz="0" w:space="0" w:color="auto"/>
          </w:divBdr>
        </w:div>
        <w:div w:id="1413968053">
          <w:marLeft w:val="446"/>
          <w:marRight w:val="0"/>
          <w:marTop w:val="0"/>
          <w:marBottom w:val="0"/>
          <w:divBdr>
            <w:top w:val="none" w:sz="0" w:space="0" w:color="auto"/>
            <w:left w:val="none" w:sz="0" w:space="0" w:color="auto"/>
            <w:bottom w:val="none" w:sz="0" w:space="0" w:color="auto"/>
            <w:right w:val="none" w:sz="0" w:space="0" w:color="auto"/>
          </w:divBdr>
        </w:div>
        <w:div w:id="1800881046">
          <w:marLeft w:val="446"/>
          <w:marRight w:val="0"/>
          <w:marTop w:val="0"/>
          <w:marBottom w:val="0"/>
          <w:divBdr>
            <w:top w:val="none" w:sz="0" w:space="0" w:color="auto"/>
            <w:left w:val="none" w:sz="0" w:space="0" w:color="auto"/>
            <w:bottom w:val="none" w:sz="0" w:space="0" w:color="auto"/>
            <w:right w:val="none" w:sz="0" w:space="0" w:color="auto"/>
          </w:divBdr>
        </w:div>
      </w:divsChild>
    </w:div>
    <w:div w:id="1926647794">
      <w:bodyDiv w:val="1"/>
      <w:marLeft w:val="0"/>
      <w:marRight w:val="0"/>
      <w:marTop w:val="0"/>
      <w:marBottom w:val="0"/>
      <w:divBdr>
        <w:top w:val="none" w:sz="0" w:space="0" w:color="auto"/>
        <w:left w:val="none" w:sz="0" w:space="0" w:color="auto"/>
        <w:bottom w:val="none" w:sz="0" w:space="0" w:color="auto"/>
        <w:right w:val="none" w:sz="0" w:space="0" w:color="auto"/>
      </w:divBdr>
    </w:div>
    <w:div w:id="1927500358">
      <w:bodyDiv w:val="1"/>
      <w:marLeft w:val="0"/>
      <w:marRight w:val="0"/>
      <w:marTop w:val="0"/>
      <w:marBottom w:val="0"/>
      <w:divBdr>
        <w:top w:val="none" w:sz="0" w:space="0" w:color="auto"/>
        <w:left w:val="none" w:sz="0" w:space="0" w:color="auto"/>
        <w:bottom w:val="none" w:sz="0" w:space="0" w:color="auto"/>
        <w:right w:val="none" w:sz="0" w:space="0" w:color="auto"/>
      </w:divBdr>
      <w:divsChild>
        <w:div w:id="111636357">
          <w:marLeft w:val="446"/>
          <w:marRight w:val="0"/>
          <w:marTop w:val="0"/>
          <w:marBottom w:val="0"/>
          <w:divBdr>
            <w:top w:val="none" w:sz="0" w:space="0" w:color="auto"/>
            <w:left w:val="none" w:sz="0" w:space="0" w:color="auto"/>
            <w:bottom w:val="none" w:sz="0" w:space="0" w:color="auto"/>
            <w:right w:val="none" w:sz="0" w:space="0" w:color="auto"/>
          </w:divBdr>
        </w:div>
        <w:div w:id="265116485">
          <w:marLeft w:val="446"/>
          <w:marRight w:val="0"/>
          <w:marTop w:val="0"/>
          <w:marBottom w:val="0"/>
          <w:divBdr>
            <w:top w:val="none" w:sz="0" w:space="0" w:color="auto"/>
            <w:left w:val="none" w:sz="0" w:space="0" w:color="auto"/>
            <w:bottom w:val="none" w:sz="0" w:space="0" w:color="auto"/>
            <w:right w:val="none" w:sz="0" w:space="0" w:color="auto"/>
          </w:divBdr>
        </w:div>
        <w:div w:id="1220169965">
          <w:marLeft w:val="446"/>
          <w:marRight w:val="0"/>
          <w:marTop w:val="0"/>
          <w:marBottom w:val="0"/>
          <w:divBdr>
            <w:top w:val="none" w:sz="0" w:space="0" w:color="auto"/>
            <w:left w:val="none" w:sz="0" w:space="0" w:color="auto"/>
            <w:bottom w:val="none" w:sz="0" w:space="0" w:color="auto"/>
            <w:right w:val="none" w:sz="0" w:space="0" w:color="auto"/>
          </w:divBdr>
        </w:div>
        <w:div w:id="1231111033">
          <w:marLeft w:val="446"/>
          <w:marRight w:val="0"/>
          <w:marTop w:val="0"/>
          <w:marBottom w:val="0"/>
          <w:divBdr>
            <w:top w:val="none" w:sz="0" w:space="0" w:color="auto"/>
            <w:left w:val="none" w:sz="0" w:space="0" w:color="auto"/>
            <w:bottom w:val="none" w:sz="0" w:space="0" w:color="auto"/>
            <w:right w:val="none" w:sz="0" w:space="0" w:color="auto"/>
          </w:divBdr>
        </w:div>
        <w:div w:id="1743327666">
          <w:marLeft w:val="446"/>
          <w:marRight w:val="0"/>
          <w:marTop w:val="0"/>
          <w:marBottom w:val="0"/>
          <w:divBdr>
            <w:top w:val="none" w:sz="0" w:space="0" w:color="auto"/>
            <w:left w:val="none" w:sz="0" w:space="0" w:color="auto"/>
            <w:bottom w:val="none" w:sz="0" w:space="0" w:color="auto"/>
            <w:right w:val="none" w:sz="0" w:space="0" w:color="auto"/>
          </w:divBdr>
        </w:div>
      </w:divsChild>
    </w:div>
    <w:div w:id="1931769293">
      <w:bodyDiv w:val="1"/>
      <w:marLeft w:val="0"/>
      <w:marRight w:val="0"/>
      <w:marTop w:val="0"/>
      <w:marBottom w:val="0"/>
      <w:divBdr>
        <w:top w:val="none" w:sz="0" w:space="0" w:color="auto"/>
        <w:left w:val="none" w:sz="0" w:space="0" w:color="auto"/>
        <w:bottom w:val="none" w:sz="0" w:space="0" w:color="auto"/>
        <w:right w:val="none" w:sz="0" w:space="0" w:color="auto"/>
      </w:divBdr>
    </w:div>
    <w:div w:id="1940601479">
      <w:bodyDiv w:val="1"/>
      <w:marLeft w:val="0"/>
      <w:marRight w:val="0"/>
      <w:marTop w:val="0"/>
      <w:marBottom w:val="0"/>
      <w:divBdr>
        <w:top w:val="none" w:sz="0" w:space="0" w:color="auto"/>
        <w:left w:val="none" w:sz="0" w:space="0" w:color="auto"/>
        <w:bottom w:val="none" w:sz="0" w:space="0" w:color="auto"/>
        <w:right w:val="none" w:sz="0" w:space="0" w:color="auto"/>
      </w:divBdr>
      <w:divsChild>
        <w:div w:id="393697833">
          <w:marLeft w:val="850"/>
          <w:marRight w:val="0"/>
          <w:marTop w:val="96"/>
          <w:marBottom w:val="0"/>
          <w:divBdr>
            <w:top w:val="none" w:sz="0" w:space="0" w:color="auto"/>
            <w:left w:val="none" w:sz="0" w:space="0" w:color="auto"/>
            <w:bottom w:val="none" w:sz="0" w:space="0" w:color="auto"/>
            <w:right w:val="none" w:sz="0" w:space="0" w:color="auto"/>
          </w:divBdr>
        </w:div>
        <w:div w:id="996568741">
          <w:marLeft w:val="850"/>
          <w:marRight w:val="0"/>
          <w:marTop w:val="96"/>
          <w:marBottom w:val="0"/>
          <w:divBdr>
            <w:top w:val="none" w:sz="0" w:space="0" w:color="auto"/>
            <w:left w:val="none" w:sz="0" w:space="0" w:color="auto"/>
            <w:bottom w:val="none" w:sz="0" w:space="0" w:color="auto"/>
            <w:right w:val="none" w:sz="0" w:space="0" w:color="auto"/>
          </w:divBdr>
        </w:div>
        <w:div w:id="1347247584">
          <w:marLeft w:val="850"/>
          <w:marRight w:val="0"/>
          <w:marTop w:val="96"/>
          <w:marBottom w:val="0"/>
          <w:divBdr>
            <w:top w:val="none" w:sz="0" w:space="0" w:color="auto"/>
            <w:left w:val="none" w:sz="0" w:space="0" w:color="auto"/>
            <w:bottom w:val="none" w:sz="0" w:space="0" w:color="auto"/>
            <w:right w:val="none" w:sz="0" w:space="0" w:color="auto"/>
          </w:divBdr>
        </w:div>
        <w:div w:id="1514804994">
          <w:marLeft w:val="850"/>
          <w:marRight w:val="0"/>
          <w:marTop w:val="96"/>
          <w:marBottom w:val="0"/>
          <w:divBdr>
            <w:top w:val="none" w:sz="0" w:space="0" w:color="auto"/>
            <w:left w:val="none" w:sz="0" w:space="0" w:color="auto"/>
            <w:bottom w:val="none" w:sz="0" w:space="0" w:color="auto"/>
            <w:right w:val="none" w:sz="0" w:space="0" w:color="auto"/>
          </w:divBdr>
        </w:div>
        <w:div w:id="2027633872">
          <w:marLeft w:val="850"/>
          <w:marRight w:val="0"/>
          <w:marTop w:val="96"/>
          <w:marBottom w:val="0"/>
          <w:divBdr>
            <w:top w:val="none" w:sz="0" w:space="0" w:color="auto"/>
            <w:left w:val="none" w:sz="0" w:space="0" w:color="auto"/>
            <w:bottom w:val="none" w:sz="0" w:space="0" w:color="auto"/>
            <w:right w:val="none" w:sz="0" w:space="0" w:color="auto"/>
          </w:divBdr>
        </w:div>
      </w:divsChild>
    </w:div>
    <w:div w:id="1942107982">
      <w:bodyDiv w:val="1"/>
      <w:marLeft w:val="0"/>
      <w:marRight w:val="0"/>
      <w:marTop w:val="0"/>
      <w:marBottom w:val="0"/>
      <w:divBdr>
        <w:top w:val="none" w:sz="0" w:space="0" w:color="auto"/>
        <w:left w:val="none" w:sz="0" w:space="0" w:color="auto"/>
        <w:bottom w:val="none" w:sz="0" w:space="0" w:color="auto"/>
        <w:right w:val="none" w:sz="0" w:space="0" w:color="auto"/>
      </w:divBdr>
    </w:div>
    <w:div w:id="2052849951">
      <w:bodyDiv w:val="1"/>
      <w:marLeft w:val="0"/>
      <w:marRight w:val="0"/>
      <w:marTop w:val="0"/>
      <w:marBottom w:val="0"/>
      <w:divBdr>
        <w:top w:val="none" w:sz="0" w:space="0" w:color="auto"/>
        <w:left w:val="none" w:sz="0" w:space="0" w:color="auto"/>
        <w:bottom w:val="none" w:sz="0" w:space="0" w:color="auto"/>
        <w:right w:val="none" w:sz="0" w:space="0" w:color="auto"/>
      </w:divBdr>
    </w:div>
    <w:div w:id="2073304315">
      <w:bodyDiv w:val="1"/>
      <w:marLeft w:val="0"/>
      <w:marRight w:val="0"/>
      <w:marTop w:val="0"/>
      <w:marBottom w:val="0"/>
      <w:divBdr>
        <w:top w:val="none" w:sz="0" w:space="0" w:color="auto"/>
        <w:left w:val="none" w:sz="0" w:space="0" w:color="auto"/>
        <w:bottom w:val="none" w:sz="0" w:space="0" w:color="auto"/>
        <w:right w:val="none" w:sz="0" w:space="0" w:color="auto"/>
      </w:divBdr>
    </w:div>
    <w:div w:id="209966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6.xml"/><Relationship Id="rId18" Type="http://schemas.openxmlformats.org/officeDocument/2006/relationships/chart" Target="charts/chart11.xml"/><Relationship Id="rId26" Type="http://schemas.openxmlformats.org/officeDocument/2006/relationships/chart" Target="charts/chart19.xml"/><Relationship Id="rId39" Type="http://schemas.openxmlformats.org/officeDocument/2006/relationships/image" Target="media/image13.png"/><Relationship Id="rId21" Type="http://schemas.openxmlformats.org/officeDocument/2006/relationships/chart" Target="charts/chart14.xml"/><Relationship Id="rId34" Type="http://schemas.openxmlformats.org/officeDocument/2006/relationships/image" Target="media/image8.png"/><Relationship Id="rId42" Type="http://schemas.openxmlformats.org/officeDocument/2006/relationships/image" Target="media/image16.png"/><Relationship Id="rId47" Type="http://schemas.openxmlformats.org/officeDocument/2006/relationships/image" Target="media/image21.emf"/><Relationship Id="rId50" Type="http://schemas.openxmlformats.org/officeDocument/2006/relationships/image" Target="media/image24.emf"/><Relationship Id="rId55" Type="http://schemas.openxmlformats.org/officeDocument/2006/relationships/hyperlink" Target="https://presupuestoabierto.minfin.gob.gt/foros/" TargetMode="External"/><Relationship Id="rId63" Type="http://schemas.openxmlformats.org/officeDocument/2006/relationships/hyperlink" Target="https://datos.minfin.gob.gt/" TargetMode="External"/><Relationship Id="rId68" Type="http://schemas.openxmlformats.org/officeDocument/2006/relationships/hyperlink" Target="https://www.rgae.gob.gt/quienes-somos/" TargetMode="Externa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chart" Target="charts/chart9.xml"/><Relationship Id="rId29" Type="http://schemas.openxmlformats.org/officeDocument/2006/relationships/image" Target="media/image3.png"/><Relationship Id="rId11" Type="http://schemas.openxmlformats.org/officeDocument/2006/relationships/chart" Target="charts/chart4.xml"/><Relationship Id="rId24" Type="http://schemas.openxmlformats.org/officeDocument/2006/relationships/chart" Target="charts/chart17.xm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emf"/><Relationship Id="rId58" Type="http://schemas.openxmlformats.org/officeDocument/2006/relationships/hyperlink" Target="https://www.minfin.gob.gt/images/archivos/transparencia/ag-50-21.pdf" TargetMode="External"/><Relationship Id="rId66" Type="http://schemas.openxmlformats.org/officeDocument/2006/relationships/hyperlink" Target="https://portalfideicomisos.minfin.gob.gt/" TargetMode="Externa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8.xml"/><Relationship Id="rId23" Type="http://schemas.openxmlformats.org/officeDocument/2006/relationships/chart" Target="charts/chart16.xml"/><Relationship Id="rId28" Type="http://schemas.openxmlformats.org/officeDocument/2006/relationships/image" Target="media/image2.png"/><Relationship Id="rId36" Type="http://schemas.openxmlformats.org/officeDocument/2006/relationships/image" Target="media/image10.png"/><Relationship Id="rId49" Type="http://schemas.openxmlformats.org/officeDocument/2006/relationships/image" Target="media/image23.emf"/><Relationship Id="rId57" Type="http://schemas.openxmlformats.org/officeDocument/2006/relationships/hyperlink" Target="https://www.minfin.gob.gt/index.php?option=com_content&amp;view=article&amp;id=7306&amp;catid=2" TargetMode="External"/><Relationship Id="rId61" Type="http://schemas.openxmlformats.org/officeDocument/2006/relationships/hyperlink" Target="https://web.oas.org/mla/en/Countries_Intro/Guate_intro_textfun_esp_5.pdf" TargetMode="External"/><Relationship Id="rId10" Type="http://schemas.openxmlformats.org/officeDocument/2006/relationships/chart" Target="charts/chart3.xml"/><Relationship Id="rId19" Type="http://schemas.openxmlformats.org/officeDocument/2006/relationships/chart" Target="charts/chart12.xml"/><Relationship Id="rId31" Type="http://schemas.openxmlformats.org/officeDocument/2006/relationships/image" Target="media/image5.png"/><Relationship Id="rId44" Type="http://schemas.openxmlformats.org/officeDocument/2006/relationships/image" Target="media/image18.png"/><Relationship Id="rId52" Type="http://schemas.openxmlformats.org/officeDocument/2006/relationships/image" Target="media/image26.emf"/><Relationship Id="rId60" Type="http://schemas.openxmlformats.org/officeDocument/2006/relationships/hyperlink" Target="https://www.minfin.gob.gt/images/laip_mfp/index.php" TargetMode="External"/><Relationship Id="rId65" Type="http://schemas.openxmlformats.org/officeDocument/2006/relationships/hyperlink" Target="https://portalong.minfin.gob.gt/"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hart" Target="charts/chart15.xml"/><Relationship Id="rId27" Type="http://schemas.openxmlformats.org/officeDocument/2006/relationships/image" Target="media/image1.png"/><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2.emf"/><Relationship Id="rId56" Type="http://schemas.openxmlformats.org/officeDocument/2006/relationships/hyperlink" Target="https://www.minfin.gob.gt/images/covid19_acuerdo112021/documentos/Decreto_Numero_11-2021.pdf" TargetMode="External"/><Relationship Id="rId64" Type="http://schemas.openxmlformats.org/officeDocument/2006/relationships/hyperlink" Target="https://prestamosexternos.minfin.gob.gt/" TargetMode="External"/><Relationship Id="rId69" Type="http://schemas.openxmlformats.org/officeDocument/2006/relationships/hyperlink" Target="https://www.guatecompras.gt/Inconformidad/consultaAvInc.aspx?opt=Search" TargetMode="External"/><Relationship Id="rId8" Type="http://schemas.openxmlformats.org/officeDocument/2006/relationships/chart" Target="charts/chart1.xml"/><Relationship Id="rId51" Type="http://schemas.openxmlformats.org/officeDocument/2006/relationships/image" Target="media/image25.emf"/><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8.xm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hyperlink" Target="https://www.minfin.gob.gt/images/archivos/presua2022/Inicio%201.htm" TargetMode="External"/><Relationship Id="rId67" Type="http://schemas.openxmlformats.org/officeDocument/2006/relationships/hyperlink" Target="https://portalgl.minfin.gob.gt/" TargetMode="External"/><Relationship Id="rId20" Type="http://schemas.openxmlformats.org/officeDocument/2006/relationships/chart" Target="charts/chart13.xml"/><Relationship Id="rId41" Type="http://schemas.openxmlformats.org/officeDocument/2006/relationships/image" Target="media/image15.png"/><Relationship Id="rId54" Type="http://schemas.openxmlformats.org/officeDocument/2006/relationships/image" Target="media/image28.emf"/><Relationship Id="rId62" Type="http://schemas.openxmlformats.org/officeDocument/2006/relationships/hyperlink" Target="https://transparenciapresupuestaria.minfin.gob.gt/" TargetMode="External"/><Relationship Id="rId70" Type="http://schemas.openxmlformats.org/officeDocument/2006/relationships/hyperlink" Target="http://www.guatecompras.gt/Inconformidad/consultaAvInc.aspx?opt=Home" TargetMode="Externa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8441572094730521E-2"/>
          <c:y val="6.6224730333473203E-2"/>
          <c:w val="0.90603977455974827"/>
          <c:h val="0.83850399871646142"/>
        </c:manualLayout>
      </c:layout>
      <c:barChart>
        <c:barDir val="col"/>
        <c:grouping val="stacked"/>
        <c:varyColors val="0"/>
        <c:ser>
          <c:idx val="0"/>
          <c:order val="0"/>
          <c:spPr>
            <a:solidFill>
              <a:schemeClr val="accent1"/>
            </a:solidFill>
            <a:ln w="12700">
              <a:noFill/>
            </a:ln>
            <a:effectLst>
              <a:innerShdw blurRad="63500" dist="50800" dir="16200000">
                <a:schemeClr val="accent2">
                  <a:alpha val="50000"/>
                </a:schemeClr>
              </a:innerShdw>
            </a:effectLst>
            <a:scene3d>
              <a:camera prst="orthographicFront"/>
              <a:lightRig rig="threePt" dir="t"/>
            </a:scene3d>
            <a:sp3d>
              <a:bevelT/>
            </a:sp3d>
          </c:spPr>
          <c:invertIfNegative val="0"/>
          <c:dPt>
            <c:idx val="6"/>
            <c:invertIfNegative val="0"/>
            <c:bubble3D val="0"/>
            <c:spPr>
              <a:solidFill>
                <a:schemeClr val="accent2">
                  <a:lumMod val="75000"/>
                </a:schemeClr>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1-CAFF-4049-BA0C-796A48921002}"/>
              </c:ext>
            </c:extLst>
          </c:dPt>
          <c:dPt>
            <c:idx val="7"/>
            <c:invertIfNegative val="0"/>
            <c:bubble3D val="0"/>
            <c:spPr>
              <a:solidFill>
                <a:schemeClr val="tx2">
                  <a:lumMod val="50000"/>
                </a:schemeClr>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3-CAFF-4049-BA0C-796A48921002}"/>
              </c:ext>
            </c:extLst>
          </c:dPt>
          <c:dPt>
            <c:idx val="8"/>
            <c:invertIfNegative val="0"/>
            <c:bubble3D val="0"/>
            <c:extLst>
              <c:ext xmlns:c16="http://schemas.microsoft.com/office/drawing/2014/chart" uri="{C3380CC4-5D6E-409C-BE32-E72D297353CC}">
                <c16:uniqueId val="{00000004-CAFF-4049-BA0C-796A48921002}"/>
              </c:ext>
            </c:extLst>
          </c:dPt>
          <c:dPt>
            <c:idx val="11"/>
            <c:invertIfNegative val="0"/>
            <c:bubble3D val="0"/>
            <c:extLst>
              <c:ext xmlns:c16="http://schemas.microsoft.com/office/drawing/2014/chart" uri="{C3380CC4-5D6E-409C-BE32-E72D297353CC}">
                <c16:uniqueId val="{00000005-CAFF-4049-BA0C-796A48921002}"/>
              </c:ext>
            </c:extLst>
          </c:dPt>
          <c:dPt>
            <c:idx val="12"/>
            <c:invertIfNegative val="0"/>
            <c:bubble3D val="0"/>
            <c:spPr>
              <a:solidFill>
                <a:schemeClr val="tx2"/>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7-CAFF-4049-BA0C-796A48921002}"/>
              </c:ext>
            </c:extLst>
          </c:dPt>
          <c:dLbls>
            <c:dLbl>
              <c:idx val="6"/>
              <c:spPr>
                <a:noFill/>
                <a:ln>
                  <a:noFill/>
                </a:ln>
                <a:effectLst/>
              </c:spPr>
              <c:txPr>
                <a:bodyPr/>
                <a:lstStyle/>
                <a:p>
                  <a:pPr>
                    <a:defRPr>
                      <a:solidFill>
                        <a:schemeClr val="bg1"/>
                      </a:solidFill>
                    </a:defRPr>
                  </a:pPr>
                  <a:endParaRPr lang="es-GT"/>
                </a:p>
              </c:txPr>
              <c:dLblPos val="inBase"/>
              <c:showLegendKey val="0"/>
              <c:showVal val="1"/>
              <c:showCatName val="0"/>
              <c:showSerName val="0"/>
              <c:showPercent val="0"/>
              <c:showBubbleSize val="0"/>
              <c:extLst>
                <c:ext xmlns:c16="http://schemas.microsoft.com/office/drawing/2014/chart" uri="{C3380CC4-5D6E-409C-BE32-E72D297353CC}">
                  <c16:uniqueId val="{00000001-CAFF-4049-BA0C-796A48921002}"/>
                </c:ext>
              </c:extLst>
            </c:dLbl>
            <c:dLbl>
              <c:idx val="7"/>
              <c:spPr>
                <a:noFill/>
                <a:ln>
                  <a:noFill/>
                </a:ln>
                <a:effectLst/>
              </c:spPr>
              <c:txPr>
                <a:bodyPr/>
                <a:lstStyle/>
                <a:p>
                  <a:pPr>
                    <a:defRPr>
                      <a:solidFill>
                        <a:schemeClr val="bg1"/>
                      </a:solidFill>
                    </a:defRPr>
                  </a:pPr>
                  <a:endParaRPr lang="es-GT"/>
                </a:p>
              </c:txPr>
              <c:dLblPos val="inBase"/>
              <c:showLegendKey val="0"/>
              <c:showVal val="1"/>
              <c:showCatName val="0"/>
              <c:showSerName val="0"/>
              <c:showPercent val="0"/>
              <c:showBubbleSize val="0"/>
              <c:extLst>
                <c:ext xmlns:c16="http://schemas.microsoft.com/office/drawing/2014/chart" uri="{C3380CC4-5D6E-409C-BE32-E72D297353CC}">
                  <c16:uniqueId val="{00000003-CAFF-4049-BA0C-796A48921002}"/>
                </c:ext>
              </c:extLst>
            </c:dLbl>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'PIB Nacional'!$B$8:$B$17</c:f>
              <c:strCache>
                <c:ptCount val="10"/>
                <c:pt idx="0">
                  <c:v>2014</c:v>
                </c:pt>
                <c:pt idx="1">
                  <c:v>2015</c:v>
                </c:pt>
                <c:pt idx="2">
                  <c:v>2016</c:v>
                </c:pt>
                <c:pt idx="3">
                  <c:v>2017</c:v>
                </c:pt>
                <c:pt idx="4">
                  <c:v>2018 p/</c:v>
                </c:pt>
                <c:pt idx="5">
                  <c:v>2019 p/</c:v>
                </c:pt>
                <c:pt idx="6">
                  <c:v>2020 p/</c:v>
                </c:pt>
                <c:pt idx="7">
                  <c:v>2021 e/</c:v>
                </c:pt>
                <c:pt idx="8">
                  <c:v>2022 py/ (bajo)</c:v>
                </c:pt>
                <c:pt idx="9">
                  <c:v>2022 py/ (alto)</c:v>
                </c:pt>
              </c:strCache>
            </c:strRef>
          </c:cat>
          <c:val>
            <c:numRef>
              <c:f>'PIB Nacional'!$D$8:$D$17</c:f>
              <c:numCache>
                <c:formatCode>_(* #,##0.0_);_(* \(#,##0.0\);_(* "-"??_);_(@_)</c:formatCode>
                <c:ptCount val="10"/>
                <c:pt idx="0">
                  <c:v>4.4439778222835145</c:v>
                </c:pt>
                <c:pt idx="1">
                  <c:v>4.0921707249436565</c:v>
                </c:pt>
                <c:pt idx="2">
                  <c:v>2.6778027219768035</c:v>
                </c:pt>
                <c:pt idx="3">
                  <c:v>3.0798512832579803</c:v>
                </c:pt>
                <c:pt idx="4">
                  <c:v>3.3220982449360719</c:v>
                </c:pt>
                <c:pt idx="5">
                  <c:v>3.8668564018168325</c:v>
                </c:pt>
                <c:pt idx="6">
                  <c:v>-1.5193281206347109</c:v>
                </c:pt>
                <c:pt idx="7">
                  <c:v>7.5276292832979124</c:v>
                </c:pt>
                <c:pt idx="8">
                  <c:v>3.4831890464935356</c:v>
                </c:pt>
                <c:pt idx="9">
                  <c:v>5.4831890464935356</c:v>
                </c:pt>
              </c:numCache>
            </c:numRef>
          </c:val>
          <c:extLst>
            <c:ext xmlns:c16="http://schemas.microsoft.com/office/drawing/2014/chart" uri="{C3380CC4-5D6E-409C-BE32-E72D297353CC}">
              <c16:uniqueId val="{00000008-CAFF-4049-BA0C-796A48921002}"/>
            </c:ext>
          </c:extLst>
        </c:ser>
        <c:dLbls>
          <c:showLegendKey val="0"/>
          <c:showVal val="0"/>
          <c:showCatName val="0"/>
          <c:showSerName val="0"/>
          <c:showPercent val="0"/>
          <c:showBubbleSize val="0"/>
        </c:dLbls>
        <c:gapWidth val="21"/>
        <c:overlap val="-61"/>
        <c:axId val="159883648"/>
        <c:axId val="159885184"/>
      </c:barChart>
      <c:catAx>
        <c:axId val="159883648"/>
        <c:scaling>
          <c:orientation val="minMax"/>
        </c:scaling>
        <c:delete val="0"/>
        <c:axPos val="b"/>
        <c:numFmt formatCode="0" sourceLinked="0"/>
        <c:majorTickMark val="none"/>
        <c:minorTickMark val="none"/>
        <c:tickLblPos val="low"/>
        <c:spPr>
          <a:ln w="12700"/>
          <a:effectLst>
            <a:softEdge rad="12700"/>
          </a:effectLst>
        </c:spPr>
        <c:crossAx val="159885184"/>
        <c:crosses val="autoZero"/>
        <c:auto val="1"/>
        <c:lblAlgn val="ctr"/>
        <c:lblOffset val="100"/>
        <c:noMultiLvlLbl val="0"/>
      </c:catAx>
      <c:valAx>
        <c:axId val="159885184"/>
        <c:scaling>
          <c:orientation val="minMax"/>
        </c:scaling>
        <c:delete val="0"/>
        <c:axPos val="l"/>
        <c:title>
          <c:tx>
            <c:rich>
              <a:bodyPr rot="0" vert="horz"/>
              <a:lstStyle/>
              <a:p>
                <a:pPr>
                  <a:defRPr/>
                </a:pPr>
                <a:r>
                  <a:rPr lang="es-GT"/>
                  <a:t>Porcentaje</a:t>
                </a:r>
              </a:p>
            </c:rich>
          </c:tx>
          <c:layout>
            <c:manualLayout>
              <c:xMode val="edge"/>
              <c:yMode val="edge"/>
              <c:x val="8.8825454862948646E-4"/>
              <c:y val="1.4007849332313084E-3"/>
            </c:manualLayout>
          </c:layout>
          <c:overlay val="0"/>
        </c:title>
        <c:numFmt formatCode="#,##0.0" sourceLinked="0"/>
        <c:majorTickMark val="none"/>
        <c:minorTickMark val="none"/>
        <c:tickLblPos val="nextTo"/>
        <c:crossAx val="159883648"/>
        <c:crossesAt val="1"/>
        <c:crossBetween val="between"/>
      </c:valAx>
      <c:spPr>
        <a:noFill/>
        <a:ln>
          <a:noFill/>
        </a:ln>
        <a:effectLst>
          <a:glow rad="101600">
            <a:schemeClr val="accent5">
              <a:satMod val="175000"/>
              <a:alpha val="40000"/>
            </a:schemeClr>
          </a:glow>
          <a:innerShdw blurRad="63500" dist="50800" dir="16200000">
            <a:prstClr val="black">
              <a:alpha val="50000"/>
            </a:prstClr>
          </a:innerShdw>
        </a:effectLst>
        <a:scene3d>
          <a:camera prst="orthographicFront"/>
          <a:lightRig rig="threePt" dir="t"/>
        </a:scene3d>
        <a:sp3d>
          <a:bevelT/>
        </a:sp3d>
      </c:spPr>
    </c:plotArea>
    <c:plotVisOnly val="1"/>
    <c:dispBlanksAs val="gap"/>
    <c:showDLblsOverMax val="0"/>
  </c:chart>
  <c:spPr>
    <a:ln>
      <a:noFill/>
    </a:ln>
  </c:spPr>
  <c:txPr>
    <a:bodyPr/>
    <a:lstStyle/>
    <a:p>
      <a:pPr>
        <a:defRPr sz="800">
          <a:latin typeface="Times New Roman" pitchFamily="18" charset="0"/>
          <a:cs typeface="Times New Roman" pitchFamily="18" charset="0"/>
        </a:defRPr>
      </a:pPr>
      <a:endParaRPr lang="es-GT"/>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55167143585374"/>
          <c:y val="2.6263554595107787E-2"/>
          <c:w val="0.87798467384033818"/>
          <c:h val="0.87507886435331228"/>
        </c:manualLayout>
      </c:layout>
      <c:lineChart>
        <c:grouping val="standard"/>
        <c:varyColors val="0"/>
        <c:ser>
          <c:idx val="0"/>
          <c:order val="0"/>
          <c:tx>
            <c:strRef>
              <c:f>'Carga tributaria'!$B$7</c:f>
              <c:strCache>
                <c:ptCount val="1"/>
                <c:pt idx="0">
                  <c:v>Carga Tributaria</c:v>
                </c:pt>
              </c:strCache>
            </c:strRef>
          </c:tx>
          <c:spPr>
            <a:ln w="38100">
              <a:solidFill>
                <a:schemeClr val="tx2">
                  <a:lumMod val="50000"/>
                </a:schemeClr>
              </a:solidFill>
            </a:ln>
          </c:spPr>
          <c:marker>
            <c:spPr>
              <a:solidFill>
                <a:schemeClr val="tx2">
                  <a:lumMod val="50000"/>
                </a:schemeClr>
              </a:solidFill>
            </c:spPr>
          </c:marker>
          <c:dLbls>
            <c:dLbl>
              <c:idx val="0"/>
              <c:layout>
                <c:manualLayout>
                  <c:x val="-3.9111111111111152E-2"/>
                  <c:y val="4.30107526881720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9CB-4B55-9282-8EB5D8FFD3ED}"/>
                </c:ext>
              </c:extLst>
            </c:dLbl>
            <c:dLbl>
              <c:idx val="1"/>
              <c:delete val="1"/>
              <c:extLst>
                <c:ext xmlns:c15="http://schemas.microsoft.com/office/drawing/2012/chart" uri="{CE6537A1-D6FC-4f65-9D91-7224C49458BB}"/>
                <c:ext xmlns:c16="http://schemas.microsoft.com/office/drawing/2014/chart" uri="{C3380CC4-5D6E-409C-BE32-E72D297353CC}">
                  <c16:uniqueId val="{00000001-49CB-4B55-9282-8EB5D8FFD3ED}"/>
                </c:ext>
              </c:extLst>
            </c:dLbl>
            <c:dLbl>
              <c:idx val="2"/>
              <c:layout>
                <c:manualLayout>
                  <c:x val="-4.7522063815342838E-2"/>
                  <c:y val="6.2893081761006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9CB-4B55-9282-8EB5D8FFD3ED}"/>
                </c:ext>
              </c:extLst>
            </c:dLbl>
            <c:dLbl>
              <c:idx val="3"/>
              <c:delete val="1"/>
              <c:extLst>
                <c:ext xmlns:c15="http://schemas.microsoft.com/office/drawing/2012/chart" uri="{CE6537A1-D6FC-4f65-9D91-7224C49458BB}"/>
                <c:ext xmlns:c16="http://schemas.microsoft.com/office/drawing/2014/chart" uri="{C3380CC4-5D6E-409C-BE32-E72D297353CC}">
                  <c16:uniqueId val="{00000003-49CB-4B55-9282-8EB5D8FFD3ED}"/>
                </c:ext>
              </c:extLst>
            </c:dLbl>
            <c:dLbl>
              <c:idx val="4"/>
              <c:layout>
                <c:manualLayout>
                  <c:x val="-4.3923251956030952E-2"/>
                  <c:y val="4.95818294633258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9CB-4B55-9282-8EB5D8FFD3ED}"/>
                </c:ext>
              </c:extLst>
            </c:dLbl>
            <c:dLbl>
              <c:idx val="5"/>
              <c:delete val="1"/>
              <c:extLst>
                <c:ext xmlns:c15="http://schemas.microsoft.com/office/drawing/2012/chart" uri="{CE6537A1-D6FC-4f65-9D91-7224C49458BB}"/>
                <c:ext xmlns:c16="http://schemas.microsoft.com/office/drawing/2014/chart" uri="{C3380CC4-5D6E-409C-BE32-E72D297353CC}">
                  <c16:uniqueId val="{00000005-49CB-4B55-9282-8EB5D8FFD3ED}"/>
                </c:ext>
              </c:extLst>
            </c:dLbl>
            <c:dLbl>
              <c:idx val="6"/>
              <c:layout>
                <c:manualLayout>
                  <c:x val="-4.4444444444444502E-2"/>
                  <c:y val="4.07470288624787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9CB-4B55-9282-8EB5D8FFD3ED}"/>
                </c:ext>
              </c:extLst>
            </c:dLbl>
            <c:dLbl>
              <c:idx val="7"/>
              <c:layout>
                <c:manualLayout>
                  <c:x val="-5.2922436276785735E-3"/>
                  <c:y val="-3.38865747583599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9CB-4B55-9282-8EB5D8FFD3ED}"/>
                </c:ext>
              </c:extLst>
            </c:dLbl>
            <c:dLbl>
              <c:idx val="8"/>
              <c:delete val="1"/>
              <c:extLst>
                <c:ext xmlns:c15="http://schemas.microsoft.com/office/drawing/2012/chart" uri="{CE6537A1-D6FC-4f65-9D91-7224C49458BB}"/>
                <c:ext xmlns:c16="http://schemas.microsoft.com/office/drawing/2014/chart" uri="{C3380CC4-5D6E-409C-BE32-E72D297353CC}">
                  <c16:uniqueId val="{00000008-49CB-4B55-9282-8EB5D8FFD3ED}"/>
                </c:ext>
              </c:extLst>
            </c:dLbl>
            <c:dLbl>
              <c:idx val="9"/>
              <c:layout>
                <c:manualLayout>
                  <c:x val="-2.2012510608458602E-2"/>
                  <c:y val="-3.39558573853989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9CB-4B55-9282-8EB5D8FFD3ED}"/>
                </c:ext>
              </c:extLst>
            </c:dLbl>
            <c:dLbl>
              <c:idx val="10"/>
              <c:layout>
                <c:manualLayout>
                  <c:x val="-3.8187905673863536E-2"/>
                  <c:y val="2.49009620826259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9CB-4B55-9282-8EB5D8FFD3ED}"/>
                </c:ext>
              </c:extLst>
            </c:dLbl>
            <c:dLbl>
              <c:idx val="11"/>
              <c:layout>
                <c:manualLayout>
                  <c:x val="-3.750381257469608E-2"/>
                  <c:y val="-2.71646859083192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9CB-4B55-9282-8EB5D8FFD3ED}"/>
                </c:ext>
              </c:extLst>
            </c:dLbl>
            <c:dLbl>
              <c:idx val="12"/>
              <c:delete val="1"/>
              <c:extLst>
                <c:ext xmlns:c15="http://schemas.microsoft.com/office/drawing/2012/chart" uri="{CE6537A1-D6FC-4f65-9D91-7224C49458BB}"/>
                <c:ext xmlns:c16="http://schemas.microsoft.com/office/drawing/2014/chart" uri="{C3380CC4-5D6E-409C-BE32-E72D297353CC}">
                  <c16:uniqueId val="{0000000C-49CB-4B55-9282-8EB5D8FFD3ED}"/>
                </c:ext>
              </c:extLst>
            </c:dLbl>
            <c:dLbl>
              <c:idx val="13"/>
              <c:layout>
                <c:manualLayout>
                  <c:x val="-3.3811098860712971E-2"/>
                  <c:y val="-3.39558573853990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9CB-4B55-9282-8EB5D8FFD3E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'Carga tributaria'!$D$3:$K$3</c:f>
              <c:strCache>
                <c:ptCount val="8"/>
                <c:pt idx="0">
                  <c:v>2014</c:v>
                </c:pt>
                <c:pt idx="1">
                  <c:v>2015</c:v>
                </c:pt>
                <c:pt idx="2">
                  <c:v>2016</c:v>
                </c:pt>
                <c:pt idx="3">
                  <c:v>2017</c:v>
                </c:pt>
                <c:pt idx="4">
                  <c:v>2018</c:v>
                </c:pt>
                <c:pt idx="5">
                  <c:v>2019</c:v>
                </c:pt>
                <c:pt idx="6">
                  <c:v>2020</c:v>
                </c:pt>
                <c:pt idx="7">
                  <c:v>2021*</c:v>
                </c:pt>
              </c:strCache>
            </c:strRef>
          </c:cat>
          <c:val>
            <c:numRef>
              <c:f>'Carga tributaria'!$D$7:$K$7</c:f>
              <c:numCache>
                <c:formatCode>0.0%</c:formatCode>
                <c:ptCount val="8"/>
                <c:pt idx="0">
                  <c:v>0.10975635860685763</c:v>
                </c:pt>
                <c:pt idx="1">
                  <c:v>0.10447132107294396</c:v>
                </c:pt>
                <c:pt idx="2">
                  <c:v>0.10778739581345205</c:v>
                </c:pt>
                <c:pt idx="3">
                  <c:v>0.10766054206578352</c:v>
                </c:pt>
                <c:pt idx="4">
                  <c:v>0.1068824710260039</c:v>
                </c:pt>
                <c:pt idx="5">
                  <c:v>0.10558968120990979</c:v>
                </c:pt>
                <c:pt idx="6">
                  <c:v>0.10059378817183037</c:v>
                </c:pt>
                <c:pt idx="7">
                  <c:v>0.11731278538997052</c:v>
                </c:pt>
              </c:numCache>
            </c:numRef>
          </c:val>
          <c:smooth val="1"/>
          <c:extLst>
            <c:ext xmlns:c16="http://schemas.microsoft.com/office/drawing/2014/chart" uri="{C3380CC4-5D6E-409C-BE32-E72D297353CC}">
              <c16:uniqueId val="{0000000E-49CB-4B55-9282-8EB5D8FFD3ED}"/>
            </c:ext>
          </c:extLst>
        </c:ser>
        <c:dLbls>
          <c:showLegendKey val="0"/>
          <c:showVal val="0"/>
          <c:showCatName val="0"/>
          <c:showSerName val="0"/>
          <c:showPercent val="0"/>
          <c:showBubbleSize val="0"/>
        </c:dLbls>
        <c:marker val="1"/>
        <c:smooth val="0"/>
        <c:axId val="164341248"/>
        <c:axId val="164342784"/>
      </c:lineChart>
      <c:catAx>
        <c:axId val="164341248"/>
        <c:scaling>
          <c:orientation val="minMax"/>
        </c:scaling>
        <c:delete val="0"/>
        <c:axPos val="b"/>
        <c:numFmt formatCode="General" sourceLinked="1"/>
        <c:majorTickMark val="out"/>
        <c:minorTickMark val="none"/>
        <c:tickLblPos val="nextTo"/>
        <c:txPr>
          <a:bodyPr rot="-5400000" vert="horz"/>
          <a:lstStyle/>
          <a:p>
            <a:pPr>
              <a:defRPr/>
            </a:pPr>
            <a:endParaRPr lang="es-GT"/>
          </a:p>
        </c:txPr>
        <c:crossAx val="164342784"/>
        <c:crosses val="autoZero"/>
        <c:auto val="1"/>
        <c:lblAlgn val="ctr"/>
        <c:lblOffset val="100"/>
        <c:noMultiLvlLbl val="0"/>
      </c:catAx>
      <c:valAx>
        <c:axId val="164342784"/>
        <c:scaling>
          <c:orientation val="minMax"/>
          <c:min val="6.0000000000000032E-2"/>
        </c:scaling>
        <c:delete val="0"/>
        <c:axPos val="l"/>
        <c:title>
          <c:tx>
            <c:rich>
              <a:bodyPr rot="-5400000" vert="horz"/>
              <a:lstStyle/>
              <a:p>
                <a:pPr>
                  <a:defRPr/>
                </a:pPr>
                <a:r>
                  <a:rPr lang="en-US"/>
                  <a:t>Carga Tributaria</a:t>
                </a:r>
              </a:p>
            </c:rich>
          </c:tx>
          <c:layout>
            <c:manualLayout>
              <c:xMode val="edge"/>
              <c:yMode val="edge"/>
              <c:x val="1.4434172753237605E-3"/>
              <c:y val="0.29641572531116206"/>
            </c:manualLayout>
          </c:layout>
          <c:overlay val="0"/>
        </c:title>
        <c:numFmt formatCode="0.0%" sourceLinked="1"/>
        <c:majorTickMark val="out"/>
        <c:minorTickMark val="none"/>
        <c:tickLblPos val="nextTo"/>
        <c:crossAx val="164341248"/>
        <c:crosses val="autoZero"/>
        <c:crossBetween val="between"/>
      </c:valAx>
    </c:plotArea>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713000710310958E-2"/>
          <c:y val="2.3347292004070243E-2"/>
          <c:w val="0.91455733488636703"/>
          <c:h val="0.91065732774986496"/>
        </c:manualLayout>
      </c:layout>
      <c:barChart>
        <c:barDir val="col"/>
        <c:grouping val="clustered"/>
        <c:varyColors val="0"/>
        <c:ser>
          <c:idx val="0"/>
          <c:order val="0"/>
          <c:spPr>
            <a:ln>
              <a:solidFill>
                <a:schemeClr val="accent1">
                  <a:alpha val="48000"/>
                </a:schemeClr>
              </a:solidFill>
            </a:ln>
            <a:effectLst>
              <a:glow>
                <a:schemeClr val="accent1">
                  <a:alpha val="38000"/>
                </a:schemeClr>
              </a:glow>
              <a:softEdge rad="139700"/>
            </a:effectLst>
            <a:scene3d>
              <a:camera prst="orthographicFront"/>
              <a:lightRig rig="threePt" dir="t"/>
            </a:scene3d>
            <a:sp3d>
              <a:bevelT w="95250" h="101600"/>
            </a:sp3d>
          </c:spPr>
          <c:invertIfNegative val="0"/>
          <c:dLbls>
            <c:spPr>
              <a:noFill/>
              <a:ln>
                <a:noFill/>
              </a:ln>
              <a:effectLst/>
            </c:spPr>
            <c:txPr>
              <a:bodyPr/>
              <a:lstStyle/>
              <a:p>
                <a:pPr>
                  <a:defRPr sz="800" b="1"/>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'%Deuda'!$O$55:$O$68</c:f>
              <c:strCach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strCache>
            </c:strRef>
          </c:cat>
          <c:val>
            <c:numRef>
              <c:f>'%Deuda'!$P$55:$P$68</c:f>
              <c:numCache>
                <c:formatCode>0.0</c:formatCode>
                <c:ptCount val="14"/>
                <c:pt idx="0">
                  <c:v>20.399999999999999</c:v>
                </c:pt>
                <c:pt idx="1">
                  <c:v>23.3</c:v>
                </c:pt>
                <c:pt idx="2">
                  <c:v>24.427658295611433</c:v>
                </c:pt>
                <c:pt idx="3">
                  <c:v>23.936397667404155</c:v>
                </c:pt>
                <c:pt idx="4">
                  <c:v>24.802319891357094</c:v>
                </c:pt>
                <c:pt idx="5">
                  <c:v>25.179671033797714</c:v>
                </c:pt>
                <c:pt idx="6">
                  <c:v>24.792687127942177</c:v>
                </c:pt>
                <c:pt idx="7">
                  <c:v>24.920180293885085</c:v>
                </c:pt>
                <c:pt idx="8">
                  <c:v>25.033453789550464</c:v>
                </c:pt>
                <c:pt idx="9">
                  <c:v>25.190630615963698</c:v>
                </c:pt>
                <c:pt idx="10">
                  <c:v>26.5</c:v>
                </c:pt>
                <c:pt idx="11">
                  <c:v>26.5</c:v>
                </c:pt>
                <c:pt idx="12" formatCode="General">
                  <c:v>31.6</c:v>
                </c:pt>
                <c:pt idx="13">
                  <c:v>30.8</c:v>
                </c:pt>
              </c:numCache>
            </c:numRef>
          </c:val>
          <c:extLst>
            <c:ext xmlns:c16="http://schemas.microsoft.com/office/drawing/2014/chart" uri="{C3380CC4-5D6E-409C-BE32-E72D297353CC}">
              <c16:uniqueId val="{00000000-8E6B-432C-B390-7C1B004131CF}"/>
            </c:ext>
          </c:extLst>
        </c:ser>
        <c:dLbls>
          <c:showLegendKey val="0"/>
          <c:showVal val="0"/>
          <c:showCatName val="0"/>
          <c:showSerName val="0"/>
          <c:showPercent val="0"/>
          <c:showBubbleSize val="0"/>
        </c:dLbls>
        <c:gapWidth val="27"/>
        <c:axId val="178085888"/>
        <c:axId val="178087424"/>
      </c:barChart>
      <c:lineChart>
        <c:grouping val="standard"/>
        <c:varyColors val="0"/>
        <c:ser>
          <c:idx val="1"/>
          <c:order val="1"/>
          <c:spPr>
            <a:ln>
              <a:solidFill>
                <a:srgbClr val="FF0000"/>
              </a:solidFill>
            </a:ln>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8E6B-432C-B390-7C1B004131CF}"/>
                </c:ext>
              </c:extLst>
            </c:dLbl>
            <c:dLbl>
              <c:idx val="1"/>
              <c:delete val="1"/>
              <c:extLst>
                <c:ext xmlns:c15="http://schemas.microsoft.com/office/drawing/2012/chart" uri="{CE6537A1-D6FC-4f65-9D91-7224C49458BB}"/>
                <c:ext xmlns:c16="http://schemas.microsoft.com/office/drawing/2014/chart" uri="{C3380CC4-5D6E-409C-BE32-E72D297353CC}">
                  <c16:uniqueId val="{00000002-8E6B-432C-B390-7C1B004131CF}"/>
                </c:ext>
              </c:extLst>
            </c:dLbl>
            <c:dLbl>
              <c:idx val="2"/>
              <c:delete val="1"/>
              <c:extLst>
                <c:ext xmlns:c15="http://schemas.microsoft.com/office/drawing/2012/chart" uri="{CE6537A1-D6FC-4f65-9D91-7224C49458BB}"/>
                <c:ext xmlns:c16="http://schemas.microsoft.com/office/drawing/2014/chart" uri="{C3380CC4-5D6E-409C-BE32-E72D297353CC}">
                  <c16:uniqueId val="{00000003-8E6B-432C-B390-7C1B004131CF}"/>
                </c:ext>
              </c:extLst>
            </c:dLbl>
            <c:dLbl>
              <c:idx val="3"/>
              <c:delete val="1"/>
              <c:extLst>
                <c:ext xmlns:c15="http://schemas.microsoft.com/office/drawing/2012/chart" uri="{CE6537A1-D6FC-4f65-9D91-7224C49458BB}"/>
                <c:ext xmlns:c16="http://schemas.microsoft.com/office/drawing/2014/chart" uri="{C3380CC4-5D6E-409C-BE32-E72D297353CC}">
                  <c16:uniqueId val="{00000004-8E6B-432C-B390-7C1B004131CF}"/>
                </c:ext>
              </c:extLst>
            </c:dLbl>
            <c:dLbl>
              <c:idx val="4"/>
              <c:delete val="1"/>
              <c:extLst>
                <c:ext xmlns:c15="http://schemas.microsoft.com/office/drawing/2012/chart" uri="{CE6537A1-D6FC-4f65-9D91-7224C49458BB}"/>
                <c:ext xmlns:c16="http://schemas.microsoft.com/office/drawing/2014/chart" uri="{C3380CC4-5D6E-409C-BE32-E72D297353CC}">
                  <c16:uniqueId val="{00000005-8E6B-432C-B390-7C1B004131CF}"/>
                </c:ext>
              </c:extLst>
            </c:dLbl>
            <c:dLbl>
              <c:idx val="5"/>
              <c:delete val="1"/>
              <c:extLst>
                <c:ext xmlns:c15="http://schemas.microsoft.com/office/drawing/2012/chart" uri="{CE6537A1-D6FC-4f65-9D91-7224C49458BB}"/>
                <c:ext xmlns:c16="http://schemas.microsoft.com/office/drawing/2014/chart" uri="{C3380CC4-5D6E-409C-BE32-E72D297353CC}">
                  <c16:uniqueId val="{00000006-8E6B-432C-B390-7C1B004131CF}"/>
                </c:ext>
              </c:extLst>
            </c:dLbl>
            <c:dLbl>
              <c:idx val="6"/>
              <c:delete val="1"/>
              <c:extLst>
                <c:ext xmlns:c15="http://schemas.microsoft.com/office/drawing/2012/chart" uri="{CE6537A1-D6FC-4f65-9D91-7224C49458BB}"/>
                <c:ext xmlns:c16="http://schemas.microsoft.com/office/drawing/2014/chart" uri="{C3380CC4-5D6E-409C-BE32-E72D297353CC}">
                  <c16:uniqueId val="{00000007-8E6B-432C-B390-7C1B004131CF}"/>
                </c:ext>
              </c:extLst>
            </c:dLbl>
            <c:dLbl>
              <c:idx val="7"/>
              <c:delete val="1"/>
              <c:extLst>
                <c:ext xmlns:c15="http://schemas.microsoft.com/office/drawing/2012/chart" uri="{CE6537A1-D6FC-4f65-9D91-7224C49458BB}"/>
                <c:ext xmlns:c16="http://schemas.microsoft.com/office/drawing/2014/chart" uri="{C3380CC4-5D6E-409C-BE32-E72D297353CC}">
                  <c16:uniqueId val="{00000008-8E6B-432C-B390-7C1B004131CF}"/>
                </c:ext>
              </c:extLst>
            </c:dLbl>
            <c:dLbl>
              <c:idx val="8"/>
              <c:delete val="1"/>
              <c:extLst>
                <c:ext xmlns:c15="http://schemas.microsoft.com/office/drawing/2012/chart" uri="{CE6537A1-D6FC-4f65-9D91-7224C49458BB}"/>
                <c:ext xmlns:c16="http://schemas.microsoft.com/office/drawing/2014/chart" uri="{C3380CC4-5D6E-409C-BE32-E72D297353CC}">
                  <c16:uniqueId val="{00000009-8E6B-432C-B390-7C1B004131CF}"/>
                </c:ext>
              </c:extLst>
            </c:dLbl>
            <c:dLbl>
              <c:idx val="9"/>
              <c:delete val="1"/>
              <c:extLst>
                <c:ext xmlns:c15="http://schemas.microsoft.com/office/drawing/2012/chart" uri="{CE6537A1-D6FC-4f65-9D91-7224C49458BB}"/>
                <c:ext xmlns:c16="http://schemas.microsoft.com/office/drawing/2014/chart" uri="{C3380CC4-5D6E-409C-BE32-E72D297353CC}">
                  <c16:uniqueId val="{0000000A-8E6B-432C-B390-7C1B004131CF}"/>
                </c:ext>
              </c:extLst>
            </c:dLbl>
            <c:dLbl>
              <c:idx val="10"/>
              <c:delete val="1"/>
              <c:extLst>
                <c:ext xmlns:c15="http://schemas.microsoft.com/office/drawing/2012/chart" uri="{CE6537A1-D6FC-4f65-9D91-7224C49458BB}"/>
                <c:ext xmlns:c16="http://schemas.microsoft.com/office/drawing/2014/chart" uri="{C3380CC4-5D6E-409C-BE32-E72D297353CC}">
                  <c16:uniqueId val="{0000000B-8E6B-432C-B390-7C1B004131CF}"/>
                </c:ext>
              </c:extLst>
            </c:dLbl>
            <c:dLbl>
              <c:idx val="11"/>
              <c:delete val="1"/>
              <c:extLst>
                <c:ext xmlns:c15="http://schemas.microsoft.com/office/drawing/2012/chart" uri="{CE6537A1-D6FC-4f65-9D91-7224C49458BB}"/>
                <c:ext xmlns:c16="http://schemas.microsoft.com/office/drawing/2014/chart" uri="{C3380CC4-5D6E-409C-BE32-E72D297353CC}">
                  <c16:uniqueId val="{0000000C-8E6B-432C-B390-7C1B004131CF}"/>
                </c:ext>
              </c:extLst>
            </c:dLbl>
            <c:dLbl>
              <c:idx val="12"/>
              <c:layout>
                <c:manualLayout>
                  <c:x val="-0.80944713569632354"/>
                  <c:y val="-3.29557174632497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E6B-432C-B390-7C1B004131CF}"/>
                </c:ext>
              </c:extLst>
            </c:dLbl>
            <c:dLbl>
              <c:idx val="13"/>
              <c:delete val="1"/>
              <c:extLst>
                <c:ext xmlns:c15="http://schemas.microsoft.com/office/drawing/2012/chart" uri="{CE6537A1-D6FC-4f65-9D91-7224C49458BB}"/>
                <c:ext xmlns:c16="http://schemas.microsoft.com/office/drawing/2014/chart" uri="{C3380CC4-5D6E-409C-BE32-E72D297353CC}">
                  <c16:uniqueId val="{0000000E-8E6B-432C-B390-7C1B004131CF}"/>
                </c:ext>
              </c:extLst>
            </c:dLbl>
            <c:numFmt formatCode="#,##0.0" sourceLinked="0"/>
            <c:spPr>
              <a:noFill/>
              <a:ln>
                <a:noFill/>
              </a:ln>
              <a:effectLst/>
            </c:spPr>
            <c:txPr>
              <a:bodyPr wrap="square" lIns="38100" tIns="19050" rIns="38100" bIns="19050" anchor="ctr">
                <a:spAutoFit/>
              </a:bodyPr>
              <a:lstStyle/>
              <a:p>
                <a:pPr>
                  <a:defRPr sz="800" b="1">
                    <a:solidFill>
                      <a:srgbClr val="FF0000"/>
                    </a:solidFill>
                  </a:defRPr>
                </a:pPr>
                <a:endParaRPr lang="es-G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'%Deuda'!$O$55:$O$68</c:f>
              <c:strCach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strCache>
            </c:strRef>
          </c:cat>
          <c:val>
            <c:numRef>
              <c:f>'%Deuda'!$Q$55:$Q$68</c:f>
              <c:numCache>
                <c:formatCode>0.0</c:formatCode>
                <c:ptCount val="14"/>
                <c:pt idx="0">
                  <c:v>25.527357051107991</c:v>
                </c:pt>
                <c:pt idx="1">
                  <c:v>25.527357051107991</c:v>
                </c:pt>
                <c:pt idx="2">
                  <c:v>25.527357051107991</c:v>
                </c:pt>
                <c:pt idx="3">
                  <c:v>25.527357051107991</c:v>
                </c:pt>
                <c:pt idx="4">
                  <c:v>25.527357051107991</c:v>
                </c:pt>
                <c:pt idx="5">
                  <c:v>25.527357051107991</c:v>
                </c:pt>
                <c:pt idx="6">
                  <c:v>25.527357051107991</c:v>
                </c:pt>
                <c:pt idx="7">
                  <c:v>25.527357051107991</c:v>
                </c:pt>
                <c:pt idx="8">
                  <c:v>25.527357051107991</c:v>
                </c:pt>
                <c:pt idx="9">
                  <c:v>25.527357051107991</c:v>
                </c:pt>
                <c:pt idx="10">
                  <c:v>25.527357051107991</c:v>
                </c:pt>
                <c:pt idx="11">
                  <c:v>25.527357051107991</c:v>
                </c:pt>
                <c:pt idx="12">
                  <c:v>25.527357051107991</c:v>
                </c:pt>
                <c:pt idx="13">
                  <c:v>25.527357051107991</c:v>
                </c:pt>
              </c:numCache>
            </c:numRef>
          </c:val>
          <c:smooth val="0"/>
          <c:extLst>
            <c:ext xmlns:c16="http://schemas.microsoft.com/office/drawing/2014/chart" uri="{C3380CC4-5D6E-409C-BE32-E72D297353CC}">
              <c16:uniqueId val="{0000000F-8E6B-432C-B390-7C1B004131CF}"/>
            </c:ext>
          </c:extLst>
        </c:ser>
        <c:dLbls>
          <c:showLegendKey val="0"/>
          <c:showVal val="0"/>
          <c:showCatName val="0"/>
          <c:showSerName val="0"/>
          <c:showPercent val="0"/>
          <c:showBubbleSize val="0"/>
        </c:dLbls>
        <c:marker val="1"/>
        <c:smooth val="0"/>
        <c:axId val="178085888"/>
        <c:axId val="178087424"/>
      </c:lineChart>
      <c:catAx>
        <c:axId val="178085888"/>
        <c:scaling>
          <c:orientation val="minMax"/>
        </c:scaling>
        <c:delete val="0"/>
        <c:axPos val="b"/>
        <c:numFmt formatCode="General" sourceLinked="1"/>
        <c:majorTickMark val="out"/>
        <c:minorTickMark val="none"/>
        <c:tickLblPos val="nextTo"/>
        <c:crossAx val="178087424"/>
        <c:crosses val="autoZero"/>
        <c:auto val="1"/>
        <c:lblAlgn val="ctr"/>
        <c:lblOffset val="100"/>
        <c:noMultiLvlLbl val="0"/>
      </c:catAx>
      <c:valAx>
        <c:axId val="178087424"/>
        <c:scaling>
          <c:orientation val="minMax"/>
        </c:scaling>
        <c:delete val="0"/>
        <c:axPos val="l"/>
        <c:numFmt formatCode="0.0" sourceLinked="1"/>
        <c:majorTickMark val="out"/>
        <c:minorTickMark val="none"/>
        <c:tickLblPos val="nextTo"/>
        <c:crossAx val="178085888"/>
        <c:crosses val="autoZero"/>
        <c:crossBetween val="between"/>
        <c:minorUnit val="0.5"/>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es-G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73109400978327"/>
          <c:y val="2.3359495657898067E-2"/>
          <c:w val="0.88938297907696562"/>
          <c:h val="0.89633617743119731"/>
        </c:manualLayout>
      </c:layout>
      <c:barChart>
        <c:barDir val="col"/>
        <c:grouping val="clustered"/>
        <c:varyColors val="0"/>
        <c:ser>
          <c:idx val="0"/>
          <c:order val="0"/>
          <c:tx>
            <c:strRef>
              <c:f>'%Deuda'!$R$95</c:f>
              <c:strCache>
                <c:ptCount val="1"/>
                <c:pt idx="0">
                  <c:v> Aumento Interanual </c:v>
                </c:pt>
              </c:strCache>
            </c:strRef>
          </c:tx>
          <c:spPr>
            <a:solidFill>
              <a:schemeClr val="accent1"/>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'%Deuda'!$Q$96:$Q$104</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'%Deuda'!$R$96:$R$104</c:f>
              <c:numCache>
                <c:formatCode>_(* #,##0.0_);_(* \(#,##0.0\);_(* "-"??_);_(@_)</c:formatCode>
                <c:ptCount val="9"/>
                <c:pt idx="0">
                  <c:v>7883.6900000000023</c:v>
                </c:pt>
                <c:pt idx="1">
                  <c:v>6060.2900000000081</c:v>
                </c:pt>
                <c:pt idx="2">
                  <c:v>7721.5299999999988</c:v>
                </c:pt>
                <c:pt idx="3">
                  <c:v>7050.3499999999913</c:v>
                </c:pt>
                <c:pt idx="4">
                  <c:v>6773.5</c:v>
                </c:pt>
                <c:pt idx="5">
                  <c:v>13571.010000000009</c:v>
                </c:pt>
                <c:pt idx="6">
                  <c:v>11305.25</c:v>
                </c:pt>
                <c:pt idx="7">
                  <c:v>31861.699999999983</c:v>
                </c:pt>
                <c:pt idx="8">
                  <c:v>15478.450000000012</c:v>
                </c:pt>
              </c:numCache>
            </c:numRef>
          </c:val>
          <c:extLst>
            <c:ext xmlns:c16="http://schemas.microsoft.com/office/drawing/2014/chart" uri="{C3380CC4-5D6E-409C-BE32-E72D297353CC}">
              <c16:uniqueId val="{00000000-6CB4-4AC2-8E51-FBAE742C2C05}"/>
            </c:ext>
          </c:extLst>
        </c:ser>
        <c:dLbls>
          <c:showLegendKey val="0"/>
          <c:showVal val="0"/>
          <c:showCatName val="0"/>
          <c:showSerName val="0"/>
          <c:showPercent val="0"/>
          <c:showBubbleSize val="0"/>
        </c:dLbls>
        <c:gapWidth val="17"/>
        <c:overlap val="-6"/>
        <c:axId val="529283272"/>
        <c:axId val="646567568"/>
      </c:barChart>
      <c:catAx>
        <c:axId val="529283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646567568"/>
        <c:crosses val="autoZero"/>
        <c:auto val="1"/>
        <c:lblAlgn val="ctr"/>
        <c:lblOffset val="100"/>
        <c:noMultiLvlLbl val="0"/>
      </c:catAx>
      <c:valAx>
        <c:axId val="646567568"/>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5292832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138649335499729"/>
          <c:y val="1.5621173797646383E-2"/>
          <c:w val="0.56117538879068685"/>
          <c:h val="0.98043583937943701"/>
        </c:manualLayout>
      </c:layout>
      <c:pieChart>
        <c:varyColors val="1"/>
        <c:ser>
          <c:idx val="0"/>
          <c:order val="0"/>
          <c:spPr>
            <a:scene3d>
              <a:camera prst="orthographicFront"/>
              <a:lightRig rig="threePt" dir="t"/>
            </a:scene3d>
            <a:sp3d>
              <a:bevelT/>
            </a:sp3d>
          </c:spPr>
          <c:explosion val="6"/>
          <c:dPt>
            <c:idx val="0"/>
            <c:bubble3D val="0"/>
            <c:spPr>
              <a:solidFill>
                <a:schemeClr val="accent1"/>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1-8C4E-4271-A1D8-8DF2A2A6BB6D}"/>
              </c:ext>
            </c:extLst>
          </c:dPt>
          <c:dPt>
            <c:idx val="1"/>
            <c:bubble3D val="0"/>
            <c:spPr>
              <a:solidFill>
                <a:schemeClr val="accent2"/>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3-8C4E-4271-A1D8-8DF2A2A6BB6D}"/>
              </c:ext>
            </c:extLst>
          </c:dPt>
          <c:dLbls>
            <c:dLbl>
              <c:idx val="0"/>
              <c:layout>
                <c:manualLayout>
                  <c:x val="-0.19505728798513963"/>
                  <c:y val="-0.1687110111508988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C4E-4271-A1D8-8DF2A2A6BB6D}"/>
                </c:ext>
              </c:extLst>
            </c:dLbl>
            <c:dLbl>
              <c:idx val="1"/>
              <c:layout>
                <c:manualLayout>
                  <c:x val="0.1930360166357076"/>
                  <c:y val="0.1438820987369508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C4E-4271-A1D8-8DF2A2A6BB6D}"/>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 deuda'!$B$10:$B$11</c:f>
              <c:strCache>
                <c:ptCount val="2"/>
                <c:pt idx="0">
                  <c:v>Interna</c:v>
                </c:pt>
                <c:pt idx="1">
                  <c:v>Externa</c:v>
                </c:pt>
              </c:strCache>
            </c:strRef>
          </c:cat>
          <c:val>
            <c:numRef>
              <c:f>'comp deuda'!$C$10:$C$11</c:f>
              <c:numCache>
                <c:formatCode>0.0%</c:formatCode>
                <c:ptCount val="2"/>
                <c:pt idx="0">
                  <c:v>0.58146316437512824</c:v>
                </c:pt>
                <c:pt idx="1">
                  <c:v>0.41853683562487171</c:v>
                </c:pt>
              </c:numCache>
            </c:numRef>
          </c:val>
          <c:extLst>
            <c:ext xmlns:c16="http://schemas.microsoft.com/office/drawing/2014/chart" uri="{C3380CC4-5D6E-409C-BE32-E72D297353CC}">
              <c16:uniqueId val="{00000004-8C4E-4271-A1D8-8DF2A2A6BB6D}"/>
            </c:ext>
          </c:extLst>
        </c:ser>
        <c:dLbls>
          <c:dLblPos val="inEnd"/>
          <c:showLegendKey val="0"/>
          <c:showVal val="0"/>
          <c:showCatName val="1"/>
          <c:showSerName val="0"/>
          <c:showPercent val="1"/>
          <c:showBubbleSize val="0"/>
          <c:showLeaderLines val="1"/>
        </c:dLbls>
        <c:firstSliceAng val="21"/>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260714767149575"/>
          <c:y val="0"/>
          <c:w val="0.57294129774563674"/>
          <c:h val="0.98159197491617878"/>
        </c:manualLayout>
      </c:layout>
      <c:pieChart>
        <c:varyColors val="1"/>
        <c:ser>
          <c:idx val="0"/>
          <c:order val="0"/>
          <c:spPr>
            <a:scene3d>
              <a:camera prst="orthographicFront"/>
              <a:lightRig rig="threePt" dir="t"/>
            </a:scene3d>
            <a:sp3d>
              <a:bevelT/>
            </a:sp3d>
          </c:spPr>
          <c:explosion val="21"/>
          <c:dPt>
            <c:idx val="0"/>
            <c:bubble3D val="0"/>
            <c:spPr>
              <a:solidFill>
                <a:schemeClr val="accent1"/>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1-3E97-405E-BF9B-9C8081DE1DCD}"/>
              </c:ext>
            </c:extLst>
          </c:dPt>
          <c:dPt>
            <c:idx val="1"/>
            <c:bubble3D val="0"/>
            <c:spPr>
              <a:solidFill>
                <a:schemeClr val="accent2"/>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3-3E97-405E-BF9B-9C8081DE1DCD}"/>
              </c:ext>
            </c:extLst>
          </c:dPt>
          <c:dLbls>
            <c:dLbl>
              <c:idx val="0"/>
              <c:layout>
                <c:manualLayout>
                  <c:x val="0.20478259309383201"/>
                  <c:y val="0.143132108486439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E97-405E-BF9B-9C8081DE1DCD}"/>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 deuda'!$B$24:$B$25</c:f>
              <c:strCache>
                <c:ptCount val="2"/>
                <c:pt idx="0">
                  <c:v>Fija</c:v>
                </c:pt>
                <c:pt idx="1">
                  <c:v>Variable</c:v>
                </c:pt>
              </c:strCache>
            </c:strRef>
          </c:cat>
          <c:val>
            <c:numRef>
              <c:f>'comp deuda'!$C$24:$C$25</c:f>
              <c:numCache>
                <c:formatCode>0.0%</c:formatCode>
                <c:ptCount val="2"/>
                <c:pt idx="0">
                  <c:v>0.8396193310075929</c:v>
                </c:pt>
                <c:pt idx="1">
                  <c:v>0.16038066899240716</c:v>
                </c:pt>
              </c:numCache>
            </c:numRef>
          </c:val>
          <c:extLst>
            <c:ext xmlns:c16="http://schemas.microsoft.com/office/drawing/2014/chart" uri="{C3380CC4-5D6E-409C-BE32-E72D297353CC}">
              <c16:uniqueId val="{00000004-3E97-405E-BF9B-9C8081DE1DCD}"/>
            </c:ext>
          </c:extLst>
        </c:ser>
        <c:dLbls>
          <c:dLblPos val="inEnd"/>
          <c:showLegendKey val="0"/>
          <c:showVal val="0"/>
          <c:showCatName val="1"/>
          <c:showSerName val="0"/>
          <c:showPercent val="1"/>
          <c:showBubbleSize val="0"/>
          <c:showLeaderLines val="1"/>
        </c:dLbls>
        <c:firstSliceAng val="159"/>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45614035087719"/>
          <c:y val="0"/>
          <c:w val="0.5831578947368421"/>
          <c:h val="1"/>
        </c:manualLayout>
      </c:layout>
      <c:pieChart>
        <c:varyColors val="1"/>
        <c:ser>
          <c:idx val="0"/>
          <c:order val="0"/>
          <c:spPr>
            <a:scene3d>
              <a:camera prst="orthographicFront"/>
              <a:lightRig rig="threePt" dir="t"/>
            </a:scene3d>
            <a:sp3d>
              <a:bevelT/>
            </a:sp3d>
          </c:spPr>
          <c:explosion val="6"/>
          <c:dPt>
            <c:idx val="0"/>
            <c:bubble3D val="0"/>
            <c:spPr>
              <a:solidFill>
                <a:schemeClr val="accent1"/>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1-A49E-42F1-960C-48C9E894A6CA}"/>
              </c:ext>
            </c:extLst>
          </c:dPt>
          <c:dPt>
            <c:idx val="1"/>
            <c:bubble3D val="0"/>
            <c:spPr>
              <a:solidFill>
                <a:schemeClr val="accent2"/>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3-A49E-42F1-960C-48C9E894A6CA}"/>
              </c:ext>
            </c:extLst>
          </c:dPt>
          <c:dLbls>
            <c:dLbl>
              <c:idx val="0"/>
              <c:layout>
                <c:manualLayout>
                  <c:x val="-0.19964326564442603"/>
                  <c:y val="-0.1167673896358623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49E-42F1-960C-48C9E894A6CA}"/>
                </c:ext>
              </c:extLst>
            </c:dLbl>
            <c:dLbl>
              <c:idx val="1"/>
              <c:layout>
                <c:manualLayout>
                  <c:x val="0.21060035916563061"/>
                  <c:y val="6.949373205605617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49E-42F1-960C-48C9E894A6C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 deuda'!$B$38:$B$39</c:f>
              <c:strCache>
                <c:ptCount val="2"/>
                <c:pt idx="0">
                  <c:v>Nacional</c:v>
                </c:pt>
                <c:pt idx="1">
                  <c:v>Extranjera</c:v>
                </c:pt>
              </c:strCache>
            </c:strRef>
          </c:cat>
          <c:val>
            <c:numRef>
              <c:f>'comp deuda'!$C$38:$C$39</c:f>
              <c:numCache>
                <c:formatCode>0.0%</c:formatCode>
                <c:ptCount val="2"/>
                <c:pt idx="0">
                  <c:v>0.55412584405812393</c:v>
                </c:pt>
                <c:pt idx="1">
                  <c:v>0.44587415594187602</c:v>
                </c:pt>
              </c:numCache>
            </c:numRef>
          </c:val>
          <c:extLst>
            <c:ext xmlns:c16="http://schemas.microsoft.com/office/drawing/2014/chart" uri="{C3380CC4-5D6E-409C-BE32-E72D297353CC}">
              <c16:uniqueId val="{00000004-A49E-42F1-960C-48C9E894A6CA}"/>
            </c:ext>
          </c:extLst>
        </c:ser>
        <c:dLbls>
          <c:dLblPos val="inEnd"/>
          <c:showLegendKey val="0"/>
          <c:showVal val="0"/>
          <c:showCatName val="1"/>
          <c:showSerName val="0"/>
          <c:showPercent val="1"/>
          <c:showBubbleSize val="0"/>
          <c:showLeaderLines val="1"/>
        </c:dLbls>
        <c:firstSliceAng val="21"/>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036423718377351"/>
          <c:y val="4.8688040069489883E-3"/>
          <c:w val="0.6937429538762282"/>
          <c:h val="0.98572900450480938"/>
        </c:manualLayout>
      </c:layout>
      <c:pieChart>
        <c:varyColors val="1"/>
        <c:ser>
          <c:idx val="0"/>
          <c:order val="0"/>
          <c:spPr>
            <a:scene3d>
              <a:camera prst="orthographicFront"/>
              <a:lightRig rig="threePt" dir="t"/>
            </a:scene3d>
            <a:sp3d>
              <a:bevelT/>
              <a:bevelB/>
            </a:sp3d>
          </c:spPr>
          <c:explosion val="12"/>
          <c:dPt>
            <c:idx val="0"/>
            <c:bubble3D val="0"/>
            <c:spPr>
              <a:solidFill>
                <a:schemeClr val="accent1"/>
              </a:solidFill>
              <a:ln w="19050">
                <a:solidFill>
                  <a:schemeClr val="lt1"/>
                </a:solidFill>
              </a:ln>
              <a:effectLst/>
              <a:scene3d>
                <a:camera prst="orthographicFront"/>
                <a:lightRig rig="threePt" dir="t"/>
              </a:scene3d>
              <a:sp3d>
                <a:bevelT/>
                <a:bevelB/>
              </a:sp3d>
            </c:spPr>
            <c:extLst>
              <c:ext xmlns:c16="http://schemas.microsoft.com/office/drawing/2014/chart" uri="{C3380CC4-5D6E-409C-BE32-E72D297353CC}">
                <c16:uniqueId val="{00000001-3669-461A-B5D8-A2E6D2CE5760}"/>
              </c:ext>
            </c:extLst>
          </c:dPt>
          <c:dPt>
            <c:idx val="1"/>
            <c:bubble3D val="0"/>
            <c:spPr>
              <a:solidFill>
                <a:schemeClr val="accent2"/>
              </a:solidFill>
              <a:ln w="19050">
                <a:solidFill>
                  <a:schemeClr val="lt1"/>
                </a:solidFill>
              </a:ln>
              <a:effectLst/>
              <a:scene3d>
                <a:camera prst="orthographicFront"/>
                <a:lightRig rig="threePt" dir="t"/>
              </a:scene3d>
              <a:sp3d>
                <a:bevelT/>
                <a:bevelB/>
              </a:sp3d>
            </c:spPr>
            <c:extLst>
              <c:ext xmlns:c16="http://schemas.microsoft.com/office/drawing/2014/chart" uri="{C3380CC4-5D6E-409C-BE32-E72D297353CC}">
                <c16:uniqueId val="{00000003-3669-461A-B5D8-A2E6D2CE5760}"/>
              </c:ext>
            </c:extLst>
          </c:dPt>
          <c:dLbls>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extLst>
                <c:ext xmlns:c16="http://schemas.microsoft.com/office/drawing/2014/chart" uri="{C3380CC4-5D6E-409C-BE32-E72D297353CC}">
                  <c16:uniqueId val="{00000001-3669-461A-B5D8-A2E6D2CE5760}"/>
                </c:ext>
              </c:extLst>
            </c:dLbl>
            <c:dLbl>
              <c:idx val="1"/>
              <c:layout>
                <c:manualLayout>
                  <c:x val="0.22067333355482463"/>
                  <c:y val="-9.356803095858751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669-461A-B5D8-A2E6D2CE576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 deuda'!$B$53:$B$54</c:f>
              <c:strCache>
                <c:ptCount val="2"/>
                <c:pt idx="0">
                  <c:v>Préstamos</c:v>
                </c:pt>
                <c:pt idx="1">
                  <c:v>Bonos</c:v>
                </c:pt>
              </c:strCache>
            </c:strRef>
          </c:cat>
          <c:val>
            <c:numRef>
              <c:f>'comp deuda'!$C$53:$C$54</c:f>
              <c:numCache>
                <c:formatCode>0.0%</c:formatCode>
                <c:ptCount val="2"/>
                <c:pt idx="0">
                  <c:v>0.17979649770846159</c:v>
                </c:pt>
                <c:pt idx="1">
                  <c:v>0.82020350229153838</c:v>
                </c:pt>
              </c:numCache>
            </c:numRef>
          </c:val>
          <c:extLst>
            <c:ext xmlns:c16="http://schemas.microsoft.com/office/drawing/2014/chart" uri="{C3380CC4-5D6E-409C-BE32-E72D297353CC}">
              <c16:uniqueId val="{00000004-3669-461A-B5D8-A2E6D2CE5760}"/>
            </c:ext>
          </c:extLst>
        </c:ser>
        <c:dLbls>
          <c:dLblPos val="inEnd"/>
          <c:showLegendKey val="0"/>
          <c:showVal val="0"/>
          <c:showCatName val="1"/>
          <c:showSerName val="0"/>
          <c:showPercent val="1"/>
          <c:showBubbleSize val="0"/>
          <c:showLeaderLines val="1"/>
        </c:dLbls>
        <c:firstSliceAng val="57"/>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8687410032482507E-2"/>
          <c:y val="1.6480600037635931E-2"/>
          <c:w val="0.91518136697870756"/>
          <c:h val="0.9145385532758139"/>
        </c:manualLayout>
      </c:layout>
      <c:barChart>
        <c:barDir val="col"/>
        <c:grouping val="clustered"/>
        <c:varyColors val="0"/>
        <c:ser>
          <c:idx val="0"/>
          <c:order val="0"/>
          <c:tx>
            <c:strRef>
              <c:f>'Series Gasto'!$E$10</c:f>
              <c:strCache>
                <c:ptCount val="1"/>
                <c:pt idx="0">
                  <c:v>% del PIB</c:v>
                </c:pt>
              </c:strCache>
            </c:strRef>
          </c:tx>
          <c:spPr>
            <a:solidFill>
              <a:schemeClr val="accent1"/>
            </a:solidFill>
            <a:scene3d>
              <a:camera prst="orthographicFront"/>
              <a:lightRig rig="threePt" dir="t"/>
            </a:scene3d>
            <a:sp3d>
              <a:bevelT/>
            </a:sp3d>
          </c:spPr>
          <c:invertIfNegative val="0"/>
          <c:dPt>
            <c:idx val="0"/>
            <c:invertIfNegative val="0"/>
            <c:bubble3D val="0"/>
            <c:extLst>
              <c:ext xmlns:c16="http://schemas.microsoft.com/office/drawing/2014/chart" uri="{C3380CC4-5D6E-409C-BE32-E72D297353CC}">
                <c16:uniqueId val="{00000000-1B9C-4D13-A654-C665D3F485AA}"/>
              </c:ext>
            </c:extLst>
          </c:dPt>
          <c:dPt>
            <c:idx val="1"/>
            <c:invertIfNegative val="0"/>
            <c:bubble3D val="0"/>
            <c:extLst>
              <c:ext xmlns:c16="http://schemas.microsoft.com/office/drawing/2014/chart" uri="{C3380CC4-5D6E-409C-BE32-E72D297353CC}">
                <c16:uniqueId val="{00000001-1B9C-4D13-A654-C665D3F485AA}"/>
              </c:ext>
            </c:extLst>
          </c:dPt>
          <c:dPt>
            <c:idx val="2"/>
            <c:invertIfNegative val="0"/>
            <c:bubble3D val="0"/>
            <c:extLst>
              <c:ext xmlns:c16="http://schemas.microsoft.com/office/drawing/2014/chart" uri="{C3380CC4-5D6E-409C-BE32-E72D297353CC}">
                <c16:uniqueId val="{00000002-1B9C-4D13-A654-C665D3F485AA}"/>
              </c:ext>
            </c:extLst>
          </c:dPt>
          <c:dPt>
            <c:idx val="3"/>
            <c:invertIfNegative val="0"/>
            <c:bubble3D val="0"/>
            <c:extLst>
              <c:ext xmlns:c16="http://schemas.microsoft.com/office/drawing/2014/chart" uri="{C3380CC4-5D6E-409C-BE32-E72D297353CC}">
                <c16:uniqueId val="{00000003-1B9C-4D13-A654-C665D3F485AA}"/>
              </c:ext>
            </c:extLst>
          </c:dPt>
          <c:dPt>
            <c:idx val="4"/>
            <c:invertIfNegative val="0"/>
            <c:bubble3D val="0"/>
            <c:extLst>
              <c:ext xmlns:c16="http://schemas.microsoft.com/office/drawing/2014/chart" uri="{C3380CC4-5D6E-409C-BE32-E72D297353CC}">
                <c16:uniqueId val="{00000004-1B9C-4D13-A654-C665D3F485AA}"/>
              </c:ext>
            </c:extLst>
          </c:dPt>
          <c:dPt>
            <c:idx val="5"/>
            <c:invertIfNegative val="0"/>
            <c:bubble3D val="0"/>
            <c:extLst>
              <c:ext xmlns:c16="http://schemas.microsoft.com/office/drawing/2014/chart" uri="{C3380CC4-5D6E-409C-BE32-E72D297353CC}">
                <c16:uniqueId val="{00000005-1B9C-4D13-A654-C665D3F485AA}"/>
              </c:ext>
            </c:extLst>
          </c:dPt>
          <c:dPt>
            <c:idx val="6"/>
            <c:invertIfNegative val="0"/>
            <c:bubble3D val="0"/>
            <c:extLst>
              <c:ext xmlns:c16="http://schemas.microsoft.com/office/drawing/2014/chart" uri="{C3380CC4-5D6E-409C-BE32-E72D297353CC}">
                <c16:uniqueId val="{00000006-1B9C-4D13-A654-C665D3F485AA}"/>
              </c:ext>
            </c:extLst>
          </c:dPt>
          <c:dPt>
            <c:idx val="7"/>
            <c:invertIfNegative val="0"/>
            <c:bubble3D val="0"/>
            <c:extLst>
              <c:ext xmlns:c16="http://schemas.microsoft.com/office/drawing/2014/chart" uri="{C3380CC4-5D6E-409C-BE32-E72D297353CC}">
                <c16:uniqueId val="{00000007-1B9C-4D13-A654-C665D3F485AA}"/>
              </c:ext>
            </c:extLst>
          </c:dPt>
          <c:dLbls>
            <c:numFmt formatCode="0.0%" sourceLinked="0"/>
            <c:spPr>
              <a:noFill/>
              <a:ln>
                <a:noFill/>
              </a:ln>
              <a:effectLst/>
            </c:spPr>
            <c:txPr>
              <a:bodyPr/>
              <a:lstStyle/>
              <a:p>
                <a:pPr>
                  <a:defRPr sz="700" b="1">
                    <a:solidFill>
                      <a:schemeClr val="bg1"/>
                    </a:solidFill>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'Series Gasto'!$D$11:$D$24</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'Series Gasto'!$E$11:$E$24</c:f>
              <c:numCache>
                <c:formatCode>0.0%</c:formatCode>
                <c:ptCount val="14"/>
                <c:pt idx="0">
                  <c:v>0.13260360726941808</c:v>
                </c:pt>
                <c:pt idx="1">
                  <c:v>0.14100512220710659</c:v>
                </c:pt>
                <c:pt idx="2">
                  <c:v>0.14468065621967963</c:v>
                </c:pt>
                <c:pt idx="3">
                  <c:v>0.14488113168263189</c:v>
                </c:pt>
                <c:pt idx="4">
                  <c:v>0.1415068281615145</c:v>
                </c:pt>
                <c:pt idx="5">
                  <c:v>0.13994068266031481</c:v>
                </c:pt>
                <c:pt idx="6">
                  <c:v>0.13596038055948442</c:v>
                </c:pt>
                <c:pt idx="7">
                  <c:v>0.12581574801708381</c:v>
                </c:pt>
                <c:pt idx="8">
                  <c:v>0.12565760240720389</c:v>
                </c:pt>
                <c:pt idx="9">
                  <c:v>0.12777547826303021</c:v>
                </c:pt>
                <c:pt idx="10">
                  <c:v>0.13208820836187352</c:v>
                </c:pt>
                <c:pt idx="11">
                  <c:v>0.13467687175563314</c:v>
                </c:pt>
                <c:pt idx="12">
                  <c:v>0.1560805052190643</c:v>
                </c:pt>
                <c:pt idx="13">
                  <c:v>0.13542677747045495</c:v>
                </c:pt>
              </c:numCache>
            </c:numRef>
          </c:val>
          <c:extLst>
            <c:ext xmlns:c16="http://schemas.microsoft.com/office/drawing/2014/chart" uri="{C3380CC4-5D6E-409C-BE32-E72D297353CC}">
              <c16:uniqueId val="{00000008-1B9C-4D13-A654-C665D3F485AA}"/>
            </c:ext>
          </c:extLst>
        </c:ser>
        <c:dLbls>
          <c:showLegendKey val="0"/>
          <c:showVal val="0"/>
          <c:showCatName val="0"/>
          <c:showSerName val="0"/>
          <c:showPercent val="0"/>
          <c:showBubbleSize val="0"/>
        </c:dLbls>
        <c:gapWidth val="25"/>
        <c:axId val="179151232"/>
        <c:axId val="179152768"/>
      </c:barChart>
      <c:lineChart>
        <c:grouping val="standard"/>
        <c:varyColors val="0"/>
        <c:ser>
          <c:idx val="1"/>
          <c:order val="1"/>
          <c:tx>
            <c:strRef>
              <c:f>'Series Gasto'!$F$10</c:f>
              <c:strCache>
                <c:ptCount val="1"/>
                <c:pt idx="0">
                  <c:v>Promedio</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9-1B9C-4D13-A654-C665D3F485AA}"/>
                </c:ext>
              </c:extLst>
            </c:dLbl>
            <c:dLbl>
              <c:idx val="1"/>
              <c:delete val="1"/>
              <c:extLst>
                <c:ext xmlns:c15="http://schemas.microsoft.com/office/drawing/2012/chart" uri="{CE6537A1-D6FC-4f65-9D91-7224C49458BB}"/>
                <c:ext xmlns:c16="http://schemas.microsoft.com/office/drawing/2014/chart" uri="{C3380CC4-5D6E-409C-BE32-E72D297353CC}">
                  <c16:uniqueId val="{0000000A-1B9C-4D13-A654-C665D3F485AA}"/>
                </c:ext>
              </c:extLst>
            </c:dLbl>
            <c:dLbl>
              <c:idx val="2"/>
              <c:delete val="1"/>
              <c:extLst>
                <c:ext xmlns:c15="http://schemas.microsoft.com/office/drawing/2012/chart" uri="{CE6537A1-D6FC-4f65-9D91-7224C49458BB}"/>
                <c:ext xmlns:c16="http://schemas.microsoft.com/office/drawing/2014/chart" uri="{C3380CC4-5D6E-409C-BE32-E72D297353CC}">
                  <c16:uniqueId val="{0000000B-1B9C-4D13-A654-C665D3F485AA}"/>
                </c:ext>
              </c:extLst>
            </c:dLbl>
            <c:dLbl>
              <c:idx val="3"/>
              <c:delete val="1"/>
              <c:extLst>
                <c:ext xmlns:c15="http://schemas.microsoft.com/office/drawing/2012/chart" uri="{CE6537A1-D6FC-4f65-9D91-7224C49458BB}"/>
                <c:ext xmlns:c16="http://schemas.microsoft.com/office/drawing/2014/chart" uri="{C3380CC4-5D6E-409C-BE32-E72D297353CC}">
                  <c16:uniqueId val="{0000000C-1B9C-4D13-A654-C665D3F485AA}"/>
                </c:ext>
              </c:extLst>
            </c:dLbl>
            <c:dLbl>
              <c:idx val="4"/>
              <c:delete val="1"/>
              <c:extLst>
                <c:ext xmlns:c15="http://schemas.microsoft.com/office/drawing/2012/chart" uri="{CE6537A1-D6FC-4f65-9D91-7224C49458BB}"/>
                <c:ext xmlns:c16="http://schemas.microsoft.com/office/drawing/2014/chart" uri="{C3380CC4-5D6E-409C-BE32-E72D297353CC}">
                  <c16:uniqueId val="{0000000D-1B9C-4D13-A654-C665D3F485AA}"/>
                </c:ext>
              </c:extLst>
            </c:dLbl>
            <c:dLbl>
              <c:idx val="5"/>
              <c:delete val="1"/>
              <c:extLst>
                <c:ext xmlns:c15="http://schemas.microsoft.com/office/drawing/2012/chart" uri="{CE6537A1-D6FC-4f65-9D91-7224C49458BB}"/>
                <c:ext xmlns:c16="http://schemas.microsoft.com/office/drawing/2014/chart" uri="{C3380CC4-5D6E-409C-BE32-E72D297353CC}">
                  <c16:uniqueId val="{0000000E-1B9C-4D13-A654-C665D3F485AA}"/>
                </c:ext>
              </c:extLst>
            </c:dLbl>
            <c:dLbl>
              <c:idx val="6"/>
              <c:delete val="1"/>
              <c:extLst>
                <c:ext xmlns:c15="http://schemas.microsoft.com/office/drawing/2012/chart" uri="{CE6537A1-D6FC-4f65-9D91-7224C49458BB}"/>
                <c:ext xmlns:c16="http://schemas.microsoft.com/office/drawing/2014/chart" uri="{C3380CC4-5D6E-409C-BE32-E72D297353CC}">
                  <c16:uniqueId val="{0000000F-1B9C-4D13-A654-C665D3F485AA}"/>
                </c:ext>
              </c:extLst>
            </c:dLbl>
            <c:dLbl>
              <c:idx val="7"/>
              <c:delete val="1"/>
              <c:extLst>
                <c:ext xmlns:c15="http://schemas.microsoft.com/office/drawing/2012/chart" uri="{CE6537A1-D6FC-4f65-9D91-7224C49458BB}"/>
                <c:ext xmlns:c16="http://schemas.microsoft.com/office/drawing/2014/chart" uri="{C3380CC4-5D6E-409C-BE32-E72D297353CC}">
                  <c16:uniqueId val="{00000010-1B9C-4D13-A654-C665D3F485AA}"/>
                </c:ext>
              </c:extLst>
            </c:dLbl>
            <c:dLbl>
              <c:idx val="8"/>
              <c:delete val="1"/>
              <c:extLst>
                <c:ext xmlns:c15="http://schemas.microsoft.com/office/drawing/2012/chart" uri="{CE6537A1-D6FC-4f65-9D91-7224C49458BB}"/>
                <c:ext xmlns:c16="http://schemas.microsoft.com/office/drawing/2014/chart" uri="{C3380CC4-5D6E-409C-BE32-E72D297353CC}">
                  <c16:uniqueId val="{00000011-1B9C-4D13-A654-C665D3F485AA}"/>
                </c:ext>
              </c:extLst>
            </c:dLbl>
            <c:dLbl>
              <c:idx val="9"/>
              <c:layout>
                <c:manualLayout>
                  <c:x val="-4.1725668051994687E-3"/>
                  <c:y val="-2.99593091997685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B9C-4D13-A654-C665D3F485AA}"/>
                </c:ext>
              </c:extLst>
            </c:dLbl>
            <c:dLbl>
              <c:idx val="10"/>
              <c:delete val="1"/>
              <c:extLst>
                <c:ext xmlns:c15="http://schemas.microsoft.com/office/drawing/2012/chart" uri="{CE6537A1-D6FC-4f65-9D91-7224C49458BB}"/>
                <c:ext xmlns:c16="http://schemas.microsoft.com/office/drawing/2014/chart" uri="{C3380CC4-5D6E-409C-BE32-E72D297353CC}">
                  <c16:uniqueId val="{00000013-1B9C-4D13-A654-C665D3F485AA}"/>
                </c:ext>
              </c:extLst>
            </c:dLbl>
            <c:dLbl>
              <c:idx val="11"/>
              <c:delete val="1"/>
              <c:extLst>
                <c:ext xmlns:c15="http://schemas.microsoft.com/office/drawing/2012/chart" uri="{CE6537A1-D6FC-4f65-9D91-7224C49458BB}"/>
                <c:ext xmlns:c16="http://schemas.microsoft.com/office/drawing/2014/chart" uri="{C3380CC4-5D6E-409C-BE32-E72D297353CC}">
                  <c16:uniqueId val="{00000014-1B9C-4D13-A654-C665D3F485AA}"/>
                </c:ext>
              </c:extLst>
            </c:dLbl>
            <c:dLbl>
              <c:idx val="12"/>
              <c:delete val="1"/>
              <c:extLst>
                <c:ext xmlns:c15="http://schemas.microsoft.com/office/drawing/2012/chart" uri="{CE6537A1-D6FC-4f65-9D91-7224C49458BB}"/>
                <c:ext xmlns:c16="http://schemas.microsoft.com/office/drawing/2014/chart" uri="{C3380CC4-5D6E-409C-BE32-E72D297353CC}">
                  <c16:uniqueId val="{00000015-1B9C-4D13-A654-C665D3F485AA}"/>
                </c:ext>
              </c:extLst>
            </c:dLbl>
            <c:dLbl>
              <c:idx val="13"/>
              <c:delete val="1"/>
              <c:extLst>
                <c:ext xmlns:c15="http://schemas.microsoft.com/office/drawing/2012/chart" uri="{CE6537A1-D6FC-4f65-9D91-7224C49458BB}"/>
                <c:ext xmlns:c16="http://schemas.microsoft.com/office/drawing/2014/chart" uri="{C3380CC4-5D6E-409C-BE32-E72D297353CC}">
                  <c16:uniqueId val="{00000016-1B9C-4D13-A654-C665D3F485AA}"/>
                </c:ext>
              </c:extLst>
            </c:dLbl>
            <c:spPr>
              <a:noFill/>
              <a:ln>
                <a:noFill/>
              </a:ln>
              <a:effectLst/>
            </c:spPr>
            <c:txPr>
              <a:bodyPr/>
              <a:lstStyle/>
              <a:p>
                <a:pPr>
                  <a:defRPr>
                    <a:solidFill>
                      <a:srgbClr val="FF000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cat>
            <c:numRef>
              <c:f>'Series Gasto'!$D$11:$D$24</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'Series Gasto'!$F$11:$F$24</c:f>
              <c:numCache>
                <c:formatCode>0.0%</c:formatCode>
                <c:ptCount val="14"/>
                <c:pt idx="0">
                  <c:v>0.1370071143038924</c:v>
                </c:pt>
                <c:pt idx="1">
                  <c:v>0.1370071143038924</c:v>
                </c:pt>
                <c:pt idx="2">
                  <c:v>0.1370071143038924</c:v>
                </c:pt>
                <c:pt idx="3">
                  <c:v>0.1370071143038924</c:v>
                </c:pt>
                <c:pt idx="4">
                  <c:v>0.1370071143038924</c:v>
                </c:pt>
                <c:pt idx="5">
                  <c:v>0.1370071143038924</c:v>
                </c:pt>
                <c:pt idx="6">
                  <c:v>0.1370071143038924</c:v>
                </c:pt>
                <c:pt idx="7">
                  <c:v>0.1370071143038924</c:v>
                </c:pt>
                <c:pt idx="8">
                  <c:v>0.1370071143038924</c:v>
                </c:pt>
                <c:pt idx="9">
                  <c:v>0.1370071143038924</c:v>
                </c:pt>
                <c:pt idx="10">
                  <c:v>0.1370071143038924</c:v>
                </c:pt>
                <c:pt idx="11">
                  <c:v>0.1370071143038924</c:v>
                </c:pt>
                <c:pt idx="12">
                  <c:v>0.1370071143038924</c:v>
                </c:pt>
                <c:pt idx="13">
                  <c:v>0.1370071143038924</c:v>
                </c:pt>
              </c:numCache>
            </c:numRef>
          </c:val>
          <c:smooth val="0"/>
          <c:extLst>
            <c:ext xmlns:c16="http://schemas.microsoft.com/office/drawing/2014/chart" uri="{C3380CC4-5D6E-409C-BE32-E72D297353CC}">
              <c16:uniqueId val="{00000018-1B9C-4D13-A654-C665D3F485AA}"/>
            </c:ext>
          </c:extLst>
        </c:ser>
        <c:dLbls>
          <c:showLegendKey val="0"/>
          <c:showVal val="0"/>
          <c:showCatName val="0"/>
          <c:showSerName val="0"/>
          <c:showPercent val="0"/>
          <c:showBubbleSize val="0"/>
        </c:dLbls>
        <c:marker val="1"/>
        <c:smooth val="0"/>
        <c:axId val="179151232"/>
        <c:axId val="179152768"/>
      </c:lineChart>
      <c:catAx>
        <c:axId val="179151232"/>
        <c:scaling>
          <c:orientation val="minMax"/>
        </c:scaling>
        <c:delete val="0"/>
        <c:axPos val="b"/>
        <c:numFmt formatCode="General" sourceLinked="1"/>
        <c:majorTickMark val="out"/>
        <c:minorTickMark val="none"/>
        <c:tickLblPos val="nextTo"/>
        <c:crossAx val="179152768"/>
        <c:crosses val="autoZero"/>
        <c:auto val="1"/>
        <c:lblAlgn val="ctr"/>
        <c:lblOffset val="100"/>
        <c:noMultiLvlLbl val="0"/>
      </c:catAx>
      <c:valAx>
        <c:axId val="179152768"/>
        <c:scaling>
          <c:orientation val="minMax"/>
        </c:scaling>
        <c:delete val="0"/>
        <c:axPos val="l"/>
        <c:numFmt formatCode="0.0%" sourceLinked="1"/>
        <c:majorTickMark val="out"/>
        <c:minorTickMark val="none"/>
        <c:tickLblPos val="nextTo"/>
        <c:crossAx val="179151232"/>
        <c:crosses val="autoZero"/>
        <c:crossBetween val="between"/>
      </c:valAx>
    </c:plotArea>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129838782978105E-2"/>
          <c:y val="2.0274599542334095E-2"/>
          <c:w val="0.91047961138248057"/>
          <c:h val="0.91055730733887097"/>
        </c:manualLayout>
      </c:layout>
      <c:barChart>
        <c:barDir val="col"/>
        <c:grouping val="clustered"/>
        <c:varyColors val="0"/>
        <c:ser>
          <c:idx val="0"/>
          <c:order val="0"/>
          <c:tx>
            <c:strRef>
              <c:f>'Series Gasto'!$D$31</c:f>
              <c:strCache>
                <c:ptCount val="1"/>
                <c:pt idx="0">
                  <c:v>% de Ejec</c:v>
                </c:pt>
              </c:strCache>
            </c:strRef>
          </c:tx>
          <c:spPr>
            <a:solidFill>
              <a:schemeClr val="accent1"/>
            </a:solidFill>
            <a:scene3d>
              <a:camera prst="orthographicFront"/>
              <a:lightRig rig="threePt" dir="t"/>
            </a:scene3d>
            <a:sp3d>
              <a:bevelT/>
            </a:sp3d>
          </c:spPr>
          <c:invertIfNegative val="0"/>
          <c:dPt>
            <c:idx val="0"/>
            <c:invertIfNegative val="0"/>
            <c:bubble3D val="0"/>
            <c:extLst>
              <c:ext xmlns:c16="http://schemas.microsoft.com/office/drawing/2014/chart" uri="{C3380CC4-5D6E-409C-BE32-E72D297353CC}">
                <c16:uniqueId val="{00000000-E5DC-4716-9ADE-14B08F20A450}"/>
              </c:ext>
            </c:extLst>
          </c:dPt>
          <c:dPt>
            <c:idx val="1"/>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2-E5DC-4716-9ADE-14B08F20A450}"/>
              </c:ext>
            </c:extLst>
          </c:dPt>
          <c:dPt>
            <c:idx val="2"/>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4-E5DC-4716-9ADE-14B08F20A450}"/>
              </c:ext>
            </c:extLst>
          </c:dPt>
          <c:dPt>
            <c:idx val="3"/>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6-E5DC-4716-9ADE-14B08F20A450}"/>
              </c:ext>
            </c:extLst>
          </c:dPt>
          <c:dPt>
            <c:idx val="8"/>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8-E5DC-4716-9ADE-14B08F20A450}"/>
              </c:ext>
            </c:extLst>
          </c:dPt>
          <c:dPt>
            <c:idx val="9"/>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A-E5DC-4716-9ADE-14B08F20A450}"/>
              </c:ext>
            </c:extLst>
          </c:dPt>
          <c:dPt>
            <c:idx val="10"/>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C-E5DC-4716-9ADE-14B08F20A450}"/>
              </c:ext>
            </c:extLst>
          </c:dPt>
          <c:dLbls>
            <c:numFmt formatCode="0.0%" sourceLinked="0"/>
            <c:spPr>
              <a:noFill/>
              <a:ln>
                <a:noFill/>
              </a:ln>
              <a:effectLst/>
            </c:spPr>
            <c:txPr>
              <a:bodyPr/>
              <a:lstStyle/>
              <a:p>
                <a:pPr>
                  <a:defRPr sz="700" b="1">
                    <a:solidFill>
                      <a:schemeClr val="bg1"/>
                    </a:solidFill>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'Series Gasto'!$B$32:$B$45</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'Series Gasto'!$D$32:$D$45</c:f>
              <c:numCache>
                <c:formatCode>0.0%</c:formatCode>
                <c:ptCount val="14"/>
                <c:pt idx="0">
                  <c:v>0.97100400013480181</c:v>
                </c:pt>
                <c:pt idx="1">
                  <c:v>0.91670054123711997</c:v>
                </c:pt>
                <c:pt idx="2">
                  <c:v>0.92913056812002626</c:v>
                </c:pt>
                <c:pt idx="3">
                  <c:v>0.93989184934042602</c:v>
                </c:pt>
                <c:pt idx="4">
                  <c:v>0.96127386255162028</c:v>
                </c:pt>
                <c:pt idx="5">
                  <c:v>0.90368701970863785</c:v>
                </c:pt>
                <c:pt idx="6">
                  <c:v>0.91946188193788991</c:v>
                </c:pt>
                <c:pt idx="7">
                  <c:v>0.88382828330416796</c:v>
                </c:pt>
                <c:pt idx="8">
                  <c:v>0.92079526198855721</c:v>
                </c:pt>
                <c:pt idx="9">
                  <c:v>0.9174855765156813</c:v>
                </c:pt>
                <c:pt idx="10">
                  <c:v>0.96030535561856489</c:v>
                </c:pt>
                <c:pt idx="11">
                  <c:v>0.93786344124794574</c:v>
                </c:pt>
                <c:pt idx="12">
                  <c:v>0.89666657405963857</c:v>
                </c:pt>
                <c:pt idx="13">
                  <c:v>0.86499662485981865</c:v>
                </c:pt>
              </c:numCache>
            </c:numRef>
          </c:val>
          <c:extLst>
            <c:ext xmlns:c16="http://schemas.microsoft.com/office/drawing/2014/chart" uri="{C3380CC4-5D6E-409C-BE32-E72D297353CC}">
              <c16:uniqueId val="{0000000D-E5DC-4716-9ADE-14B08F20A450}"/>
            </c:ext>
          </c:extLst>
        </c:ser>
        <c:dLbls>
          <c:showLegendKey val="0"/>
          <c:showVal val="0"/>
          <c:showCatName val="0"/>
          <c:showSerName val="0"/>
          <c:showPercent val="0"/>
          <c:showBubbleSize val="0"/>
        </c:dLbls>
        <c:gapWidth val="17"/>
        <c:overlap val="-25"/>
        <c:axId val="181316608"/>
        <c:axId val="181207808"/>
      </c:barChart>
      <c:lineChart>
        <c:grouping val="standard"/>
        <c:varyColors val="0"/>
        <c:ser>
          <c:idx val="1"/>
          <c:order val="1"/>
          <c:tx>
            <c:strRef>
              <c:f>'Series Gasto'!$E$31</c:f>
              <c:strCache>
                <c:ptCount val="1"/>
                <c:pt idx="0">
                  <c:v>Promedio</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E-E5DC-4716-9ADE-14B08F20A450}"/>
                </c:ext>
              </c:extLst>
            </c:dLbl>
            <c:dLbl>
              <c:idx val="1"/>
              <c:delete val="1"/>
              <c:extLst>
                <c:ext xmlns:c15="http://schemas.microsoft.com/office/drawing/2012/chart" uri="{CE6537A1-D6FC-4f65-9D91-7224C49458BB}"/>
                <c:ext xmlns:c16="http://schemas.microsoft.com/office/drawing/2014/chart" uri="{C3380CC4-5D6E-409C-BE32-E72D297353CC}">
                  <c16:uniqueId val="{0000000F-E5DC-4716-9ADE-14B08F20A450}"/>
                </c:ext>
              </c:extLst>
            </c:dLbl>
            <c:dLbl>
              <c:idx val="2"/>
              <c:delete val="1"/>
              <c:extLst>
                <c:ext xmlns:c15="http://schemas.microsoft.com/office/drawing/2012/chart" uri="{CE6537A1-D6FC-4f65-9D91-7224C49458BB}"/>
                <c:ext xmlns:c16="http://schemas.microsoft.com/office/drawing/2014/chart" uri="{C3380CC4-5D6E-409C-BE32-E72D297353CC}">
                  <c16:uniqueId val="{00000010-E5DC-4716-9ADE-14B08F20A450}"/>
                </c:ext>
              </c:extLst>
            </c:dLbl>
            <c:dLbl>
              <c:idx val="3"/>
              <c:delete val="1"/>
              <c:extLst>
                <c:ext xmlns:c15="http://schemas.microsoft.com/office/drawing/2012/chart" uri="{CE6537A1-D6FC-4f65-9D91-7224C49458BB}"/>
                <c:ext xmlns:c16="http://schemas.microsoft.com/office/drawing/2014/chart" uri="{C3380CC4-5D6E-409C-BE32-E72D297353CC}">
                  <c16:uniqueId val="{00000011-E5DC-4716-9ADE-14B08F20A450}"/>
                </c:ext>
              </c:extLst>
            </c:dLbl>
            <c:dLbl>
              <c:idx val="4"/>
              <c:delete val="1"/>
              <c:extLst>
                <c:ext xmlns:c15="http://schemas.microsoft.com/office/drawing/2012/chart" uri="{CE6537A1-D6FC-4f65-9D91-7224C49458BB}"/>
                <c:ext xmlns:c16="http://schemas.microsoft.com/office/drawing/2014/chart" uri="{C3380CC4-5D6E-409C-BE32-E72D297353CC}">
                  <c16:uniqueId val="{00000012-E5DC-4716-9ADE-14B08F20A450}"/>
                </c:ext>
              </c:extLst>
            </c:dLbl>
            <c:dLbl>
              <c:idx val="5"/>
              <c:delete val="1"/>
              <c:extLst>
                <c:ext xmlns:c15="http://schemas.microsoft.com/office/drawing/2012/chart" uri="{CE6537A1-D6FC-4f65-9D91-7224C49458BB}"/>
                <c:ext xmlns:c16="http://schemas.microsoft.com/office/drawing/2014/chart" uri="{C3380CC4-5D6E-409C-BE32-E72D297353CC}">
                  <c16:uniqueId val="{00000013-E5DC-4716-9ADE-14B08F20A450}"/>
                </c:ext>
              </c:extLst>
            </c:dLbl>
            <c:dLbl>
              <c:idx val="6"/>
              <c:delete val="1"/>
              <c:extLst>
                <c:ext xmlns:c15="http://schemas.microsoft.com/office/drawing/2012/chart" uri="{CE6537A1-D6FC-4f65-9D91-7224C49458BB}"/>
                <c:ext xmlns:c16="http://schemas.microsoft.com/office/drawing/2014/chart" uri="{C3380CC4-5D6E-409C-BE32-E72D297353CC}">
                  <c16:uniqueId val="{00000014-E5DC-4716-9ADE-14B08F20A450}"/>
                </c:ext>
              </c:extLst>
            </c:dLbl>
            <c:dLbl>
              <c:idx val="7"/>
              <c:delete val="1"/>
              <c:extLst>
                <c:ext xmlns:c15="http://schemas.microsoft.com/office/drawing/2012/chart" uri="{CE6537A1-D6FC-4f65-9D91-7224C49458BB}"/>
                <c:ext xmlns:c16="http://schemas.microsoft.com/office/drawing/2014/chart" uri="{C3380CC4-5D6E-409C-BE32-E72D297353CC}">
                  <c16:uniqueId val="{00000015-E5DC-4716-9ADE-14B08F20A450}"/>
                </c:ext>
              </c:extLst>
            </c:dLbl>
            <c:dLbl>
              <c:idx val="8"/>
              <c:delete val="1"/>
              <c:extLst>
                <c:ext xmlns:c15="http://schemas.microsoft.com/office/drawing/2012/chart" uri="{CE6537A1-D6FC-4f65-9D91-7224C49458BB}"/>
                <c:ext xmlns:c16="http://schemas.microsoft.com/office/drawing/2014/chart" uri="{C3380CC4-5D6E-409C-BE32-E72D297353CC}">
                  <c16:uniqueId val="{00000016-E5DC-4716-9ADE-14B08F20A450}"/>
                </c:ext>
              </c:extLst>
            </c:dLbl>
            <c:dLbl>
              <c:idx val="9"/>
              <c:delete val="1"/>
              <c:extLst>
                <c:ext xmlns:c15="http://schemas.microsoft.com/office/drawing/2012/chart" uri="{CE6537A1-D6FC-4f65-9D91-7224C49458BB}"/>
                <c:ext xmlns:c16="http://schemas.microsoft.com/office/drawing/2014/chart" uri="{C3380CC4-5D6E-409C-BE32-E72D297353CC}">
                  <c16:uniqueId val="{00000017-E5DC-4716-9ADE-14B08F20A450}"/>
                </c:ext>
              </c:extLst>
            </c:dLbl>
            <c:dLbl>
              <c:idx val="10"/>
              <c:delete val="1"/>
              <c:extLst>
                <c:ext xmlns:c15="http://schemas.microsoft.com/office/drawing/2012/chart" uri="{CE6537A1-D6FC-4f65-9D91-7224C49458BB}"/>
                <c:ext xmlns:c16="http://schemas.microsoft.com/office/drawing/2014/chart" uri="{C3380CC4-5D6E-409C-BE32-E72D297353CC}">
                  <c16:uniqueId val="{00000018-E5DC-4716-9ADE-14B08F20A450}"/>
                </c:ext>
              </c:extLst>
            </c:dLbl>
            <c:dLbl>
              <c:idx val="11"/>
              <c:delete val="1"/>
              <c:extLst>
                <c:ext xmlns:c15="http://schemas.microsoft.com/office/drawing/2012/chart" uri="{CE6537A1-D6FC-4f65-9D91-7224C49458BB}"/>
                <c:ext xmlns:c16="http://schemas.microsoft.com/office/drawing/2014/chart" uri="{C3380CC4-5D6E-409C-BE32-E72D297353CC}">
                  <c16:uniqueId val="{00000019-E5DC-4716-9ADE-14B08F20A450}"/>
                </c:ext>
              </c:extLst>
            </c:dLbl>
            <c:dLbl>
              <c:idx val="12"/>
              <c:delete val="1"/>
              <c:extLst>
                <c:ext xmlns:c15="http://schemas.microsoft.com/office/drawing/2012/chart" uri="{CE6537A1-D6FC-4f65-9D91-7224C49458BB}"/>
                <c:ext xmlns:c16="http://schemas.microsoft.com/office/drawing/2014/chart" uri="{C3380CC4-5D6E-409C-BE32-E72D297353CC}">
                  <c16:uniqueId val="{0000001A-E5DC-4716-9ADE-14B08F20A450}"/>
                </c:ext>
              </c:extLst>
            </c:dLbl>
            <c:dLbl>
              <c:idx val="13"/>
              <c:layout>
                <c:manualLayout>
                  <c:x val="0"/>
                  <c:y val="-2.72665303340150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E5DC-4716-9ADE-14B08F20A450}"/>
                </c:ext>
              </c:extLst>
            </c:dLbl>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'Series Gasto'!$B$32:$B$45</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'Series Gasto'!$E$32:$E$45</c:f>
              <c:numCache>
                <c:formatCode>0.0%</c:formatCode>
                <c:ptCount val="14"/>
                <c:pt idx="0">
                  <c:v>0.92307791718749255</c:v>
                </c:pt>
                <c:pt idx="1">
                  <c:v>0.92307791718749255</c:v>
                </c:pt>
                <c:pt idx="2">
                  <c:v>0.92307791718749255</c:v>
                </c:pt>
                <c:pt idx="3">
                  <c:v>0.92307791718749255</c:v>
                </c:pt>
                <c:pt idx="4">
                  <c:v>0.92307791718749255</c:v>
                </c:pt>
                <c:pt idx="5">
                  <c:v>0.92307791718749255</c:v>
                </c:pt>
                <c:pt idx="6">
                  <c:v>0.92307791718749255</c:v>
                </c:pt>
                <c:pt idx="7">
                  <c:v>0.92307791718749255</c:v>
                </c:pt>
                <c:pt idx="8">
                  <c:v>0.92307791718749255</c:v>
                </c:pt>
                <c:pt idx="9">
                  <c:v>0.92307791718749255</c:v>
                </c:pt>
                <c:pt idx="10">
                  <c:v>0.92307791718749255</c:v>
                </c:pt>
                <c:pt idx="11">
                  <c:v>0.92307791718749255</c:v>
                </c:pt>
                <c:pt idx="12">
                  <c:v>0.92307791718749255</c:v>
                </c:pt>
                <c:pt idx="13">
                  <c:v>0.92307791718749255</c:v>
                </c:pt>
              </c:numCache>
            </c:numRef>
          </c:val>
          <c:smooth val="0"/>
          <c:extLst>
            <c:ext xmlns:c16="http://schemas.microsoft.com/office/drawing/2014/chart" uri="{C3380CC4-5D6E-409C-BE32-E72D297353CC}">
              <c16:uniqueId val="{0000001C-E5DC-4716-9ADE-14B08F20A450}"/>
            </c:ext>
          </c:extLst>
        </c:ser>
        <c:dLbls>
          <c:showLegendKey val="0"/>
          <c:showVal val="0"/>
          <c:showCatName val="0"/>
          <c:showSerName val="0"/>
          <c:showPercent val="0"/>
          <c:showBubbleSize val="0"/>
        </c:dLbls>
        <c:marker val="1"/>
        <c:smooth val="0"/>
        <c:axId val="181316608"/>
        <c:axId val="181207808"/>
      </c:lineChart>
      <c:catAx>
        <c:axId val="181316608"/>
        <c:scaling>
          <c:orientation val="minMax"/>
        </c:scaling>
        <c:delete val="0"/>
        <c:axPos val="b"/>
        <c:numFmt formatCode="General" sourceLinked="1"/>
        <c:majorTickMark val="none"/>
        <c:minorTickMark val="none"/>
        <c:tickLblPos val="nextTo"/>
        <c:crossAx val="181207808"/>
        <c:crosses val="autoZero"/>
        <c:auto val="1"/>
        <c:lblAlgn val="ctr"/>
        <c:lblOffset val="100"/>
        <c:noMultiLvlLbl val="0"/>
      </c:catAx>
      <c:valAx>
        <c:axId val="181207808"/>
        <c:scaling>
          <c:orientation val="minMax"/>
        </c:scaling>
        <c:delete val="0"/>
        <c:axPos val="l"/>
        <c:numFmt formatCode="0.0%" sourceLinked="1"/>
        <c:majorTickMark val="none"/>
        <c:minorTickMark val="none"/>
        <c:tickLblPos val="nextTo"/>
        <c:spPr>
          <a:ln w="9525">
            <a:noFill/>
          </a:ln>
        </c:spPr>
        <c:crossAx val="181316608"/>
        <c:crosses val="autoZero"/>
        <c:crossBetween val="between"/>
      </c:valAx>
    </c:plotArea>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6235377894660671E-2"/>
          <c:y val="1.2626482034573264E-2"/>
          <c:w val="0.94369293525165077"/>
          <c:h val="0.81808156070043481"/>
        </c:manualLayout>
      </c:layout>
      <c:lineChart>
        <c:grouping val="standard"/>
        <c:varyColors val="0"/>
        <c:ser>
          <c:idx val="0"/>
          <c:order val="0"/>
          <c:tx>
            <c:strRef>
              <c:f>Déficit!$D$9</c:f>
              <c:strCache>
                <c:ptCount val="1"/>
                <c:pt idx="0">
                  <c:v>% PIB</c:v>
                </c:pt>
              </c:strCache>
            </c:strRef>
          </c:tx>
          <c:spPr>
            <a:ln w="38100" cap="rnd">
              <a:solidFill>
                <a:schemeClr val="accent1"/>
              </a:solidFill>
              <a:round/>
            </a:ln>
            <a:effectLst>
              <a:softEdge rad="0"/>
            </a:effectLst>
          </c:spPr>
          <c:marker>
            <c:symbol val="none"/>
          </c:marker>
          <c:dLbls>
            <c:dLbl>
              <c:idx val="3"/>
              <c:layout>
                <c:manualLayout>
                  <c:x val="-2.4652388976647614E-2"/>
                  <c:y val="1.4959724861978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6DE-41ED-8081-C06DF28FE80A}"/>
                </c:ext>
              </c:extLst>
            </c:dLbl>
            <c:dLbl>
              <c:idx val="5"/>
              <c:layout>
                <c:manualLayout>
                  <c:x val="-2.0351313222285856E-2"/>
                  <c:y val="1.95574260114036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DE-41ED-8081-C06DF28FE80A}"/>
                </c:ext>
              </c:extLst>
            </c:dLbl>
            <c:dLbl>
              <c:idx val="8"/>
              <c:layout>
                <c:manualLayout>
                  <c:x val="-2.1785005140406471E-2"/>
                  <c:y val="2.6453977735541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6DE-41ED-8081-C06DF28FE80A}"/>
                </c:ext>
              </c:extLst>
            </c:dLbl>
            <c:dLbl>
              <c:idx val="9"/>
              <c:layout>
                <c:manualLayout>
                  <c:x val="-1.318285363168274E-2"/>
                  <c:y val="1.95574260114036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6DE-41ED-8081-C06DF28FE80A}"/>
                </c:ext>
              </c:extLst>
            </c:dLbl>
            <c:dLbl>
              <c:idx val="17"/>
              <c:layout>
                <c:manualLayout>
                  <c:x val="-2.0351313222285804E-2"/>
                  <c:y val="1.72585754366910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6DE-41ED-8081-C06DF28FE80A}"/>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Déficit!$C$10:$C$31</c:f>
              <c:strCach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strCache>
            </c:strRef>
          </c:cat>
          <c:val>
            <c:numRef>
              <c:f>Déficit!$D$10:$D$31</c:f>
              <c:numCache>
                <c:formatCode>#,##0.0_ ;\-#,##0.0\ </c:formatCode>
                <c:ptCount val="22"/>
                <c:pt idx="0">
                  <c:v>1.9789459039553314</c:v>
                </c:pt>
                <c:pt idx="1">
                  <c:v>2.0033102158702203</c:v>
                </c:pt>
                <c:pt idx="2">
                  <c:v>1.0322151828334285</c:v>
                </c:pt>
                <c:pt idx="3">
                  <c:v>2.4686670926874541</c:v>
                </c:pt>
                <c:pt idx="4">
                  <c:v>1.0476146782505353</c:v>
                </c:pt>
                <c:pt idx="5">
                  <c:v>1.6701355408124035</c:v>
                </c:pt>
                <c:pt idx="6">
                  <c:v>1.8785223492837744</c:v>
                </c:pt>
                <c:pt idx="7">
                  <c:v>1.4030305919123602</c:v>
                </c:pt>
                <c:pt idx="8">
                  <c:v>1.5698022649410492</c:v>
                </c:pt>
                <c:pt idx="9">
                  <c:v>3.1200943531641498</c:v>
                </c:pt>
                <c:pt idx="10">
                  <c:v>3.2773081046877532</c:v>
                </c:pt>
                <c:pt idx="11">
                  <c:v>2.8041566240577911</c:v>
                </c:pt>
                <c:pt idx="12">
                  <c:v>2.4162115429175528</c:v>
                </c:pt>
                <c:pt idx="13">
                  <c:v>2.1638208167817825</c:v>
                </c:pt>
                <c:pt idx="14">
                  <c:v>1.9212819848946259</c:v>
                </c:pt>
                <c:pt idx="15">
                  <c:v>1.4720918689385398</c:v>
                </c:pt>
                <c:pt idx="16">
                  <c:v>1.1100889548581254</c:v>
                </c:pt>
                <c:pt idx="17">
                  <c:v>1.3849889282705481</c:v>
                </c:pt>
                <c:pt idx="18">
                  <c:v>1.8859233801356057</c:v>
                </c:pt>
                <c:pt idx="19">
                  <c:v>2.2495064776907974</c:v>
                </c:pt>
                <c:pt idx="20">
                  <c:v>4.9000000000000004</c:v>
                </c:pt>
                <c:pt idx="21">
                  <c:v>1.2</c:v>
                </c:pt>
              </c:numCache>
            </c:numRef>
          </c:val>
          <c:smooth val="0"/>
          <c:extLst>
            <c:ext xmlns:c16="http://schemas.microsoft.com/office/drawing/2014/chart" uri="{C3380CC4-5D6E-409C-BE32-E72D297353CC}">
              <c16:uniqueId val="{00000005-46DE-41ED-8081-C06DF28FE80A}"/>
            </c:ext>
          </c:extLst>
        </c:ser>
        <c:ser>
          <c:idx val="1"/>
          <c:order val="1"/>
          <c:tx>
            <c:strRef>
              <c:f>Déficit!$E$9</c:f>
              <c:strCache>
                <c:ptCount val="1"/>
                <c:pt idx="0">
                  <c:v>Promedio</c:v>
                </c:pt>
              </c:strCache>
            </c:strRef>
          </c:tx>
          <c:spPr>
            <a:ln w="34925" cap="rnd">
              <a:solidFill>
                <a:srgbClr val="FF0000"/>
              </a:solidFill>
              <a:round/>
            </a:ln>
            <a:effectLst/>
          </c:spPr>
          <c:marker>
            <c:symbol val="none"/>
          </c:marker>
          <c:cat>
            <c:strRef>
              <c:f>Déficit!$C$10:$C$31</c:f>
              <c:strCach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strCache>
            </c:strRef>
          </c:cat>
          <c:val>
            <c:numRef>
              <c:f>Déficit!$E$10:$E$31</c:f>
              <c:numCache>
                <c:formatCode>#,##0.0_ ;\-#,##0.0\ </c:formatCode>
                <c:ptCount val="22"/>
                <c:pt idx="0">
                  <c:v>2</c:v>
                </c:pt>
                <c:pt idx="1">
                  <c:v>2</c:v>
                </c:pt>
                <c:pt idx="2">
                  <c:v>2</c:v>
                </c:pt>
                <c:pt idx="3">
                  <c:v>2</c:v>
                </c:pt>
                <c:pt idx="4">
                  <c:v>2</c:v>
                </c:pt>
                <c:pt idx="5">
                  <c:v>2</c:v>
                </c:pt>
                <c:pt idx="6">
                  <c:v>2</c:v>
                </c:pt>
                <c:pt idx="7">
                  <c:v>2</c:v>
                </c:pt>
                <c:pt idx="8">
                  <c:v>2</c:v>
                </c:pt>
                <c:pt idx="9">
                  <c:v>2</c:v>
                </c:pt>
                <c:pt idx="10">
                  <c:v>2</c:v>
                </c:pt>
                <c:pt idx="11">
                  <c:v>2</c:v>
                </c:pt>
                <c:pt idx="12">
                  <c:v>2</c:v>
                </c:pt>
                <c:pt idx="13">
                  <c:v>2</c:v>
                </c:pt>
                <c:pt idx="14">
                  <c:v>2</c:v>
                </c:pt>
                <c:pt idx="15">
                  <c:v>2</c:v>
                </c:pt>
                <c:pt idx="16">
                  <c:v>2</c:v>
                </c:pt>
                <c:pt idx="17">
                  <c:v>2</c:v>
                </c:pt>
                <c:pt idx="18">
                  <c:v>2</c:v>
                </c:pt>
                <c:pt idx="19">
                  <c:v>2</c:v>
                </c:pt>
                <c:pt idx="20">
                  <c:v>2</c:v>
                </c:pt>
                <c:pt idx="21">
                  <c:v>2</c:v>
                </c:pt>
              </c:numCache>
            </c:numRef>
          </c:val>
          <c:smooth val="0"/>
          <c:extLst>
            <c:ext xmlns:c16="http://schemas.microsoft.com/office/drawing/2014/chart" uri="{C3380CC4-5D6E-409C-BE32-E72D297353CC}">
              <c16:uniqueId val="{00000006-46DE-41ED-8081-C06DF28FE80A}"/>
            </c:ext>
          </c:extLst>
        </c:ser>
        <c:dLbls>
          <c:showLegendKey val="0"/>
          <c:showVal val="0"/>
          <c:showCatName val="0"/>
          <c:showSerName val="0"/>
          <c:showPercent val="0"/>
          <c:showBubbleSize val="0"/>
        </c:dLbls>
        <c:smooth val="0"/>
        <c:axId val="175106304"/>
        <c:axId val="181796864"/>
      </c:lineChart>
      <c:catAx>
        <c:axId val="175106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GT"/>
          </a:p>
        </c:txPr>
        <c:crossAx val="181796864"/>
        <c:crosses val="autoZero"/>
        <c:auto val="1"/>
        <c:lblAlgn val="ctr"/>
        <c:lblOffset val="100"/>
        <c:noMultiLvlLbl val="0"/>
      </c:catAx>
      <c:valAx>
        <c:axId val="181796864"/>
        <c:scaling>
          <c:orientation val="minMax"/>
        </c:scaling>
        <c:delete val="0"/>
        <c:axPos val="l"/>
        <c:numFmt formatCode="#,##0.0_ ;\-#,##0.0\ "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GT"/>
          </a:p>
        </c:txPr>
        <c:crossAx val="175106304"/>
        <c:crosses val="autoZero"/>
        <c:crossBetween val="between"/>
      </c:valAx>
      <c:spPr>
        <a:noFill/>
        <a:ln>
          <a:noFill/>
        </a:ln>
        <a:effectLst/>
      </c:spPr>
    </c:plotArea>
    <c:legend>
      <c:legendPos val="b"/>
      <c:layout>
        <c:manualLayout>
          <c:xMode val="edge"/>
          <c:yMode val="edge"/>
          <c:x val="0.26284131114649573"/>
          <c:y val="0.92845880832060168"/>
          <c:w val="0.48865413469411395"/>
          <c:h val="6.9215497316566788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013940474421839E-2"/>
          <c:y val="4.1198501872659173E-2"/>
          <c:w val="0.90453553285472732"/>
          <c:h val="0.91571647645167953"/>
        </c:manualLayout>
      </c:layout>
      <c:lineChart>
        <c:grouping val="standard"/>
        <c:varyColors val="0"/>
        <c:ser>
          <c:idx val="0"/>
          <c:order val="0"/>
          <c:tx>
            <c:strRef>
              <c:f>ICAE!$B$3</c:f>
              <c:strCache>
                <c:ptCount val="1"/>
              </c:strCache>
            </c:strRef>
          </c:tx>
          <c:marker>
            <c:symbol val="diamond"/>
            <c:size val="5"/>
          </c:marker>
          <c:dLbls>
            <c:dLbl>
              <c:idx val="71"/>
              <c:layout>
                <c:manualLayout>
                  <c:x val="0"/>
                  <c:y val="-2.21043324491600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C3A-47CF-AE41-132852825FF4}"/>
                </c:ext>
              </c:extLst>
            </c:dLbl>
            <c:spPr>
              <a:noFill/>
              <a:ln>
                <a:noFill/>
              </a:ln>
              <a:effectLst/>
            </c:spPr>
            <c:txPr>
              <a:bodyPr wrap="square" lIns="38100" tIns="19050" rIns="38100" bIns="19050" anchor="ctr">
                <a:spAutoFit/>
              </a:bodyPr>
              <a:lstStyle/>
              <a:p>
                <a:pPr>
                  <a:defRPr sz="700" b="1"/>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ICAE!$A$16:$A$87</c:f>
              <c:numCache>
                <c:formatCode>mmm\-yy</c:formatCode>
                <c:ptCount val="72"/>
                <c:pt idx="0">
                  <c:v>42370</c:v>
                </c:pt>
                <c:pt idx="1">
                  <c:v>42401</c:v>
                </c:pt>
                <c:pt idx="2">
                  <c:v>42430</c:v>
                </c:pt>
                <c:pt idx="3">
                  <c:v>42461</c:v>
                </c:pt>
                <c:pt idx="4">
                  <c:v>42491</c:v>
                </c:pt>
                <c:pt idx="5">
                  <c:v>42522</c:v>
                </c:pt>
                <c:pt idx="6">
                  <c:v>42552</c:v>
                </c:pt>
                <c:pt idx="7">
                  <c:v>42583</c:v>
                </c:pt>
                <c:pt idx="8">
                  <c:v>42614</c:v>
                </c:pt>
                <c:pt idx="9">
                  <c:v>42644</c:v>
                </c:pt>
                <c:pt idx="10">
                  <c:v>42675</c:v>
                </c:pt>
                <c:pt idx="11">
                  <c:v>42705</c:v>
                </c:pt>
                <c:pt idx="12">
                  <c:v>42736</c:v>
                </c:pt>
                <c:pt idx="13">
                  <c:v>42767</c:v>
                </c:pt>
                <c:pt idx="14">
                  <c:v>42795</c:v>
                </c:pt>
                <c:pt idx="15">
                  <c:v>42826</c:v>
                </c:pt>
                <c:pt idx="16">
                  <c:v>42856</c:v>
                </c:pt>
                <c:pt idx="17">
                  <c:v>42887</c:v>
                </c:pt>
                <c:pt idx="18">
                  <c:v>42917</c:v>
                </c:pt>
                <c:pt idx="19">
                  <c:v>42948</c:v>
                </c:pt>
                <c:pt idx="20">
                  <c:v>42979</c:v>
                </c:pt>
                <c:pt idx="21">
                  <c:v>43009</c:v>
                </c:pt>
                <c:pt idx="22">
                  <c:v>43040</c:v>
                </c:pt>
                <c:pt idx="23">
                  <c:v>43070</c:v>
                </c:pt>
                <c:pt idx="24">
                  <c:v>43101</c:v>
                </c:pt>
                <c:pt idx="25">
                  <c:v>43132</c:v>
                </c:pt>
                <c:pt idx="26">
                  <c:v>43160</c:v>
                </c:pt>
                <c:pt idx="27">
                  <c:v>43191</c:v>
                </c:pt>
                <c:pt idx="28">
                  <c:v>43221</c:v>
                </c:pt>
                <c:pt idx="29">
                  <c:v>43252</c:v>
                </c:pt>
                <c:pt idx="30">
                  <c:v>43282</c:v>
                </c:pt>
                <c:pt idx="31">
                  <c:v>43313</c:v>
                </c:pt>
                <c:pt idx="32">
                  <c:v>43344</c:v>
                </c:pt>
                <c:pt idx="33">
                  <c:v>43374</c:v>
                </c:pt>
                <c:pt idx="34">
                  <c:v>43405</c:v>
                </c:pt>
                <c:pt idx="35">
                  <c:v>43435</c:v>
                </c:pt>
                <c:pt idx="36">
                  <c:v>43466</c:v>
                </c:pt>
                <c:pt idx="37">
                  <c:v>43497</c:v>
                </c:pt>
                <c:pt idx="38">
                  <c:v>43525</c:v>
                </c:pt>
                <c:pt idx="39">
                  <c:v>43556</c:v>
                </c:pt>
                <c:pt idx="40">
                  <c:v>43586</c:v>
                </c:pt>
                <c:pt idx="41">
                  <c:v>43617</c:v>
                </c:pt>
                <c:pt idx="42">
                  <c:v>43647</c:v>
                </c:pt>
                <c:pt idx="43">
                  <c:v>43678</c:v>
                </c:pt>
                <c:pt idx="44">
                  <c:v>43709</c:v>
                </c:pt>
                <c:pt idx="45">
                  <c:v>43739</c:v>
                </c:pt>
                <c:pt idx="46">
                  <c:v>43770</c:v>
                </c:pt>
                <c:pt idx="47">
                  <c:v>43800</c:v>
                </c:pt>
                <c:pt idx="48">
                  <c:v>43831</c:v>
                </c:pt>
                <c:pt idx="49">
                  <c:v>43862</c:v>
                </c:pt>
                <c:pt idx="50">
                  <c:v>43891</c:v>
                </c:pt>
                <c:pt idx="51">
                  <c:v>43922</c:v>
                </c:pt>
                <c:pt idx="52">
                  <c:v>43952</c:v>
                </c:pt>
                <c:pt idx="53">
                  <c:v>43983</c:v>
                </c:pt>
                <c:pt idx="54">
                  <c:v>44013</c:v>
                </c:pt>
                <c:pt idx="55">
                  <c:v>44044</c:v>
                </c:pt>
                <c:pt idx="56">
                  <c:v>44075</c:v>
                </c:pt>
                <c:pt idx="57">
                  <c:v>44105</c:v>
                </c:pt>
                <c:pt idx="58">
                  <c:v>44136</c:v>
                </c:pt>
                <c:pt idx="59">
                  <c:v>44166</c:v>
                </c:pt>
                <c:pt idx="60">
                  <c:v>44197</c:v>
                </c:pt>
                <c:pt idx="61">
                  <c:v>44228</c:v>
                </c:pt>
                <c:pt idx="62">
                  <c:v>44256</c:v>
                </c:pt>
                <c:pt idx="63">
                  <c:v>44287</c:v>
                </c:pt>
                <c:pt idx="64">
                  <c:v>44317</c:v>
                </c:pt>
                <c:pt idx="65">
                  <c:v>44348</c:v>
                </c:pt>
                <c:pt idx="66">
                  <c:v>44378</c:v>
                </c:pt>
                <c:pt idx="67">
                  <c:v>44409</c:v>
                </c:pt>
                <c:pt idx="68">
                  <c:v>44440</c:v>
                </c:pt>
                <c:pt idx="69">
                  <c:v>44470</c:v>
                </c:pt>
                <c:pt idx="70">
                  <c:v>44501</c:v>
                </c:pt>
                <c:pt idx="71">
                  <c:v>44531</c:v>
                </c:pt>
              </c:numCache>
            </c:numRef>
          </c:cat>
          <c:val>
            <c:numRef>
              <c:f>ICAE!$B$16:$B$87</c:f>
              <c:numCache>
                <c:formatCode>0.0</c:formatCode>
                <c:ptCount val="72"/>
                <c:pt idx="0">
                  <c:v>67</c:v>
                </c:pt>
                <c:pt idx="1">
                  <c:v>60.7</c:v>
                </c:pt>
                <c:pt idx="2">
                  <c:v>61.5</c:v>
                </c:pt>
                <c:pt idx="3">
                  <c:v>62.5</c:v>
                </c:pt>
                <c:pt idx="4">
                  <c:v>61.7</c:v>
                </c:pt>
                <c:pt idx="5">
                  <c:v>50.9</c:v>
                </c:pt>
                <c:pt idx="6">
                  <c:v>45</c:v>
                </c:pt>
                <c:pt idx="7">
                  <c:v>37.5</c:v>
                </c:pt>
                <c:pt idx="8">
                  <c:v>38.9</c:v>
                </c:pt>
                <c:pt idx="9">
                  <c:v>45.1</c:v>
                </c:pt>
                <c:pt idx="10">
                  <c:v>43.5</c:v>
                </c:pt>
                <c:pt idx="11">
                  <c:v>57</c:v>
                </c:pt>
                <c:pt idx="12">
                  <c:v>58.04</c:v>
                </c:pt>
                <c:pt idx="13">
                  <c:v>55</c:v>
                </c:pt>
                <c:pt idx="14">
                  <c:v>50</c:v>
                </c:pt>
                <c:pt idx="15">
                  <c:v>54.17</c:v>
                </c:pt>
                <c:pt idx="16">
                  <c:v>53.58</c:v>
                </c:pt>
                <c:pt idx="17">
                  <c:v>50</c:v>
                </c:pt>
                <c:pt idx="18">
                  <c:v>46.67</c:v>
                </c:pt>
                <c:pt idx="19">
                  <c:v>44.45</c:v>
                </c:pt>
                <c:pt idx="20">
                  <c:v>25</c:v>
                </c:pt>
                <c:pt idx="21">
                  <c:v>20.84</c:v>
                </c:pt>
                <c:pt idx="22">
                  <c:v>30.15</c:v>
                </c:pt>
                <c:pt idx="23">
                  <c:v>33.340000000000003</c:v>
                </c:pt>
                <c:pt idx="24" formatCode="General">
                  <c:v>49.22</c:v>
                </c:pt>
                <c:pt idx="25" formatCode="General">
                  <c:v>46.83</c:v>
                </c:pt>
                <c:pt idx="26" formatCode="General">
                  <c:v>47.31</c:v>
                </c:pt>
                <c:pt idx="27" formatCode="General">
                  <c:v>42.88</c:v>
                </c:pt>
                <c:pt idx="28" formatCode="General">
                  <c:v>41.25</c:v>
                </c:pt>
                <c:pt idx="29" formatCode="General">
                  <c:v>44.28</c:v>
                </c:pt>
                <c:pt idx="30" formatCode="General">
                  <c:v>39.58</c:v>
                </c:pt>
                <c:pt idx="31" formatCode="General">
                  <c:v>44.17</c:v>
                </c:pt>
                <c:pt idx="32" formatCode="General">
                  <c:v>44</c:v>
                </c:pt>
                <c:pt idx="33" formatCode="General">
                  <c:v>44.82</c:v>
                </c:pt>
                <c:pt idx="34" formatCode="General">
                  <c:v>45.27</c:v>
                </c:pt>
                <c:pt idx="35" formatCode="General">
                  <c:v>48.81</c:v>
                </c:pt>
                <c:pt idx="36" formatCode="General">
                  <c:v>47.76</c:v>
                </c:pt>
                <c:pt idx="37" formatCode="General">
                  <c:v>43.29</c:v>
                </c:pt>
                <c:pt idx="38" formatCode="General">
                  <c:v>44.58</c:v>
                </c:pt>
                <c:pt idx="39" formatCode="General">
                  <c:v>44.61</c:v>
                </c:pt>
                <c:pt idx="40" formatCode="General">
                  <c:v>46.96</c:v>
                </c:pt>
                <c:pt idx="41" formatCode="General">
                  <c:v>37.520000000000003</c:v>
                </c:pt>
                <c:pt idx="42" formatCode="General">
                  <c:v>42.5</c:v>
                </c:pt>
                <c:pt idx="43" formatCode="General">
                  <c:v>46.7</c:v>
                </c:pt>
                <c:pt idx="44" formatCode="General">
                  <c:v>47.08</c:v>
                </c:pt>
                <c:pt idx="45" formatCode="General">
                  <c:v>52.92</c:v>
                </c:pt>
                <c:pt idx="46" formatCode="General">
                  <c:v>58.16</c:v>
                </c:pt>
                <c:pt idx="47" formatCode="General">
                  <c:v>59.27</c:v>
                </c:pt>
                <c:pt idx="48" formatCode="General">
                  <c:v>66.5</c:v>
                </c:pt>
                <c:pt idx="49" formatCode="General">
                  <c:v>71.069999999999993</c:v>
                </c:pt>
                <c:pt idx="50" formatCode="General">
                  <c:v>57.52</c:v>
                </c:pt>
                <c:pt idx="51" formatCode="General">
                  <c:v>32.64</c:v>
                </c:pt>
                <c:pt idx="52" formatCode="General">
                  <c:v>38.840000000000003</c:v>
                </c:pt>
                <c:pt idx="53" formatCode="General">
                  <c:v>36.4</c:v>
                </c:pt>
                <c:pt idx="54" formatCode="General">
                  <c:v>38.68</c:v>
                </c:pt>
                <c:pt idx="55" formatCode="General">
                  <c:v>47.88</c:v>
                </c:pt>
                <c:pt idx="56" formatCode="General">
                  <c:v>53.38</c:v>
                </c:pt>
                <c:pt idx="57" formatCode="General">
                  <c:v>52.24</c:v>
                </c:pt>
                <c:pt idx="58" formatCode="General">
                  <c:v>49.03</c:v>
                </c:pt>
                <c:pt idx="59" formatCode="General">
                  <c:v>49.84</c:v>
                </c:pt>
                <c:pt idx="60" formatCode="General">
                  <c:v>51.18</c:v>
                </c:pt>
                <c:pt idx="61" formatCode="General">
                  <c:v>57.19</c:v>
                </c:pt>
                <c:pt idx="62" formatCode="General">
                  <c:v>57.4</c:v>
                </c:pt>
                <c:pt idx="63" formatCode="General">
                  <c:v>72.760000000000005</c:v>
                </c:pt>
                <c:pt idx="64" formatCode="General">
                  <c:v>73.52</c:v>
                </c:pt>
                <c:pt idx="65" formatCode="General">
                  <c:v>76.069999999999993</c:v>
                </c:pt>
                <c:pt idx="66" formatCode="General">
                  <c:v>70.36</c:v>
                </c:pt>
                <c:pt idx="67" formatCode="General">
                  <c:v>69.349999999999994</c:v>
                </c:pt>
                <c:pt idx="68" formatCode="General">
                  <c:v>69.89</c:v>
                </c:pt>
                <c:pt idx="69" formatCode="General">
                  <c:v>69.739999999999995</c:v>
                </c:pt>
                <c:pt idx="70" formatCode="General">
                  <c:v>78.010000000000005</c:v>
                </c:pt>
                <c:pt idx="71" formatCode="General">
                  <c:v>78.75</c:v>
                </c:pt>
              </c:numCache>
            </c:numRef>
          </c:val>
          <c:smooth val="0"/>
          <c:extLst>
            <c:ext xmlns:c16="http://schemas.microsoft.com/office/drawing/2014/chart" uri="{C3380CC4-5D6E-409C-BE32-E72D297353CC}">
              <c16:uniqueId val="{00000001-DC3A-47CF-AE41-132852825FF4}"/>
            </c:ext>
          </c:extLst>
        </c:ser>
        <c:ser>
          <c:idx val="1"/>
          <c:order val="1"/>
          <c:tx>
            <c:strRef>
              <c:f>ICAE!$C$3</c:f>
              <c:strCache>
                <c:ptCount val="1"/>
              </c:strCache>
            </c:strRef>
          </c:tx>
          <c:marker>
            <c:symbol val="none"/>
          </c:marker>
          <c:dLbls>
            <c:dLbl>
              <c:idx val="35"/>
              <c:layout>
                <c:manualLayout>
                  <c:x val="0.41531201166045689"/>
                  <c:y val="-3.4819913538369121E-2"/>
                </c:manualLayout>
              </c:layout>
              <c:tx>
                <c:rich>
                  <a:bodyPr/>
                  <a:lstStyle/>
                  <a:p>
                    <a:fld id="{77CB3FF0-EEB5-4F1D-B0B3-37B2750C3B74}" type="VALUE">
                      <a:rPr lang="en-US"/>
                      <a:pPr/>
                      <a:t>[VALOR]</a:t>
                    </a:fld>
                    <a:r>
                      <a:rPr lang="en-US"/>
                      <a:t>.00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DC3A-47CF-AE41-132852825FF4}"/>
                </c:ext>
              </c:extLst>
            </c:dLbl>
            <c:dLbl>
              <c:idx val="59"/>
              <c:layout>
                <c:manualLayout>
                  <c:x val="0"/>
                  <c:y val="3.978779840848802E-2"/>
                </c:manualLayout>
              </c:layout>
              <c:tx>
                <c:rich>
                  <a:bodyPr/>
                  <a:lstStyle/>
                  <a:p>
                    <a:r>
                      <a:rPr lang="en-US"/>
                      <a:t>49.84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C3A-47CF-AE41-132852825FF4}"/>
                </c:ext>
              </c:extLst>
            </c:dLbl>
            <c:spPr>
              <a:noFill/>
              <a:ln>
                <a:noFill/>
              </a:ln>
              <a:effectLst/>
            </c:spPr>
            <c:txPr>
              <a:bodyPr wrap="square" lIns="38100" tIns="19050" rIns="38100" bIns="19050" anchor="ctr">
                <a:spAutoFit/>
              </a:bodyPr>
              <a:lstStyle/>
              <a:p>
                <a:pPr>
                  <a:defRPr sz="700" b="1"/>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ICAE!$A$16:$A$87</c:f>
              <c:numCache>
                <c:formatCode>mmm\-yy</c:formatCode>
                <c:ptCount val="72"/>
                <c:pt idx="0">
                  <c:v>42370</c:v>
                </c:pt>
                <c:pt idx="1">
                  <c:v>42401</c:v>
                </c:pt>
                <c:pt idx="2">
                  <c:v>42430</c:v>
                </c:pt>
                <c:pt idx="3">
                  <c:v>42461</c:v>
                </c:pt>
                <c:pt idx="4">
                  <c:v>42491</c:v>
                </c:pt>
                <c:pt idx="5">
                  <c:v>42522</c:v>
                </c:pt>
                <c:pt idx="6">
                  <c:v>42552</c:v>
                </c:pt>
                <c:pt idx="7">
                  <c:v>42583</c:v>
                </c:pt>
                <c:pt idx="8">
                  <c:v>42614</c:v>
                </c:pt>
                <c:pt idx="9">
                  <c:v>42644</c:v>
                </c:pt>
                <c:pt idx="10">
                  <c:v>42675</c:v>
                </c:pt>
                <c:pt idx="11">
                  <c:v>42705</c:v>
                </c:pt>
                <c:pt idx="12">
                  <c:v>42736</c:v>
                </c:pt>
                <c:pt idx="13">
                  <c:v>42767</c:v>
                </c:pt>
                <c:pt idx="14">
                  <c:v>42795</c:v>
                </c:pt>
                <c:pt idx="15">
                  <c:v>42826</c:v>
                </c:pt>
                <c:pt idx="16">
                  <c:v>42856</c:v>
                </c:pt>
                <c:pt idx="17">
                  <c:v>42887</c:v>
                </c:pt>
                <c:pt idx="18">
                  <c:v>42917</c:v>
                </c:pt>
                <c:pt idx="19">
                  <c:v>42948</c:v>
                </c:pt>
                <c:pt idx="20">
                  <c:v>42979</c:v>
                </c:pt>
                <c:pt idx="21">
                  <c:v>43009</c:v>
                </c:pt>
                <c:pt idx="22">
                  <c:v>43040</c:v>
                </c:pt>
                <c:pt idx="23">
                  <c:v>43070</c:v>
                </c:pt>
                <c:pt idx="24">
                  <c:v>43101</c:v>
                </c:pt>
                <c:pt idx="25">
                  <c:v>43132</c:v>
                </c:pt>
                <c:pt idx="26">
                  <c:v>43160</c:v>
                </c:pt>
                <c:pt idx="27">
                  <c:v>43191</c:v>
                </c:pt>
                <c:pt idx="28">
                  <c:v>43221</c:v>
                </c:pt>
                <c:pt idx="29">
                  <c:v>43252</c:v>
                </c:pt>
                <c:pt idx="30">
                  <c:v>43282</c:v>
                </c:pt>
                <c:pt idx="31">
                  <c:v>43313</c:v>
                </c:pt>
                <c:pt idx="32">
                  <c:v>43344</c:v>
                </c:pt>
                <c:pt idx="33">
                  <c:v>43374</c:v>
                </c:pt>
                <c:pt idx="34">
                  <c:v>43405</c:v>
                </c:pt>
                <c:pt idx="35">
                  <c:v>43435</c:v>
                </c:pt>
                <c:pt idx="36">
                  <c:v>43466</c:v>
                </c:pt>
                <c:pt idx="37">
                  <c:v>43497</c:v>
                </c:pt>
                <c:pt idx="38">
                  <c:v>43525</c:v>
                </c:pt>
                <c:pt idx="39">
                  <c:v>43556</c:v>
                </c:pt>
                <c:pt idx="40">
                  <c:v>43586</c:v>
                </c:pt>
                <c:pt idx="41">
                  <c:v>43617</c:v>
                </c:pt>
                <c:pt idx="42">
                  <c:v>43647</c:v>
                </c:pt>
                <c:pt idx="43">
                  <c:v>43678</c:v>
                </c:pt>
                <c:pt idx="44">
                  <c:v>43709</c:v>
                </c:pt>
                <c:pt idx="45">
                  <c:v>43739</c:v>
                </c:pt>
                <c:pt idx="46">
                  <c:v>43770</c:v>
                </c:pt>
                <c:pt idx="47">
                  <c:v>43800</c:v>
                </c:pt>
                <c:pt idx="48">
                  <c:v>43831</c:v>
                </c:pt>
                <c:pt idx="49">
                  <c:v>43862</c:v>
                </c:pt>
                <c:pt idx="50">
                  <c:v>43891</c:v>
                </c:pt>
                <c:pt idx="51">
                  <c:v>43922</c:v>
                </c:pt>
                <c:pt idx="52">
                  <c:v>43952</c:v>
                </c:pt>
                <c:pt idx="53">
                  <c:v>43983</c:v>
                </c:pt>
                <c:pt idx="54">
                  <c:v>44013</c:v>
                </c:pt>
                <c:pt idx="55">
                  <c:v>44044</c:v>
                </c:pt>
                <c:pt idx="56">
                  <c:v>44075</c:v>
                </c:pt>
                <c:pt idx="57">
                  <c:v>44105</c:v>
                </c:pt>
                <c:pt idx="58">
                  <c:v>44136</c:v>
                </c:pt>
                <c:pt idx="59">
                  <c:v>44166</c:v>
                </c:pt>
                <c:pt idx="60">
                  <c:v>44197</c:v>
                </c:pt>
                <c:pt idx="61">
                  <c:v>44228</c:v>
                </c:pt>
                <c:pt idx="62">
                  <c:v>44256</c:v>
                </c:pt>
                <c:pt idx="63">
                  <c:v>44287</c:v>
                </c:pt>
                <c:pt idx="64">
                  <c:v>44317</c:v>
                </c:pt>
                <c:pt idx="65">
                  <c:v>44348</c:v>
                </c:pt>
                <c:pt idx="66">
                  <c:v>44378</c:v>
                </c:pt>
                <c:pt idx="67">
                  <c:v>44409</c:v>
                </c:pt>
                <c:pt idx="68">
                  <c:v>44440</c:v>
                </c:pt>
                <c:pt idx="69">
                  <c:v>44470</c:v>
                </c:pt>
                <c:pt idx="70">
                  <c:v>44501</c:v>
                </c:pt>
                <c:pt idx="71">
                  <c:v>44531</c:v>
                </c:pt>
              </c:numCache>
            </c:numRef>
          </c:cat>
          <c:val>
            <c:numRef>
              <c:f>ICAE!$C$4:$C$75</c:f>
              <c:numCache>
                <c:formatCode>General</c:formatCode>
                <c:ptCount val="72"/>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numCache>
            </c:numRef>
          </c:val>
          <c:smooth val="0"/>
          <c:extLst>
            <c:ext xmlns:c16="http://schemas.microsoft.com/office/drawing/2014/chart" uri="{C3380CC4-5D6E-409C-BE32-E72D297353CC}">
              <c16:uniqueId val="{00000004-DC3A-47CF-AE41-132852825FF4}"/>
            </c:ext>
          </c:extLst>
        </c:ser>
        <c:dLbls>
          <c:showLegendKey val="0"/>
          <c:showVal val="0"/>
          <c:showCatName val="0"/>
          <c:showSerName val="0"/>
          <c:showPercent val="0"/>
          <c:showBubbleSize val="0"/>
        </c:dLbls>
        <c:marker val="1"/>
        <c:smooth val="0"/>
        <c:axId val="165291136"/>
        <c:axId val="165292672"/>
      </c:lineChart>
      <c:dateAx>
        <c:axId val="165291136"/>
        <c:scaling>
          <c:orientation val="minMax"/>
        </c:scaling>
        <c:delete val="0"/>
        <c:axPos val="b"/>
        <c:numFmt formatCode="mmm\-yy" sourceLinked="1"/>
        <c:majorTickMark val="out"/>
        <c:minorTickMark val="none"/>
        <c:tickLblPos val="nextTo"/>
        <c:txPr>
          <a:bodyPr rot="-5400000" vert="horz"/>
          <a:lstStyle/>
          <a:p>
            <a:pPr>
              <a:defRPr/>
            </a:pPr>
            <a:endParaRPr lang="es-GT"/>
          </a:p>
        </c:txPr>
        <c:crossAx val="165292672"/>
        <c:crosses val="autoZero"/>
        <c:auto val="1"/>
        <c:lblOffset val="100"/>
        <c:baseTimeUnit val="months"/>
      </c:dateAx>
      <c:valAx>
        <c:axId val="165292672"/>
        <c:scaling>
          <c:orientation val="minMax"/>
          <c:max val="80"/>
          <c:min val="0"/>
        </c:scaling>
        <c:delete val="0"/>
        <c:axPos val="l"/>
        <c:numFmt formatCode="0.0" sourceLinked="1"/>
        <c:majorTickMark val="out"/>
        <c:minorTickMark val="none"/>
        <c:tickLblPos val="nextTo"/>
        <c:crossAx val="165291136"/>
        <c:crosses val="autoZero"/>
        <c:crossBetween val="between"/>
        <c:majorUnit val="10"/>
      </c:valAx>
    </c:plotArea>
    <c:plotVisOnly val="1"/>
    <c:dispBlanksAs val="gap"/>
    <c:showDLblsOverMax val="0"/>
  </c:chart>
  <c:spPr>
    <a:ln>
      <a:noFill/>
    </a:ln>
  </c:spPr>
  <c:txPr>
    <a:bodyPr/>
    <a:lstStyle/>
    <a:p>
      <a:pPr algn="just">
        <a:defRPr sz="800">
          <a:latin typeface="Times New Roman" pitchFamily="18" charset="0"/>
          <a:cs typeface="Times New Roman" pitchFamily="18" charset="0"/>
        </a:defRPr>
      </a:pPr>
      <a:endParaRPr lang="es-GT"/>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726534364545369E-2"/>
          <c:y val="2.9197947889649887E-2"/>
          <c:w val="0.89947366995693034"/>
          <c:h val="0.81214755649470183"/>
        </c:manualLayout>
      </c:layout>
      <c:lineChart>
        <c:grouping val="standard"/>
        <c:varyColors val="0"/>
        <c:ser>
          <c:idx val="0"/>
          <c:order val="0"/>
          <c:tx>
            <c:strRef>
              <c:f>'Inflación '!$D$31</c:f>
              <c:strCache>
                <c:ptCount val="1"/>
                <c:pt idx="0">
                  <c:v>Inflación Total </c:v>
                </c:pt>
              </c:strCache>
            </c:strRef>
          </c:tx>
          <c:spPr>
            <a:ln w="19050">
              <a:solidFill>
                <a:srgbClr val="002060"/>
              </a:solidFill>
            </a:ln>
          </c:spPr>
          <c:marker>
            <c:symbol val="diamond"/>
            <c:size val="3"/>
            <c:spPr>
              <a:solidFill>
                <a:srgbClr val="002060"/>
              </a:solidFill>
            </c:spPr>
          </c:marker>
          <c:dPt>
            <c:idx val="71"/>
            <c:marker>
              <c:spPr>
                <a:solidFill>
                  <a:srgbClr val="002060"/>
                </a:solidFill>
                <a:ln w="3175"/>
              </c:spPr>
            </c:marker>
            <c:bubble3D val="0"/>
            <c:extLst>
              <c:ext xmlns:c16="http://schemas.microsoft.com/office/drawing/2014/chart" uri="{C3380CC4-5D6E-409C-BE32-E72D297353CC}">
                <c16:uniqueId val="{00000000-27A3-477E-BCB9-4C0F859A1F50}"/>
              </c:ext>
            </c:extLst>
          </c:dPt>
          <c:cat>
            <c:numRef>
              <c:f>'Inflación '!$A$32:$A$151</c:f>
              <c:numCache>
                <c:formatCode>mmm\-yy</c:formatCode>
                <c:ptCount val="120"/>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pt idx="102">
                  <c:v>44013</c:v>
                </c:pt>
                <c:pt idx="103">
                  <c:v>44044</c:v>
                </c:pt>
                <c:pt idx="104">
                  <c:v>44075</c:v>
                </c:pt>
                <c:pt idx="105">
                  <c:v>44105</c:v>
                </c:pt>
                <c:pt idx="106">
                  <c:v>44136</c:v>
                </c:pt>
                <c:pt idx="107">
                  <c:v>44166</c:v>
                </c:pt>
                <c:pt idx="108">
                  <c:v>44197</c:v>
                </c:pt>
                <c:pt idx="109">
                  <c:v>44228</c:v>
                </c:pt>
                <c:pt idx="110">
                  <c:v>44256</c:v>
                </c:pt>
                <c:pt idx="111">
                  <c:v>44287</c:v>
                </c:pt>
                <c:pt idx="112">
                  <c:v>44317</c:v>
                </c:pt>
                <c:pt idx="113">
                  <c:v>44348</c:v>
                </c:pt>
                <c:pt idx="114">
                  <c:v>44378</c:v>
                </c:pt>
                <c:pt idx="115">
                  <c:v>44409</c:v>
                </c:pt>
                <c:pt idx="116">
                  <c:v>44440</c:v>
                </c:pt>
                <c:pt idx="117">
                  <c:v>44470</c:v>
                </c:pt>
                <c:pt idx="118">
                  <c:v>44501</c:v>
                </c:pt>
                <c:pt idx="119">
                  <c:v>44531</c:v>
                </c:pt>
              </c:numCache>
            </c:numRef>
          </c:cat>
          <c:val>
            <c:numRef>
              <c:f>'Inflación '!$D$32:$D$151</c:f>
              <c:numCache>
                <c:formatCode>0.00</c:formatCode>
                <c:ptCount val="120"/>
                <c:pt idx="0">
                  <c:v>5.44</c:v>
                </c:pt>
                <c:pt idx="1">
                  <c:v>5.17</c:v>
                </c:pt>
                <c:pt idx="2">
                  <c:v>4.55</c:v>
                </c:pt>
                <c:pt idx="3">
                  <c:v>4.2699999999999996</c:v>
                </c:pt>
                <c:pt idx="4">
                  <c:v>3.9</c:v>
                </c:pt>
                <c:pt idx="5">
                  <c:v>3.47</c:v>
                </c:pt>
                <c:pt idx="6">
                  <c:v>2.86</c:v>
                </c:pt>
                <c:pt idx="7">
                  <c:v>2.71</c:v>
                </c:pt>
                <c:pt idx="8">
                  <c:v>3.28</c:v>
                </c:pt>
                <c:pt idx="9">
                  <c:v>3.35</c:v>
                </c:pt>
                <c:pt idx="10">
                  <c:v>3.11</c:v>
                </c:pt>
                <c:pt idx="11">
                  <c:v>3.45</c:v>
                </c:pt>
                <c:pt idx="12">
                  <c:v>3.86</c:v>
                </c:pt>
                <c:pt idx="13">
                  <c:v>4.18</c:v>
                </c:pt>
                <c:pt idx="14">
                  <c:v>4.34</c:v>
                </c:pt>
                <c:pt idx="15">
                  <c:v>4.13</c:v>
                </c:pt>
                <c:pt idx="16">
                  <c:v>4.2699999999999996</c:v>
                </c:pt>
                <c:pt idx="17">
                  <c:v>4.79</c:v>
                </c:pt>
                <c:pt idx="18">
                  <c:v>4.74</c:v>
                </c:pt>
                <c:pt idx="19">
                  <c:v>4.42</c:v>
                </c:pt>
                <c:pt idx="20">
                  <c:v>4.21</c:v>
                </c:pt>
                <c:pt idx="21">
                  <c:v>4.1500000000000004</c:v>
                </c:pt>
                <c:pt idx="22">
                  <c:v>4.63</c:v>
                </c:pt>
                <c:pt idx="23">
                  <c:v>4.3899999999999997</c:v>
                </c:pt>
                <c:pt idx="24">
                  <c:v>4.1399999999999997</c:v>
                </c:pt>
                <c:pt idx="25">
                  <c:v>3.5</c:v>
                </c:pt>
                <c:pt idx="26">
                  <c:v>3.25</c:v>
                </c:pt>
                <c:pt idx="27">
                  <c:v>3.27</c:v>
                </c:pt>
                <c:pt idx="28">
                  <c:v>3.22</c:v>
                </c:pt>
                <c:pt idx="29">
                  <c:v>3.13</c:v>
                </c:pt>
                <c:pt idx="30">
                  <c:v>3.41</c:v>
                </c:pt>
                <c:pt idx="31">
                  <c:v>3.7</c:v>
                </c:pt>
                <c:pt idx="32">
                  <c:v>3.45</c:v>
                </c:pt>
                <c:pt idx="33">
                  <c:v>3.64</c:v>
                </c:pt>
                <c:pt idx="34">
                  <c:v>3.38</c:v>
                </c:pt>
                <c:pt idx="35">
                  <c:v>2.95</c:v>
                </c:pt>
                <c:pt idx="36">
                  <c:v>2.3199999999999998</c:v>
                </c:pt>
                <c:pt idx="37">
                  <c:v>2.44</c:v>
                </c:pt>
                <c:pt idx="38">
                  <c:v>2.4300000000000002</c:v>
                </c:pt>
                <c:pt idx="39">
                  <c:v>2.58</c:v>
                </c:pt>
                <c:pt idx="40">
                  <c:v>2.5499999999999998</c:v>
                </c:pt>
                <c:pt idx="41">
                  <c:v>2.39</c:v>
                </c:pt>
                <c:pt idx="42">
                  <c:v>2.3199999999999998</c:v>
                </c:pt>
                <c:pt idx="43">
                  <c:v>1.96</c:v>
                </c:pt>
                <c:pt idx="44">
                  <c:v>1.88</c:v>
                </c:pt>
                <c:pt idx="45">
                  <c:v>2.23</c:v>
                </c:pt>
                <c:pt idx="46">
                  <c:v>2.5099999999999998</c:v>
                </c:pt>
                <c:pt idx="47">
                  <c:v>3.07</c:v>
                </c:pt>
                <c:pt idx="48">
                  <c:v>4.38</c:v>
                </c:pt>
                <c:pt idx="49">
                  <c:v>4.2699999999999996</c:v>
                </c:pt>
                <c:pt idx="50">
                  <c:v>4.26</c:v>
                </c:pt>
                <c:pt idx="51">
                  <c:v>4.09</c:v>
                </c:pt>
                <c:pt idx="52">
                  <c:v>4.3600000000000003</c:v>
                </c:pt>
                <c:pt idx="53">
                  <c:v>4.43</c:v>
                </c:pt>
                <c:pt idx="54">
                  <c:v>4.62</c:v>
                </c:pt>
                <c:pt idx="55">
                  <c:v>4.74</c:v>
                </c:pt>
                <c:pt idx="56">
                  <c:v>4.5599999999999996</c:v>
                </c:pt>
                <c:pt idx="57">
                  <c:v>4.76</c:v>
                </c:pt>
                <c:pt idx="58">
                  <c:v>4.67</c:v>
                </c:pt>
                <c:pt idx="59">
                  <c:v>4.2300000000000004</c:v>
                </c:pt>
                <c:pt idx="60">
                  <c:v>3.83</c:v>
                </c:pt>
                <c:pt idx="61">
                  <c:v>3.96</c:v>
                </c:pt>
                <c:pt idx="62">
                  <c:v>4</c:v>
                </c:pt>
                <c:pt idx="63">
                  <c:v>4.09</c:v>
                </c:pt>
                <c:pt idx="64">
                  <c:v>3.93</c:v>
                </c:pt>
                <c:pt idx="65">
                  <c:v>4.3600000000000003</c:v>
                </c:pt>
                <c:pt idx="66">
                  <c:v>5.22</c:v>
                </c:pt>
                <c:pt idx="67">
                  <c:v>4.72</c:v>
                </c:pt>
                <c:pt idx="68">
                  <c:v>4.3600000000000003</c:v>
                </c:pt>
                <c:pt idx="69">
                  <c:v>4.2</c:v>
                </c:pt>
                <c:pt idx="70">
                  <c:v>4.6900000000000004</c:v>
                </c:pt>
                <c:pt idx="71">
                  <c:v>5.68</c:v>
                </c:pt>
                <c:pt idx="72">
                  <c:v>4.71</c:v>
                </c:pt>
                <c:pt idx="73">
                  <c:v>4.1500000000000004</c:v>
                </c:pt>
                <c:pt idx="74">
                  <c:v>4.1399999999999997</c:v>
                </c:pt>
                <c:pt idx="75">
                  <c:v>3.92</c:v>
                </c:pt>
                <c:pt idx="76">
                  <c:v>4.09</c:v>
                </c:pt>
                <c:pt idx="77">
                  <c:v>3.79</c:v>
                </c:pt>
                <c:pt idx="78">
                  <c:v>2.61</c:v>
                </c:pt>
                <c:pt idx="79">
                  <c:v>3.36</c:v>
                </c:pt>
                <c:pt idx="80">
                  <c:v>4.55</c:v>
                </c:pt>
                <c:pt idx="81">
                  <c:v>4.34</c:v>
                </c:pt>
                <c:pt idx="82">
                  <c:v>3.15</c:v>
                </c:pt>
                <c:pt idx="83">
                  <c:v>2.31</c:v>
                </c:pt>
                <c:pt idx="84">
                  <c:v>4.0999999999999996</c:v>
                </c:pt>
                <c:pt idx="85">
                  <c:v>4.46</c:v>
                </c:pt>
                <c:pt idx="86">
                  <c:v>4.17</c:v>
                </c:pt>
                <c:pt idx="87">
                  <c:v>4.75</c:v>
                </c:pt>
                <c:pt idx="88">
                  <c:v>4.54</c:v>
                </c:pt>
                <c:pt idx="89">
                  <c:v>4.8</c:v>
                </c:pt>
                <c:pt idx="90">
                  <c:v>4.37</c:v>
                </c:pt>
                <c:pt idx="91">
                  <c:v>3.01</c:v>
                </c:pt>
                <c:pt idx="92">
                  <c:v>1.8</c:v>
                </c:pt>
                <c:pt idx="93">
                  <c:v>2.17</c:v>
                </c:pt>
                <c:pt idx="94">
                  <c:v>2.92</c:v>
                </c:pt>
                <c:pt idx="95">
                  <c:v>3.41</c:v>
                </c:pt>
                <c:pt idx="96">
                  <c:v>1.78</c:v>
                </c:pt>
                <c:pt idx="97">
                  <c:v>1.24</c:v>
                </c:pt>
                <c:pt idx="98">
                  <c:v>1.77</c:v>
                </c:pt>
                <c:pt idx="99">
                  <c:v>1.88</c:v>
                </c:pt>
                <c:pt idx="100">
                  <c:v>1.8</c:v>
                </c:pt>
                <c:pt idx="101">
                  <c:v>2.39</c:v>
                </c:pt>
                <c:pt idx="102">
                  <c:v>2.88</c:v>
                </c:pt>
                <c:pt idx="103">
                  <c:v>4.1900000000000004</c:v>
                </c:pt>
                <c:pt idx="104">
                  <c:v>4.97</c:v>
                </c:pt>
                <c:pt idx="105">
                  <c:v>5.34</c:v>
                </c:pt>
                <c:pt idx="106">
                  <c:v>5.46</c:v>
                </c:pt>
                <c:pt idx="107">
                  <c:v>4.82</c:v>
                </c:pt>
                <c:pt idx="108">
                  <c:v>5.24</c:v>
                </c:pt>
                <c:pt idx="109">
                  <c:v>6</c:v>
                </c:pt>
                <c:pt idx="110">
                  <c:v>5.84</c:v>
                </c:pt>
                <c:pt idx="111">
                  <c:v>5.2</c:v>
                </c:pt>
                <c:pt idx="112">
                  <c:v>5.17</c:v>
                </c:pt>
                <c:pt idx="113">
                  <c:v>3.91</c:v>
                </c:pt>
                <c:pt idx="114">
                  <c:v>3.82</c:v>
                </c:pt>
                <c:pt idx="115">
                  <c:v>3.62</c:v>
                </c:pt>
                <c:pt idx="116">
                  <c:v>3.67</c:v>
                </c:pt>
                <c:pt idx="117">
                  <c:v>2.96</c:v>
                </c:pt>
                <c:pt idx="118">
                  <c:v>2.89</c:v>
                </c:pt>
                <c:pt idx="119">
                  <c:v>3.07</c:v>
                </c:pt>
              </c:numCache>
            </c:numRef>
          </c:val>
          <c:smooth val="0"/>
          <c:extLst>
            <c:ext xmlns:c16="http://schemas.microsoft.com/office/drawing/2014/chart" uri="{C3380CC4-5D6E-409C-BE32-E72D297353CC}">
              <c16:uniqueId val="{00000001-27A3-477E-BCB9-4C0F859A1F50}"/>
            </c:ext>
          </c:extLst>
        </c:ser>
        <c:ser>
          <c:idx val="1"/>
          <c:order val="1"/>
          <c:tx>
            <c:strRef>
              <c:f>'Inflación '!$B$31</c:f>
              <c:strCache>
                <c:ptCount val="1"/>
                <c:pt idx="0">
                  <c:v>Inflación Subyacente</c:v>
                </c:pt>
              </c:strCache>
            </c:strRef>
          </c:tx>
          <c:marker>
            <c:symbol val="diamond"/>
            <c:size val="2"/>
          </c:marker>
          <c:dLbls>
            <c:dLbl>
              <c:idx val="119"/>
              <c:layout>
                <c:manualLayout>
                  <c:x val="0"/>
                  <c:y val="-5.07171211036636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7A3-477E-BCB9-4C0F859A1F5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'Inflación '!$A$32:$A$151</c:f>
              <c:numCache>
                <c:formatCode>mmm\-yy</c:formatCode>
                <c:ptCount val="120"/>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pt idx="102">
                  <c:v>44013</c:v>
                </c:pt>
                <c:pt idx="103">
                  <c:v>44044</c:v>
                </c:pt>
                <c:pt idx="104">
                  <c:v>44075</c:v>
                </c:pt>
                <c:pt idx="105">
                  <c:v>44105</c:v>
                </c:pt>
                <c:pt idx="106">
                  <c:v>44136</c:v>
                </c:pt>
                <c:pt idx="107">
                  <c:v>44166</c:v>
                </c:pt>
                <c:pt idx="108">
                  <c:v>44197</c:v>
                </c:pt>
                <c:pt idx="109">
                  <c:v>44228</c:v>
                </c:pt>
                <c:pt idx="110">
                  <c:v>44256</c:v>
                </c:pt>
                <c:pt idx="111">
                  <c:v>44287</c:v>
                </c:pt>
                <c:pt idx="112">
                  <c:v>44317</c:v>
                </c:pt>
                <c:pt idx="113">
                  <c:v>44348</c:v>
                </c:pt>
                <c:pt idx="114">
                  <c:v>44378</c:v>
                </c:pt>
                <c:pt idx="115">
                  <c:v>44409</c:v>
                </c:pt>
                <c:pt idx="116">
                  <c:v>44440</c:v>
                </c:pt>
                <c:pt idx="117">
                  <c:v>44470</c:v>
                </c:pt>
                <c:pt idx="118">
                  <c:v>44501</c:v>
                </c:pt>
                <c:pt idx="119">
                  <c:v>44531</c:v>
                </c:pt>
              </c:numCache>
            </c:numRef>
          </c:cat>
          <c:val>
            <c:numRef>
              <c:f>'Inflación '!$B$32:$B$151</c:f>
              <c:numCache>
                <c:formatCode>0.00</c:formatCode>
                <c:ptCount val="120"/>
                <c:pt idx="0">
                  <c:v>4.6399999999999997</c:v>
                </c:pt>
                <c:pt idx="1">
                  <c:v>4.4000000000000004</c:v>
                </c:pt>
                <c:pt idx="2">
                  <c:v>4.25</c:v>
                </c:pt>
                <c:pt idx="3">
                  <c:v>4.1100000000000003</c:v>
                </c:pt>
                <c:pt idx="4">
                  <c:v>3.98</c:v>
                </c:pt>
                <c:pt idx="5">
                  <c:v>3.85</c:v>
                </c:pt>
                <c:pt idx="6">
                  <c:v>3.56</c:v>
                </c:pt>
                <c:pt idx="7">
                  <c:v>3.53</c:v>
                </c:pt>
                <c:pt idx="8">
                  <c:v>3.66</c:v>
                </c:pt>
                <c:pt idx="9">
                  <c:v>3.74</c:v>
                </c:pt>
                <c:pt idx="10">
                  <c:v>3.73</c:v>
                </c:pt>
                <c:pt idx="11">
                  <c:v>3.73</c:v>
                </c:pt>
                <c:pt idx="12">
                  <c:v>3.7626765235522726</c:v>
                </c:pt>
                <c:pt idx="13">
                  <c:v>3.8911975821684877</c:v>
                </c:pt>
                <c:pt idx="14">
                  <c:v>3.8992765197782546</c:v>
                </c:pt>
                <c:pt idx="15">
                  <c:v>3.8039913801180631</c:v>
                </c:pt>
                <c:pt idx="16">
                  <c:v>3.8346427235316014</c:v>
                </c:pt>
                <c:pt idx="17">
                  <c:v>3.9221166387180801</c:v>
                </c:pt>
                <c:pt idx="18">
                  <c:v>3.8522231504687596</c:v>
                </c:pt>
                <c:pt idx="19">
                  <c:v>3.6474726902425516</c:v>
                </c:pt>
                <c:pt idx="20">
                  <c:v>3.5183304090866869</c:v>
                </c:pt>
                <c:pt idx="21">
                  <c:v>3.481304107570466</c:v>
                </c:pt>
                <c:pt idx="22">
                  <c:v>3.5819250551065522</c:v>
                </c:pt>
                <c:pt idx="23">
                  <c:v>3.5573484917942721</c:v>
                </c:pt>
                <c:pt idx="24">
                  <c:v>3.4435513335769059</c:v>
                </c:pt>
                <c:pt idx="25">
                  <c:v>3.2272727272727195</c:v>
                </c:pt>
                <c:pt idx="26">
                  <c:v>3.1651293181406999</c:v>
                </c:pt>
                <c:pt idx="27">
                  <c:v>3.1410777145951698</c:v>
                </c:pt>
                <c:pt idx="28">
                  <c:v>3.0444964871194458</c:v>
                </c:pt>
                <c:pt idx="29">
                  <c:v>2.931420887494383</c:v>
                </c:pt>
                <c:pt idx="30">
                  <c:v>2.985341437254192</c:v>
                </c:pt>
                <c:pt idx="31">
                  <c:v>3.1439799928546108</c:v>
                </c:pt>
                <c:pt idx="32">
                  <c:v>3.2024977698483497</c:v>
                </c:pt>
                <c:pt idx="33">
                  <c:v>3.2395870416518306</c:v>
                </c:pt>
                <c:pt idx="34">
                  <c:v>3.1477212271679349</c:v>
                </c:pt>
                <c:pt idx="35">
                  <c:v>3.1872509960159334</c:v>
                </c:pt>
                <c:pt idx="36">
                  <c:v>3.1611479028697715</c:v>
                </c:pt>
                <c:pt idx="37">
                  <c:v>3.205636283575501</c:v>
                </c:pt>
                <c:pt idx="38">
                  <c:v>3.1206171107994578</c:v>
                </c:pt>
                <c:pt idx="39">
                  <c:v>3.1504331845628997</c:v>
                </c:pt>
                <c:pt idx="40">
                  <c:v>3.1993006993006929</c:v>
                </c:pt>
                <c:pt idx="41">
                  <c:v>3.2485629681240198</c:v>
                </c:pt>
                <c:pt idx="42">
                  <c:v>3.2980385349765697</c:v>
                </c:pt>
                <c:pt idx="43">
                  <c:v>3.238656044336679</c:v>
                </c:pt>
                <c:pt idx="44">
                  <c:v>3.1463393551732963</c:v>
                </c:pt>
                <c:pt idx="45">
                  <c:v>3.1379310344827616</c:v>
                </c:pt>
                <c:pt idx="46">
                  <c:v>3.1462219547837975</c:v>
                </c:pt>
                <c:pt idx="47">
                  <c:v>3.1574431574431685</c:v>
                </c:pt>
                <c:pt idx="48">
                  <c:v>3.1498758880424589</c:v>
                </c:pt>
                <c:pt idx="49">
                  <c:v>3.1999317347896579</c:v>
                </c:pt>
                <c:pt idx="50">
                  <c:v>3.2811968718122984</c:v>
                </c:pt>
                <c:pt idx="51">
                  <c:v>3.2323746500381816</c:v>
                </c:pt>
                <c:pt idx="52">
                  <c:v>3.3118753176350992</c:v>
                </c:pt>
                <c:pt idx="53">
                  <c:v>3.2307043441585677</c:v>
                </c:pt>
                <c:pt idx="54">
                  <c:v>3.2095446143505484</c:v>
                </c:pt>
                <c:pt idx="55">
                  <c:v>3.0867304143600052</c:v>
                </c:pt>
                <c:pt idx="56">
                  <c:v>3.0000838012234965</c:v>
                </c:pt>
                <c:pt idx="57">
                  <c:v>3.0424607154797769</c:v>
                </c:pt>
                <c:pt idx="58">
                  <c:v>3.0919243270272574</c:v>
                </c:pt>
                <c:pt idx="59">
                  <c:v>3.0940696997421497</c:v>
                </c:pt>
                <c:pt idx="60">
                  <c:v>3.2113517550410648</c:v>
                </c:pt>
                <c:pt idx="61">
                  <c:v>3.1503224739540343</c:v>
                </c:pt>
                <c:pt idx="62">
                  <c:v>3.1275720164609027</c:v>
                </c:pt>
                <c:pt idx="63">
                  <c:v>3.0736357659434645</c:v>
                </c:pt>
                <c:pt idx="64">
                  <c:v>2.9351479872099731</c:v>
                </c:pt>
                <c:pt idx="65">
                  <c:v>2.9743422127798596</c:v>
                </c:pt>
                <c:pt idx="66">
                  <c:v>2.8899381309019958</c:v>
                </c:pt>
                <c:pt idx="67">
                  <c:v>2.7664768104149715</c:v>
                </c:pt>
                <c:pt idx="68">
                  <c:v>2.8557481083719978</c:v>
                </c:pt>
                <c:pt idx="69">
                  <c:v>2.9120700843608063</c:v>
                </c:pt>
                <c:pt idx="70">
                  <c:v>2.9183508488278136</c:v>
                </c:pt>
                <c:pt idx="71">
                  <c:v>2.9205324727712707</c:v>
                </c:pt>
                <c:pt idx="72">
                  <c:v>2.6692394275606972</c:v>
                </c:pt>
                <c:pt idx="73">
                  <c:v>2.6212424849699545</c:v>
                </c:pt>
                <c:pt idx="74">
                  <c:v>2.6656025538706984</c:v>
                </c:pt>
                <c:pt idx="75">
                  <c:v>2.6231860947217456</c:v>
                </c:pt>
                <c:pt idx="76">
                  <c:v>2.6284348864993916</c:v>
                </c:pt>
                <c:pt idx="77">
                  <c:v>2.6027614664339183</c:v>
                </c:pt>
                <c:pt idx="78">
                  <c:v>2.6267900941530371</c:v>
                </c:pt>
                <c:pt idx="79">
                  <c:v>2.7949326999208353</c:v>
                </c:pt>
                <c:pt idx="80">
                  <c:v>2.8160101249802096</c:v>
                </c:pt>
                <c:pt idx="81">
                  <c:v>2.86119650035468</c:v>
                </c:pt>
                <c:pt idx="82">
                  <c:v>2.9377110988924642</c:v>
                </c:pt>
                <c:pt idx="83">
                  <c:v>2.9630790938308422</c:v>
                </c:pt>
                <c:pt idx="84">
                  <c:v>2.9444009397024331</c:v>
                </c:pt>
                <c:pt idx="85">
                  <c:v>2.9760974847680188</c:v>
                </c:pt>
                <c:pt idx="86">
                  <c:v>2.8917910447761415</c:v>
                </c:pt>
                <c:pt idx="87">
                  <c:v>2.9834511692953214</c:v>
                </c:pt>
                <c:pt idx="88">
                  <c:v>2.9957314707023812</c:v>
                </c:pt>
                <c:pt idx="89">
                  <c:v>3.0549110595514293</c:v>
                </c:pt>
                <c:pt idx="90">
                  <c:v>3.1454783748361592</c:v>
                </c:pt>
                <c:pt idx="91">
                  <c:v>3.096356774243219</c:v>
                </c:pt>
                <c:pt idx="92">
                  <c:v>2.9543006616402607</c:v>
                </c:pt>
                <c:pt idx="93">
                  <c:v>3.0114942528735753</c:v>
                </c:pt>
                <c:pt idx="94">
                  <c:v>3.0751621518504351</c:v>
                </c:pt>
                <c:pt idx="95">
                  <c:v>3.121431290445372</c:v>
                </c:pt>
                <c:pt idx="96">
                  <c:v>2.5635174197474555</c:v>
                </c:pt>
                <c:pt idx="97">
                  <c:v>2.4121975271182379</c:v>
                </c:pt>
                <c:pt idx="98">
                  <c:v>2.4478694469628266</c:v>
                </c:pt>
                <c:pt idx="99">
                  <c:v>2.3538287438702241</c:v>
                </c:pt>
                <c:pt idx="100">
                  <c:v>2.2756386105040889</c:v>
                </c:pt>
                <c:pt idx="101">
                  <c:v>2.1313320825516087</c:v>
                </c:pt>
                <c:pt idx="102">
                  <c:v>2.0330368487928752</c:v>
                </c:pt>
                <c:pt idx="103">
                  <c:v>2.0620097123646133</c:v>
                </c:pt>
                <c:pt idx="104">
                  <c:v>2.0998356000597767</c:v>
                </c:pt>
                <c:pt idx="105">
                  <c:v>2.2093282749386276</c:v>
                </c:pt>
                <c:pt idx="106">
                  <c:v>2.2579212318625963</c:v>
                </c:pt>
                <c:pt idx="107">
                  <c:v>2.3329641934293193</c:v>
                </c:pt>
                <c:pt idx="108">
                  <c:v>2.69</c:v>
                </c:pt>
                <c:pt idx="109">
                  <c:v>2.71</c:v>
                </c:pt>
                <c:pt idx="110">
                  <c:v>2.79</c:v>
                </c:pt>
                <c:pt idx="111">
                  <c:v>2.84</c:v>
                </c:pt>
                <c:pt idx="112">
                  <c:v>2.89</c:v>
                </c:pt>
                <c:pt idx="113">
                  <c:v>3.05</c:v>
                </c:pt>
                <c:pt idx="114">
                  <c:v>3.09</c:v>
                </c:pt>
                <c:pt idx="115">
                  <c:v>3.18</c:v>
                </c:pt>
                <c:pt idx="116">
                  <c:v>3.3</c:v>
                </c:pt>
                <c:pt idx="117">
                  <c:v>3.17</c:v>
                </c:pt>
                <c:pt idx="118">
                  <c:v>3.11</c:v>
                </c:pt>
                <c:pt idx="119">
                  <c:v>3.2</c:v>
                </c:pt>
              </c:numCache>
            </c:numRef>
          </c:val>
          <c:smooth val="0"/>
          <c:extLst>
            <c:ext xmlns:c16="http://schemas.microsoft.com/office/drawing/2014/chart" uri="{C3380CC4-5D6E-409C-BE32-E72D297353CC}">
              <c16:uniqueId val="{00000003-27A3-477E-BCB9-4C0F859A1F50}"/>
            </c:ext>
          </c:extLst>
        </c:ser>
        <c:ser>
          <c:idx val="2"/>
          <c:order val="2"/>
          <c:tx>
            <c:strRef>
              <c:f>'Inflación '!$C$31</c:f>
              <c:strCache>
                <c:ptCount val="1"/>
                <c:pt idx="0">
                  <c:v>Rango inferior meta</c:v>
                </c:pt>
              </c:strCache>
            </c:strRef>
          </c:tx>
          <c:spPr>
            <a:ln w="15875"/>
          </c:spPr>
          <c:marker>
            <c:symbol val="none"/>
          </c:marker>
          <c:dLbls>
            <c:dLbl>
              <c:idx val="119"/>
              <c:layout>
                <c:manualLayout>
                  <c:x val="0"/>
                  <c:y val="5.59767683998177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7A3-477E-BCB9-4C0F859A1F5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'Inflación '!$A$32:$A$151</c:f>
              <c:numCache>
                <c:formatCode>mmm\-yy</c:formatCode>
                <c:ptCount val="120"/>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pt idx="102">
                  <c:v>44013</c:v>
                </c:pt>
                <c:pt idx="103">
                  <c:v>44044</c:v>
                </c:pt>
                <c:pt idx="104">
                  <c:v>44075</c:v>
                </c:pt>
                <c:pt idx="105">
                  <c:v>44105</c:v>
                </c:pt>
                <c:pt idx="106">
                  <c:v>44136</c:v>
                </c:pt>
                <c:pt idx="107">
                  <c:v>44166</c:v>
                </c:pt>
                <c:pt idx="108">
                  <c:v>44197</c:v>
                </c:pt>
                <c:pt idx="109">
                  <c:v>44228</c:v>
                </c:pt>
                <c:pt idx="110">
                  <c:v>44256</c:v>
                </c:pt>
                <c:pt idx="111">
                  <c:v>44287</c:v>
                </c:pt>
                <c:pt idx="112">
                  <c:v>44317</c:v>
                </c:pt>
                <c:pt idx="113">
                  <c:v>44348</c:v>
                </c:pt>
                <c:pt idx="114">
                  <c:v>44378</c:v>
                </c:pt>
                <c:pt idx="115">
                  <c:v>44409</c:v>
                </c:pt>
                <c:pt idx="116">
                  <c:v>44440</c:v>
                </c:pt>
                <c:pt idx="117">
                  <c:v>44470</c:v>
                </c:pt>
                <c:pt idx="118">
                  <c:v>44501</c:v>
                </c:pt>
                <c:pt idx="119">
                  <c:v>44531</c:v>
                </c:pt>
              </c:numCache>
            </c:numRef>
          </c:cat>
          <c:val>
            <c:numRef>
              <c:f>'Inflación '!$C$32:$C$151</c:f>
              <c:numCache>
                <c:formatCode>0.00</c:formatCode>
                <c:ptCount val="120"/>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3</c:v>
                </c:pt>
                <c:pt idx="46">
                  <c:v>3</c:v>
                </c:pt>
                <c:pt idx="47">
                  <c:v>3</c:v>
                </c:pt>
                <c:pt idx="48">
                  <c:v>3</c:v>
                </c:pt>
                <c:pt idx="49">
                  <c:v>3</c:v>
                </c:pt>
                <c:pt idx="50">
                  <c:v>3</c:v>
                </c:pt>
                <c:pt idx="51">
                  <c:v>3</c:v>
                </c:pt>
                <c:pt idx="52">
                  <c:v>3</c:v>
                </c:pt>
                <c:pt idx="53">
                  <c:v>3</c:v>
                </c:pt>
                <c:pt idx="54">
                  <c:v>3</c:v>
                </c:pt>
                <c:pt idx="55">
                  <c:v>3</c:v>
                </c:pt>
                <c:pt idx="56">
                  <c:v>3</c:v>
                </c:pt>
                <c:pt idx="57">
                  <c:v>3</c:v>
                </c:pt>
                <c:pt idx="58">
                  <c:v>3</c:v>
                </c:pt>
                <c:pt idx="59">
                  <c:v>3</c:v>
                </c:pt>
                <c:pt idx="60">
                  <c:v>3</c:v>
                </c:pt>
                <c:pt idx="61">
                  <c:v>3</c:v>
                </c:pt>
                <c:pt idx="62">
                  <c:v>3</c:v>
                </c:pt>
                <c:pt idx="63">
                  <c:v>3</c:v>
                </c:pt>
                <c:pt idx="64">
                  <c:v>3</c:v>
                </c:pt>
                <c:pt idx="65">
                  <c:v>3</c:v>
                </c:pt>
                <c:pt idx="66">
                  <c:v>3</c:v>
                </c:pt>
                <c:pt idx="67">
                  <c:v>3</c:v>
                </c:pt>
                <c:pt idx="68">
                  <c:v>3</c:v>
                </c:pt>
                <c:pt idx="69">
                  <c:v>3</c:v>
                </c:pt>
                <c:pt idx="70">
                  <c:v>3</c:v>
                </c:pt>
                <c:pt idx="71">
                  <c:v>3</c:v>
                </c:pt>
                <c:pt idx="72">
                  <c:v>3</c:v>
                </c:pt>
                <c:pt idx="73">
                  <c:v>3</c:v>
                </c:pt>
                <c:pt idx="74">
                  <c:v>3</c:v>
                </c:pt>
                <c:pt idx="75">
                  <c:v>3</c:v>
                </c:pt>
                <c:pt idx="76">
                  <c:v>3</c:v>
                </c:pt>
                <c:pt idx="77">
                  <c:v>3</c:v>
                </c:pt>
                <c:pt idx="78">
                  <c:v>3</c:v>
                </c:pt>
                <c:pt idx="79">
                  <c:v>3</c:v>
                </c:pt>
                <c:pt idx="80">
                  <c:v>3</c:v>
                </c:pt>
                <c:pt idx="81">
                  <c:v>3</c:v>
                </c:pt>
                <c:pt idx="82">
                  <c:v>3</c:v>
                </c:pt>
                <c:pt idx="83">
                  <c:v>3</c:v>
                </c:pt>
                <c:pt idx="84">
                  <c:v>3</c:v>
                </c:pt>
                <c:pt idx="85">
                  <c:v>3</c:v>
                </c:pt>
                <c:pt idx="86">
                  <c:v>3</c:v>
                </c:pt>
                <c:pt idx="87">
                  <c:v>3</c:v>
                </c:pt>
                <c:pt idx="88">
                  <c:v>3</c:v>
                </c:pt>
                <c:pt idx="89">
                  <c:v>3</c:v>
                </c:pt>
                <c:pt idx="90">
                  <c:v>3</c:v>
                </c:pt>
                <c:pt idx="91">
                  <c:v>3</c:v>
                </c:pt>
                <c:pt idx="92">
                  <c:v>3</c:v>
                </c:pt>
                <c:pt idx="93">
                  <c:v>3</c:v>
                </c:pt>
                <c:pt idx="94">
                  <c:v>3</c:v>
                </c:pt>
                <c:pt idx="95">
                  <c:v>3</c:v>
                </c:pt>
                <c:pt idx="96">
                  <c:v>3</c:v>
                </c:pt>
                <c:pt idx="97">
                  <c:v>3</c:v>
                </c:pt>
                <c:pt idx="98">
                  <c:v>3</c:v>
                </c:pt>
                <c:pt idx="99">
                  <c:v>3</c:v>
                </c:pt>
                <c:pt idx="100">
                  <c:v>3</c:v>
                </c:pt>
                <c:pt idx="101">
                  <c:v>3</c:v>
                </c:pt>
                <c:pt idx="102">
                  <c:v>3</c:v>
                </c:pt>
                <c:pt idx="103">
                  <c:v>3</c:v>
                </c:pt>
                <c:pt idx="104">
                  <c:v>3</c:v>
                </c:pt>
                <c:pt idx="105">
                  <c:v>3</c:v>
                </c:pt>
                <c:pt idx="106">
                  <c:v>3</c:v>
                </c:pt>
                <c:pt idx="107">
                  <c:v>3</c:v>
                </c:pt>
                <c:pt idx="108">
                  <c:v>3</c:v>
                </c:pt>
                <c:pt idx="109">
                  <c:v>3</c:v>
                </c:pt>
                <c:pt idx="110">
                  <c:v>3</c:v>
                </c:pt>
                <c:pt idx="111">
                  <c:v>3</c:v>
                </c:pt>
                <c:pt idx="112">
                  <c:v>3</c:v>
                </c:pt>
                <c:pt idx="113">
                  <c:v>3</c:v>
                </c:pt>
                <c:pt idx="114">
                  <c:v>3</c:v>
                </c:pt>
                <c:pt idx="115">
                  <c:v>3</c:v>
                </c:pt>
                <c:pt idx="116">
                  <c:v>3</c:v>
                </c:pt>
                <c:pt idx="117">
                  <c:v>3</c:v>
                </c:pt>
                <c:pt idx="118">
                  <c:v>3</c:v>
                </c:pt>
                <c:pt idx="119">
                  <c:v>3</c:v>
                </c:pt>
              </c:numCache>
            </c:numRef>
          </c:val>
          <c:smooth val="0"/>
          <c:extLst>
            <c:ext xmlns:c16="http://schemas.microsoft.com/office/drawing/2014/chart" uri="{C3380CC4-5D6E-409C-BE32-E72D297353CC}">
              <c16:uniqueId val="{00000005-27A3-477E-BCB9-4C0F859A1F50}"/>
            </c:ext>
          </c:extLst>
        </c:ser>
        <c:ser>
          <c:idx val="3"/>
          <c:order val="3"/>
          <c:tx>
            <c:strRef>
              <c:f>'Inflación '!$E$31</c:f>
              <c:strCache>
                <c:ptCount val="1"/>
                <c:pt idx="0">
                  <c:v>Rango superior meta</c:v>
                </c:pt>
              </c:strCache>
            </c:strRef>
          </c:tx>
          <c:spPr>
            <a:ln w="15875"/>
          </c:spPr>
          <c:marker>
            <c:symbol val="none"/>
          </c:marker>
          <c:cat>
            <c:numRef>
              <c:f>'Inflación '!$A$32:$A$151</c:f>
              <c:numCache>
                <c:formatCode>mmm\-yy</c:formatCode>
                <c:ptCount val="120"/>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pt idx="102">
                  <c:v>44013</c:v>
                </c:pt>
                <c:pt idx="103">
                  <c:v>44044</c:v>
                </c:pt>
                <c:pt idx="104">
                  <c:v>44075</c:v>
                </c:pt>
                <c:pt idx="105">
                  <c:v>44105</c:v>
                </c:pt>
                <c:pt idx="106">
                  <c:v>44136</c:v>
                </c:pt>
                <c:pt idx="107">
                  <c:v>44166</c:v>
                </c:pt>
                <c:pt idx="108">
                  <c:v>44197</c:v>
                </c:pt>
                <c:pt idx="109">
                  <c:v>44228</c:v>
                </c:pt>
                <c:pt idx="110">
                  <c:v>44256</c:v>
                </c:pt>
                <c:pt idx="111">
                  <c:v>44287</c:v>
                </c:pt>
                <c:pt idx="112">
                  <c:v>44317</c:v>
                </c:pt>
                <c:pt idx="113">
                  <c:v>44348</c:v>
                </c:pt>
                <c:pt idx="114">
                  <c:v>44378</c:v>
                </c:pt>
                <c:pt idx="115">
                  <c:v>44409</c:v>
                </c:pt>
                <c:pt idx="116">
                  <c:v>44440</c:v>
                </c:pt>
                <c:pt idx="117">
                  <c:v>44470</c:v>
                </c:pt>
                <c:pt idx="118">
                  <c:v>44501</c:v>
                </c:pt>
                <c:pt idx="119">
                  <c:v>44531</c:v>
                </c:pt>
              </c:numCache>
            </c:numRef>
          </c:cat>
          <c:val>
            <c:numRef>
              <c:f>'Inflación '!$E$32:$E$151</c:f>
              <c:numCache>
                <c:formatCode>0.00</c:formatCode>
                <c:ptCount val="120"/>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3">
                  <c:v>5</c:v>
                </c:pt>
                <c:pt idx="34">
                  <c:v>5</c:v>
                </c:pt>
                <c:pt idx="35">
                  <c:v>5</c:v>
                </c:pt>
                <c:pt idx="36">
                  <c:v>5</c:v>
                </c:pt>
                <c:pt idx="37">
                  <c:v>5</c:v>
                </c:pt>
                <c:pt idx="38">
                  <c:v>5</c:v>
                </c:pt>
                <c:pt idx="39">
                  <c:v>5</c:v>
                </c:pt>
                <c:pt idx="40">
                  <c:v>5</c:v>
                </c:pt>
                <c:pt idx="41">
                  <c:v>5</c:v>
                </c:pt>
                <c:pt idx="42">
                  <c:v>5</c:v>
                </c:pt>
                <c:pt idx="43">
                  <c:v>5</c:v>
                </c:pt>
                <c:pt idx="44">
                  <c:v>5</c:v>
                </c:pt>
                <c:pt idx="45">
                  <c:v>5</c:v>
                </c:pt>
                <c:pt idx="46">
                  <c:v>5</c:v>
                </c:pt>
                <c:pt idx="47">
                  <c:v>5</c:v>
                </c:pt>
                <c:pt idx="48">
                  <c:v>5</c:v>
                </c:pt>
                <c:pt idx="49">
                  <c:v>5</c:v>
                </c:pt>
                <c:pt idx="50">
                  <c:v>5</c:v>
                </c:pt>
                <c:pt idx="51">
                  <c:v>5</c:v>
                </c:pt>
                <c:pt idx="52">
                  <c:v>5</c:v>
                </c:pt>
                <c:pt idx="53">
                  <c:v>5</c:v>
                </c:pt>
                <c:pt idx="54">
                  <c:v>5</c:v>
                </c:pt>
                <c:pt idx="55">
                  <c:v>5</c:v>
                </c:pt>
                <c:pt idx="56">
                  <c:v>5</c:v>
                </c:pt>
                <c:pt idx="57">
                  <c:v>5</c:v>
                </c:pt>
                <c:pt idx="58">
                  <c:v>5</c:v>
                </c:pt>
                <c:pt idx="59">
                  <c:v>5</c:v>
                </c:pt>
                <c:pt idx="60">
                  <c:v>5</c:v>
                </c:pt>
                <c:pt idx="61">
                  <c:v>5</c:v>
                </c:pt>
                <c:pt idx="62">
                  <c:v>5</c:v>
                </c:pt>
                <c:pt idx="63">
                  <c:v>5</c:v>
                </c:pt>
                <c:pt idx="64">
                  <c:v>5</c:v>
                </c:pt>
                <c:pt idx="65">
                  <c:v>5</c:v>
                </c:pt>
                <c:pt idx="66">
                  <c:v>5</c:v>
                </c:pt>
                <c:pt idx="67">
                  <c:v>5</c:v>
                </c:pt>
                <c:pt idx="68">
                  <c:v>5</c:v>
                </c:pt>
                <c:pt idx="69">
                  <c:v>5</c:v>
                </c:pt>
                <c:pt idx="70">
                  <c:v>5</c:v>
                </c:pt>
                <c:pt idx="71">
                  <c:v>5</c:v>
                </c:pt>
                <c:pt idx="72">
                  <c:v>5</c:v>
                </c:pt>
                <c:pt idx="73">
                  <c:v>5</c:v>
                </c:pt>
                <c:pt idx="74">
                  <c:v>5</c:v>
                </c:pt>
                <c:pt idx="75">
                  <c:v>5</c:v>
                </c:pt>
                <c:pt idx="76">
                  <c:v>5</c:v>
                </c:pt>
                <c:pt idx="77">
                  <c:v>5</c:v>
                </c:pt>
                <c:pt idx="78">
                  <c:v>5</c:v>
                </c:pt>
                <c:pt idx="79">
                  <c:v>5</c:v>
                </c:pt>
                <c:pt idx="80">
                  <c:v>5</c:v>
                </c:pt>
                <c:pt idx="81">
                  <c:v>5</c:v>
                </c:pt>
                <c:pt idx="82">
                  <c:v>5</c:v>
                </c:pt>
                <c:pt idx="83">
                  <c:v>5</c:v>
                </c:pt>
                <c:pt idx="84">
                  <c:v>5</c:v>
                </c:pt>
                <c:pt idx="85">
                  <c:v>5</c:v>
                </c:pt>
                <c:pt idx="86">
                  <c:v>5</c:v>
                </c:pt>
                <c:pt idx="87">
                  <c:v>5</c:v>
                </c:pt>
                <c:pt idx="88">
                  <c:v>5</c:v>
                </c:pt>
                <c:pt idx="89">
                  <c:v>5</c:v>
                </c:pt>
                <c:pt idx="90">
                  <c:v>5</c:v>
                </c:pt>
                <c:pt idx="91">
                  <c:v>5</c:v>
                </c:pt>
                <c:pt idx="92">
                  <c:v>5</c:v>
                </c:pt>
                <c:pt idx="93">
                  <c:v>5</c:v>
                </c:pt>
                <c:pt idx="94">
                  <c:v>5</c:v>
                </c:pt>
                <c:pt idx="95">
                  <c:v>5</c:v>
                </c:pt>
                <c:pt idx="96">
                  <c:v>5</c:v>
                </c:pt>
                <c:pt idx="97">
                  <c:v>5</c:v>
                </c:pt>
                <c:pt idx="98">
                  <c:v>5</c:v>
                </c:pt>
                <c:pt idx="99">
                  <c:v>5</c:v>
                </c:pt>
                <c:pt idx="100">
                  <c:v>5</c:v>
                </c:pt>
                <c:pt idx="101">
                  <c:v>5</c:v>
                </c:pt>
                <c:pt idx="102">
                  <c:v>5</c:v>
                </c:pt>
                <c:pt idx="103">
                  <c:v>5</c:v>
                </c:pt>
                <c:pt idx="104">
                  <c:v>5</c:v>
                </c:pt>
                <c:pt idx="105">
                  <c:v>5</c:v>
                </c:pt>
                <c:pt idx="106">
                  <c:v>5</c:v>
                </c:pt>
                <c:pt idx="107">
                  <c:v>5</c:v>
                </c:pt>
                <c:pt idx="108">
                  <c:v>5</c:v>
                </c:pt>
                <c:pt idx="109">
                  <c:v>5</c:v>
                </c:pt>
                <c:pt idx="110">
                  <c:v>5</c:v>
                </c:pt>
                <c:pt idx="111">
                  <c:v>5</c:v>
                </c:pt>
                <c:pt idx="112">
                  <c:v>5</c:v>
                </c:pt>
                <c:pt idx="113">
                  <c:v>5</c:v>
                </c:pt>
                <c:pt idx="114">
                  <c:v>5</c:v>
                </c:pt>
                <c:pt idx="115">
                  <c:v>5</c:v>
                </c:pt>
                <c:pt idx="116">
                  <c:v>5</c:v>
                </c:pt>
                <c:pt idx="117">
                  <c:v>5</c:v>
                </c:pt>
                <c:pt idx="118">
                  <c:v>5</c:v>
                </c:pt>
                <c:pt idx="119">
                  <c:v>5</c:v>
                </c:pt>
              </c:numCache>
            </c:numRef>
          </c:val>
          <c:smooth val="0"/>
          <c:extLst>
            <c:ext xmlns:c16="http://schemas.microsoft.com/office/drawing/2014/chart" uri="{C3380CC4-5D6E-409C-BE32-E72D297353CC}">
              <c16:uniqueId val="{00000006-27A3-477E-BCB9-4C0F859A1F50}"/>
            </c:ext>
          </c:extLst>
        </c:ser>
        <c:dLbls>
          <c:showLegendKey val="0"/>
          <c:showVal val="0"/>
          <c:showCatName val="0"/>
          <c:showSerName val="0"/>
          <c:showPercent val="0"/>
          <c:showBubbleSize val="0"/>
        </c:dLbls>
        <c:marker val="1"/>
        <c:smooth val="0"/>
        <c:axId val="164967552"/>
        <c:axId val="164969088"/>
      </c:lineChart>
      <c:dateAx>
        <c:axId val="164967552"/>
        <c:scaling>
          <c:orientation val="minMax"/>
        </c:scaling>
        <c:delete val="0"/>
        <c:axPos val="b"/>
        <c:numFmt formatCode="mmm\-yy" sourceLinked="1"/>
        <c:majorTickMark val="none"/>
        <c:minorTickMark val="none"/>
        <c:tickLblPos val="nextTo"/>
        <c:crossAx val="164969088"/>
        <c:crosses val="autoZero"/>
        <c:auto val="1"/>
        <c:lblOffset val="100"/>
        <c:baseTimeUnit val="months"/>
      </c:dateAx>
      <c:valAx>
        <c:axId val="164969088"/>
        <c:scaling>
          <c:orientation val="minMax"/>
        </c:scaling>
        <c:delete val="0"/>
        <c:axPos val="l"/>
        <c:majorGridlines/>
        <c:numFmt formatCode="0.00" sourceLinked="1"/>
        <c:majorTickMark val="none"/>
        <c:minorTickMark val="none"/>
        <c:tickLblPos val="nextTo"/>
        <c:spPr>
          <a:ln w="9525">
            <a:noFill/>
          </a:ln>
        </c:spPr>
        <c:crossAx val="164967552"/>
        <c:crosses val="autoZero"/>
        <c:crossBetween val="between"/>
      </c:valAx>
    </c:plotArea>
    <c:legend>
      <c:legendPos val="t"/>
      <c:layout>
        <c:manualLayout>
          <c:xMode val="edge"/>
          <c:yMode val="edge"/>
          <c:x val="0.38229139382017169"/>
          <c:y val="0.73448546739984288"/>
          <c:w val="0.60654190120328644"/>
          <c:h val="6.5458863989212662E-2"/>
        </c:manualLayout>
      </c:layout>
      <c:overlay val="0"/>
    </c:legend>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6027292835044419E-2"/>
          <c:y val="1.9086600603188279E-2"/>
          <c:w val="0.91444038664067795"/>
          <c:h val="0.91579824064430548"/>
        </c:manualLayout>
      </c:layout>
      <c:barChart>
        <c:barDir val="col"/>
        <c:grouping val="clustered"/>
        <c:varyColors val="0"/>
        <c:ser>
          <c:idx val="1"/>
          <c:order val="0"/>
          <c:spPr>
            <a:solidFill>
              <a:srgbClr val="336699"/>
            </a:solidFill>
          </c:spPr>
          <c:invertIfNegative val="0"/>
          <c:dPt>
            <c:idx val="10"/>
            <c:invertIfNegative val="0"/>
            <c:bubble3D val="0"/>
            <c:spPr>
              <a:solidFill>
                <a:srgbClr val="336699"/>
              </a:solidFill>
            </c:spPr>
            <c:extLst>
              <c:ext xmlns:c16="http://schemas.microsoft.com/office/drawing/2014/chart" uri="{C3380CC4-5D6E-409C-BE32-E72D297353CC}">
                <c16:uniqueId val="{00000001-098D-4E5E-ADEE-AF560DD1DD06}"/>
              </c:ext>
            </c:extLst>
          </c:dPt>
          <c:dPt>
            <c:idx val="11"/>
            <c:invertIfNegative val="0"/>
            <c:bubble3D val="0"/>
            <c:spPr>
              <a:solidFill>
                <a:srgbClr val="002060"/>
              </a:solidFill>
            </c:spPr>
            <c:extLst>
              <c:ext xmlns:c16="http://schemas.microsoft.com/office/drawing/2014/chart" uri="{C3380CC4-5D6E-409C-BE32-E72D297353CC}">
                <c16:uniqueId val="{00000003-098D-4E5E-ADEE-AF560DD1DD06}"/>
              </c:ext>
            </c:extLst>
          </c:dPt>
          <c:dLbls>
            <c:numFmt formatCode="#,##0.0" sourceLinked="0"/>
            <c:spPr>
              <a:noFill/>
              <a:ln>
                <a:noFill/>
              </a:ln>
              <a:effectLst/>
            </c:spPr>
            <c:txPr>
              <a:bodyPr wrap="square" lIns="38100" tIns="19050" rIns="38100" bIns="19050" anchor="ctr">
                <a:spAutoFit/>
              </a:bodyPr>
              <a:lstStyle/>
              <a:p>
                <a:pPr>
                  <a:defRPr sz="700" b="1"/>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Remesas!$B$10:$M$10</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Remesas!$B$11:$M$11</c:f>
              <c:numCache>
                <c:formatCode>_(* #,##0.00_);_(* \(#,##0.00\);_(* "-"??_);_(@_)</c:formatCode>
                <c:ptCount val="12"/>
                <c:pt idx="0">
                  <c:v>4126.7840999999999</c:v>
                </c:pt>
                <c:pt idx="1">
                  <c:v>4378.0320000000002</c:v>
                </c:pt>
                <c:pt idx="2">
                  <c:v>4782.7287000000006</c:v>
                </c:pt>
                <c:pt idx="3">
                  <c:v>5105.1890000000003</c:v>
                </c:pt>
                <c:pt idx="4">
                  <c:v>5544.0975999999991</c:v>
                </c:pt>
                <c:pt idx="5">
                  <c:v>6284.9778421999999</c:v>
                </c:pt>
                <c:pt idx="6">
                  <c:v>7159.9676000000009</c:v>
                </c:pt>
                <c:pt idx="7">
                  <c:v>8192.213099999999</c:v>
                </c:pt>
                <c:pt idx="8">
                  <c:v>9287.7706999999991</c:v>
                </c:pt>
                <c:pt idx="9">
                  <c:v>10508.3074</c:v>
                </c:pt>
                <c:pt idx="10">
                  <c:v>11340.4156361</c:v>
                </c:pt>
                <c:pt idx="11">
                  <c:v>15295.685199999998</c:v>
                </c:pt>
              </c:numCache>
            </c:numRef>
          </c:val>
          <c:extLst>
            <c:ext xmlns:c16="http://schemas.microsoft.com/office/drawing/2014/chart" uri="{C3380CC4-5D6E-409C-BE32-E72D297353CC}">
              <c16:uniqueId val="{00000009-098D-4E5E-ADEE-AF560DD1DD06}"/>
            </c:ext>
          </c:extLst>
        </c:ser>
        <c:dLbls>
          <c:showLegendKey val="0"/>
          <c:showVal val="0"/>
          <c:showCatName val="0"/>
          <c:showSerName val="0"/>
          <c:showPercent val="0"/>
          <c:showBubbleSize val="0"/>
        </c:dLbls>
        <c:gapWidth val="36"/>
        <c:axId val="165018624"/>
        <c:axId val="165036800"/>
      </c:barChart>
      <c:catAx>
        <c:axId val="165018624"/>
        <c:scaling>
          <c:orientation val="minMax"/>
        </c:scaling>
        <c:delete val="0"/>
        <c:axPos val="b"/>
        <c:numFmt formatCode="General" sourceLinked="1"/>
        <c:majorTickMark val="out"/>
        <c:minorTickMark val="none"/>
        <c:tickLblPos val="nextTo"/>
        <c:txPr>
          <a:bodyPr rot="0" vert="horz"/>
          <a:lstStyle/>
          <a:p>
            <a:pPr>
              <a:defRPr/>
            </a:pPr>
            <a:endParaRPr lang="es-GT"/>
          </a:p>
        </c:txPr>
        <c:crossAx val="165036800"/>
        <c:crosses val="autoZero"/>
        <c:auto val="1"/>
        <c:lblAlgn val="ctr"/>
        <c:lblOffset val="100"/>
        <c:noMultiLvlLbl val="0"/>
      </c:catAx>
      <c:valAx>
        <c:axId val="165036800"/>
        <c:scaling>
          <c:orientation val="minMax"/>
        </c:scaling>
        <c:delete val="0"/>
        <c:axPos val="l"/>
        <c:numFmt formatCode="_(* #,##0.00_);_(* \(#,##0.00\);_(* &quot;-&quot;??_);_(@_)" sourceLinked="1"/>
        <c:majorTickMark val="out"/>
        <c:minorTickMark val="none"/>
        <c:tickLblPos val="nextTo"/>
        <c:txPr>
          <a:bodyPr rot="0" vert="horz"/>
          <a:lstStyle/>
          <a:p>
            <a:pPr>
              <a:defRPr/>
            </a:pPr>
            <a:endParaRPr lang="es-GT"/>
          </a:p>
        </c:txPr>
        <c:crossAx val="165018624"/>
        <c:crosses val="autoZero"/>
        <c:crossBetween val="between"/>
      </c:valAx>
    </c:plotArea>
    <c:plotVisOnly val="1"/>
    <c:dispBlanksAs val="gap"/>
    <c:showDLblsOverMax val="0"/>
  </c:chart>
  <c:spPr>
    <a:ln>
      <a:noFill/>
    </a:ln>
  </c:spPr>
  <c:txPr>
    <a:bodyPr/>
    <a:lstStyle/>
    <a:p>
      <a:pPr>
        <a:defRPr sz="800"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es-G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5487398412547835E-2"/>
          <c:y val="1.5603080816146029E-2"/>
          <c:w val="0.90005477026215097"/>
          <c:h val="0.92806933064724162"/>
        </c:manualLayout>
      </c:layout>
      <c:barChart>
        <c:barDir val="col"/>
        <c:grouping val="clustered"/>
        <c:varyColors val="0"/>
        <c:ser>
          <c:idx val="1"/>
          <c:order val="0"/>
          <c:spPr>
            <a:solidFill>
              <a:schemeClr val="tx2"/>
            </a:solidFill>
          </c:spPr>
          <c:invertIfNegative val="0"/>
          <c:dPt>
            <c:idx val="9"/>
            <c:invertIfNegative val="0"/>
            <c:bubble3D val="0"/>
            <c:spPr>
              <a:solidFill>
                <a:schemeClr val="tx2"/>
              </a:solidFill>
            </c:spPr>
            <c:extLst>
              <c:ext xmlns:c16="http://schemas.microsoft.com/office/drawing/2014/chart" uri="{C3380CC4-5D6E-409C-BE32-E72D297353CC}">
                <c16:uniqueId val="{00000001-29BC-42FA-B356-3F70207B6730}"/>
              </c:ext>
            </c:extLst>
          </c:dPt>
          <c:dPt>
            <c:idx val="10"/>
            <c:invertIfNegative val="0"/>
            <c:bubble3D val="0"/>
            <c:spPr>
              <a:solidFill>
                <a:schemeClr val="tx2"/>
              </a:solidFill>
              <a:ln>
                <a:solidFill>
                  <a:schemeClr val="tx2">
                    <a:lumMod val="50000"/>
                  </a:schemeClr>
                </a:solidFill>
              </a:ln>
            </c:spPr>
            <c:extLst>
              <c:ext xmlns:c16="http://schemas.microsoft.com/office/drawing/2014/chart" uri="{C3380CC4-5D6E-409C-BE32-E72D297353CC}">
                <c16:uniqueId val="{00000003-29BC-42FA-B356-3F70207B6730}"/>
              </c:ext>
            </c:extLst>
          </c:dPt>
          <c:dPt>
            <c:idx val="11"/>
            <c:invertIfNegative val="0"/>
            <c:bubble3D val="0"/>
            <c:spPr>
              <a:solidFill>
                <a:schemeClr val="tx2">
                  <a:lumMod val="50000"/>
                </a:schemeClr>
              </a:solidFill>
            </c:spPr>
            <c:extLst>
              <c:ext xmlns:c16="http://schemas.microsoft.com/office/drawing/2014/chart" uri="{C3380CC4-5D6E-409C-BE32-E72D297353CC}">
                <c16:uniqueId val="{00000005-29BC-42FA-B356-3F70207B6730}"/>
              </c:ext>
            </c:extLst>
          </c:dPt>
          <c:dLbls>
            <c:numFmt formatCode="#,##0.0" sourceLinked="0"/>
            <c:spPr>
              <a:noFill/>
              <a:ln>
                <a:noFill/>
              </a:ln>
              <a:effectLst/>
            </c:spPr>
            <c:txPr>
              <a:bodyPr wrap="square" lIns="38100" tIns="19050" rIns="38100" bIns="19050" anchor="ctr">
                <a:spAutoFit/>
              </a:bodyPr>
              <a:lstStyle/>
              <a:p>
                <a:pPr>
                  <a:defRPr sz="700" b="1"/>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RMI!$B$40:$B$51</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RMI!$C$40:$C$51</c:f>
              <c:numCache>
                <c:formatCode>#,##0.0</c:formatCode>
                <c:ptCount val="12"/>
                <c:pt idx="0">
                  <c:v>5953.8</c:v>
                </c:pt>
                <c:pt idx="1">
                  <c:v>6187.9</c:v>
                </c:pt>
                <c:pt idx="2">
                  <c:v>6693.8</c:v>
                </c:pt>
                <c:pt idx="3">
                  <c:v>7272.6</c:v>
                </c:pt>
                <c:pt idx="4">
                  <c:v>7333.4</c:v>
                </c:pt>
                <c:pt idx="5">
                  <c:v>7751.2</c:v>
                </c:pt>
                <c:pt idx="6">
                  <c:v>9160.4</c:v>
                </c:pt>
                <c:pt idx="7">
                  <c:v>11769.5</c:v>
                </c:pt>
                <c:pt idx="8">
                  <c:v>12755.6</c:v>
                </c:pt>
                <c:pt idx="9">
                  <c:v>14789</c:v>
                </c:pt>
                <c:pt idx="10">
                  <c:v>18468.2</c:v>
                </c:pt>
                <c:pt idx="11">
                  <c:v>20939.599999999999</c:v>
                </c:pt>
              </c:numCache>
            </c:numRef>
          </c:val>
          <c:extLst>
            <c:ext xmlns:c16="http://schemas.microsoft.com/office/drawing/2014/chart" uri="{C3380CC4-5D6E-409C-BE32-E72D297353CC}">
              <c16:uniqueId val="{00000006-29BC-42FA-B356-3F70207B6730}"/>
            </c:ext>
          </c:extLst>
        </c:ser>
        <c:dLbls>
          <c:showLegendKey val="0"/>
          <c:showVal val="0"/>
          <c:showCatName val="0"/>
          <c:showSerName val="0"/>
          <c:showPercent val="0"/>
          <c:showBubbleSize val="0"/>
        </c:dLbls>
        <c:gapWidth val="36"/>
        <c:axId val="165081856"/>
        <c:axId val="165083392"/>
      </c:barChart>
      <c:catAx>
        <c:axId val="165081856"/>
        <c:scaling>
          <c:orientation val="minMax"/>
        </c:scaling>
        <c:delete val="0"/>
        <c:axPos val="b"/>
        <c:numFmt formatCode="General" sourceLinked="1"/>
        <c:majorTickMark val="out"/>
        <c:minorTickMark val="none"/>
        <c:tickLblPos val="nextTo"/>
        <c:crossAx val="165083392"/>
        <c:crosses val="autoZero"/>
        <c:auto val="1"/>
        <c:lblAlgn val="ctr"/>
        <c:lblOffset val="100"/>
        <c:noMultiLvlLbl val="0"/>
      </c:catAx>
      <c:valAx>
        <c:axId val="165083392"/>
        <c:scaling>
          <c:orientation val="minMax"/>
        </c:scaling>
        <c:delete val="0"/>
        <c:axPos val="l"/>
        <c:numFmt formatCode="#,##0.0" sourceLinked="1"/>
        <c:majorTickMark val="out"/>
        <c:minorTickMark val="none"/>
        <c:tickLblPos val="nextTo"/>
        <c:crossAx val="165081856"/>
        <c:crosses val="autoZero"/>
        <c:crossBetween val="between"/>
      </c:valAx>
      <c:spPr>
        <a:ln>
          <a:noFill/>
        </a:ln>
      </c:spPr>
    </c:plotArea>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2563677186985791E-2"/>
          <c:y val="1.8750656167979007E-2"/>
          <c:w val="0.92967941752165606"/>
          <c:h val="0.84874429707990018"/>
        </c:manualLayout>
      </c:layout>
      <c:lineChart>
        <c:grouping val="standard"/>
        <c:varyColors val="0"/>
        <c:ser>
          <c:idx val="0"/>
          <c:order val="0"/>
          <c:spPr>
            <a:ln w="25400"/>
          </c:spPr>
          <c:marker>
            <c:symbol val="none"/>
          </c:marker>
          <c:dPt>
            <c:idx val="167"/>
            <c:bubble3D val="0"/>
            <c:extLst>
              <c:ext xmlns:c16="http://schemas.microsoft.com/office/drawing/2014/chart" uri="{C3380CC4-5D6E-409C-BE32-E72D297353CC}">
                <c16:uniqueId val="{00000000-6108-4219-BDEE-C775EC3E5E87}"/>
              </c:ext>
            </c:extLst>
          </c:dPt>
          <c:dLbls>
            <c:dLbl>
              <c:idx val="167"/>
              <c:layout>
                <c:manualLayout>
                  <c:x val="0"/>
                  <c:y val="-2.69749518304431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08-4219-BDEE-C775EC3E5E87}"/>
                </c:ext>
              </c:extLst>
            </c:dLbl>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'Tasa lider'!$B$6:$B$173</c:f>
              <c:numCache>
                <c:formatCode>mmm\-yy</c:formatCode>
                <c:ptCount val="168"/>
                <c:pt idx="0">
                  <c:v>39448</c:v>
                </c:pt>
                <c:pt idx="1">
                  <c:v>39479</c:v>
                </c:pt>
                <c:pt idx="2">
                  <c:v>39508</c:v>
                </c:pt>
                <c:pt idx="3">
                  <c:v>39539</c:v>
                </c:pt>
                <c:pt idx="4">
                  <c:v>39569</c:v>
                </c:pt>
                <c:pt idx="5">
                  <c:v>39600</c:v>
                </c:pt>
                <c:pt idx="6">
                  <c:v>39630</c:v>
                </c:pt>
                <c:pt idx="7">
                  <c:v>39661</c:v>
                </c:pt>
                <c:pt idx="8">
                  <c:v>39692</c:v>
                </c:pt>
                <c:pt idx="9">
                  <c:v>39722</c:v>
                </c:pt>
                <c:pt idx="10">
                  <c:v>39753</c:v>
                </c:pt>
                <c:pt idx="11">
                  <c:v>39783</c:v>
                </c:pt>
                <c:pt idx="12">
                  <c:v>39814</c:v>
                </c:pt>
                <c:pt idx="13">
                  <c:v>39845</c:v>
                </c:pt>
                <c:pt idx="14">
                  <c:v>39873</c:v>
                </c:pt>
                <c:pt idx="15">
                  <c:v>39904</c:v>
                </c:pt>
                <c:pt idx="16">
                  <c:v>39934</c:v>
                </c:pt>
                <c:pt idx="17">
                  <c:v>39965</c:v>
                </c:pt>
                <c:pt idx="18">
                  <c:v>39995</c:v>
                </c:pt>
                <c:pt idx="19">
                  <c:v>40026</c:v>
                </c:pt>
                <c:pt idx="20">
                  <c:v>40057</c:v>
                </c:pt>
                <c:pt idx="21">
                  <c:v>40087</c:v>
                </c:pt>
                <c:pt idx="22">
                  <c:v>40118</c:v>
                </c:pt>
                <c:pt idx="23">
                  <c:v>40148</c:v>
                </c:pt>
                <c:pt idx="24">
                  <c:v>40179</c:v>
                </c:pt>
                <c:pt idx="25">
                  <c:v>40210</c:v>
                </c:pt>
                <c:pt idx="26">
                  <c:v>40238</c:v>
                </c:pt>
                <c:pt idx="27">
                  <c:v>40269</c:v>
                </c:pt>
                <c:pt idx="28">
                  <c:v>40299</c:v>
                </c:pt>
                <c:pt idx="29">
                  <c:v>40330</c:v>
                </c:pt>
                <c:pt idx="30">
                  <c:v>40360</c:v>
                </c:pt>
                <c:pt idx="31">
                  <c:v>40391</c:v>
                </c:pt>
                <c:pt idx="32">
                  <c:v>40422</c:v>
                </c:pt>
                <c:pt idx="33">
                  <c:v>40452</c:v>
                </c:pt>
                <c:pt idx="34">
                  <c:v>40483</c:v>
                </c:pt>
                <c:pt idx="35">
                  <c:v>40513</c:v>
                </c:pt>
                <c:pt idx="36">
                  <c:v>40544</c:v>
                </c:pt>
                <c:pt idx="37">
                  <c:v>40575</c:v>
                </c:pt>
                <c:pt idx="38">
                  <c:v>40603</c:v>
                </c:pt>
                <c:pt idx="39">
                  <c:v>40634</c:v>
                </c:pt>
                <c:pt idx="40">
                  <c:v>40664</c:v>
                </c:pt>
                <c:pt idx="41">
                  <c:v>40695</c:v>
                </c:pt>
                <c:pt idx="42">
                  <c:v>40725</c:v>
                </c:pt>
                <c:pt idx="43">
                  <c:v>40756</c:v>
                </c:pt>
                <c:pt idx="44">
                  <c:v>40787</c:v>
                </c:pt>
                <c:pt idx="45">
                  <c:v>40817</c:v>
                </c:pt>
                <c:pt idx="46">
                  <c:v>40848</c:v>
                </c:pt>
                <c:pt idx="47">
                  <c:v>40878</c:v>
                </c:pt>
                <c:pt idx="48">
                  <c:v>40909</c:v>
                </c:pt>
                <c:pt idx="49">
                  <c:v>40940</c:v>
                </c:pt>
                <c:pt idx="50">
                  <c:v>40969</c:v>
                </c:pt>
                <c:pt idx="51">
                  <c:v>41000</c:v>
                </c:pt>
                <c:pt idx="52">
                  <c:v>41030</c:v>
                </c:pt>
                <c:pt idx="53">
                  <c:v>41061</c:v>
                </c:pt>
                <c:pt idx="54">
                  <c:v>41091</c:v>
                </c:pt>
                <c:pt idx="55">
                  <c:v>41122</c:v>
                </c:pt>
                <c:pt idx="56">
                  <c:v>41153</c:v>
                </c:pt>
                <c:pt idx="57">
                  <c:v>41183</c:v>
                </c:pt>
                <c:pt idx="58">
                  <c:v>41214</c:v>
                </c:pt>
                <c:pt idx="59">
                  <c:v>41244</c:v>
                </c:pt>
                <c:pt idx="60">
                  <c:v>41275</c:v>
                </c:pt>
                <c:pt idx="61">
                  <c:v>41306</c:v>
                </c:pt>
                <c:pt idx="62">
                  <c:v>41334</c:v>
                </c:pt>
                <c:pt idx="63">
                  <c:v>41365</c:v>
                </c:pt>
                <c:pt idx="64">
                  <c:v>41395</c:v>
                </c:pt>
                <c:pt idx="65">
                  <c:v>41426</c:v>
                </c:pt>
                <c:pt idx="66">
                  <c:v>41456</c:v>
                </c:pt>
                <c:pt idx="67">
                  <c:v>41487</c:v>
                </c:pt>
                <c:pt idx="68">
                  <c:v>41518</c:v>
                </c:pt>
                <c:pt idx="69">
                  <c:v>41548</c:v>
                </c:pt>
                <c:pt idx="70">
                  <c:v>41579</c:v>
                </c:pt>
                <c:pt idx="71">
                  <c:v>41609</c:v>
                </c:pt>
                <c:pt idx="72">
                  <c:v>41640</c:v>
                </c:pt>
                <c:pt idx="73">
                  <c:v>41671</c:v>
                </c:pt>
                <c:pt idx="74">
                  <c:v>41699</c:v>
                </c:pt>
                <c:pt idx="75">
                  <c:v>41730</c:v>
                </c:pt>
                <c:pt idx="76">
                  <c:v>41760</c:v>
                </c:pt>
                <c:pt idx="77">
                  <c:v>41791</c:v>
                </c:pt>
                <c:pt idx="78">
                  <c:v>41821</c:v>
                </c:pt>
                <c:pt idx="79">
                  <c:v>41852</c:v>
                </c:pt>
                <c:pt idx="80">
                  <c:v>41883</c:v>
                </c:pt>
                <c:pt idx="81">
                  <c:v>41913</c:v>
                </c:pt>
                <c:pt idx="82">
                  <c:v>41944</c:v>
                </c:pt>
                <c:pt idx="83">
                  <c:v>41974</c:v>
                </c:pt>
                <c:pt idx="84">
                  <c:v>42005</c:v>
                </c:pt>
                <c:pt idx="85">
                  <c:v>42036</c:v>
                </c:pt>
                <c:pt idx="86">
                  <c:v>42064</c:v>
                </c:pt>
                <c:pt idx="87">
                  <c:v>42095</c:v>
                </c:pt>
                <c:pt idx="88">
                  <c:v>42125</c:v>
                </c:pt>
                <c:pt idx="89">
                  <c:v>42156</c:v>
                </c:pt>
                <c:pt idx="90">
                  <c:v>42186</c:v>
                </c:pt>
                <c:pt idx="91">
                  <c:v>42217</c:v>
                </c:pt>
                <c:pt idx="92">
                  <c:v>42248</c:v>
                </c:pt>
                <c:pt idx="93">
                  <c:v>42278</c:v>
                </c:pt>
                <c:pt idx="94">
                  <c:v>42309</c:v>
                </c:pt>
                <c:pt idx="95">
                  <c:v>42339</c:v>
                </c:pt>
                <c:pt idx="96">
                  <c:v>42370</c:v>
                </c:pt>
                <c:pt idx="97">
                  <c:v>42401</c:v>
                </c:pt>
                <c:pt idx="98">
                  <c:v>42430</c:v>
                </c:pt>
                <c:pt idx="99">
                  <c:v>42461</c:v>
                </c:pt>
                <c:pt idx="100">
                  <c:v>42491</c:v>
                </c:pt>
                <c:pt idx="101">
                  <c:v>42522</c:v>
                </c:pt>
                <c:pt idx="102">
                  <c:v>42552</c:v>
                </c:pt>
                <c:pt idx="103">
                  <c:v>42583</c:v>
                </c:pt>
                <c:pt idx="104">
                  <c:v>42614</c:v>
                </c:pt>
                <c:pt idx="105">
                  <c:v>42644</c:v>
                </c:pt>
                <c:pt idx="106">
                  <c:v>42675</c:v>
                </c:pt>
                <c:pt idx="107">
                  <c:v>42705</c:v>
                </c:pt>
                <c:pt idx="108">
                  <c:v>42736</c:v>
                </c:pt>
                <c:pt idx="109">
                  <c:v>42767</c:v>
                </c:pt>
                <c:pt idx="110">
                  <c:v>42795</c:v>
                </c:pt>
                <c:pt idx="111">
                  <c:v>42826</c:v>
                </c:pt>
                <c:pt idx="112">
                  <c:v>42856</c:v>
                </c:pt>
                <c:pt idx="113">
                  <c:v>42887</c:v>
                </c:pt>
                <c:pt idx="114">
                  <c:v>42917</c:v>
                </c:pt>
                <c:pt idx="115">
                  <c:v>42948</c:v>
                </c:pt>
                <c:pt idx="116">
                  <c:v>42979</c:v>
                </c:pt>
                <c:pt idx="117">
                  <c:v>43009</c:v>
                </c:pt>
                <c:pt idx="118">
                  <c:v>43040</c:v>
                </c:pt>
                <c:pt idx="119">
                  <c:v>43070</c:v>
                </c:pt>
                <c:pt idx="120">
                  <c:v>43101</c:v>
                </c:pt>
                <c:pt idx="121">
                  <c:v>43132</c:v>
                </c:pt>
                <c:pt idx="122">
                  <c:v>43160</c:v>
                </c:pt>
                <c:pt idx="123">
                  <c:v>43191</c:v>
                </c:pt>
                <c:pt idx="124">
                  <c:v>43221</c:v>
                </c:pt>
                <c:pt idx="125">
                  <c:v>43252</c:v>
                </c:pt>
                <c:pt idx="126">
                  <c:v>43282</c:v>
                </c:pt>
                <c:pt idx="127">
                  <c:v>43313</c:v>
                </c:pt>
                <c:pt idx="128">
                  <c:v>43344</c:v>
                </c:pt>
                <c:pt idx="129">
                  <c:v>43374</c:v>
                </c:pt>
                <c:pt idx="130">
                  <c:v>43405</c:v>
                </c:pt>
                <c:pt idx="131">
                  <c:v>43435</c:v>
                </c:pt>
                <c:pt idx="132">
                  <c:v>43466</c:v>
                </c:pt>
                <c:pt idx="133">
                  <c:v>43497</c:v>
                </c:pt>
                <c:pt idx="134">
                  <c:v>43525</c:v>
                </c:pt>
                <c:pt idx="135">
                  <c:v>43556</c:v>
                </c:pt>
                <c:pt idx="136">
                  <c:v>43586</c:v>
                </c:pt>
                <c:pt idx="137">
                  <c:v>43617</c:v>
                </c:pt>
                <c:pt idx="138">
                  <c:v>43647</c:v>
                </c:pt>
                <c:pt idx="139">
                  <c:v>43678</c:v>
                </c:pt>
                <c:pt idx="140">
                  <c:v>43709</c:v>
                </c:pt>
                <c:pt idx="141">
                  <c:v>43739</c:v>
                </c:pt>
                <c:pt idx="142">
                  <c:v>43770</c:v>
                </c:pt>
                <c:pt idx="143">
                  <c:v>43800</c:v>
                </c:pt>
                <c:pt idx="144">
                  <c:v>43831</c:v>
                </c:pt>
                <c:pt idx="145">
                  <c:v>43862</c:v>
                </c:pt>
                <c:pt idx="146">
                  <c:v>43891</c:v>
                </c:pt>
                <c:pt idx="147">
                  <c:v>43922</c:v>
                </c:pt>
                <c:pt idx="148">
                  <c:v>43952</c:v>
                </c:pt>
                <c:pt idx="149">
                  <c:v>43983</c:v>
                </c:pt>
                <c:pt idx="150">
                  <c:v>44013</c:v>
                </c:pt>
                <c:pt idx="151">
                  <c:v>44044</c:v>
                </c:pt>
                <c:pt idx="152">
                  <c:v>44075</c:v>
                </c:pt>
                <c:pt idx="153">
                  <c:v>44105</c:v>
                </c:pt>
                <c:pt idx="154">
                  <c:v>44136</c:v>
                </c:pt>
                <c:pt idx="155">
                  <c:v>44166</c:v>
                </c:pt>
                <c:pt idx="156">
                  <c:v>44197</c:v>
                </c:pt>
                <c:pt idx="157">
                  <c:v>44228</c:v>
                </c:pt>
                <c:pt idx="158">
                  <c:v>44256</c:v>
                </c:pt>
                <c:pt idx="159">
                  <c:v>44287</c:v>
                </c:pt>
                <c:pt idx="160">
                  <c:v>44317</c:v>
                </c:pt>
                <c:pt idx="161">
                  <c:v>44348</c:v>
                </c:pt>
                <c:pt idx="162">
                  <c:v>44378</c:v>
                </c:pt>
                <c:pt idx="163">
                  <c:v>44409</c:v>
                </c:pt>
                <c:pt idx="164">
                  <c:v>44440</c:v>
                </c:pt>
                <c:pt idx="165">
                  <c:v>44470</c:v>
                </c:pt>
                <c:pt idx="166">
                  <c:v>44501</c:v>
                </c:pt>
                <c:pt idx="167">
                  <c:v>44531</c:v>
                </c:pt>
              </c:numCache>
            </c:numRef>
          </c:cat>
          <c:val>
            <c:numRef>
              <c:f>'Tasa lider'!$C$6:$C$173</c:f>
              <c:numCache>
                <c:formatCode>0.00</c:formatCode>
                <c:ptCount val="168"/>
                <c:pt idx="0">
                  <c:v>6.5</c:v>
                </c:pt>
                <c:pt idx="1">
                  <c:v>6.5</c:v>
                </c:pt>
                <c:pt idx="2">
                  <c:v>6.75</c:v>
                </c:pt>
                <c:pt idx="3">
                  <c:v>6.75</c:v>
                </c:pt>
                <c:pt idx="4">
                  <c:v>6.75</c:v>
                </c:pt>
                <c:pt idx="5">
                  <c:v>6.75</c:v>
                </c:pt>
                <c:pt idx="6">
                  <c:v>7.25</c:v>
                </c:pt>
                <c:pt idx="7">
                  <c:v>7.25</c:v>
                </c:pt>
                <c:pt idx="8">
                  <c:v>7.25</c:v>
                </c:pt>
                <c:pt idx="9">
                  <c:v>7.25</c:v>
                </c:pt>
                <c:pt idx="10">
                  <c:v>7.25</c:v>
                </c:pt>
                <c:pt idx="11">
                  <c:v>7.25</c:v>
                </c:pt>
                <c:pt idx="12">
                  <c:v>7</c:v>
                </c:pt>
                <c:pt idx="13">
                  <c:v>6.5</c:v>
                </c:pt>
                <c:pt idx="14">
                  <c:v>6.25</c:v>
                </c:pt>
                <c:pt idx="15">
                  <c:v>5.75</c:v>
                </c:pt>
                <c:pt idx="16">
                  <c:v>5.75</c:v>
                </c:pt>
                <c:pt idx="17">
                  <c:v>5.25</c:v>
                </c:pt>
                <c:pt idx="18">
                  <c:v>4.75</c:v>
                </c:pt>
                <c:pt idx="19">
                  <c:v>4.75</c:v>
                </c:pt>
                <c:pt idx="20">
                  <c:v>4.5</c:v>
                </c:pt>
                <c:pt idx="21">
                  <c:v>4.5</c:v>
                </c:pt>
                <c:pt idx="22">
                  <c:v>4.5</c:v>
                </c:pt>
                <c:pt idx="23">
                  <c:v>4.5</c:v>
                </c:pt>
                <c:pt idx="24">
                  <c:v>4.5</c:v>
                </c:pt>
                <c:pt idx="25">
                  <c:v>4.5</c:v>
                </c:pt>
                <c:pt idx="26">
                  <c:v>4.5</c:v>
                </c:pt>
                <c:pt idx="27">
                  <c:v>4.5</c:v>
                </c:pt>
                <c:pt idx="28">
                  <c:v>4.5</c:v>
                </c:pt>
                <c:pt idx="29">
                  <c:v>4.5</c:v>
                </c:pt>
                <c:pt idx="30">
                  <c:v>4.5</c:v>
                </c:pt>
                <c:pt idx="31">
                  <c:v>4.5</c:v>
                </c:pt>
                <c:pt idx="32">
                  <c:v>4.5</c:v>
                </c:pt>
                <c:pt idx="33">
                  <c:v>4.5</c:v>
                </c:pt>
                <c:pt idx="34">
                  <c:v>4.5</c:v>
                </c:pt>
                <c:pt idx="35">
                  <c:v>4.5</c:v>
                </c:pt>
                <c:pt idx="36">
                  <c:v>4.5</c:v>
                </c:pt>
                <c:pt idx="37">
                  <c:v>4.5</c:v>
                </c:pt>
                <c:pt idx="38">
                  <c:v>4.75</c:v>
                </c:pt>
                <c:pt idx="39">
                  <c:v>4.75</c:v>
                </c:pt>
                <c:pt idx="40">
                  <c:v>4.75</c:v>
                </c:pt>
                <c:pt idx="41">
                  <c:v>4.75</c:v>
                </c:pt>
                <c:pt idx="42">
                  <c:v>5</c:v>
                </c:pt>
                <c:pt idx="43">
                  <c:v>5</c:v>
                </c:pt>
                <c:pt idx="44">
                  <c:v>5.5</c:v>
                </c:pt>
                <c:pt idx="45">
                  <c:v>5.5</c:v>
                </c:pt>
                <c:pt idx="46">
                  <c:v>5.5</c:v>
                </c:pt>
                <c:pt idx="47">
                  <c:v>5.5</c:v>
                </c:pt>
                <c:pt idx="48">
                  <c:v>5.5</c:v>
                </c:pt>
                <c:pt idx="49">
                  <c:v>5.5</c:v>
                </c:pt>
                <c:pt idx="50">
                  <c:v>5.5</c:v>
                </c:pt>
                <c:pt idx="51">
                  <c:v>5.5</c:v>
                </c:pt>
                <c:pt idx="52">
                  <c:v>5.5</c:v>
                </c:pt>
                <c:pt idx="53">
                  <c:v>5</c:v>
                </c:pt>
                <c:pt idx="54">
                  <c:v>5</c:v>
                </c:pt>
                <c:pt idx="55">
                  <c:v>5</c:v>
                </c:pt>
                <c:pt idx="56">
                  <c:v>5</c:v>
                </c:pt>
                <c:pt idx="57">
                  <c:v>5</c:v>
                </c:pt>
                <c:pt idx="58">
                  <c:v>5</c:v>
                </c:pt>
                <c:pt idx="59">
                  <c:v>5</c:v>
                </c:pt>
                <c:pt idx="60">
                  <c:v>5</c:v>
                </c:pt>
                <c:pt idx="61">
                  <c:v>5</c:v>
                </c:pt>
                <c:pt idx="62">
                  <c:v>5</c:v>
                </c:pt>
                <c:pt idx="63">
                  <c:v>5.25</c:v>
                </c:pt>
                <c:pt idx="64">
                  <c:v>5.25</c:v>
                </c:pt>
                <c:pt idx="65">
                  <c:v>5.25</c:v>
                </c:pt>
                <c:pt idx="66">
                  <c:v>5.25</c:v>
                </c:pt>
                <c:pt idx="67">
                  <c:v>5.25</c:v>
                </c:pt>
                <c:pt idx="68">
                  <c:v>5.25</c:v>
                </c:pt>
                <c:pt idx="69">
                  <c:v>5</c:v>
                </c:pt>
                <c:pt idx="70">
                  <c:v>5</c:v>
                </c:pt>
                <c:pt idx="71">
                  <c:v>5</c:v>
                </c:pt>
                <c:pt idx="72">
                  <c:v>5</c:v>
                </c:pt>
                <c:pt idx="73">
                  <c:v>5</c:v>
                </c:pt>
                <c:pt idx="74">
                  <c:v>5</c:v>
                </c:pt>
                <c:pt idx="75" formatCode="General">
                  <c:v>5</c:v>
                </c:pt>
                <c:pt idx="76" formatCode="General">
                  <c:v>4.75</c:v>
                </c:pt>
                <c:pt idx="77" formatCode="General">
                  <c:v>4.75</c:v>
                </c:pt>
                <c:pt idx="78" formatCode="General">
                  <c:v>4.75</c:v>
                </c:pt>
                <c:pt idx="79" formatCode="General">
                  <c:v>4.5</c:v>
                </c:pt>
                <c:pt idx="80" formatCode="General">
                  <c:v>4.5</c:v>
                </c:pt>
                <c:pt idx="81" formatCode="General">
                  <c:v>4.5</c:v>
                </c:pt>
                <c:pt idx="82" formatCode="General">
                  <c:v>4</c:v>
                </c:pt>
                <c:pt idx="83" formatCode="General">
                  <c:v>4</c:v>
                </c:pt>
                <c:pt idx="84" formatCode="General">
                  <c:v>4</c:v>
                </c:pt>
                <c:pt idx="85" formatCode="General">
                  <c:v>4</c:v>
                </c:pt>
                <c:pt idx="86" formatCode="General">
                  <c:v>4</c:v>
                </c:pt>
                <c:pt idx="87" formatCode="General">
                  <c:v>4</c:v>
                </c:pt>
                <c:pt idx="88" formatCode="General">
                  <c:v>3.5</c:v>
                </c:pt>
                <c:pt idx="89" formatCode="General">
                  <c:v>3.5</c:v>
                </c:pt>
                <c:pt idx="90" formatCode="General">
                  <c:v>3.5</c:v>
                </c:pt>
                <c:pt idx="91" formatCode="General">
                  <c:v>3.25</c:v>
                </c:pt>
                <c:pt idx="92" formatCode="General">
                  <c:v>3.25</c:v>
                </c:pt>
                <c:pt idx="93" formatCode="General">
                  <c:v>3.25</c:v>
                </c:pt>
                <c:pt idx="94" formatCode="General">
                  <c:v>3</c:v>
                </c:pt>
                <c:pt idx="95" formatCode="General">
                  <c:v>3</c:v>
                </c:pt>
                <c:pt idx="96" formatCode="General">
                  <c:v>3</c:v>
                </c:pt>
                <c:pt idx="97" formatCode="General">
                  <c:v>3</c:v>
                </c:pt>
                <c:pt idx="98" formatCode="General">
                  <c:v>3</c:v>
                </c:pt>
                <c:pt idx="99" formatCode="General">
                  <c:v>3</c:v>
                </c:pt>
                <c:pt idx="100" formatCode="General">
                  <c:v>3</c:v>
                </c:pt>
                <c:pt idx="101" formatCode="General">
                  <c:v>3</c:v>
                </c:pt>
                <c:pt idx="102" formatCode="General">
                  <c:v>3</c:v>
                </c:pt>
                <c:pt idx="103" formatCode="General">
                  <c:v>3</c:v>
                </c:pt>
                <c:pt idx="104" formatCode="General">
                  <c:v>3</c:v>
                </c:pt>
                <c:pt idx="105" formatCode="General">
                  <c:v>3</c:v>
                </c:pt>
                <c:pt idx="106" formatCode="General">
                  <c:v>3</c:v>
                </c:pt>
                <c:pt idx="107" formatCode="General">
                  <c:v>3</c:v>
                </c:pt>
                <c:pt idx="108" formatCode="General">
                  <c:v>3</c:v>
                </c:pt>
                <c:pt idx="109" formatCode="General">
                  <c:v>3</c:v>
                </c:pt>
                <c:pt idx="110" formatCode="General">
                  <c:v>3</c:v>
                </c:pt>
                <c:pt idx="111" formatCode="General">
                  <c:v>3</c:v>
                </c:pt>
                <c:pt idx="112" formatCode="General">
                  <c:v>3</c:v>
                </c:pt>
                <c:pt idx="113" formatCode="General">
                  <c:v>3</c:v>
                </c:pt>
                <c:pt idx="114" formatCode="General">
                  <c:v>3</c:v>
                </c:pt>
                <c:pt idx="115" formatCode="General">
                  <c:v>3</c:v>
                </c:pt>
                <c:pt idx="116" formatCode="General">
                  <c:v>3</c:v>
                </c:pt>
                <c:pt idx="117" formatCode="General">
                  <c:v>2.75</c:v>
                </c:pt>
                <c:pt idx="118" formatCode="General">
                  <c:v>2.75</c:v>
                </c:pt>
                <c:pt idx="119" formatCode="General">
                  <c:v>2.75</c:v>
                </c:pt>
                <c:pt idx="120" formatCode="General">
                  <c:v>2.75</c:v>
                </c:pt>
                <c:pt idx="121" formatCode="General">
                  <c:v>2.75</c:v>
                </c:pt>
                <c:pt idx="122" formatCode="General">
                  <c:v>2.75</c:v>
                </c:pt>
                <c:pt idx="123" formatCode="General">
                  <c:v>2.75</c:v>
                </c:pt>
                <c:pt idx="124" formatCode="General">
                  <c:v>2.75</c:v>
                </c:pt>
                <c:pt idx="125" formatCode="General">
                  <c:v>2.75</c:v>
                </c:pt>
                <c:pt idx="126" formatCode="General">
                  <c:v>2.75</c:v>
                </c:pt>
                <c:pt idx="127" formatCode="General">
                  <c:v>2.75</c:v>
                </c:pt>
                <c:pt idx="128" formatCode="General">
                  <c:v>2.75</c:v>
                </c:pt>
                <c:pt idx="129" formatCode="General">
                  <c:v>2.75</c:v>
                </c:pt>
                <c:pt idx="130" formatCode="General">
                  <c:v>2.75</c:v>
                </c:pt>
                <c:pt idx="131" formatCode="General">
                  <c:v>2.75</c:v>
                </c:pt>
                <c:pt idx="132" formatCode="General">
                  <c:v>2.75</c:v>
                </c:pt>
                <c:pt idx="133" formatCode="General">
                  <c:v>2.75</c:v>
                </c:pt>
                <c:pt idx="134" formatCode="General">
                  <c:v>2.75</c:v>
                </c:pt>
                <c:pt idx="135" formatCode="General">
                  <c:v>2.75</c:v>
                </c:pt>
                <c:pt idx="136" formatCode="General">
                  <c:v>2.75</c:v>
                </c:pt>
                <c:pt idx="137" formatCode="General">
                  <c:v>2.75</c:v>
                </c:pt>
                <c:pt idx="138" formatCode="General">
                  <c:v>2.75</c:v>
                </c:pt>
                <c:pt idx="139" formatCode="General">
                  <c:v>2.75</c:v>
                </c:pt>
                <c:pt idx="140" formatCode="General">
                  <c:v>2.75</c:v>
                </c:pt>
                <c:pt idx="141" formatCode="General">
                  <c:v>2.75</c:v>
                </c:pt>
                <c:pt idx="142" formatCode="General">
                  <c:v>2.75</c:v>
                </c:pt>
                <c:pt idx="143" formatCode="General">
                  <c:v>2.75</c:v>
                </c:pt>
                <c:pt idx="144" formatCode="General">
                  <c:v>2.75</c:v>
                </c:pt>
                <c:pt idx="145" formatCode="General">
                  <c:v>2.75</c:v>
                </c:pt>
                <c:pt idx="146" formatCode="0.0">
                  <c:v>2</c:v>
                </c:pt>
                <c:pt idx="147" formatCode="0.0">
                  <c:v>2</c:v>
                </c:pt>
                <c:pt idx="148" formatCode="0.0">
                  <c:v>2</c:v>
                </c:pt>
                <c:pt idx="149" formatCode="General">
                  <c:v>1.75</c:v>
                </c:pt>
                <c:pt idx="150" formatCode="General">
                  <c:v>1.75</c:v>
                </c:pt>
                <c:pt idx="151" formatCode="General">
                  <c:v>1.75</c:v>
                </c:pt>
                <c:pt idx="152" formatCode="General">
                  <c:v>1.75</c:v>
                </c:pt>
                <c:pt idx="153" formatCode="General">
                  <c:v>1.75</c:v>
                </c:pt>
                <c:pt idx="154" formatCode="General">
                  <c:v>1.75</c:v>
                </c:pt>
                <c:pt idx="155" formatCode="General">
                  <c:v>1.75</c:v>
                </c:pt>
                <c:pt idx="156" formatCode="General">
                  <c:v>1.75</c:v>
                </c:pt>
                <c:pt idx="157" formatCode="General">
                  <c:v>1.75</c:v>
                </c:pt>
                <c:pt idx="158" formatCode="General">
                  <c:v>1.75</c:v>
                </c:pt>
                <c:pt idx="159" formatCode="General">
                  <c:v>1.75</c:v>
                </c:pt>
                <c:pt idx="160" formatCode="General">
                  <c:v>1.75</c:v>
                </c:pt>
                <c:pt idx="161" formatCode="General">
                  <c:v>1.75</c:v>
                </c:pt>
                <c:pt idx="162" formatCode="General">
                  <c:v>1.75</c:v>
                </c:pt>
                <c:pt idx="163" formatCode="General">
                  <c:v>1.75</c:v>
                </c:pt>
                <c:pt idx="164" formatCode="General">
                  <c:v>1.75</c:v>
                </c:pt>
                <c:pt idx="165" formatCode="General">
                  <c:v>1.75</c:v>
                </c:pt>
                <c:pt idx="166" formatCode="General">
                  <c:v>1.75</c:v>
                </c:pt>
                <c:pt idx="167" formatCode="General">
                  <c:v>1.75</c:v>
                </c:pt>
              </c:numCache>
            </c:numRef>
          </c:val>
          <c:smooth val="1"/>
          <c:extLst>
            <c:ext xmlns:c16="http://schemas.microsoft.com/office/drawing/2014/chart" uri="{C3380CC4-5D6E-409C-BE32-E72D297353CC}">
              <c16:uniqueId val="{00000001-6108-4219-BDEE-C775EC3E5E87}"/>
            </c:ext>
          </c:extLst>
        </c:ser>
        <c:dLbls>
          <c:showLegendKey val="0"/>
          <c:showVal val="1"/>
          <c:showCatName val="0"/>
          <c:showSerName val="0"/>
          <c:showPercent val="0"/>
          <c:showBubbleSize val="0"/>
        </c:dLbls>
        <c:smooth val="0"/>
        <c:axId val="165280768"/>
        <c:axId val="165253888"/>
      </c:lineChart>
      <c:dateAx>
        <c:axId val="165280768"/>
        <c:scaling>
          <c:orientation val="minMax"/>
        </c:scaling>
        <c:delete val="0"/>
        <c:axPos val="b"/>
        <c:numFmt formatCode="mmm\-yy" sourceLinked="1"/>
        <c:majorTickMark val="out"/>
        <c:minorTickMark val="none"/>
        <c:tickLblPos val="nextTo"/>
        <c:txPr>
          <a:bodyPr rot="-5400000" vert="horz"/>
          <a:lstStyle/>
          <a:p>
            <a:pPr>
              <a:defRPr sz="800">
                <a:latin typeface="Times New Roman" panose="02020603050405020304" pitchFamily="18" charset="0"/>
                <a:cs typeface="Times New Roman" panose="02020603050405020304" pitchFamily="18" charset="0"/>
              </a:defRPr>
            </a:pPr>
            <a:endParaRPr lang="es-GT"/>
          </a:p>
        </c:txPr>
        <c:crossAx val="165253888"/>
        <c:crosses val="autoZero"/>
        <c:auto val="1"/>
        <c:lblOffset val="100"/>
        <c:baseTimeUnit val="months"/>
        <c:majorUnit val="6"/>
        <c:majorTimeUnit val="months"/>
        <c:minorUnit val="6"/>
        <c:minorTimeUnit val="days"/>
      </c:dateAx>
      <c:valAx>
        <c:axId val="165253888"/>
        <c:scaling>
          <c:orientation val="minMax"/>
        </c:scaling>
        <c:delete val="0"/>
        <c:axPos val="l"/>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GT"/>
          </a:p>
        </c:txPr>
        <c:crossAx val="165280768"/>
        <c:crosses val="autoZero"/>
        <c:crossBetween val="between"/>
      </c:valAx>
    </c:plotArea>
    <c:plotVisOnly val="1"/>
    <c:dispBlanksAs val="gap"/>
    <c:showDLblsOverMax val="0"/>
  </c:chart>
  <c:spPr>
    <a:ln>
      <a:noFill/>
    </a:ln>
  </c:spPr>
  <c:txPr>
    <a:bodyPr/>
    <a:lstStyle/>
    <a:p>
      <a:pPr>
        <a:defRPr sz="1050"/>
      </a:pPr>
      <a:endParaRPr lang="es-G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4518819058004717E-2"/>
          <c:y val="2.8414959673175727E-2"/>
          <c:w val="0.90439031169983586"/>
          <c:h val="0.8633227772409372"/>
        </c:manualLayout>
      </c:layout>
      <c:lineChart>
        <c:grouping val="standard"/>
        <c:varyColors val="0"/>
        <c:ser>
          <c:idx val="0"/>
          <c:order val="0"/>
          <c:marker>
            <c:symbol val="diamond"/>
            <c:size val="5"/>
            <c:spPr>
              <a:solidFill>
                <a:schemeClr val="accent1">
                  <a:lumMod val="50000"/>
                </a:schemeClr>
              </a:solidFill>
            </c:spPr>
          </c:marker>
          <c:dLbls>
            <c:dLbl>
              <c:idx val="130"/>
              <c:layout>
                <c:manualLayout>
                  <c:x val="-1.6594814706991437E-16"/>
                  <c:y val="-3.88821385176185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578-4D0A-8006-85DB6C6F2C35}"/>
                </c:ext>
              </c:extLst>
            </c:dLbl>
            <c:dLbl>
              <c:idx val="143"/>
              <c:layout>
                <c:manualLayout>
                  <c:x val="0"/>
                  <c:y val="-3.17804225317508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578-4D0A-8006-85DB6C6F2C35}"/>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'Tipo de cambio '!$B$27:$B$158</c:f>
              <c:numCache>
                <c:formatCode>mmm\-yy</c:formatCode>
                <c:ptCount val="132"/>
                <c:pt idx="0">
                  <c:v>40544</c:v>
                </c:pt>
                <c:pt idx="1">
                  <c:v>40575</c:v>
                </c:pt>
                <c:pt idx="2">
                  <c:v>40603</c:v>
                </c:pt>
                <c:pt idx="3">
                  <c:v>40634</c:v>
                </c:pt>
                <c:pt idx="4">
                  <c:v>40664</c:v>
                </c:pt>
                <c:pt idx="5">
                  <c:v>40695</c:v>
                </c:pt>
                <c:pt idx="6">
                  <c:v>40725</c:v>
                </c:pt>
                <c:pt idx="7">
                  <c:v>40756</c:v>
                </c:pt>
                <c:pt idx="8">
                  <c:v>40787</c:v>
                </c:pt>
                <c:pt idx="9">
                  <c:v>40817</c:v>
                </c:pt>
                <c:pt idx="10">
                  <c:v>40848</c:v>
                </c:pt>
                <c:pt idx="11">
                  <c:v>40878</c:v>
                </c:pt>
                <c:pt idx="12">
                  <c:v>40909</c:v>
                </c:pt>
                <c:pt idx="13">
                  <c:v>40940</c:v>
                </c:pt>
                <c:pt idx="14">
                  <c:v>40969</c:v>
                </c:pt>
                <c:pt idx="15">
                  <c:v>41000</c:v>
                </c:pt>
                <c:pt idx="16">
                  <c:v>41030</c:v>
                </c:pt>
                <c:pt idx="17">
                  <c:v>41061</c:v>
                </c:pt>
                <c:pt idx="18">
                  <c:v>41091</c:v>
                </c:pt>
                <c:pt idx="19">
                  <c:v>41122</c:v>
                </c:pt>
                <c:pt idx="20">
                  <c:v>41153</c:v>
                </c:pt>
                <c:pt idx="21">
                  <c:v>41183</c:v>
                </c:pt>
                <c:pt idx="22">
                  <c:v>41214</c:v>
                </c:pt>
                <c:pt idx="23">
                  <c:v>41244</c:v>
                </c:pt>
                <c:pt idx="24">
                  <c:v>41275</c:v>
                </c:pt>
                <c:pt idx="25">
                  <c:v>41306</c:v>
                </c:pt>
                <c:pt idx="26">
                  <c:v>41334</c:v>
                </c:pt>
                <c:pt idx="27">
                  <c:v>41365</c:v>
                </c:pt>
                <c:pt idx="28">
                  <c:v>41395</c:v>
                </c:pt>
                <c:pt idx="29">
                  <c:v>41426</c:v>
                </c:pt>
                <c:pt idx="30">
                  <c:v>41456</c:v>
                </c:pt>
                <c:pt idx="31">
                  <c:v>41487</c:v>
                </c:pt>
                <c:pt idx="32">
                  <c:v>41518</c:v>
                </c:pt>
                <c:pt idx="33">
                  <c:v>41548</c:v>
                </c:pt>
                <c:pt idx="34">
                  <c:v>41579</c:v>
                </c:pt>
                <c:pt idx="35">
                  <c:v>41609</c:v>
                </c:pt>
                <c:pt idx="36">
                  <c:v>41640</c:v>
                </c:pt>
                <c:pt idx="37">
                  <c:v>41671</c:v>
                </c:pt>
                <c:pt idx="38">
                  <c:v>41699</c:v>
                </c:pt>
                <c:pt idx="39">
                  <c:v>41730</c:v>
                </c:pt>
                <c:pt idx="40">
                  <c:v>41760</c:v>
                </c:pt>
                <c:pt idx="41">
                  <c:v>41791</c:v>
                </c:pt>
                <c:pt idx="42">
                  <c:v>41821</c:v>
                </c:pt>
                <c:pt idx="43">
                  <c:v>41852</c:v>
                </c:pt>
                <c:pt idx="44">
                  <c:v>41883</c:v>
                </c:pt>
                <c:pt idx="45">
                  <c:v>41913</c:v>
                </c:pt>
                <c:pt idx="46">
                  <c:v>41944</c:v>
                </c:pt>
                <c:pt idx="47">
                  <c:v>41974</c:v>
                </c:pt>
                <c:pt idx="48">
                  <c:v>42005</c:v>
                </c:pt>
                <c:pt idx="49">
                  <c:v>42036</c:v>
                </c:pt>
                <c:pt idx="50">
                  <c:v>42064</c:v>
                </c:pt>
                <c:pt idx="51">
                  <c:v>42095</c:v>
                </c:pt>
                <c:pt idx="52">
                  <c:v>42125</c:v>
                </c:pt>
                <c:pt idx="53">
                  <c:v>42156</c:v>
                </c:pt>
                <c:pt idx="54">
                  <c:v>42186</c:v>
                </c:pt>
                <c:pt idx="55">
                  <c:v>42217</c:v>
                </c:pt>
                <c:pt idx="56">
                  <c:v>42248</c:v>
                </c:pt>
                <c:pt idx="57">
                  <c:v>42278</c:v>
                </c:pt>
                <c:pt idx="58">
                  <c:v>42309</c:v>
                </c:pt>
                <c:pt idx="59">
                  <c:v>42339</c:v>
                </c:pt>
                <c:pt idx="60">
                  <c:v>42370</c:v>
                </c:pt>
                <c:pt idx="61">
                  <c:v>42401</c:v>
                </c:pt>
                <c:pt idx="62">
                  <c:v>42430</c:v>
                </c:pt>
                <c:pt idx="63">
                  <c:v>42461</c:v>
                </c:pt>
                <c:pt idx="64">
                  <c:v>42491</c:v>
                </c:pt>
                <c:pt idx="65">
                  <c:v>42522</c:v>
                </c:pt>
                <c:pt idx="66">
                  <c:v>42552</c:v>
                </c:pt>
                <c:pt idx="67">
                  <c:v>42583</c:v>
                </c:pt>
                <c:pt idx="68">
                  <c:v>42614</c:v>
                </c:pt>
                <c:pt idx="69">
                  <c:v>42644</c:v>
                </c:pt>
                <c:pt idx="70">
                  <c:v>42675</c:v>
                </c:pt>
                <c:pt idx="71">
                  <c:v>42705</c:v>
                </c:pt>
                <c:pt idx="72">
                  <c:v>42736</c:v>
                </c:pt>
                <c:pt idx="73">
                  <c:v>42767</c:v>
                </c:pt>
                <c:pt idx="74">
                  <c:v>42795</c:v>
                </c:pt>
                <c:pt idx="75">
                  <c:v>42826</c:v>
                </c:pt>
                <c:pt idx="76">
                  <c:v>42856</c:v>
                </c:pt>
                <c:pt idx="77">
                  <c:v>42887</c:v>
                </c:pt>
                <c:pt idx="78">
                  <c:v>42917</c:v>
                </c:pt>
                <c:pt idx="79">
                  <c:v>42948</c:v>
                </c:pt>
                <c:pt idx="80">
                  <c:v>42979</c:v>
                </c:pt>
                <c:pt idx="81">
                  <c:v>43009</c:v>
                </c:pt>
                <c:pt idx="82">
                  <c:v>43040</c:v>
                </c:pt>
                <c:pt idx="83">
                  <c:v>43070</c:v>
                </c:pt>
                <c:pt idx="84">
                  <c:v>43101</c:v>
                </c:pt>
                <c:pt idx="85">
                  <c:v>43132</c:v>
                </c:pt>
                <c:pt idx="86">
                  <c:v>43160</c:v>
                </c:pt>
                <c:pt idx="87">
                  <c:v>43191</c:v>
                </c:pt>
                <c:pt idx="88">
                  <c:v>43221</c:v>
                </c:pt>
                <c:pt idx="89">
                  <c:v>43252</c:v>
                </c:pt>
                <c:pt idx="90">
                  <c:v>43282</c:v>
                </c:pt>
                <c:pt idx="91">
                  <c:v>43313</c:v>
                </c:pt>
                <c:pt idx="92">
                  <c:v>43344</c:v>
                </c:pt>
                <c:pt idx="93">
                  <c:v>43374</c:v>
                </c:pt>
                <c:pt idx="94">
                  <c:v>43405</c:v>
                </c:pt>
                <c:pt idx="95">
                  <c:v>43435</c:v>
                </c:pt>
                <c:pt idx="96">
                  <c:v>43466</c:v>
                </c:pt>
                <c:pt idx="97">
                  <c:v>43497</c:v>
                </c:pt>
                <c:pt idx="98">
                  <c:v>43525</c:v>
                </c:pt>
                <c:pt idx="99">
                  <c:v>43556</c:v>
                </c:pt>
                <c:pt idx="100">
                  <c:v>43586</c:v>
                </c:pt>
                <c:pt idx="101">
                  <c:v>43617</c:v>
                </c:pt>
                <c:pt idx="102">
                  <c:v>43647</c:v>
                </c:pt>
                <c:pt idx="103">
                  <c:v>43678</c:v>
                </c:pt>
                <c:pt idx="104">
                  <c:v>43709</c:v>
                </c:pt>
                <c:pt idx="105">
                  <c:v>43739</c:v>
                </c:pt>
                <c:pt idx="106">
                  <c:v>43770</c:v>
                </c:pt>
                <c:pt idx="107">
                  <c:v>43800</c:v>
                </c:pt>
                <c:pt idx="108">
                  <c:v>43831</c:v>
                </c:pt>
                <c:pt idx="109">
                  <c:v>43862</c:v>
                </c:pt>
                <c:pt idx="110">
                  <c:v>43891</c:v>
                </c:pt>
                <c:pt idx="111">
                  <c:v>43922</c:v>
                </c:pt>
                <c:pt idx="112">
                  <c:v>43952</c:v>
                </c:pt>
                <c:pt idx="113">
                  <c:v>43983</c:v>
                </c:pt>
                <c:pt idx="114">
                  <c:v>44013</c:v>
                </c:pt>
                <c:pt idx="115">
                  <c:v>44044</c:v>
                </c:pt>
                <c:pt idx="116">
                  <c:v>44075</c:v>
                </c:pt>
                <c:pt idx="117">
                  <c:v>44105</c:v>
                </c:pt>
                <c:pt idx="118">
                  <c:v>44136</c:v>
                </c:pt>
                <c:pt idx="119">
                  <c:v>44166</c:v>
                </c:pt>
                <c:pt idx="120">
                  <c:v>44197</c:v>
                </c:pt>
                <c:pt idx="121">
                  <c:v>44228</c:v>
                </c:pt>
                <c:pt idx="122">
                  <c:v>44256</c:v>
                </c:pt>
                <c:pt idx="123">
                  <c:v>44287</c:v>
                </c:pt>
                <c:pt idx="124">
                  <c:v>44317</c:v>
                </c:pt>
                <c:pt idx="125">
                  <c:v>44348</c:v>
                </c:pt>
                <c:pt idx="126">
                  <c:v>44378</c:v>
                </c:pt>
                <c:pt idx="127">
                  <c:v>44409</c:v>
                </c:pt>
                <c:pt idx="128">
                  <c:v>44440</c:v>
                </c:pt>
                <c:pt idx="129">
                  <c:v>44470</c:v>
                </c:pt>
                <c:pt idx="130">
                  <c:v>44501</c:v>
                </c:pt>
                <c:pt idx="131">
                  <c:v>44531</c:v>
                </c:pt>
              </c:numCache>
            </c:numRef>
          </c:cat>
          <c:val>
            <c:numRef>
              <c:f>'Tipo de cambio '!$C$27:$C$158</c:f>
              <c:numCache>
                <c:formatCode>0.00</c:formatCode>
                <c:ptCount val="132"/>
                <c:pt idx="0">
                  <c:v>7.9393789159906074</c:v>
                </c:pt>
                <c:pt idx="1">
                  <c:v>7.7936763178312587</c:v>
                </c:pt>
                <c:pt idx="2">
                  <c:v>7.6911755581721719</c:v>
                </c:pt>
                <c:pt idx="3">
                  <c:v>7.6033358616996631</c:v>
                </c:pt>
                <c:pt idx="4">
                  <c:v>7.6475691703619599</c:v>
                </c:pt>
                <c:pt idx="5">
                  <c:v>7.7763413607187584</c:v>
                </c:pt>
                <c:pt idx="6">
                  <c:v>7.7444513189947068</c:v>
                </c:pt>
                <c:pt idx="7">
                  <c:v>7.814848411557044</c:v>
                </c:pt>
                <c:pt idx="8">
                  <c:v>7.8399072397037912</c:v>
                </c:pt>
                <c:pt idx="9">
                  <c:v>7.8299174515732988</c:v>
                </c:pt>
                <c:pt idx="10">
                  <c:v>7.8008942040115947</c:v>
                </c:pt>
                <c:pt idx="11">
                  <c:v>7.7856076542219848</c:v>
                </c:pt>
                <c:pt idx="12">
                  <c:v>7.7961150438286015</c:v>
                </c:pt>
                <c:pt idx="13">
                  <c:v>7.7717156914712424</c:v>
                </c:pt>
                <c:pt idx="14">
                  <c:v>7.7114080377043663</c:v>
                </c:pt>
                <c:pt idx="15">
                  <c:v>7.7361698654414432</c:v>
                </c:pt>
                <c:pt idx="16">
                  <c:v>7.7713813450451523</c:v>
                </c:pt>
                <c:pt idx="17">
                  <c:v>7.8366949562429706</c:v>
                </c:pt>
                <c:pt idx="18">
                  <c:v>7.8116238113454335</c:v>
                </c:pt>
                <c:pt idx="19">
                  <c:v>7.8730184642662957</c:v>
                </c:pt>
                <c:pt idx="20">
                  <c:v>7.9600809529215901</c:v>
                </c:pt>
                <c:pt idx="21">
                  <c:v>7.8591272112229635</c:v>
                </c:pt>
                <c:pt idx="22">
                  <c:v>7.8577571624899534</c:v>
                </c:pt>
                <c:pt idx="23">
                  <c:v>7.8760996804198387</c:v>
                </c:pt>
                <c:pt idx="24">
                  <c:v>7.8676223145967352</c:v>
                </c:pt>
                <c:pt idx="25">
                  <c:v>7.8144026695091791</c:v>
                </c:pt>
                <c:pt idx="26">
                  <c:v>7.796449289985194</c:v>
                </c:pt>
                <c:pt idx="27">
                  <c:v>7.7833198003135866</c:v>
                </c:pt>
                <c:pt idx="28">
                  <c:v>7.7759057149550967</c:v>
                </c:pt>
                <c:pt idx="29">
                  <c:v>7.8050829379452455</c:v>
                </c:pt>
                <c:pt idx="30">
                  <c:v>7.8101543267547084</c:v>
                </c:pt>
                <c:pt idx="31">
                  <c:v>7.8872658086161449</c:v>
                </c:pt>
                <c:pt idx="32">
                  <c:v>7.9287701658764824</c:v>
                </c:pt>
                <c:pt idx="33">
                  <c:v>7.9452553613637473</c:v>
                </c:pt>
                <c:pt idx="34">
                  <c:v>7.8807803315772027</c:v>
                </c:pt>
                <c:pt idx="35">
                  <c:v>7.8470375175462435</c:v>
                </c:pt>
                <c:pt idx="36">
                  <c:v>7.8320838751031925</c:v>
                </c:pt>
                <c:pt idx="37">
                  <c:v>7.7452676742437232</c:v>
                </c:pt>
                <c:pt idx="38">
                  <c:v>7.716182521911791</c:v>
                </c:pt>
                <c:pt idx="39">
                  <c:v>7.7358942457094715</c:v>
                </c:pt>
                <c:pt idx="40">
                  <c:v>7.7238409151556899</c:v>
                </c:pt>
                <c:pt idx="41">
                  <c:v>7.794062106829351</c:v>
                </c:pt>
                <c:pt idx="42">
                  <c:v>7.7608612600678732</c:v>
                </c:pt>
                <c:pt idx="43">
                  <c:v>7.7919629649641315</c:v>
                </c:pt>
                <c:pt idx="44">
                  <c:v>7.7074095500672923</c:v>
                </c:pt>
                <c:pt idx="45">
                  <c:v>7.6263306051233331</c:v>
                </c:pt>
                <c:pt idx="46">
                  <c:v>7.6028563856662057</c:v>
                </c:pt>
                <c:pt idx="47">
                  <c:v>7.6081653145049968</c:v>
                </c:pt>
                <c:pt idx="48">
                  <c:v>7.6262052394466791</c:v>
                </c:pt>
                <c:pt idx="49">
                  <c:v>7.6279381066262442</c:v>
                </c:pt>
                <c:pt idx="50">
                  <c:v>7.6119953593981231</c:v>
                </c:pt>
                <c:pt idx="51">
                  <c:v>7.6911660585174326</c:v>
                </c:pt>
                <c:pt idx="52">
                  <c:v>7.6641498560319503</c:v>
                </c:pt>
                <c:pt idx="53">
                  <c:v>7.6322503878986696</c:v>
                </c:pt>
                <c:pt idx="54">
                  <c:v>7.6319384831389447</c:v>
                </c:pt>
                <c:pt idx="55">
                  <c:v>7.6324245517760358</c:v>
                </c:pt>
                <c:pt idx="56">
                  <c:v>7.673106284735578</c:v>
                </c:pt>
                <c:pt idx="57">
                  <c:v>7.6631081921590933</c:v>
                </c:pt>
                <c:pt idx="58">
                  <c:v>7.6253395894756046</c:v>
                </c:pt>
                <c:pt idx="59">
                  <c:v>7.5988045101869481</c:v>
                </c:pt>
                <c:pt idx="60">
                  <c:v>7.6329725883384123</c:v>
                </c:pt>
                <c:pt idx="61">
                  <c:v>7.6478810999684388</c:v>
                </c:pt>
                <c:pt idx="62">
                  <c:v>7.700474534516867</c:v>
                </c:pt>
                <c:pt idx="63">
                  <c:v>7.7148038979384106</c:v>
                </c:pt>
                <c:pt idx="64">
                  <c:v>7.6298602603550076</c:v>
                </c:pt>
                <c:pt idx="65">
                  <c:v>7.6243942616742704</c:v>
                </c:pt>
                <c:pt idx="66">
                  <c:v>7.5793320893025617</c:v>
                </c:pt>
                <c:pt idx="67">
                  <c:v>7.5175072133740928</c:v>
                </c:pt>
                <c:pt idx="68">
                  <c:v>7.5067242537140029</c:v>
                </c:pt>
                <c:pt idx="69">
                  <c:v>7.4790989328577018</c:v>
                </c:pt>
                <c:pt idx="70">
                  <c:v>7.4871738948605904</c:v>
                </c:pt>
                <c:pt idx="71">
                  <c:v>7.4869670540945377</c:v>
                </c:pt>
                <c:pt idx="72">
                  <c:v>7.4989221892102798</c:v>
                </c:pt>
                <c:pt idx="73">
                  <c:v>7.3861050975818427</c:v>
                </c:pt>
                <c:pt idx="74">
                  <c:v>7.34063</c:v>
                </c:pt>
                <c:pt idx="75">
                  <c:v>7.3209246234449914</c:v>
                </c:pt>
                <c:pt idx="76">
                  <c:v>7.3227859561962889</c:v>
                </c:pt>
                <c:pt idx="77">
                  <c:v>7.324765934062933</c:v>
                </c:pt>
                <c:pt idx="78">
                  <c:v>7.2821760166483491</c:v>
                </c:pt>
                <c:pt idx="79">
                  <c:v>7.2567996715469407</c:v>
                </c:pt>
                <c:pt idx="80">
                  <c:v>7.2866172843636399</c:v>
                </c:pt>
                <c:pt idx="81">
                  <c:v>7.32408950415142</c:v>
                </c:pt>
                <c:pt idx="82">
                  <c:v>7.3119034597787502</c:v>
                </c:pt>
                <c:pt idx="83">
                  <c:v>7.3228799999999996</c:v>
                </c:pt>
                <c:pt idx="84">
                  <c:v>7.3250900000000003</c:v>
                </c:pt>
                <c:pt idx="85">
                  <c:v>7.3437000000000001</c:v>
                </c:pt>
                <c:pt idx="86">
                  <c:v>7.3760000000000003</c:v>
                </c:pt>
                <c:pt idx="87">
                  <c:v>7.3854699999999998</c:v>
                </c:pt>
                <c:pt idx="88">
                  <c:v>7.4281600000000001</c:v>
                </c:pt>
                <c:pt idx="89">
                  <c:v>7.46997</c:v>
                </c:pt>
                <c:pt idx="90">
                  <c:v>7.4656900000000004</c:v>
                </c:pt>
                <c:pt idx="91">
                  <c:v>7.49099</c:v>
                </c:pt>
                <c:pt idx="92">
                  <c:v>7.6479100000000004</c:v>
                </c:pt>
                <c:pt idx="93">
                  <c:v>7.70871</c:v>
                </c:pt>
                <c:pt idx="94">
                  <c:v>7.67943</c:v>
                </c:pt>
                <c:pt idx="95">
                  <c:v>7.71333</c:v>
                </c:pt>
                <c:pt idx="96">
                  <c:v>7.7131499999999997</c:v>
                </c:pt>
                <c:pt idx="97">
                  <c:v>7.7141200000000003</c:v>
                </c:pt>
                <c:pt idx="98">
                  <c:v>7.6693800000000003</c:v>
                </c:pt>
                <c:pt idx="99">
                  <c:v>7.6245700000000003</c:v>
                </c:pt>
                <c:pt idx="100">
                  <c:v>7.65238</c:v>
                </c:pt>
                <c:pt idx="101">
                  <c:v>7.6838300000000004</c:v>
                </c:pt>
                <c:pt idx="102">
                  <c:v>7.6551099999999996</c:v>
                </c:pt>
                <c:pt idx="103">
                  <c:v>7.6528999999999998</c:v>
                </c:pt>
                <c:pt idx="104">
                  <c:v>7.6917900000000001</c:v>
                </c:pt>
                <c:pt idx="105">
                  <c:v>7.7392000000000003</c:v>
                </c:pt>
                <c:pt idx="106">
                  <c:v>7.6848799999999997</c:v>
                </c:pt>
                <c:pt idx="107">
                  <c:v>7.6698399999999998</c:v>
                </c:pt>
                <c:pt idx="108">
                  <c:v>7.6956090322580639</c:v>
                </c:pt>
                <c:pt idx="109">
                  <c:v>7.6485768965517256</c:v>
                </c:pt>
                <c:pt idx="110">
                  <c:v>7.6864487096774203</c:v>
                </c:pt>
                <c:pt idx="111">
                  <c:v>7.707339666666666</c:v>
                </c:pt>
                <c:pt idx="112">
                  <c:v>7.6986470967741933</c:v>
                </c:pt>
                <c:pt idx="113">
                  <c:v>7.6974263333333361</c:v>
                </c:pt>
                <c:pt idx="114">
                  <c:v>7.6959661290322563</c:v>
                </c:pt>
                <c:pt idx="115">
                  <c:v>7.7051858064516123</c:v>
                </c:pt>
                <c:pt idx="116">
                  <c:v>7.7572043333333331</c:v>
                </c:pt>
                <c:pt idx="117">
                  <c:v>7.7813567741935463</c:v>
                </c:pt>
                <c:pt idx="118">
                  <c:v>7.7888773333333345</c:v>
                </c:pt>
                <c:pt idx="119">
                  <c:v>7.8012187096774186</c:v>
                </c:pt>
                <c:pt idx="120">
                  <c:v>7.8074500000000002</c:v>
                </c:pt>
                <c:pt idx="121">
                  <c:v>7.7596400000000001</c:v>
                </c:pt>
                <c:pt idx="122">
                  <c:v>7.7383600000000001</c:v>
                </c:pt>
                <c:pt idx="123">
                  <c:v>7.7334199999999997</c:v>
                </c:pt>
                <c:pt idx="124">
                  <c:v>7.7309200000000002</c:v>
                </c:pt>
                <c:pt idx="125">
                  <c:v>7.75692</c:v>
                </c:pt>
                <c:pt idx="126">
                  <c:v>7.7615100000000004</c:v>
                </c:pt>
                <c:pt idx="127">
                  <c:v>7.7525000000000004</c:v>
                </c:pt>
                <c:pt idx="128">
                  <c:v>7.7483500000000003</c:v>
                </c:pt>
                <c:pt idx="129">
                  <c:v>7.7479100000000001</c:v>
                </c:pt>
                <c:pt idx="130">
                  <c:v>7.74716</c:v>
                </c:pt>
                <c:pt idx="131">
                  <c:v>7.7405400000000002</c:v>
                </c:pt>
              </c:numCache>
            </c:numRef>
          </c:val>
          <c:smooth val="0"/>
          <c:extLst>
            <c:ext xmlns:c16="http://schemas.microsoft.com/office/drawing/2014/chart" uri="{C3380CC4-5D6E-409C-BE32-E72D297353CC}">
              <c16:uniqueId val="{00000002-0578-4D0A-8006-85DB6C6F2C35}"/>
            </c:ext>
          </c:extLst>
        </c:ser>
        <c:dLbls>
          <c:showLegendKey val="0"/>
          <c:showVal val="0"/>
          <c:showCatName val="0"/>
          <c:showSerName val="0"/>
          <c:showPercent val="0"/>
          <c:showBubbleSize val="0"/>
        </c:dLbls>
        <c:marker val="1"/>
        <c:smooth val="0"/>
        <c:axId val="160248576"/>
        <c:axId val="160250112"/>
      </c:lineChart>
      <c:dateAx>
        <c:axId val="160248576"/>
        <c:scaling>
          <c:orientation val="minMax"/>
        </c:scaling>
        <c:delete val="0"/>
        <c:axPos val="b"/>
        <c:numFmt formatCode="mmm\-yy" sourceLinked="1"/>
        <c:majorTickMark val="out"/>
        <c:minorTickMark val="none"/>
        <c:tickLblPos val="nextTo"/>
        <c:txPr>
          <a:bodyPr/>
          <a:lstStyle/>
          <a:p>
            <a:pPr>
              <a:defRPr sz="600"/>
            </a:pPr>
            <a:endParaRPr lang="es-GT"/>
          </a:p>
        </c:txPr>
        <c:crossAx val="160250112"/>
        <c:crosses val="autoZero"/>
        <c:auto val="1"/>
        <c:lblOffset val="100"/>
        <c:baseTimeUnit val="months"/>
      </c:dateAx>
      <c:valAx>
        <c:axId val="160250112"/>
        <c:scaling>
          <c:orientation val="minMax"/>
        </c:scaling>
        <c:delete val="0"/>
        <c:axPos val="l"/>
        <c:numFmt formatCode="0.00" sourceLinked="1"/>
        <c:majorTickMark val="out"/>
        <c:minorTickMark val="none"/>
        <c:tickLblPos val="nextTo"/>
        <c:crossAx val="160248576"/>
        <c:crosses val="autoZero"/>
        <c:crossBetween val="between"/>
      </c:valAx>
    </c:plotArea>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566245922079698"/>
          <c:y val="3.5574030397588809E-2"/>
          <c:w val="0.77670162433600354"/>
          <c:h val="0.85870506453656581"/>
        </c:manualLayout>
      </c:layout>
      <c:barChart>
        <c:barDir val="col"/>
        <c:grouping val="clustered"/>
        <c:varyColors val="0"/>
        <c:ser>
          <c:idx val="0"/>
          <c:order val="0"/>
          <c:tx>
            <c:strRef>
              <c:f>'Resultado Presupuestario'!$C$6</c:f>
              <c:strCache>
                <c:ptCount val="1"/>
                <c:pt idx="0">
                  <c:v>Resultado Presupuestario</c:v>
                </c:pt>
              </c:strCache>
            </c:strRef>
          </c:tx>
          <c:spPr>
            <a:solidFill>
              <a:schemeClr val="accent1">
                <a:lumMod val="75000"/>
              </a:schemeClr>
            </a:solidFill>
            <a:ln>
              <a:noFill/>
            </a:ln>
            <a:effectLst/>
            <a:scene3d>
              <a:camera prst="orthographicFront"/>
              <a:lightRig rig="threePt" dir="t"/>
            </a:scene3d>
            <a:sp3d>
              <a:bevelT/>
              <a:bevelB/>
            </a:sp3d>
          </c:spPr>
          <c:invertIfNegative val="0"/>
          <c:dPt>
            <c:idx val="10"/>
            <c:invertIfNegative val="0"/>
            <c:bubble3D val="0"/>
            <c:spPr>
              <a:solidFill>
                <a:schemeClr val="tx2">
                  <a:lumMod val="50000"/>
                </a:schemeClr>
              </a:solidFill>
              <a:ln>
                <a:noFill/>
              </a:ln>
              <a:effectLst/>
              <a:scene3d>
                <a:camera prst="orthographicFront"/>
                <a:lightRig rig="threePt" dir="t"/>
              </a:scene3d>
              <a:sp3d>
                <a:bevelT/>
                <a:bevelB/>
              </a:sp3d>
            </c:spPr>
            <c:extLst>
              <c:ext xmlns:c16="http://schemas.microsoft.com/office/drawing/2014/chart" uri="{C3380CC4-5D6E-409C-BE32-E72D297353CC}">
                <c16:uniqueId val="{00000001-E109-42FD-A0DE-17E243DF628A}"/>
              </c:ext>
            </c:extLst>
          </c:dPt>
          <c:dLbls>
            <c:dLbl>
              <c:idx val="0"/>
              <c:layout>
                <c:manualLayout>
                  <c:x val="0"/>
                  <c:y val="1.61700138170858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109-42FD-A0DE-17E243DF628A}"/>
                </c:ext>
              </c:extLst>
            </c:dLbl>
            <c:dLbl>
              <c:idx val="2"/>
              <c:layout>
                <c:manualLayout>
                  <c:x val="-3.3234752302912255E-17"/>
                  <c:y val="6.46800552683432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109-42FD-A0DE-17E243DF628A}"/>
                </c:ext>
              </c:extLst>
            </c:dLbl>
            <c:dLbl>
              <c:idx val="3"/>
              <c:layout>
                <c:manualLayout>
                  <c:x val="-2.2229632099589158E-3"/>
                  <c:y val="7.41564701520207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109-42FD-A0DE-17E243DF628A}"/>
                </c:ext>
              </c:extLst>
            </c:dLbl>
            <c:dLbl>
              <c:idx val="4"/>
              <c:layout>
                <c:manualLayout>
                  <c:x val="-1.0876953676453173E-2"/>
                  <c:y val="7.8480965364509971E-3"/>
                </c:manualLayout>
              </c:layout>
              <c:showLegendKey val="0"/>
              <c:showVal val="1"/>
              <c:showCatName val="0"/>
              <c:showSerName val="0"/>
              <c:showPercent val="0"/>
              <c:showBubbleSize val="0"/>
              <c:extLst>
                <c:ext xmlns:c15="http://schemas.microsoft.com/office/drawing/2012/chart" uri="{CE6537A1-D6FC-4f65-9D91-7224C49458BB}">
                  <c15:layout>
                    <c:manualLayout>
                      <c:w val="6.51995109480938E-2"/>
                      <c:h val="3.7263626251390423E-2"/>
                    </c:manualLayout>
                  </c15:layout>
                </c:ext>
                <c:ext xmlns:c16="http://schemas.microsoft.com/office/drawing/2014/chart" uri="{C3380CC4-5D6E-409C-BE32-E72D297353CC}">
                  <c16:uniqueId val="{00000006-E109-42FD-A0DE-17E243DF628A}"/>
                </c:ext>
              </c:extLst>
            </c:dLbl>
            <c:dLbl>
              <c:idx val="5"/>
              <c:layout>
                <c:manualLayout>
                  <c:x val="-8.1507709447810553E-17"/>
                  <c:y val="5.9325176121616627E-2"/>
                </c:manualLayout>
              </c:layout>
              <c:numFmt formatCode="#,##0.0" sourceLinked="0"/>
              <c:spPr>
                <a:noFill/>
                <a:ln>
                  <a:noFill/>
                </a:ln>
                <a:effectLst/>
              </c:spPr>
              <c:txPr>
                <a:bodyPr/>
                <a:lstStyle/>
                <a:p>
                  <a:pPr>
                    <a:defRPr sz="700">
                      <a:solidFill>
                        <a:schemeClr val="bg1"/>
                      </a:solidFill>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109-42FD-A0DE-17E243DF628A}"/>
                </c:ext>
              </c:extLst>
            </c:dLbl>
            <c:dLbl>
              <c:idx val="6"/>
              <c:layout>
                <c:manualLayout>
                  <c:x val="1.4027422964259363E-3"/>
                  <c:y val="5.91602217687194E-2"/>
                </c:manualLayout>
              </c:layout>
              <c:numFmt formatCode="#,##0.0" sourceLinked="0"/>
              <c:spPr>
                <a:noFill/>
                <a:ln>
                  <a:noFill/>
                </a:ln>
                <a:effectLst/>
              </c:spPr>
              <c:txPr>
                <a:bodyPr/>
                <a:lstStyle/>
                <a:p>
                  <a:pPr>
                    <a:defRPr sz="700">
                      <a:solidFill>
                        <a:schemeClr val="bg1"/>
                      </a:solidFill>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109-42FD-A0DE-17E243DF628A}"/>
                </c:ext>
              </c:extLst>
            </c:dLbl>
            <c:dLbl>
              <c:idx val="7"/>
              <c:layout>
                <c:manualLayout>
                  <c:x val="2.222963209958875E-3"/>
                  <c:y val="7.044864664441973E-2"/>
                </c:manualLayout>
              </c:layout>
              <c:numFmt formatCode="#,##0.0" sourceLinked="0"/>
              <c:spPr>
                <a:noFill/>
                <a:ln>
                  <a:noFill/>
                </a:ln>
                <a:effectLst/>
              </c:spPr>
              <c:txPr>
                <a:bodyPr/>
                <a:lstStyle/>
                <a:p>
                  <a:pPr>
                    <a:defRPr sz="700">
                      <a:solidFill>
                        <a:schemeClr val="bg1"/>
                      </a:solidFill>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109-42FD-A0DE-17E243DF628A}"/>
                </c:ext>
              </c:extLst>
            </c:dLbl>
            <c:dLbl>
              <c:idx val="8"/>
              <c:layout>
                <c:manualLayout>
                  <c:x val="1.8128256127421941E-3"/>
                  <c:y val="0.10672234583865331"/>
                </c:manualLayout>
              </c:layout>
              <c:numFmt formatCode="#,##0.0" sourceLinked="0"/>
              <c:spPr>
                <a:noFill/>
                <a:ln>
                  <a:noFill/>
                </a:ln>
                <a:effectLst/>
              </c:spPr>
              <c:txPr>
                <a:bodyPr/>
                <a:lstStyle/>
                <a:p>
                  <a:pPr>
                    <a:defRPr sz="700">
                      <a:solidFill>
                        <a:schemeClr val="bg1"/>
                      </a:solidFill>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109-42FD-A0DE-17E243DF628A}"/>
                </c:ext>
              </c:extLst>
            </c:dLbl>
            <c:dLbl>
              <c:idx val="10"/>
              <c:layout>
                <c:manualLayout>
                  <c:x val="-1.3293900921164902E-16"/>
                  <c:y val="9.0552332021567483E-2"/>
                </c:manualLayout>
              </c:layout>
              <c:numFmt formatCode="#,##0.0" sourceLinked="0"/>
              <c:spPr>
                <a:noFill/>
                <a:ln>
                  <a:noFill/>
                </a:ln>
                <a:effectLst/>
              </c:spPr>
              <c:txPr>
                <a:bodyPr/>
                <a:lstStyle/>
                <a:p>
                  <a:pPr>
                    <a:defRPr sz="700">
                      <a:solidFill>
                        <a:schemeClr val="bg1"/>
                      </a:solidFill>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09-42FD-A0DE-17E243DF628A}"/>
                </c:ext>
              </c:extLst>
            </c:dLbl>
            <c:numFmt formatCode="#,##0.0" sourceLinked="0"/>
            <c:spPr>
              <a:noFill/>
              <a:ln>
                <a:noFill/>
              </a:ln>
              <a:effectLst/>
            </c:spPr>
            <c:txPr>
              <a:bodyPr/>
              <a:lstStyle/>
              <a:p>
                <a:pPr>
                  <a:defRPr sz="700"/>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'Resultado Presupuestario'!$B$7:$B$17</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'Resultado Presupuestario'!$G$7:$G$17</c:f>
              <c:numCache>
                <c:formatCode>_(* #,##0.00_);_(* \(#,##0.00\);_(* "-"??_);_(@_)</c:formatCode>
                <c:ptCount val="11"/>
                <c:pt idx="0">
                  <c:v>-10356.984241560007</c:v>
                </c:pt>
                <c:pt idx="1">
                  <c:v>-9445.7465251699905</c:v>
                </c:pt>
                <c:pt idx="2">
                  <c:v>-9009.7867992600004</c:v>
                </c:pt>
                <c:pt idx="3">
                  <c:v>-8594.4001190099953</c:v>
                </c:pt>
                <c:pt idx="4">
                  <c:v>-7007.4932463399964</c:v>
                </c:pt>
                <c:pt idx="5">
                  <c:v>-5572.6654719899961</c:v>
                </c:pt>
                <c:pt idx="6">
                  <c:v>-7287.7273662600019</c:v>
                </c:pt>
                <c:pt idx="7">
                  <c:v>-10375.9</c:v>
                </c:pt>
                <c:pt idx="8">
                  <c:v>-13294.358591100012</c:v>
                </c:pt>
                <c:pt idx="9">
                  <c:v>-29477.706702939999</c:v>
                </c:pt>
                <c:pt idx="10">
                  <c:v>-7879.8812771200101</c:v>
                </c:pt>
              </c:numCache>
            </c:numRef>
          </c:val>
          <c:extLst>
            <c:ext xmlns:c16="http://schemas.microsoft.com/office/drawing/2014/chart" uri="{C3380CC4-5D6E-409C-BE32-E72D297353CC}">
              <c16:uniqueId val="{0000000B-E109-42FD-A0DE-17E243DF628A}"/>
            </c:ext>
          </c:extLst>
        </c:ser>
        <c:dLbls>
          <c:showLegendKey val="0"/>
          <c:showVal val="0"/>
          <c:showCatName val="0"/>
          <c:showSerName val="0"/>
          <c:showPercent val="0"/>
          <c:showBubbleSize val="0"/>
        </c:dLbls>
        <c:gapWidth val="6"/>
        <c:axId val="163763712"/>
        <c:axId val="163765248"/>
      </c:barChart>
      <c:lineChart>
        <c:grouping val="standard"/>
        <c:varyColors val="0"/>
        <c:ser>
          <c:idx val="1"/>
          <c:order val="1"/>
          <c:tx>
            <c:strRef>
              <c:f>'Resultado Presupuestario'!$D$6</c:f>
              <c:strCache>
                <c:ptCount val="1"/>
                <c:pt idx="0">
                  <c:v>% del PIB</c:v>
                </c:pt>
              </c:strCache>
            </c:strRef>
          </c:tx>
          <c:spPr>
            <a:ln w="38100" cap="rnd">
              <a:solidFill>
                <a:srgbClr val="FF0000"/>
              </a:solidFill>
              <a:round/>
            </a:ln>
            <a:effectLst/>
          </c:spPr>
          <c:marker>
            <c:symbol val="diamond"/>
            <c:size val="4"/>
            <c:spPr>
              <a:solidFill>
                <a:schemeClr val="bg1"/>
              </a:solidFill>
            </c:spPr>
          </c:marker>
          <c:dLbls>
            <c:dLbl>
              <c:idx val="0"/>
              <c:layout>
                <c:manualLayout>
                  <c:x val="-3.5567411359342022E-2"/>
                  <c:y val="3.22971336293903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109-42FD-A0DE-17E243DF628A}"/>
                </c:ext>
              </c:extLst>
            </c:dLbl>
            <c:dLbl>
              <c:idx val="1"/>
              <c:layout>
                <c:manualLayout>
                  <c:x val="-2.6675558519506502E-2"/>
                  <c:y val="3.63342753330641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109-42FD-A0DE-17E243DF628A}"/>
                </c:ext>
              </c:extLst>
            </c:dLbl>
            <c:dLbl>
              <c:idx val="2"/>
              <c:layout>
                <c:manualLayout>
                  <c:x val="-3.7790374569300879E-2"/>
                  <c:y val="3.22971336293903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109-42FD-A0DE-17E243DF628A}"/>
                </c:ext>
              </c:extLst>
            </c:dLbl>
            <c:dLbl>
              <c:idx val="3"/>
              <c:layout>
                <c:manualLayout>
                  <c:x val="-3.1121484939424252E-2"/>
                  <c:y val="2.82599919257165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109-42FD-A0DE-17E243DF628A}"/>
                </c:ext>
              </c:extLst>
            </c:dLbl>
            <c:dLbl>
              <c:idx val="4"/>
              <c:layout>
                <c:manualLayout>
                  <c:x val="-2.4452595309547707E-2"/>
                  <c:y val="3.22971336293903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109-42FD-A0DE-17E243DF628A}"/>
                </c:ext>
              </c:extLst>
            </c:dLbl>
            <c:dLbl>
              <c:idx val="5"/>
              <c:layout>
                <c:manualLayout>
                  <c:x val="-3.7790374569300879E-2"/>
                  <c:y val="4.03714170367379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109-42FD-A0DE-17E243DF628A}"/>
                </c:ext>
              </c:extLst>
            </c:dLbl>
            <c:dLbl>
              <c:idx val="6"/>
              <c:layout>
                <c:manualLayout>
                  <c:x val="-4.2236300989218628E-2"/>
                  <c:y val="3.22971336293903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E109-42FD-A0DE-17E243DF628A}"/>
                </c:ext>
              </c:extLst>
            </c:dLbl>
            <c:dLbl>
              <c:idx val="7"/>
              <c:layout>
                <c:manualLayout>
                  <c:x val="-4.6682227409136377E-2"/>
                  <c:y val="3.22971336293903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E109-42FD-A0DE-17E243DF628A}"/>
                </c:ext>
              </c:extLst>
            </c:dLbl>
            <c:dLbl>
              <c:idx val="8"/>
              <c:layout>
                <c:manualLayout>
                  <c:x val="-6.0020006668889549E-2"/>
                  <c:y val="3.63342753330641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E109-42FD-A0DE-17E243DF628A}"/>
                </c:ext>
              </c:extLst>
            </c:dLbl>
            <c:dLbl>
              <c:idx val="9"/>
              <c:layout>
                <c:manualLayout>
                  <c:x val="-0.10225630765810834"/>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E109-42FD-A0DE-17E243DF628A}"/>
                </c:ext>
              </c:extLst>
            </c:dLbl>
            <c:dLbl>
              <c:idx val="10"/>
              <c:layout>
                <c:manualLayout>
                  <c:x val="-1.6143088816132061E-2"/>
                  <c:y val="5.57812187081782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E109-42FD-A0DE-17E243DF628A}"/>
                </c:ext>
              </c:extLst>
            </c:dLbl>
            <c:spPr>
              <a:noFill/>
              <a:ln>
                <a:noFill/>
              </a:ln>
              <a:effectLst/>
            </c:spPr>
            <c:txPr>
              <a:bodyPr/>
              <a:lstStyle/>
              <a:p>
                <a:pPr>
                  <a:defRPr sz="800"/>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a:noFill/>
                    </a:ln>
                  </c:spPr>
                </c15:leaderLines>
              </c:ext>
            </c:extLst>
          </c:dLbls>
          <c:cat>
            <c:numRef>
              <c:f>'Resultado Presupuestario'!$B$7:$B$17</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'Resultado Presupuestario'!$F$7:$F$17</c:f>
              <c:numCache>
                <c:formatCode>0.0%</c:formatCode>
                <c:ptCount val="11"/>
                <c:pt idx="0">
                  <c:v>-2.7915526742452276E-2</c:v>
                </c:pt>
                <c:pt idx="1">
                  <c:v>-2.3930063677996952E-2</c:v>
                </c:pt>
                <c:pt idx="2">
                  <c:v>-2.1638208167817825E-2</c:v>
                </c:pt>
                <c:pt idx="3">
                  <c:v>-1.921281984894626E-2</c:v>
                </c:pt>
                <c:pt idx="4">
                  <c:v>-1.4720918689385397E-2</c:v>
                </c:pt>
                <c:pt idx="5">
                  <c:v>-1.1100135723853084E-2</c:v>
                </c:pt>
                <c:pt idx="6">
                  <c:v>-1.3860552644585926E-2</c:v>
                </c:pt>
                <c:pt idx="7">
                  <c:v>-1.8921209848151127E-2</c:v>
                </c:pt>
                <c:pt idx="8">
                  <c:v>-2.2749922550872808E-2</c:v>
                </c:pt>
                <c:pt idx="9">
                  <c:v>-4.9192164883308236E-2</c:v>
                </c:pt>
                <c:pt idx="10">
                  <c:v>-1.1848526115426658E-2</c:v>
                </c:pt>
              </c:numCache>
            </c:numRef>
          </c:val>
          <c:smooth val="1"/>
          <c:extLst>
            <c:ext xmlns:c16="http://schemas.microsoft.com/office/drawing/2014/chart" uri="{C3380CC4-5D6E-409C-BE32-E72D297353CC}">
              <c16:uniqueId val="{00000017-E109-42FD-A0DE-17E243DF628A}"/>
            </c:ext>
          </c:extLst>
        </c:ser>
        <c:dLbls>
          <c:showLegendKey val="0"/>
          <c:showVal val="0"/>
          <c:showCatName val="0"/>
          <c:showSerName val="0"/>
          <c:showPercent val="0"/>
          <c:showBubbleSize val="0"/>
        </c:dLbls>
        <c:marker val="1"/>
        <c:smooth val="0"/>
        <c:axId val="163523584"/>
        <c:axId val="163521664"/>
      </c:lineChart>
      <c:catAx>
        <c:axId val="16376371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sz="800"/>
            </a:pPr>
            <a:endParaRPr lang="es-GT"/>
          </a:p>
        </c:txPr>
        <c:crossAx val="163765248"/>
        <c:crosses val="autoZero"/>
        <c:auto val="1"/>
        <c:lblAlgn val="ctr"/>
        <c:lblOffset val="100"/>
        <c:noMultiLvlLbl val="0"/>
      </c:catAx>
      <c:valAx>
        <c:axId val="163765248"/>
        <c:scaling>
          <c:orientation val="minMax"/>
        </c:scaling>
        <c:delete val="0"/>
        <c:axPos val="l"/>
        <c:title>
          <c:tx>
            <c:rich>
              <a:bodyPr rot="-5400000" vert="horz"/>
              <a:lstStyle/>
              <a:p>
                <a:pPr>
                  <a:defRPr sz="800" b="1"/>
                </a:pPr>
                <a:r>
                  <a:rPr lang="en-US" sz="800" b="1"/>
                  <a:t>Millones de Quetzales</a:t>
                </a:r>
              </a:p>
            </c:rich>
          </c:tx>
          <c:layout>
            <c:manualLayout>
              <c:xMode val="edge"/>
              <c:yMode val="edge"/>
              <c:x val="8.8817531214238166E-4"/>
              <c:y val="0.26653790590225807"/>
            </c:manualLayout>
          </c:layout>
          <c:overlay val="0"/>
        </c:title>
        <c:numFmt formatCode="_(* #,##0.00_);_(* \(#,##0.00\);_(* &quot;-&quot;??_);_(@_)" sourceLinked="1"/>
        <c:majorTickMark val="none"/>
        <c:minorTickMark val="none"/>
        <c:tickLblPos val="nextTo"/>
        <c:spPr>
          <a:noFill/>
          <a:ln>
            <a:noFill/>
          </a:ln>
          <a:effectLst/>
        </c:spPr>
        <c:txPr>
          <a:bodyPr rot="-60000000" vert="horz"/>
          <a:lstStyle/>
          <a:p>
            <a:pPr>
              <a:defRPr sz="800"/>
            </a:pPr>
            <a:endParaRPr lang="es-GT"/>
          </a:p>
        </c:txPr>
        <c:crossAx val="163763712"/>
        <c:crosses val="autoZero"/>
        <c:crossBetween val="between"/>
      </c:valAx>
      <c:valAx>
        <c:axId val="163521664"/>
        <c:scaling>
          <c:orientation val="minMax"/>
        </c:scaling>
        <c:delete val="0"/>
        <c:axPos val="r"/>
        <c:title>
          <c:tx>
            <c:rich>
              <a:bodyPr rot="5400000" vert="horz"/>
              <a:lstStyle/>
              <a:p>
                <a:pPr>
                  <a:defRPr sz="800"/>
                </a:pPr>
                <a:r>
                  <a:rPr lang="en-US" sz="800"/>
                  <a:t>Porcentaje del PIB</a:t>
                </a:r>
              </a:p>
            </c:rich>
          </c:tx>
          <c:layout>
            <c:manualLayout>
              <c:xMode val="edge"/>
              <c:yMode val="edge"/>
              <c:x val="0.97192187473312042"/>
              <c:y val="0.31948929524305331"/>
            </c:manualLayout>
          </c:layout>
          <c:overlay val="0"/>
        </c:title>
        <c:numFmt formatCode="0.0%" sourceLinked="1"/>
        <c:majorTickMark val="out"/>
        <c:minorTickMark val="none"/>
        <c:tickLblPos val="high"/>
        <c:spPr>
          <a:noFill/>
          <a:ln>
            <a:noFill/>
          </a:ln>
          <a:effectLst/>
        </c:spPr>
        <c:txPr>
          <a:bodyPr rot="-60000000" vert="horz"/>
          <a:lstStyle/>
          <a:p>
            <a:pPr>
              <a:defRPr sz="800"/>
            </a:pPr>
            <a:endParaRPr lang="es-GT"/>
          </a:p>
        </c:txPr>
        <c:crossAx val="163523584"/>
        <c:crosses val="max"/>
        <c:crossBetween val="between"/>
      </c:valAx>
      <c:catAx>
        <c:axId val="163523584"/>
        <c:scaling>
          <c:orientation val="minMax"/>
        </c:scaling>
        <c:delete val="1"/>
        <c:axPos val="b"/>
        <c:numFmt formatCode="General" sourceLinked="1"/>
        <c:majorTickMark val="out"/>
        <c:minorTickMark val="none"/>
        <c:tickLblPos val="nextTo"/>
        <c:crossAx val="163521664"/>
        <c:crosses val="autoZero"/>
        <c:auto val="1"/>
        <c:lblAlgn val="ctr"/>
        <c:lblOffset val="100"/>
        <c:noMultiLvlLbl val="0"/>
      </c:catAx>
      <c:spPr>
        <a:noFill/>
        <a:ln>
          <a:noFill/>
        </a:ln>
        <a:effectLst/>
      </c:spPr>
    </c:plotArea>
    <c:legend>
      <c:legendPos val="b"/>
      <c:layout>
        <c:manualLayout>
          <c:xMode val="edge"/>
          <c:yMode val="edge"/>
          <c:x val="0.28392718832786784"/>
          <c:y val="0.94523077551902235"/>
          <c:w val="0.43214544830779111"/>
          <c:h val="5.47692244809777E-2"/>
        </c:manualLayout>
      </c:layout>
      <c:overlay val="0"/>
      <c:spPr>
        <a:solidFill>
          <a:sysClr val="window" lastClr="FFFFFF"/>
        </a:solidFill>
        <a:ln>
          <a:noFill/>
        </a:ln>
        <a:effectLst/>
      </c:spPr>
      <c:txPr>
        <a:bodyPr rot="0" vert="horz"/>
        <a:lstStyle/>
        <a:p>
          <a:pPr>
            <a:defRPr sz="800"/>
          </a:pPr>
          <a:endParaRPr lang="es-GT"/>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05674666324109"/>
          <c:y val="1.8751322751322751E-2"/>
          <c:w val="0.88407694342489684"/>
          <c:h val="0.90216622922134737"/>
        </c:manualLayout>
      </c:layout>
      <c:barChart>
        <c:barDir val="col"/>
        <c:grouping val="clustered"/>
        <c:varyColors val="0"/>
        <c:ser>
          <c:idx val="0"/>
          <c:order val="0"/>
          <c:tx>
            <c:strRef>
              <c:f>'Serie Tributarios'!$B$7</c:f>
              <c:strCache>
                <c:ptCount val="1"/>
                <c:pt idx="0">
                  <c:v>Acumulado al 31 de diciembre</c:v>
                </c:pt>
              </c:strCache>
            </c:strRef>
          </c:tx>
          <c:spPr>
            <a:solidFill>
              <a:schemeClr val="tx2">
                <a:lumMod val="60000"/>
                <a:lumOff val="40000"/>
              </a:schemeClr>
            </a:solidFill>
            <a:scene3d>
              <a:camera prst="orthographicFront"/>
              <a:lightRig rig="threePt" dir="t">
                <a:rot lat="0" lon="0" rev="1200000"/>
              </a:lightRig>
            </a:scene3d>
            <a:sp3d prstMaterial="metal">
              <a:bevelT w="63500" h="25400"/>
            </a:sp3d>
          </c:spPr>
          <c:invertIfNegative val="0"/>
          <c:dPt>
            <c:idx val="6"/>
            <c:invertIfNegative val="0"/>
            <c:bubble3D val="0"/>
            <c:extLst>
              <c:ext xmlns:c16="http://schemas.microsoft.com/office/drawing/2014/chart" uri="{C3380CC4-5D6E-409C-BE32-E72D297353CC}">
                <c16:uniqueId val="{00000000-1AAA-4440-8957-28495FE957AE}"/>
              </c:ext>
            </c:extLst>
          </c:dPt>
          <c:dPt>
            <c:idx val="7"/>
            <c:invertIfNegative val="0"/>
            <c:bubble3D val="0"/>
            <c:extLst>
              <c:ext xmlns:c16="http://schemas.microsoft.com/office/drawing/2014/chart" uri="{C3380CC4-5D6E-409C-BE32-E72D297353CC}">
                <c16:uniqueId val="{00000001-1AAA-4440-8957-28495FE957AE}"/>
              </c:ext>
            </c:extLst>
          </c:dPt>
          <c:dPt>
            <c:idx val="8"/>
            <c:invertIfNegative val="0"/>
            <c:bubble3D val="0"/>
            <c:spPr>
              <a:solidFill>
                <a:schemeClr val="accent1"/>
              </a:solidFill>
              <a:scene3d>
                <a:camera prst="orthographicFront"/>
                <a:lightRig rig="threePt" dir="t">
                  <a:rot lat="0" lon="0" rev="1200000"/>
                </a:lightRig>
              </a:scene3d>
              <a:sp3d prstMaterial="metal">
                <a:bevelT w="63500" h="25400"/>
              </a:sp3d>
            </c:spPr>
            <c:extLst>
              <c:ext xmlns:c16="http://schemas.microsoft.com/office/drawing/2014/chart" uri="{C3380CC4-5D6E-409C-BE32-E72D297353CC}">
                <c16:uniqueId val="{00000003-1AAA-4440-8957-28495FE957AE}"/>
              </c:ext>
            </c:extLst>
          </c:dPt>
          <c:dPt>
            <c:idx val="9"/>
            <c:invertIfNegative val="0"/>
            <c:bubble3D val="0"/>
            <c:spPr>
              <a:solidFill>
                <a:schemeClr val="accent1"/>
              </a:solidFill>
              <a:scene3d>
                <a:camera prst="orthographicFront"/>
                <a:lightRig rig="threePt" dir="t">
                  <a:rot lat="0" lon="0" rev="1200000"/>
                </a:lightRig>
              </a:scene3d>
              <a:sp3d prstMaterial="metal">
                <a:bevelT w="63500" h="25400"/>
              </a:sp3d>
            </c:spPr>
            <c:extLst>
              <c:ext xmlns:c16="http://schemas.microsoft.com/office/drawing/2014/chart" uri="{C3380CC4-5D6E-409C-BE32-E72D297353CC}">
                <c16:uniqueId val="{00000005-1AAA-4440-8957-28495FE957AE}"/>
              </c:ext>
            </c:extLst>
          </c:dPt>
          <c:dPt>
            <c:idx val="10"/>
            <c:invertIfNegative val="0"/>
            <c:bubble3D val="0"/>
            <c:spPr>
              <a:solidFill>
                <a:schemeClr val="accent1"/>
              </a:solidFill>
              <a:scene3d>
                <a:camera prst="orthographicFront"/>
                <a:lightRig rig="threePt" dir="t">
                  <a:rot lat="0" lon="0" rev="1200000"/>
                </a:lightRig>
              </a:scene3d>
              <a:sp3d prstMaterial="metal">
                <a:bevelT w="63500" h="25400"/>
              </a:sp3d>
            </c:spPr>
            <c:extLst>
              <c:ext xmlns:c16="http://schemas.microsoft.com/office/drawing/2014/chart" uri="{C3380CC4-5D6E-409C-BE32-E72D297353CC}">
                <c16:uniqueId val="{00000007-1AAA-4440-8957-28495FE957AE}"/>
              </c:ext>
            </c:extLst>
          </c:dPt>
          <c:dPt>
            <c:idx val="11"/>
            <c:invertIfNegative val="0"/>
            <c:bubble3D val="0"/>
            <c:spPr>
              <a:solidFill>
                <a:schemeClr val="tx2">
                  <a:lumMod val="50000"/>
                </a:schemeClr>
              </a:solidFill>
              <a:scene3d>
                <a:camera prst="orthographicFront"/>
                <a:lightRig rig="threePt" dir="t">
                  <a:rot lat="0" lon="0" rev="1200000"/>
                </a:lightRig>
              </a:scene3d>
              <a:sp3d prstMaterial="metal">
                <a:bevelT w="63500" h="25400"/>
              </a:sp3d>
            </c:spPr>
            <c:extLst>
              <c:ext xmlns:c16="http://schemas.microsoft.com/office/drawing/2014/chart" uri="{C3380CC4-5D6E-409C-BE32-E72D297353CC}">
                <c16:uniqueId val="{00000009-1AAA-4440-8957-28495FE957AE}"/>
              </c:ext>
            </c:extLst>
          </c:dPt>
          <c:dLbls>
            <c:numFmt formatCode="#,##0.0" sourceLinked="0"/>
            <c:spPr>
              <a:noFill/>
              <a:ln>
                <a:noFill/>
              </a:ln>
              <a:effectLst/>
            </c:spPr>
            <c:txPr>
              <a:bodyPr/>
              <a:lstStyle/>
              <a:p>
                <a:pPr>
                  <a:defRPr sz="700" b="1">
                    <a:latin typeface="Times New Roman" pitchFamily="18" charset="0"/>
                    <a:cs typeface="Times New Roman"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'Serie Tributarios'!$D$6:$O$6</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'Serie Tributarios'!$D$7:$O$7</c:f>
              <c:numCache>
                <c:formatCode>_(* #,##0.0_);_(* \(#,##0.0\);_(* "-"??_);_(@_)</c:formatCode>
                <c:ptCount val="12"/>
                <c:pt idx="0">
                  <c:v>34772</c:v>
                </c:pt>
                <c:pt idx="1">
                  <c:v>40292.199999999997</c:v>
                </c:pt>
                <c:pt idx="2">
                  <c:v>42819.8</c:v>
                </c:pt>
                <c:pt idx="3">
                  <c:v>46335.5</c:v>
                </c:pt>
                <c:pt idx="4">
                  <c:v>49096.9</c:v>
                </c:pt>
                <c:pt idx="5">
                  <c:v>49730.7</c:v>
                </c:pt>
                <c:pt idx="6">
                  <c:v>54109.5</c:v>
                </c:pt>
                <c:pt idx="7">
                  <c:v>56684.1</c:v>
                </c:pt>
                <c:pt idx="8">
                  <c:v>58835.6</c:v>
                </c:pt>
                <c:pt idx="9">
                  <c:v>62593.599999999999</c:v>
                </c:pt>
                <c:pt idx="10">
                  <c:v>60279.4</c:v>
                </c:pt>
                <c:pt idx="11">
                  <c:v>78019.055885580005</c:v>
                </c:pt>
              </c:numCache>
            </c:numRef>
          </c:val>
          <c:extLst>
            <c:ext xmlns:c16="http://schemas.microsoft.com/office/drawing/2014/chart" uri="{C3380CC4-5D6E-409C-BE32-E72D297353CC}">
              <c16:uniqueId val="{0000000A-1AAA-4440-8957-28495FE957AE}"/>
            </c:ext>
          </c:extLst>
        </c:ser>
        <c:ser>
          <c:idx val="1"/>
          <c:order val="1"/>
          <c:tx>
            <c:strRef>
              <c:f>'grafica tributarios al 30 junio'!#REF!</c:f>
              <c:strCache>
                <c:ptCount val="1"/>
                <c:pt idx="0">
                  <c:v>#REF!</c:v>
                </c:pt>
              </c:strCache>
            </c:strRef>
          </c:tx>
          <c:spPr>
            <a:solidFill>
              <a:schemeClr val="accent3">
                <a:lumMod val="75000"/>
              </a:schemeClr>
            </a:solidFill>
          </c:spPr>
          <c:invertIfNegative val="0"/>
          <c:dLbls>
            <c:delete val="1"/>
          </c:dLbls>
          <c:cat>
            <c:strRef>
              <c:f>'Serie Tributarios'!$D$6:$O$6</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strCache>
            </c:strRef>
          </c:cat>
          <c:val>
            <c:numRef>
              <c:f>'grafica tributarios al 30 junio'!#REF!</c:f>
              <c:numCache>
                <c:formatCode>General</c:formatCode>
                <c:ptCount val="1"/>
                <c:pt idx="0">
                  <c:v>1</c:v>
                </c:pt>
              </c:numCache>
            </c:numRef>
          </c:val>
          <c:extLst>
            <c:ext xmlns:c16="http://schemas.microsoft.com/office/drawing/2014/chart" uri="{C3380CC4-5D6E-409C-BE32-E72D297353CC}">
              <c16:uniqueId val="{0000000B-1AAA-4440-8957-28495FE957AE}"/>
            </c:ext>
          </c:extLst>
        </c:ser>
        <c:dLbls>
          <c:showLegendKey val="0"/>
          <c:showVal val="1"/>
          <c:showCatName val="0"/>
          <c:showSerName val="0"/>
          <c:showPercent val="0"/>
          <c:showBubbleSize val="0"/>
        </c:dLbls>
        <c:gapWidth val="36"/>
        <c:overlap val="100"/>
        <c:axId val="163624832"/>
        <c:axId val="163626368"/>
      </c:barChart>
      <c:catAx>
        <c:axId val="163624832"/>
        <c:scaling>
          <c:orientation val="minMax"/>
        </c:scaling>
        <c:delete val="0"/>
        <c:axPos val="b"/>
        <c:numFmt formatCode="General" sourceLinked="1"/>
        <c:majorTickMark val="none"/>
        <c:minorTickMark val="none"/>
        <c:tickLblPos val="nextTo"/>
        <c:txPr>
          <a:bodyPr/>
          <a:lstStyle/>
          <a:p>
            <a:pPr>
              <a:defRPr sz="800" b="0">
                <a:latin typeface="Times New Roman" pitchFamily="18" charset="0"/>
                <a:cs typeface="Times New Roman" pitchFamily="18" charset="0"/>
              </a:defRPr>
            </a:pPr>
            <a:endParaRPr lang="es-GT"/>
          </a:p>
        </c:txPr>
        <c:crossAx val="163626368"/>
        <c:crosses val="autoZero"/>
        <c:auto val="1"/>
        <c:lblAlgn val="ctr"/>
        <c:lblOffset val="100"/>
        <c:noMultiLvlLbl val="0"/>
      </c:catAx>
      <c:valAx>
        <c:axId val="163626368"/>
        <c:scaling>
          <c:orientation val="minMax"/>
        </c:scaling>
        <c:delete val="0"/>
        <c:axPos val="l"/>
        <c:title>
          <c:tx>
            <c:rich>
              <a:bodyPr rot="-5400000" vert="horz"/>
              <a:lstStyle/>
              <a:p>
                <a:pPr>
                  <a:defRPr sz="800" b="0">
                    <a:latin typeface="Times New Roman" pitchFamily="18" charset="0"/>
                    <a:cs typeface="Times New Roman" pitchFamily="18" charset="0"/>
                  </a:defRPr>
                </a:pPr>
                <a:r>
                  <a:rPr lang="en-US" sz="800" b="0">
                    <a:latin typeface="Times New Roman" pitchFamily="18" charset="0"/>
                    <a:cs typeface="Times New Roman" pitchFamily="18" charset="0"/>
                  </a:rPr>
                  <a:t>Millones de Quetzales</a:t>
                </a:r>
              </a:p>
            </c:rich>
          </c:tx>
          <c:layout>
            <c:manualLayout>
              <c:xMode val="edge"/>
              <c:yMode val="edge"/>
              <c:x val="8.9395648354546333E-4"/>
              <c:y val="0.24223838686830812"/>
            </c:manualLayout>
          </c:layout>
          <c:overlay val="0"/>
        </c:title>
        <c:numFmt formatCode="#,##0" sourceLinked="0"/>
        <c:majorTickMark val="none"/>
        <c:minorTickMark val="none"/>
        <c:tickLblPos val="nextTo"/>
        <c:txPr>
          <a:bodyPr/>
          <a:lstStyle/>
          <a:p>
            <a:pPr>
              <a:defRPr sz="800" b="0">
                <a:latin typeface="Times New Roman" pitchFamily="18" charset="0"/>
                <a:cs typeface="Times New Roman" pitchFamily="18" charset="0"/>
              </a:defRPr>
            </a:pPr>
            <a:endParaRPr lang="es-GT"/>
          </a:p>
        </c:txPr>
        <c:crossAx val="163624832"/>
        <c:crosses val="autoZero"/>
        <c:crossBetween val="between"/>
      </c:valAx>
    </c:plotArea>
    <c:plotVisOnly val="1"/>
    <c:dispBlanksAs val="gap"/>
    <c:showDLblsOverMax val="0"/>
  </c:chart>
  <c:spPr>
    <a:solidFill>
      <a:schemeClr val="bg1"/>
    </a:solidFill>
    <a:ln>
      <a:no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0.85889</cdr:x>
      <cdr:y>0.33602</cdr:y>
    </cdr:from>
    <cdr:to>
      <cdr:x>1</cdr:x>
      <cdr:y>0.4445</cdr:y>
    </cdr:to>
    <cdr:sp macro="" textlink="">
      <cdr:nvSpPr>
        <cdr:cNvPr id="4" name="3 CuadroTexto"/>
        <cdr:cNvSpPr txBox="1"/>
      </cdr:nvSpPr>
      <cdr:spPr>
        <a:xfrm xmlns:a="http://schemas.openxmlformats.org/drawingml/2006/main">
          <a:off x="5565600" y="1209675"/>
          <a:ext cx="914400" cy="390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GT" sz="1100"/>
        </a:p>
      </cdr:txBody>
    </cdr:sp>
  </cdr:relSizeAnchor>
</c:userShape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apel">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F840B5-8008-4E3A-9DCD-0AF03AC4E0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4403</TotalTime>
  <Pages>81</Pages>
  <Words>22286</Words>
  <Characters>122578</Characters>
  <Application>Microsoft Office Word</Application>
  <DocSecurity>0</DocSecurity>
  <Lines>1021</Lines>
  <Paragraphs>289</Paragraphs>
  <ScaleCrop>false</ScaleCrop>
  <HeadingPairs>
    <vt:vector size="2" baseType="variant">
      <vt:variant>
        <vt:lpstr>Título</vt:lpstr>
      </vt:variant>
      <vt:variant>
        <vt:i4>1</vt:i4>
      </vt:variant>
    </vt:vector>
  </HeadingPairs>
  <TitlesOfParts>
    <vt:vector size="1" baseType="lpstr">
      <vt:lpstr>Informe de Fin de Año al 31 de diciembre de 2021</vt:lpstr>
    </vt:vector>
  </TitlesOfParts>
  <Company>Microsoft</Company>
  <LinksUpToDate>false</LinksUpToDate>
  <CharactersWithSpaces>144575</CharactersWithSpaces>
  <SharedDoc>false</SharedDoc>
  <HLinks>
    <vt:vector size="36" baseType="variant">
      <vt:variant>
        <vt:i4>5505078</vt:i4>
      </vt:variant>
      <vt:variant>
        <vt:i4>15</vt:i4>
      </vt:variant>
      <vt:variant>
        <vt:i4>0</vt:i4>
      </vt:variant>
      <vt:variant>
        <vt:i4>5</vt:i4>
      </vt:variant>
      <vt:variant>
        <vt:lpwstr>http://portal.sat.gob.gt/sitio/index.php/leyes/doc_details/2683-acuerdodedirectorionumero08-2011face.html</vt:lpwstr>
      </vt:variant>
      <vt:variant>
        <vt:lpwstr/>
      </vt:variant>
      <vt:variant>
        <vt:i4>1114202</vt:i4>
      </vt:variant>
      <vt:variant>
        <vt:i4>12</vt:i4>
      </vt:variant>
      <vt:variant>
        <vt:i4>0</vt:i4>
      </vt:variant>
      <vt:variant>
        <vt:i4>5</vt:i4>
      </vt:variant>
      <vt:variant>
        <vt:lpwstr>http://www.sgp.gob.gt/PaginaWeb/Acuerdos/2011/presidencia/AG-168-2011.pdf</vt:lpwstr>
      </vt:variant>
      <vt:variant>
        <vt:lpwstr/>
      </vt:variant>
      <vt:variant>
        <vt:i4>4653175</vt:i4>
      </vt:variant>
      <vt:variant>
        <vt:i4>9</vt:i4>
      </vt:variant>
      <vt:variant>
        <vt:i4>0</vt:i4>
      </vt:variant>
      <vt:variant>
        <vt:i4>5</vt:i4>
      </vt:variant>
      <vt:variant>
        <vt:lpwstr>http://www.sgp.gob.gt/PaginaWeb/PEsp/AG2011_Esp.htm</vt:lpwstr>
      </vt:variant>
      <vt:variant>
        <vt:lpwstr/>
      </vt:variant>
      <vt:variant>
        <vt:i4>3801144</vt:i4>
      </vt:variant>
      <vt:variant>
        <vt:i4>6</vt:i4>
      </vt:variant>
      <vt:variant>
        <vt:i4>0</vt:i4>
      </vt:variant>
      <vt:variant>
        <vt:i4>5</vt:i4>
      </vt:variant>
      <vt:variant>
        <vt:lpwstr>http://200.12.63.122/archivos/acuerdos/2010/CCLXXXVIII0790300050053201017022010.pdf</vt:lpwstr>
      </vt:variant>
      <vt:variant>
        <vt:lpwstr/>
      </vt:variant>
      <vt:variant>
        <vt:i4>6422584</vt:i4>
      </vt:variant>
      <vt:variant>
        <vt:i4>3</vt:i4>
      </vt:variant>
      <vt:variant>
        <vt:i4>0</vt:i4>
      </vt:variant>
      <vt:variant>
        <vt:i4>5</vt:i4>
      </vt:variant>
      <vt:variant>
        <vt:lpwstr>http://www.oj.gob.gt/es/QueEsOJ/EstructuraOJ/UnidadesAdministrativas/CentroAnalisisDocumentacionJudicial/cds/CDs leyes/2008/pdfs/decretos/D003-2008.pdf</vt:lpwstr>
      </vt:variant>
      <vt:variant>
        <vt:lpwstr/>
      </vt:variant>
      <vt:variant>
        <vt:i4>7667743</vt:i4>
      </vt:variant>
      <vt:variant>
        <vt:i4>0</vt:i4>
      </vt:variant>
      <vt:variant>
        <vt:i4>0</vt:i4>
      </vt:variant>
      <vt:variant>
        <vt:i4>5</vt:i4>
      </vt:variant>
      <vt:variant>
        <vt:lpwstr>http://www.minfin.gob.gt/2011-07-05-18-17-00/proyectospresupuesto/files.html?folder=2012\multianual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Fin de Año al 31 de diciembre de 2021</dc:title>
  <dc:creator>Saul Enrique De León Meneses</dc:creator>
  <cp:lastModifiedBy>José Antonio Menéndez Letona</cp:lastModifiedBy>
  <cp:revision>399</cp:revision>
  <cp:lastPrinted>2022-03-21T20:23:00Z</cp:lastPrinted>
  <dcterms:created xsi:type="dcterms:W3CDTF">2022-03-07T20:06:00Z</dcterms:created>
  <dcterms:modified xsi:type="dcterms:W3CDTF">2022-03-23T16:35:00Z</dcterms:modified>
</cp:coreProperties>
</file>